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6FCD" w:rsidR="00925464" w:rsidP="008E3029" w:rsidRDefault="00925464" w14:paraId="56F590C7" w14:textId="77777777">
      <w:pPr>
        <w:pStyle w:val="Kop1"/>
        <w:jc w:val="both"/>
      </w:pPr>
    </w:p>
    <w:p w:rsidR="00B443B4" w:rsidP="008E3029" w:rsidRDefault="00B443B4" w14:paraId="25BFFB9C" w14:textId="77777777">
      <w:pPr>
        <w:pStyle w:val="Kop1"/>
        <w:jc w:val="both"/>
      </w:pPr>
      <w:r w:rsidRPr="00A76FCD">
        <w:t>Evaluatie van de participatie van de Staat in de Nederlandse Herverzekeringsmaatschappij voor Terrorismeschaden</w:t>
      </w:r>
    </w:p>
    <w:p w:rsidRPr="00BB529C" w:rsidR="00BB529C" w:rsidP="00BB529C" w:rsidRDefault="00BB529C" w14:paraId="512456EE" w14:textId="77777777"/>
    <w:p w:rsidRPr="00A76FCD" w:rsidR="00B443B4" w:rsidP="008E3029" w:rsidRDefault="00B443B4" w14:paraId="7A27B855" w14:textId="77777777">
      <w:pPr>
        <w:pStyle w:val="Lijstniveau1"/>
        <w:jc w:val="both"/>
        <w:rPr>
          <w:b/>
          <w:bCs/>
        </w:rPr>
      </w:pPr>
      <w:r w:rsidRPr="00A76FCD">
        <w:rPr>
          <w:b/>
          <w:bCs/>
        </w:rPr>
        <w:t>Aanleiding van de evaluatie</w:t>
      </w:r>
    </w:p>
    <w:p w:rsidRPr="00A76FCD" w:rsidR="002F79E5" w:rsidP="008E3029" w:rsidRDefault="00BB529C" w14:paraId="60D786D8" w14:textId="77777777">
      <w:pPr>
        <w:spacing w:line="276" w:lineRule="auto"/>
        <w:ind w:left="1132"/>
        <w:jc w:val="both"/>
      </w:pPr>
      <w:r>
        <w:t xml:space="preserve">In 2018 heeft het ministerie van Financiën </w:t>
      </w:r>
      <w:r w:rsidRPr="00A76FCD" w:rsidR="00B443B4">
        <w:t xml:space="preserve">de participatie van de Nederlandse staat in de Nederlandse Herverzekeringsmaatschappij voor Terrorismeschaden N.V. (NHT) geëvalueerd. </w:t>
      </w:r>
      <w:r w:rsidRPr="00A76FCD" w:rsidR="00770B81">
        <w:t xml:space="preserve">Op basis van de evaluatie is destijds besloten om de participatie van de </w:t>
      </w:r>
      <w:r w:rsidRPr="00A76FCD" w:rsidR="002F79E5">
        <w:t>S</w:t>
      </w:r>
      <w:r w:rsidRPr="00A76FCD" w:rsidR="00770B81">
        <w:t xml:space="preserve">taat in de NHT </w:t>
      </w:r>
      <w:r w:rsidRPr="00A76FCD" w:rsidR="002F79E5">
        <w:t>per 1</w:t>
      </w:r>
      <w:r w:rsidR="00541497">
        <w:t xml:space="preserve"> januari </w:t>
      </w:r>
      <w:r w:rsidRPr="00A76FCD" w:rsidR="002F79E5">
        <w:t xml:space="preserve">2019 </w:t>
      </w:r>
      <w:r>
        <w:t>te continueren</w:t>
      </w:r>
      <w:r w:rsidRPr="00A76FCD" w:rsidR="00770B81">
        <w:t xml:space="preserve">. </w:t>
      </w:r>
    </w:p>
    <w:p w:rsidRPr="00A76FCD" w:rsidR="002F79E5" w:rsidP="008E3029" w:rsidRDefault="002F79E5" w14:paraId="475CF0F3" w14:textId="77777777">
      <w:pPr>
        <w:spacing w:line="276" w:lineRule="auto"/>
        <w:ind w:left="1132"/>
        <w:jc w:val="both"/>
      </w:pPr>
    </w:p>
    <w:p w:rsidRPr="00A76FCD" w:rsidR="00F03EC5" w:rsidP="008E3029" w:rsidRDefault="003E5C55" w14:paraId="53946402" w14:textId="77777777">
      <w:pPr>
        <w:ind w:left="1132"/>
        <w:jc w:val="both"/>
      </w:pPr>
      <w:r w:rsidRPr="00A76FCD">
        <w:t>In deze evaluatie wordt onderzocht of het wenselijk is om de participatie van de staat in de NHT te beëindigen.</w:t>
      </w:r>
      <w:r w:rsidRPr="00A76FCD">
        <w:rPr>
          <w:rStyle w:val="Voetnootmarkering"/>
        </w:rPr>
        <w:footnoteReference w:id="1"/>
      </w:r>
      <w:r w:rsidRPr="00A76FCD">
        <w:t xml:space="preserve"> </w:t>
      </w:r>
      <w:r w:rsidR="009E2138">
        <w:t>Deze evaluatie is uitgevoe</w:t>
      </w:r>
      <w:r w:rsidR="007545A5">
        <w:t>r</w:t>
      </w:r>
      <w:r w:rsidR="009E2138">
        <w:t xml:space="preserve">d door het ministerie van </w:t>
      </w:r>
      <w:r w:rsidR="00253908">
        <w:t>Financiën</w:t>
      </w:r>
      <w:r w:rsidR="009E2138">
        <w:t xml:space="preserve">. Voor het onderzoek is gesproken met de NHT, de Vereende, het Verbond van Verzekeraars en </w:t>
      </w:r>
      <w:r w:rsidR="00253908">
        <w:t>een aantal</w:t>
      </w:r>
      <w:r w:rsidR="009E2138">
        <w:t xml:space="preserve"> verzekeraars. Voor de evaluatie is ook vergelijkend onderzoek gedaan naar de verzekering</w:t>
      </w:r>
      <w:r w:rsidR="00253908">
        <w:t>s</w:t>
      </w:r>
      <w:r w:rsidR="009E2138">
        <w:t xml:space="preserve">constructies in andere Europese landen. </w:t>
      </w:r>
      <w:r w:rsidR="007545A5">
        <w:t xml:space="preserve">Er is gebruik gemaakt van Kamerstukken, jaarverslagen en wetenschappelijke artikelen. </w:t>
      </w:r>
      <w:r w:rsidRPr="00517223" w:rsidR="00517223">
        <w:t xml:space="preserve">De garantiestelling en het beleid rondom de NHT worden om de vijf jaar geëvalueerd, omdat het een risicoregeling met een looptijd van vijf jaar betreft. Tijdens de vorige evaluatie in 2019 is besloten de garantie te verlengen en </w:t>
      </w:r>
      <w:r w:rsidR="00517223">
        <w:t xml:space="preserve">is </w:t>
      </w:r>
      <w:r w:rsidRPr="00517223" w:rsidR="00517223">
        <w:t>vastgesteld dat elke vijf jaar wordt beoordeeld of het passend is de staatsdeelname te beëindigen</w:t>
      </w:r>
      <w:r w:rsidRPr="00A76FCD" w:rsidR="00686292">
        <w:t>.</w:t>
      </w:r>
      <w:r w:rsidR="0050107E">
        <w:rPr>
          <w:rStyle w:val="Voetnootmarkering"/>
        </w:rPr>
        <w:footnoteReference w:id="2"/>
      </w:r>
      <w:r w:rsidRPr="00A76FCD" w:rsidR="00686292">
        <w:t xml:space="preserve"> </w:t>
      </w:r>
      <w:r w:rsidRPr="00A76FCD" w:rsidR="00C70A60">
        <w:t>Hierbij wordt de doelmatigheid en de doeltreffendheid van de risicoregeling onderzocht.</w:t>
      </w:r>
      <w:r w:rsidRPr="00A76FCD" w:rsidR="00F03EC5">
        <w:t xml:space="preserve"> Volgens het beleidskader risicoregelingen dient besluitvorming over een aanpassing van een bestaande risicoregeling te gebeuren aan de hand van het </w:t>
      </w:r>
      <w:r w:rsidRPr="00A76FCD" w:rsidR="00F03EC5">
        <w:rPr>
          <w:i/>
          <w:iCs/>
        </w:rPr>
        <w:t>toetsingskader risicoregelingen</w:t>
      </w:r>
      <w:r w:rsidRPr="00A76FCD" w:rsidR="00F03EC5">
        <w:t xml:space="preserve">. Dit toetsingskader maakt ook deel van de evaluatie (bijlage). </w:t>
      </w:r>
    </w:p>
    <w:p w:rsidRPr="00A76FCD" w:rsidR="00770B81" w:rsidP="008E3029" w:rsidRDefault="00770B81" w14:paraId="7ECD705F" w14:textId="77777777">
      <w:pPr>
        <w:jc w:val="both"/>
      </w:pPr>
    </w:p>
    <w:p w:rsidRPr="00A76FCD" w:rsidR="00F82EEF" w:rsidP="008E3029" w:rsidRDefault="00686292" w14:paraId="2A5CEFF0" w14:textId="77777777">
      <w:pPr>
        <w:ind w:left="1132"/>
        <w:jc w:val="both"/>
      </w:pPr>
      <w:r w:rsidRPr="00A76FCD">
        <w:t>D</w:t>
      </w:r>
      <w:r w:rsidRPr="00A76FCD" w:rsidR="00993561">
        <w:t>e herverzekerings</w:t>
      </w:r>
      <w:r w:rsidRPr="00A76FCD" w:rsidR="00B443B4">
        <w:t xml:space="preserve">overeenkomst die </w:t>
      </w:r>
      <w:r w:rsidRPr="00A76FCD">
        <w:t xml:space="preserve">ten grondslag ligt aan de participatie van de Staat wordt tweejaarlijks verlengd en loopt af op 1-1-2026. Voordat deze overeenkomst afloopt, moet worden besloten of de participatie wordt voortgezet en of er een nieuwe herverzekeringsovereenkomst voor de jaren 2027-2028 kan worden afgesloten. </w:t>
      </w:r>
      <w:r w:rsidRPr="00A76FCD" w:rsidR="00B443B4">
        <w:t xml:space="preserve">Deze evaluatie </w:t>
      </w:r>
      <w:r w:rsidRPr="00A76FCD" w:rsidR="002F79E5">
        <w:t>is gestart in 2024, ten tijde van het bereiken van de horizon</w:t>
      </w:r>
      <w:r w:rsidRPr="00A76FCD" w:rsidR="00755A25">
        <w:t xml:space="preserve"> en aflooptermijn van de huidige herverzekeringsovereenkomst</w:t>
      </w:r>
      <w:r w:rsidRPr="00A76FCD" w:rsidR="002F79E5">
        <w:t xml:space="preserve"> en </w:t>
      </w:r>
      <w:r w:rsidRPr="00A76FCD" w:rsidR="00B443B4">
        <w:t>dient ter beoordeling voor de vraag de deelname van de Staat aan de NHT</w:t>
      </w:r>
      <w:r w:rsidRPr="00A76FCD" w:rsidR="002F79E5">
        <w:t xml:space="preserve"> </w:t>
      </w:r>
      <w:r w:rsidRPr="00A76FCD" w:rsidR="00B443B4">
        <w:t>per 1 januari 2026 kan worden beëindigd</w:t>
      </w:r>
      <w:r w:rsidRPr="00A76FCD" w:rsidR="00AF741E">
        <w:t xml:space="preserve"> of dient door te lopen</w:t>
      </w:r>
      <w:r w:rsidRPr="00A76FCD" w:rsidR="00B443B4">
        <w:t>.</w:t>
      </w:r>
      <w:r w:rsidRPr="00A76FCD" w:rsidR="00495B4B">
        <w:t xml:space="preserve"> </w:t>
      </w:r>
    </w:p>
    <w:p w:rsidRPr="00A76FCD" w:rsidR="00B443B4" w:rsidP="008E3029" w:rsidRDefault="00B443B4" w14:paraId="4A6D94BE" w14:textId="77777777">
      <w:pPr>
        <w:pStyle w:val="Lijstniveau1"/>
        <w:numPr>
          <w:ilvl w:val="0"/>
          <w:numId w:val="0"/>
        </w:numPr>
        <w:jc w:val="both"/>
      </w:pPr>
    </w:p>
    <w:p w:rsidRPr="00A76FCD" w:rsidR="00904C3B" w:rsidP="008E3029" w:rsidRDefault="00DB475B" w14:paraId="68F00C98" w14:textId="77777777">
      <w:pPr>
        <w:pStyle w:val="Lijstniveau1"/>
        <w:jc w:val="both"/>
        <w:rPr>
          <w:b/>
          <w:bCs/>
        </w:rPr>
      </w:pPr>
      <w:r w:rsidRPr="00A76FCD">
        <w:rPr>
          <w:b/>
          <w:bCs/>
        </w:rPr>
        <w:t>De NHT</w:t>
      </w:r>
    </w:p>
    <w:p w:rsidRPr="00A76FCD" w:rsidR="00A53473" w:rsidP="008E3029" w:rsidRDefault="00A53473" w14:paraId="5C201FAC" w14:textId="77777777">
      <w:pPr>
        <w:pStyle w:val="Lijstniveau2"/>
        <w:jc w:val="both"/>
        <w:rPr>
          <w:b/>
          <w:bCs/>
        </w:rPr>
      </w:pPr>
      <w:r w:rsidRPr="00A76FCD">
        <w:rPr>
          <w:b/>
          <w:bCs/>
        </w:rPr>
        <w:t>De oprichting</w:t>
      </w:r>
      <w:r w:rsidRPr="00A76FCD" w:rsidR="002370AA">
        <w:rPr>
          <w:b/>
          <w:bCs/>
        </w:rPr>
        <w:t xml:space="preserve"> en het doel</w:t>
      </w:r>
      <w:r w:rsidRPr="00A76FCD">
        <w:rPr>
          <w:b/>
          <w:bCs/>
        </w:rPr>
        <w:t xml:space="preserve"> van de NHT</w:t>
      </w:r>
    </w:p>
    <w:p w:rsidRPr="00A76FCD" w:rsidR="001F5F57" w:rsidP="008E3029" w:rsidRDefault="00770B81" w14:paraId="576BFE5F" w14:textId="77777777">
      <w:pPr>
        <w:pStyle w:val="Lijstniveau2"/>
        <w:numPr>
          <w:ilvl w:val="0"/>
          <w:numId w:val="0"/>
        </w:numPr>
        <w:ind w:left="1132"/>
        <w:jc w:val="both"/>
      </w:pPr>
      <w:r w:rsidRPr="00A76FCD">
        <w:t xml:space="preserve">De </w:t>
      </w:r>
      <w:r w:rsidRPr="00A76FCD" w:rsidR="00F03EC5">
        <w:t>N</w:t>
      </w:r>
      <w:r w:rsidRPr="00A76FCD">
        <w:t xml:space="preserve">HT is een herverzekeringspool die in 2003 werd opgericht om de schade door terroristische aanslagen te dekken. De NHT </w:t>
      </w:r>
      <w:r w:rsidRPr="00A76FCD" w:rsidR="00FC7328">
        <w:t>maakt het mogelijk dat</w:t>
      </w:r>
      <w:r w:rsidRPr="00A76FCD">
        <w:t xml:space="preserve"> herverzekeraars en de overheid gezamenlijk </w:t>
      </w:r>
      <w:r w:rsidRPr="00A76FCD" w:rsidR="00FC7328">
        <w:t xml:space="preserve">tot maximaal </w:t>
      </w:r>
      <w:r w:rsidRPr="00A76FCD" w:rsidR="009E2138">
        <w:t>€</w:t>
      </w:r>
      <w:r w:rsidRPr="00A76FCD" w:rsidR="00FC7328">
        <w:t xml:space="preserve">1 miljard per jaar aan schade door terrorisme vergoeden aan verzekeraars. </w:t>
      </w:r>
      <w:r w:rsidRPr="00A76FCD">
        <w:t xml:space="preserve">De oprichting van de NHT was een directe reactie op de wereldwijde stopzetting van de dekking voor terrorismeschade na de aanslagen van </w:t>
      </w:r>
      <w:r w:rsidRPr="00A76FCD" w:rsidR="00F03EC5">
        <w:t>9/11</w:t>
      </w:r>
      <w:r w:rsidRPr="00A76FCD">
        <w:t>. De aanslagen lieten zien dat één enkele terroristische aanslag enorme financiële gevolgen kon hebben, met het risico dat de kosten bij een beperkt aantal (her)verzekeraars terecht zouden komen. De NHT werd opgericht om de verzekerbaarheid van terrorismeschade in Nederland te waarborgen, door het risico te spreiden en daarmee de schade voor schadeverzekeraars beheersbaar te houden.</w:t>
      </w:r>
      <w:r w:rsidRPr="00A76FCD" w:rsidR="001B438D">
        <w:rPr>
          <w:rStyle w:val="Voetnootmarkering"/>
        </w:rPr>
        <w:footnoteReference w:id="3"/>
      </w:r>
      <w:r w:rsidRPr="00A76FCD">
        <w:t xml:space="preserve"> Buiten deze taak voert de NHT geen zelfstandig beleid en blijft haar rol specifiek gericht op de herverzekering van terrorismeschade.</w:t>
      </w:r>
    </w:p>
    <w:p w:rsidRPr="00A76FCD" w:rsidR="001A0A12" w:rsidP="008E3029" w:rsidRDefault="001A0A12" w14:paraId="650A6A23" w14:textId="77777777">
      <w:pPr>
        <w:pStyle w:val="Lijstniveau2"/>
        <w:numPr>
          <w:ilvl w:val="0"/>
          <w:numId w:val="0"/>
        </w:numPr>
        <w:jc w:val="both"/>
        <w:rPr>
          <w:b/>
          <w:bCs/>
        </w:rPr>
      </w:pPr>
    </w:p>
    <w:p w:rsidRPr="00A76FCD" w:rsidR="009353D0" w:rsidP="008E3029" w:rsidRDefault="00DC4EFD" w14:paraId="5B96A292" w14:textId="77777777">
      <w:pPr>
        <w:pStyle w:val="Lijstniveau2"/>
        <w:jc w:val="both"/>
        <w:rPr>
          <w:b/>
          <w:bCs/>
        </w:rPr>
      </w:pPr>
      <w:r w:rsidRPr="00A76FCD">
        <w:rPr>
          <w:b/>
          <w:bCs/>
        </w:rPr>
        <w:t>Deelname van de Staat in de NHT</w:t>
      </w:r>
    </w:p>
    <w:p w:rsidRPr="00A76FCD" w:rsidR="00173B4E" w:rsidP="008E3029" w:rsidRDefault="00173B4E" w14:paraId="3CE79D6C" w14:textId="77777777">
      <w:pPr>
        <w:ind w:left="1132"/>
        <w:jc w:val="both"/>
      </w:pPr>
      <w:r w:rsidRPr="00A76FCD">
        <w:t xml:space="preserve">De Staat is </w:t>
      </w:r>
      <w:r w:rsidRPr="00A76FCD" w:rsidR="00FC7328">
        <w:t>vanaf</w:t>
      </w:r>
      <w:r w:rsidRPr="00A76FCD">
        <w:t xml:space="preserve"> het begin betrokken geweest bij de oprichting van de NHT. </w:t>
      </w:r>
      <w:r w:rsidRPr="00A76FCD" w:rsidR="00BC7A45">
        <w:t>H</w:t>
      </w:r>
      <w:r w:rsidRPr="00A76FCD">
        <w:t xml:space="preserve">et </w:t>
      </w:r>
      <w:r w:rsidRPr="00A76FCD" w:rsidR="00BC7A45">
        <w:t>te</w:t>
      </w:r>
      <w:r w:rsidRPr="00A76FCD" w:rsidR="009B1B73">
        <w:t>r</w:t>
      </w:r>
      <w:r w:rsidRPr="00A76FCD" w:rsidR="00BC7A45">
        <w:t>r</w:t>
      </w:r>
      <w:r w:rsidRPr="00A76FCD" w:rsidR="009B1B73">
        <w:t>or</w:t>
      </w:r>
      <w:r w:rsidRPr="00A76FCD" w:rsidR="00BC7A45">
        <w:t>isme</w:t>
      </w:r>
      <w:r w:rsidRPr="00A76FCD">
        <w:t xml:space="preserve">risico </w:t>
      </w:r>
      <w:r w:rsidRPr="00A76FCD" w:rsidR="00BC7A45">
        <w:t xml:space="preserve">was moeilijk </w:t>
      </w:r>
      <w:r w:rsidRPr="00A76FCD">
        <w:t>in te schatten</w:t>
      </w:r>
      <w:r w:rsidRPr="00A76FCD" w:rsidR="009B1B73">
        <w:t xml:space="preserve"> voor de (her)verzekeraars en</w:t>
      </w:r>
      <w:r w:rsidRPr="00A76FCD">
        <w:t xml:space="preserve"> de participatie van de Staat</w:t>
      </w:r>
      <w:r w:rsidRPr="00A76FCD" w:rsidR="009B1B73">
        <w:t xml:space="preserve"> was</w:t>
      </w:r>
      <w:r w:rsidRPr="00A76FCD">
        <w:t xml:space="preserve"> aanvankelijk </w:t>
      </w:r>
      <w:r w:rsidRPr="00A76FCD" w:rsidR="001F5F57">
        <w:t>de doorslaggevende factor voor de</w:t>
      </w:r>
      <w:r w:rsidRPr="00A76FCD">
        <w:t xml:space="preserve"> </w:t>
      </w:r>
      <w:r w:rsidRPr="00A76FCD" w:rsidR="009B1B73">
        <w:t>(her)</w:t>
      </w:r>
      <w:r w:rsidRPr="00A76FCD">
        <w:t xml:space="preserve">verzekeraars </w:t>
      </w:r>
      <w:r w:rsidRPr="00A76FCD" w:rsidR="001F5F57">
        <w:t>om te</w:t>
      </w:r>
      <w:r w:rsidRPr="00A76FCD" w:rsidR="00047351">
        <w:t xml:space="preserve"> </w:t>
      </w:r>
      <w:r w:rsidRPr="00A76FCD" w:rsidR="001F5F57">
        <w:t>participeren in de NHT</w:t>
      </w:r>
      <w:r w:rsidRPr="00A76FCD" w:rsidR="00FC7328">
        <w:t xml:space="preserve">. </w:t>
      </w:r>
      <w:r w:rsidRPr="00A76FCD">
        <w:t xml:space="preserve">Gezien de mogelijke schadeomvang van een terroristische aanslag en de bereidheid van </w:t>
      </w:r>
      <w:r w:rsidRPr="00A76FCD">
        <w:lastRenderedPageBreak/>
        <w:t xml:space="preserve">(her)verzekeraars om een aanzienlijk bedrag ter </w:t>
      </w:r>
      <w:r w:rsidRPr="00A76FCD" w:rsidR="00FC7328">
        <w:t>aan dekking te bieden,</w:t>
      </w:r>
      <w:r w:rsidRPr="00A76FCD">
        <w:t xml:space="preserve"> </w:t>
      </w:r>
      <w:r w:rsidRPr="00A76FCD" w:rsidR="00FC7328">
        <w:t>bood</w:t>
      </w:r>
      <w:r w:rsidRPr="00A76FCD">
        <w:t xml:space="preserve"> de overheid </w:t>
      </w:r>
      <w:r w:rsidRPr="00A76FCD" w:rsidR="009B1B73">
        <w:t xml:space="preserve">ook </w:t>
      </w:r>
      <w:r w:rsidRPr="00A76FCD">
        <w:t xml:space="preserve">een substantiële bijdrage </w:t>
      </w:r>
      <w:r w:rsidRPr="00A76FCD" w:rsidR="00FC7328">
        <w:t>in de vorm van een</w:t>
      </w:r>
      <w:r w:rsidRPr="00A76FCD" w:rsidR="00624A77">
        <w:t xml:space="preserve"> garantiestelling</w:t>
      </w:r>
      <w:r w:rsidRPr="00A76FCD">
        <w:t>.</w:t>
      </w:r>
      <w:r w:rsidRPr="00A76FCD" w:rsidR="00B76E00">
        <w:rPr>
          <w:rStyle w:val="Voetnootmarkering"/>
        </w:rPr>
        <w:footnoteReference w:id="4"/>
      </w:r>
      <w:r w:rsidRPr="00A76FCD" w:rsidR="0062564A">
        <w:t xml:space="preserve"> </w:t>
      </w:r>
      <w:r w:rsidRPr="00A76FCD" w:rsidR="009B1B73">
        <w:t>Een andere doorslaggevende beleidsafweging</w:t>
      </w:r>
      <w:r w:rsidRPr="00A76FCD" w:rsidR="00FC7328">
        <w:t xml:space="preserve"> door de staatsdeelname</w:t>
      </w:r>
      <w:r w:rsidRPr="00A76FCD" w:rsidR="009B1B73">
        <w:t xml:space="preserve"> was</w:t>
      </w:r>
      <w:r w:rsidRPr="00A76FCD" w:rsidR="001F5F57">
        <w:t xml:space="preserve"> </w:t>
      </w:r>
      <w:r w:rsidRPr="00A76FCD" w:rsidR="00624A77">
        <w:t>dat een gezamenlijke verzekeringspool een hogere capaciteit zou</w:t>
      </w:r>
      <w:r w:rsidRPr="00A76FCD" w:rsidR="001F5F57">
        <w:t xml:space="preserve"> kunnen</w:t>
      </w:r>
      <w:r w:rsidRPr="00A76FCD" w:rsidR="00624A77">
        <w:t xml:space="preserve"> bieden</w:t>
      </w:r>
      <w:r w:rsidRPr="00A76FCD" w:rsidR="001F5F57">
        <w:t xml:space="preserve"> aan de NHT en </w:t>
      </w:r>
      <w:r w:rsidRPr="00A76FCD" w:rsidR="00FC7328">
        <w:t xml:space="preserve">de gedupeerden van een terroristische </w:t>
      </w:r>
      <w:proofErr w:type="gramStart"/>
      <w:r w:rsidRPr="00A76FCD" w:rsidR="00FC7328">
        <w:t>aanslag</w:t>
      </w:r>
      <w:proofErr w:type="gramEnd"/>
      <w:r w:rsidRPr="00A76FCD" w:rsidR="00FC7328">
        <w:t>. D</w:t>
      </w:r>
      <w:r w:rsidRPr="00A76FCD" w:rsidR="001F5F57">
        <w:t xml:space="preserve">oor te participeren in de constructie </w:t>
      </w:r>
      <w:r w:rsidRPr="00A76FCD" w:rsidR="00624A77">
        <w:t>kon een risico afgedekt worden dat anders onverzekerbaar zou zijn</w:t>
      </w:r>
      <w:r w:rsidRPr="00A76FCD" w:rsidR="003734FF">
        <w:t xml:space="preserve"> en daarmee werd een oplossing geboden voor een maatschappelijk probleem</w:t>
      </w:r>
      <w:r w:rsidRPr="00A76FCD" w:rsidR="00624A77">
        <w:t>.</w:t>
      </w:r>
      <w:bookmarkStart w:name="_Hlk200015350" w:id="1"/>
      <w:r w:rsidRPr="00A76FCD" w:rsidR="003734FF">
        <w:rPr>
          <w:rStyle w:val="Voetnootmarkering"/>
        </w:rPr>
        <w:footnoteReference w:id="5"/>
      </w:r>
      <w:bookmarkEnd w:id="1"/>
      <w:r w:rsidRPr="00A76FCD" w:rsidR="00624A77">
        <w:t xml:space="preserve"> </w:t>
      </w:r>
      <w:r w:rsidRPr="00A76FCD" w:rsidR="001F5F57">
        <w:t>Tevens zou i</w:t>
      </w:r>
      <w:r w:rsidRPr="00A76FCD" w:rsidR="00624A77">
        <w:t xml:space="preserve">n het geval van onverzekerbaarheid de </w:t>
      </w:r>
      <w:r w:rsidRPr="00A76FCD" w:rsidR="001F5F57">
        <w:t>S</w:t>
      </w:r>
      <w:r w:rsidRPr="00A76FCD" w:rsidR="00624A77">
        <w:t>taat mogelijk een groter</w:t>
      </w:r>
      <w:r w:rsidRPr="00A76FCD" w:rsidR="001F5F57">
        <w:t xml:space="preserve"> of het gehele</w:t>
      </w:r>
      <w:r w:rsidRPr="00A76FCD" w:rsidR="00624A77">
        <w:t xml:space="preserve"> aandeel in de schadevergoeding </w:t>
      </w:r>
      <w:r w:rsidRPr="00A76FCD" w:rsidR="001F5F57">
        <w:t xml:space="preserve">als gevolg </w:t>
      </w:r>
      <w:r w:rsidRPr="00A76FCD" w:rsidR="00624A77">
        <w:t>van een terroristische aanslag moeten dragen.</w:t>
      </w:r>
      <w:bookmarkStart w:name="_Hlk200015362" w:id="2"/>
      <w:r w:rsidRPr="00A76FCD" w:rsidR="00624A77">
        <w:rPr>
          <w:rStyle w:val="Voetnootmarkering"/>
        </w:rPr>
        <w:footnoteReference w:id="6"/>
      </w:r>
      <w:bookmarkEnd w:id="2"/>
    </w:p>
    <w:p w:rsidRPr="00A76FCD" w:rsidR="00624A77" w:rsidP="008E3029" w:rsidRDefault="00624A77" w14:paraId="1C8EFEAB" w14:textId="77777777">
      <w:pPr>
        <w:ind w:left="1132"/>
        <w:jc w:val="both"/>
      </w:pPr>
    </w:p>
    <w:p w:rsidRPr="00A76FCD" w:rsidR="00C24C65" w:rsidP="008E3029" w:rsidRDefault="00FC7328" w14:paraId="34CCB612" w14:textId="77777777">
      <w:pPr>
        <w:ind w:left="1132"/>
        <w:jc w:val="both"/>
      </w:pPr>
      <w:r w:rsidRPr="00A76FCD">
        <w:t>Aanvankelijk</w:t>
      </w:r>
      <w:r w:rsidRPr="00A76FCD" w:rsidR="009B1B73">
        <w:t xml:space="preserve"> was het</w:t>
      </w:r>
      <w:r w:rsidRPr="00A76FCD" w:rsidR="00F82EEF">
        <w:t xml:space="preserve"> de bedoeling dat deze </w:t>
      </w:r>
      <w:r w:rsidRPr="00A76FCD" w:rsidR="00803EEB">
        <w:t>staats</w:t>
      </w:r>
      <w:r w:rsidRPr="00A76FCD" w:rsidR="00F82EEF">
        <w:t>deelname van tijdelijke aard zou zijn</w:t>
      </w:r>
      <w:r w:rsidRPr="00A76FCD">
        <w:t xml:space="preserve"> en</w:t>
      </w:r>
      <w:r w:rsidRPr="00A76FCD" w:rsidR="00F82EEF">
        <w:t xml:space="preserve"> dat de Staat na verloop van tijd uit de constructie zou stappen</w:t>
      </w:r>
      <w:r w:rsidRPr="00A76FCD" w:rsidR="00624A77">
        <w:t xml:space="preserve">. </w:t>
      </w:r>
      <w:r w:rsidRPr="00A76FCD" w:rsidR="00F82EEF">
        <w:t>Reden hiervoor is</w:t>
      </w:r>
      <w:r w:rsidRPr="00A76FCD" w:rsidR="00624A77">
        <w:t xml:space="preserve"> dat de Staat</w:t>
      </w:r>
      <w:r w:rsidRPr="00A76FCD" w:rsidR="001F5F57">
        <w:t xml:space="preserve"> in principe</w:t>
      </w:r>
      <w:r w:rsidRPr="00A76FCD" w:rsidR="00624A77">
        <w:t xml:space="preserve"> geen dekkingen biedt voor risico's die commerciële verzekeraars kunnen </w:t>
      </w:r>
      <w:r w:rsidRPr="00A76FCD">
        <w:t>dekken</w:t>
      </w:r>
      <w:r w:rsidRPr="00A76FCD" w:rsidR="00624A77">
        <w:t>.</w:t>
      </w:r>
      <w:bookmarkStart w:name="_Hlk200015384" w:id="3"/>
      <w:r w:rsidRPr="00A76FCD" w:rsidR="00427146">
        <w:rPr>
          <w:rStyle w:val="Voetnootmarkering"/>
        </w:rPr>
        <w:footnoteReference w:id="7"/>
      </w:r>
      <w:bookmarkEnd w:id="3"/>
      <w:r w:rsidRPr="00A76FCD" w:rsidR="00427146">
        <w:t xml:space="preserve"> </w:t>
      </w:r>
      <w:r w:rsidRPr="00A76FCD" w:rsidR="00624A77">
        <w:t xml:space="preserve">Bij de deelname werd daarom afgesproken </w:t>
      </w:r>
      <w:r w:rsidRPr="00A76FCD" w:rsidR="001F5F57">
        <w:t>dat de Staat</w:t>
      </w:r>
      <w:r w:rsidRPr="00A76FCD" w:rsidR="00624A77">
        <w:t xml:space="preserve"> regelmatig </w:t>
      </w:r>
      <w:r w:rsidRPr="00A76FCD" w:rsidR="00F82EEF">
        <w:t>zou</w:t>
      </w:r>
      <w:r w:rsidRPr="00A76FCD" w:rsidR="00624A77">
        <w:t xml:space="preserve"> evalueren of de overheidsbetrokkenheid in deze vorm, omvang en onder de geldende voorwaarden nog steeds gerechtvaardigd </w:t>
      </w:r>
      <w:r w:rsidRPr="00A76FCD" w:rsidR="00D32871">
        <w:t>was</w:t>
      </w:r>
      <w:r w:rsidRPr="00A76FCD" w:rsidR="001F5F57">
        <w:t>.</w:t>
      </w:r>
      <w:r w:rsidRPr="00A76FCD" w:rsidR="00624A77">
        <w:t xml:space="preserve"> </w:t>
      </w:r>
    </w:p>
    <w:p w:rsidRPr="00A76FCD" w:rsidR="002632D0" w:rsidP="008E3029" w:rsidRDefault="002632D0" w14:paraId="2C71A31D" w14:textId="77777777">
      <w:pPr>
        <w:ind w:left="1132"/>
        <w:jc w:val="both"/>
      </w:pPr>
    </w:p>
    <w:p w:rsidRPr="00A76FCD" w:rsidR="002632D0" w:rsidP="008E3029" w:rsidRDefault="002632D0" w14:paraId="1E8B4975" w14:textId="77777777">
      <w:pPr>
        <w:ind w:left="1132"/>
        <w:jc w:val="both"/>
      </w:pPr>
      <w:bookmarkStart w:name="_Hlk200015525" w:id="4"/>
      <w:r w:rsidRPr="00A76FCD">
        <w:t>De garantiestelling van de Staat wordt jaarlijks (sinds 2023 tweejaarlijks) verlengd via een herverzekeringsovereenkomst (</w:t>
      </w:r>
      <w:proofErr w:type="spellStart"/>
      <w:r w:rsidRPr="00A76FCD">
        <w:t>retrocession</w:t>
      </w:r>
      <w:proofErr w:type="spellEnd"/>
      <w:r w:rsidRPr="00A76FCD">
        <w:t xml:space="preserve"> agreement) met de NHT. Een </w:t>
      </w:r>
      <w:proofErr w:type="spellStart"/>
      <w:r w:rsidRPr="00A76FCD">
        <w:t>retrocession</w:t>
      </w:r>
      <w:proofErr w:type="spellEnd"/>
      <w:r w:rsidRPr="00A76FCD">
        <w:t xml:space="preserve"> agreement wordt opgesteld wanneer een herverzekeraar (</w:t>
      </w:r>
      <w:r w:rsidRPr="00A76FCD" w:rsidR="009B1B73">
        <w:t xml:space="preserve">in dit geval </w:t>
      </w:r>
      <w:r w:rsidRPr="00A76FCD">
        <w:t>de NHT) bepaalde risico's opnieuw herverzekert bij een andere herverzekeraar (</w:t>
      </w:r>
      <w:r w:rsidRPr="00A76FCD" w:rsidR="009B1B73">
        <w:t xml:space="preserve">in dit geval </w:t>
      </w:r>
      <w:r w:rsidRPr="00A76FCD">
        <w:t>de Staat). De herverzekeringsovereenkomst met de NHT fungeert als een belangrijk sturingsinstrument bij de evaluatie van de overheidsbetrokkenheid.</w:t>
      </w:r>
      <w:r w:rsidRPr="00A76FCD">
        <w:rPr>
          <w:rStyle w:val="Voetnootmarkering"/>
        </w:rPr>
        <w:footnoteReference w:id="8"/>
      </w:r>
      <w:r w:rsidRPr="00A76FCD">
        <w:t xml:space="preserve"> Op basis van de herverzekeringsovereenkomst ontvangt de Staat jaarlijks een premie van de NHT als compensatie voor de door de Staat verstrekte garantiestelling. </w:t>
      </w:r>
      <w:r w:rsidRPr="00A76FCD" w:rsidR="000825E8">
        <w:t>De premie van 2024 en 2025 bedraagt €535.500.</w:t>
      </w:r>
    </w:p>
    <w:p w:rsidRPr="00A76FCD" w:rsidR="006B0BCB" w:rsidP="008E3029" w:rsidRDefault="006B0BCB" w14:paraId="608DD0A3" w14:textId="77777777">
      <w:pPr>
        <w:ind w:left="1132"/>
        <w:jc w:val="both"/>
      </w:pPr>
    </w:p>
    <w:p w:rsidRPr="00A76FCD" w:rsidR="00925464" w:rsidP="008E3029" w:rsidRDefault="006B0BCB" w14:paraId="3B89F3D4" w14:textId="77777777">
      <w:pPr>
        <w:ind w:left="1132"/>
        <w:jc w:val="both"/>
      </w:pPr>
      <w:r w:rsidRPr="00A76FCD">
        <w:t xml:space="preserve">In 2014 </w:t>
      </w:r>
      <w:r w:rsidRPr="00A76FCD" w:rsidR="001441D6">
        <w:t>werd</w:t>
      </w:r>
      <w:r w:rsidRPr="00A76FCD">
        <w:t xml:space="preserve"> besloten om de risico’s binnen het garantiekader van de overheid te beperke</w:t>
      </w:r>
      <w:r w:rsidRPr="00A76FCD" w:rsidR="001441D6">
        <w:t>n</w:t>
      </w:r>
      <w:r w:rsidRPr="00A76FCD" w:rsidR="00FC7328">
        <w:t xml:space="preserve"> en</w:t>
      </w:r>
      <w:r w:rsidRPr="00A76FCD" w:rsidR="001441D6">
        <w:t xml:space="preserve"> </w:t>
      </w:r>
      <w:r w:rsidRPr="00A76FCD" w:rsidR="00FC7328">
        <w:t xml:space="preserve">dat de </w:t>
      </w:r>
      <w:r w:rsidRPr="00A76FCD">
        <w:t>garantiestelling per 1 januari 2019</w:t>
      </w:r>
      <w:r w:rsidRPr="00A76FCD" w:rsidR="00FC7328">
        <w:t xml:space="preserve"> beëindigd zou worden</w:t>
      </w:r>
      <w:r w:rsidRPr="00A76FCD">
        <w:t xml:space="preserve">. </w:t>
      </w:r>
      <w:r w:rsidRPr="00A76FCD" w:rsidR="00FC7328">
        <w:t xml:space="preserve">Na de evaluatie van de garantie in 2018 en signalen vanuit de sector </w:t>
      </w:r>
      <w:r w:rsidRPr="00A76FCD" w:rsidR="00D32871">
        <w:t xml:space="preserve">dat het wenselijk was </w:t>
      </w:r>
      <w:r w:rsidRPr="00A76FCD" w:rsidR="00C62B47">
        <w:t xml:space="preserve">deelname van de Staat voort te </w:t>
      </w:r>
      <w:r w:rsidRPr="00A76FCD" w:rsidR="00FE7ADF">
        <w:t>zetten,</w:t>
      </w:r>
      <w:r w:rsidRPr="00A76FCD" w:rsidR="00FC7328">
        <w:t xml:space="preserve"> is besloten de garantie</w:t>
      </w:r>
      <w:r w:rsidRPr="00A76FCD" w:rsidR="00D32871">
        <w:t xml:space="preserve"> minimaal</w:t>
      </w:r>
      <w:r w:rsidRPr="00A76FCD" w:rsidR="00FC7328">
        <w:t xml:space="preserve"> te verlengen tot aan de volgende evaluatie.</w:t>
      </w:r>
    </w:p>
    <w:p w:rsidRPr="00A76FCD" w:rsidR="00FC7328" w:rsidP="008E3029" w:rsidRDefault="00FC7328" w14:paraId="365BD419" w14:textId="77777777">
      <w:pPr>
        <w:ind w:left="1132"/>
        <w:jc w:val="both"/>
      </w:pPr>
    </w:p>
    <w:bookmarkEnd w:id="4"/>
    <w:p w:rsidRPr="00A76FCD" w:rsidR="000D40A2" w:rsidP="008E3029" w:rsidRDefault="00195CFF" w14:paraId="7BE492E1" w14:textId="77777777">
      <w:pPr>
        <w:pStyle w:val="Lijstniveau2"/>
        <w:jc w:val="both"/>
        <w:rPr>
          <w:b/>
          <w:bCs/>
        </w:rPr>
      </w:pPr>
      <w:r w:rsidRPr="00A76FCD">
        <w:rPr>
          <w:b/>
          <w:bCs/>
        </w:rPr>
        <w:t xml:space="preserve">De dekking </w:t>
      </w:r>
      <w:r w:rsidRPr="00A76FCD" w:rsidR="00F82EEF">
        <w:rPr>
          <w:b/>
          <w:bCs/>
        </w:rPr>
        <w:t xml:space="preserve">en werking </w:t>
      </w:r>
      <w:r w:rsidRPr="00A76FCD">
        <w:rPr>
          <w:b/>
          <w:bCs/>
        </w:rPr>
        <w:t>van de NHT</w:t>
      </w:r>
    </w:p>
    <w:p w:rsidRPr="00A76FCD" w:rsidR="00F82EEF" w:rsidP="008E3029" w:rsidRDefault="000D40A2" w14:paraId="0AE3ACBD" w14:textId="77777777">
      <w:pPr>
        <w:ind w:left="1132"/>
        <w:jc w:val="both"/>
      </w:pPr>
      <w:bookmarkStart w:name="_Hlk201065336" w:id="5"/>
      <w:r w:rsidRPr="00A76FCD">
        <w:t>De</w:t>
      </w:r>
      <w:r w:rsidRPr="00A76FCD" w:rsidR="00F82EEF">
        <w:t xml:space="preserve"> NHT is een naamloze vennootschap waarvan de aandelen volledig in bezit zijn van</w:t>
      </w:r>
      <w:r w:rsidRPr="00A76FCD">
        <w:t xml:space="preserve"> </w:t>
      </w:r>
      <w:r w:rsidRPr="00A76FCD" w:rsidR="00F82EEF">
        <w:t>Stichting NHT</w:t>
      </w:r>
      <w:r w:rsidRPr="00A76FCD">
        <w:t>,</w:t>
      </w:r>
      <w:r w:rsidRPr="00A76FCD" w:rsidR="00F82EEF">
        <w:t xml:space="preserve"> die is opgericht door het Verbond van Verzekeraars. De NHT vervult een coördinerende en toezichthoudende rol voor verzekeraars bij de afhandeling van claims als gevolg van terrorisme. De operationele taken, inclusief directie- en managementverantwoordelijkheden, zijn uitbesteed aan de Vereende N.V. De kosten hiervoor worden doorbelast aan de deelnemende verzekeraars. </w:t>
      </w:r>
    </w:p>
    <w:bookmarkEnd w:id="5"/>
    <w:p w:rsidRPr="00A76FCD" w:rsidR="00F82EEF" w:rsidP="008E3029" w:rsidRDefault="00F82EEF" w14:paraId="5B6690D2" w14:textId="77777777">
      <w:pPr>
        <w:ind w:left="1132"/>
        <w:jc w:val="both"/>
      </w:pPr>
    </w:p>
    <w:p w:rsidRPr="00A76FCD" w:rsidR="002632D0" w:rsidP="008E3029" w:rsidRDefault="00F82EEF" w14:paraId="08CEB10B" w14:textId="77777777">
      <w:pPr>
        <w:ind w:left="1132"/>
        <w:jc w:val="both"/>
      </w:pPr>
      <w:r w:rsidRPr="00A76FCD">
        <w:t>In 2023 bestond de NHT uit 164 deelnemende verzekeraars.</w:t>
      </w:r>
      <w:r w:rsidRPr="00A76FCD" w:rsidR="00925464">
        <w:rPr>
          <w:rStyle w:val="Voetnootmarkering"/>
        </w:rPr>
        <w:footnoteReference w:id="9"/>
      </w:r>
      <w:r w:rsidRPr="00A76FCD">
        <w:t xml:space="preserve"> De meeste Nederlandse </w:t>
      </w:r>
      <w:r w:rsidRPr="00A76FCD" w:rsidR="00803EEB">
        <w:t xml:space="preserve">en </w:t>
      </w:r>
      <w:r w:rsidRPr="00A76FCD">
        <w:t>een aantal buitenlandse verzekeraars</w:t>
      </w:r>
      <w:r w:rsidRPr="00A76FCD" w:rsidR="00803EEB">
        <w:t xml:space="preserve"> (voor de risico’s die zij op de Nederlandse markt verzekerd </w:t>
      </w:r>
      <w:r w:rsidRPr="00A76FCD" w:rsidR="00803EEB">
        <w:lastRenderedPageBreak/>
        <w:t>hebben) zijn bij de NHT</w:t>
      </w:r>
      <w:r w:rsidRPr="00A76FCD">
        <w:t xml:space="preserve"> </w:t>
      </w:r>
      <w:r w:rsidRPr="00A76FCD" w:rsidR="002632D0">
        <w:t>aangesloten</w:t>
      </w:r>
      <w:r w:rsidRPr="00A76FCD">
        <w:t>.</w:t>
      </w:r>
      <w:r w:rsidRPr="00A76FCD" w:rsidR="00925464">
        <w:rPr>
          <w:rStyle w:val="Voetnootmarkering"/>
        </w:rPr>
        <w:footnoteReference w:id="10"/>
      </w:r>
      <w:r w:rsidRPr="00A76FCD">
        <w:t xml:space="preserve"> </w:t>
      </w:r>
      <w:r w:rsidRPr="00A76FCD" w:rsidR="002632D0">
        <w:t>Deelname aan de NHT is geen verplichtin</w:t>
      </w:r>
      <w:r w:rsidRPr="00A76FCD" w:rsidR="00011F27">
        <w:t>g</w:t>
      </w:r>
      <w:r w:rsidRPr="00A76FCD" w:rsidR="002632D0">
        <w:t xml:space="preserve">. </w:t>
      </w:r>
      <w:r w:rsidRPr="00A76FCD">
        <w:t xml:space="preserve">Om aanspraak te kunnen maken op </w:t>
      </w:r>
      <w:r w:rsidRPr="00A76FCD" w:rsidR="006B0BCB">
        <w:t>een vergoeding uit de</w:t>
      </w:r>
      <w:r w:rsidRPr="00A76FCD">
        <w:t xml:space="preserve"> NHT</w:t>
      </w:r>
      <w:r w:rsidRPr="00A76FCD" w:rsidR="006B0BCB">
        <w:t xml:space="preserve"> moet</w:t>
      </w:r>
      <w:r w:rsidRPr="00A76FCD">
        <w:t xml:space="preserve"> </w:t>
      </w:r>
      <w:r w:rsidRPr="00A76FCD" w:rsidR="002632D0">
        <w:t>een verzekeraar</w:t>
      </w:r>
      <w:r w:rsidRPr="00A76FCD">
        <w:t xml:space="preserve"> </w:t>
      </w:r>
      <w:r w:rsidRPr="00A76FCD" w:rsidR="00803EEB">
        <w:t xml:space="preserve">wel </w:t>
      </w:r>
      <w:r w:rsidRPr="00A76FCD" w:rsidR="006B0BCB">
        <w:t xml:space="preserve">deelnemer zijn van </w:t>
      </w:r>
      <w:r w:rsidRPr="00A76FCD">
        <w:t>de NHT. Dit betekent</w:t>
      </w:r>
      <w:r w:rsidRPr="00A76FCD" w:rsidR="002632D0">
        <w:t xml:space="preserve"> </w:t>
      </w:r>
      <w:r w:rsidRPr="00A76FCD">
        <w:t xml:space="preserve">dat </w:t>
      </w:r>
      <w:r w:rsidRPr="00A76FCD" w:rsidR="006B0BCB">
        <w:t>de</w:t>
      </w:r>
      <w:r w:rsidRPr="00A76FCD">
        <w:t xml:space="preserve"> verzekeraars die deelnemen aan een co-assurantiepolis</w:t>
      </w:r>
      <w:r w:rsidRPr="00A76FCD" w:rsidR="002632D0">
        <w:t>, allen</w:t>
      </w:r>
      <w:r w:rsidRPr="00A76FCD" w:rsidR="00FC7328">
        <w:t xml:space="preserve"> ook</w:t>
      </w:r>
      <w:r w:rsidRPr="00A76FCD">
        <w:t xml:space="preserve"> aangesloten moeten zijn bij de NHT om een beroep te kunnen doen op </w:t>
      </w:r>
      <w:r w:rsidRPr="00A76FCD" w:rsidR="00FC7328">
        <w:t>de NHT-</w:t>
      </w:r>
      <w:r w:rsidRPr="00A76FCD">
        <w:t xml:space="preserve">dekking. </w:t>
      </w:r>
    </w:p>
    <w:p w:rsidRPr="00A76FCD" w:rsidR="006B0BCB" w:rsidP="008E3029" w:rsidRDefault="006B0BCB" w14:paraId="7C6AA3EC" w14:textId="77777777">
      <w:pPr>
        <w:ind w:left="1132"/>
        <w:jc w:val="both"/>
      </w:pPr>
    </w:p>
    <w:p w:rsidRPr="00A76FCD" w:rsidR="002632D0" w:rsidP="008E3029" w:rsidRDefault="008A6036" w14:paraId="221F8607" w14:textId="77777777">
      <w:pPr>
        <w:ind w:left="1132"/>
        <w:jc w:val="both"/>
      </w:pPr>
      <w:r w:rsidRPr="00A76FCD">
        <w:t xml:space="preserve">De NHT richt zich alleen op risico’s bij in Nederland toegelaten verzekeraars. Schade kan alleen worden gemeld als het gaat om verzekeringen voor in Nederland gelegen onroerend goed (inclusief inventaris en voorraden), in Nederland geregistreerde voertuigen en vaartuigen, of reis- en vakantieverzekeringen afgesloten in Nederland. Voor andere verzekeringen geldt dat de verzekeringnemer in Nederland moet wonen of dat de rechtspersoon een duurzame vaste inrichting in Nederland heeft. </w:t>
      </w:r>
      <w:r w:rsidRPr="00A76FCD" w:rsidR="002632D0">
        <w:t xml:space="preserve">Indien een verzekeraar het vermoeden heeft dat een schadeclaim voortvloeit uit een daad van terrorisme, </w:t>
      </w:r>
      <w:r w:rsidRPr="00A76FCD" w:rsidR="00FC7328">
        <w:t>moet dit binnen</w:t>
      </w:r>
      <w:r w:rsidRPr="00A76FCD" w:rsidR="002632D0">
        <w:t xml:space="preserve"> drie weken </w:t>
      </w:r>
      <w:r w:rsidRPr="00A76FCD" w:rsidR="00FC7328">
        <w:t>worden gemeld bij de</w:t>
      </w:r>
      <w:r w:rsidRPr="00A76FCD" w:rsidR="002632D0">
        <w:t xml:space="preserve"> NHT. De NHT verricht vervolgens een onderzoek om vast te stellen of de betreffende schade daadwerkelijk het gevolg is van een terroristische handeling. Na afronding van </w:t>
      </w:r>
      <w:r w:rsidRPr="00A76FCD" w:rsidR="00803EEB">
        <w:t>het onderzoek</w:t>
      </w:r>
      <w:r w:rsidRPr="00A76FCD" w:rsidR="002632D0">
        <w:t xml:space="preserve"> stelt de NHT haar bevindingen beschikbaar aan alle </w:t>
      </w:r>
      <w:r w:rsidRPr="00A76FCD" w:rsidR="006B0BCB">
        <w:t>deelnemende</w:t>
      </w:r>
      <w:r w:rsidRPr="00A76FCD" w:rsidR="002632D0">
        <w:t xml:space="preserve"> verzekeraars. Deze communicatie beoogt zowel het informeren van de betrokken partijen als het faciliteren van gerelateerde schadeclaims </w:t>
      </w:r>
      <w:r w:rsidRPr="00A76FCD" w:rsidR="00803EEB">
        <w:t>van</w:t>
      </w:r>
      <w:r w:rsidRPr="00A76FCD" w:rsidR="002632D0">
        <w:t xml:space="preserve"> andere verzekeraars.</w:t>
      </w:r>
    </w:p>
    <w:p w:rsidRPr="00A76FCD" w:rsidR="00F82EEF" w:rsidP="008E3029" w:rsidRDefault="002632D0" w14:paraId="2E658699" w14:textId="77777777">
      <w:pPr>
        <w:ind w:left="1132"/>
        <w:jc w:val="both"/>
      </w:pPr>
      <w:r w:rsidRPr="00A76FCD">
        <w:t xml:space="preserve"> </w:t>
      </w:r>
    </w:p>
    <w:p w:rsidRPr="00A76FCD" w:rsidR="003C00EA" w:rsidP="008E3029" w:rsidRDefault="006B0BCB" w14:paraId="07E95D13" w14:textId="77777777">
      <w:pPr>
        <w:ind w:left="1132"/>
        <w:jc w:val="both"/>
      </w:pPr>
      <w:r w:rsidRPr="00A76FCD">
        <w:t xml:space="preserve">De NHT biedt een dekkingscapaciteit van €1 miljard per jaar ter vergoeding van schade door een terroristische aanslag. </w:t>
      </w:r>
      <w:r w:rsidRPr="00A76FCD" w:rsidR="0062564A">
        <w:t xml:space="preserve">Bij de oprichting van de NHT werd de dekking van €1 miljard opgebouwd in drie lagen: </w:t>
      </w:r>
    </w:p>
    <w:p w:rsidRPr="00A76FCD" w:rsidR="003C00EA" w:rsidP="008E3029" w:rsidRDefault="0062564A" w14:paraId="1EA44BF1" w14:textId="77777777">
      <w:pPr>
        <w:pStyle w:val="Lijstalinea"/>
        <w:numPr>
          <w:ilvl w:val="0"/>
          <w:numId w:val="8"/>
        </w:numPr>
        <w:jc w:val="both"/>
        <w:rPr>
          <w:rFonts w:ascii="Verdana" w:hAnsi="Verdana" w:eastAsia="DejaVu Sans" w:cs="Lohit Hindi"/>
          <w:color w:val="000000"/>
          <w:kern w:val="0"/>
          <w:sz w:val="18"/>
          <w:szCs w:val="18"/>
          <w:lang w:eastAsia="nl-NL"/>
          <w14:ligatures w14:val="none"/>
        </w:rPr>
      </w:pPr>
      <w:r w:rsidRPr="00A76FCD">
        <w:rPr>
          <w:rFonts w:ascii="Verdana" w:hAnsi="Verdana" w:eastAsia="DejaVu Sans" w:cs="Lohit Hindi"/>
          <w:color w:val="000000"/>
          <w:kern w:val="0"/>
          <w:sz w:val="18"/>
          <w:szCs w:val="18"/>
          <w:lang w:eastAsia="nl-NL"/>
          <w14:ligatures w14:val="none"/>
        </w:rPr>
        <w:t xml:space="preserve">€400 miljoen, verzorgd door Nederlandse verzekeraars; </w:t>
      </w:r>
    </w:p>
    <w:p w:rsidRPr="00A76FCD" w:rsidR="00FB14AA" w:rsidP="008E3029" w:rsidRDefault="0062564A" w14:paraId="20020C35" w14:textId="77777777">
      <w:pPr>
        <w:pStyle w:val="Lijstalinea"/>
        <w:numPr>
          <w:ilvl w:val="0"/>
          <w:numId w:val="8"/>
        </w:numPr>
        <w:jc w:val="both"/>
        <w:rPr>
          <w:rFonts w:ascii="Verdana" w:hAnsi="Verdana" w:eastAsia="DejaVu Sans" w:cs="Lohit Hindi"/>
          <w:color w:val="000000"/>
          <w:kern w:val="0"/>
          <w:sz w:val="18"/>
          <w:szCs w:val="18"/>
          <w:lang w:eastAsia="nl-NL"/>
          <w14:ligatures w14:val="none"/>
        </w:rPr>
      </w:pPr>
      <w:r w:rsidRPr="00A76FCD">
        <w:rPr>
          <w:rFonts w:ascii="Verdana" w:hAnsi="Verdana" w:eastAsia="DejaVu Sans" w:cs="Lohit Hindi"/>
          <w:color w:val="000000"/>
          <w:kern w:val="0"/>
          <w:sz w:val="18"/>
          <w:szCs w:val="18"/>
          <w:lang w:eastAsia="nl-NL"/>
          <w14:ligatures w14:val="none"/>
        </w:rPr>
        <w:t xml:space="preserve">€400 miljoen, verzorgd door internationale herverzekeraars; </w:t>
      </w:r>
      <w:r w:rsidRPr="00A76FCD" w:rsidR="003C00EA">
        <w:rPr>
          <w:rFonts w:ascii="Verdana" w:hAnsi="Verdana" w:eastAsia="DejaVu Sans" w:cs="Lohit Hindi"/>
          <w:color w:val="000000"/>
          <w:kern w:val="0"/>
          <w:sz w:val="18"/>
          <w:szCs w:val="18"/>
          <w:lang w:eastAsia="nl-NL"/>
          <w14:ligatures w14:val="none"/>
        </w:rPr>
        <w:t>e</w:t>
      </w:r>
      <w:r w:rsidRPr="00A76FCD" w:rsidR="00FB14AA">
        <w:rPr>
          <w:rFonts w:ascii="Verdana" w:hAnsi="Verdana" w:eastAsia="DejaVu Sans" w:cs="Lohit Hindi"/>
          <w:color w:val="000000"/>
          <w:kern w:val="0"/>
          <w:sz w:val="18"/>
          <w:szCs w:val="18"/>
          <w:lang w:eastAsia="nl-NL"/>
          <w14:ligatures w14:val="none"/>
        </w:rPr>
        <w:t>n</w:t>
      </w:r>
    </w:p>
    <w:p w:rsidRPr="00A76FCD" w:rsidR="00EA2606" w:rsidP="00FB14AA" w:rsidRDefault="0062564A" w14:paraId="099B14D0" w14:textId="77777777">
      <w:pPr>
        <w:pStyle w:val="Lijstalinea"/>
        <w:numPr>
          <w:ilvl w:val="0"/>
          <w:numId w:val="8"/>
        </w:numPr>
        <w:jc w:val="both"/>
        <w:rPr>
          <w:rFonts w:ascii="Verdana" w:hAnsi="Verdana" w:eastAsia="DejaVu Sans" w:cs="Lohit Hindi"/>
          <w:color w:val="000000"/>
          <w:kern w:val="0"/>
          <w:sz w:val="18"/>
          <w:szCs w:val="18"/>
          <w:lang w:eastAsia="nl-NL"/>
          <w14:ligatures w14:val="none"/>
        </w:rPr>
      </w:pPr>
      <w:r w:rsidRPr="00A76FCD">
        <w:rPr>
          <w:rFonts w:ascii="Verdana" w:hAnsi="Verdana" w:eastAsia="DejaVu Sans" w:cs="Lohit Hindi"/>
          <w:color w:val="000000"/>
          <w:kern w:val="0"/>
          <w:sz w:val="18"/>
          <w:szCs w:val="18"/>
          <w:lang w:eastAsia="nl-NL"/>
          <w14:ligatures w14:val="none"/>
        </w:rPr>
        <w:t>€200 miljoen</w:t>
      </w:r>
      <w:r w:rsidRPr="00A76FCD" w:rsidR="00AB710F">
        <w:rPr>
          <w:rFonts w:ascii="Verdana" w:hAnsi="Verdana" w:eastAsia="DejaVu Sans" w:cs="Lohit Hindi"/>
          <w:color w:val="000000"/>
          <w:kern w:val="0"/>
          <w:sz w:val="18"/>
          <w:szCs w:val="18"/>
          <w:lang w:eastAsia="nl-NL"/>
          <w14:ligatures w14:val="none"/>
        </w:rPr>
        <w:t xml:space="preserve"> </w:t>
      </w:r>
      <w:r w:rsidRPr="00A76FCD">
        <w:rPr>
          <w:rFonts w:ascii="Verdana" w:hAnsi="Verdana" w:eastAsia="DejaVu Sans" w:cs="Lohit Hindi"/>
          <w:color w:val="000000"/>
          <w:kern w:val="0"/>
          <w:sz w:val="18"/>
          <w:szCs w:val="18"/>
          <w:lang w:eastAsia="nl-NL"/>
          <w14:ligatures w14:val="none"/>
        </w:rPr>
        <w:t xml:space="preserve">verzorgd door de Staat. </w:t>
      </w:r>
    </w:p>
    <w:p w:rsidRPr="00A76FCD" w:rsidR="00E11BE3" w:rsidP="008E3029" w:rsidRDefault="00AB710F" w14:paraId="1D7A34F3" w14:textId="77777777">
      <w:pPr>
        <w:ind w:left="1068"/>
        <w:jc w:val="both"/>
      </w:pPr>
      <w:r w:rsidRPr="00A76FCD">
        <w:t xml:space="preserve">Met het oog op de uiteindelijke beëindiging van de garantie is de bijdrage van de Staat in de loop der jaren stapsgewijs verminderd en overgedragen aan internationale herverzekeraars: van </w:t>
      </w:r>
      <w:r w:rsidRPr="00A76FCD" w:rsidR="00011F27">
        <w:t>€</w:t>
      </w:r>
      <w:r w:rsidRPr="00A76FCD">
        <w:t xml:space="preserve">200 miljoen, naar </w:t>
      </w:r>
      <w:r w:rsidRPr="00A76FCD" w:rsidR="00011F27">
        <w:t>€</w:t>
      </w:r>
      <w:r w:rsidRPr="00A76FCD">
        <w:t xml:space="preserve">100 miljoen in 2005 en vervolgens naar </w:t>
      </w:r>
      <w:r w:rsidRPr="00A76FCD" w:rsidR="00011F27">
        <w:t>€</w:t>
      </w:r>
      <w:r w:rsidRPr="00A76FCD">
        <w:t>50 miljoen in 2006.</w:t>
      </w:r>
      <w:r w:rsidR="00FE4F51">
        <w:t xml:space="preserve"> </w:t>
      </w:r>
      <w:r w:rsidRPr="00A76FCD" w:rsidR="00E11BE3">
        <w:t xml:space="preserve">Op dit moment is de dekking </w:t>
      </w:r>
      <w:r w:rsidRPr="00A76FCD" w:rsidR="00EA2606">
        <w:t xml:space="preserve">dan ook </w:t>
      </w:r>
      <w:r w:rsidRPr="00A76FCD" w:rsidR="00E11BE3">
        <w:t>ingedeeld in de volgende 3 lagen:</w:t>
      </w:r>
    </w:p>
    <w:p w:rsidRPr="00A76FCD" w:rsidR="00AB710F" w:rsidP="008E3029" w:rsidRDefault="00AB710F" w14:paraId="744E0965" w14:textId="77777777">
      <w:pPr>
        <w:pStyle w:val="Lijstalinea"/>
        <w:numPr>
          <w:ilvl w:val="0"/>
          <w:numId w:val="15"/>
        </w:numPr>
        <w:jc w:val="both"/>
        <w:rPr>
          <w:rFonts w:ascii="Verdana" w:hAnsi="Verdana" w:eastAsia="DejaVu Sans" w:cs="Lohit Hindi"/>
          <w:color w:val="000000"/>
          <w:kern w:val="0"/>
          <w:sz w:val="18"/>
          <w:szCs w:val="18"/>
          <w:lang w:eastAsia="nl-NL"/>
          <w14:ligatures w14:val="none"/>
        </w:rPr>
      </w:pPr>
      <w:r w:rsidRPr="00A76FCD">
        <w:rPr>
          <w:rFonts w:ascii="Verdana" w:hAnsi="Verdana" w:eastAsia="DejaVu Sans" w:cs="Lohit Hindi"/>
          <w:color w:val="000000"/>
          <w:kern w:val="0"/>
          <w:sz w:val="18"/>
          <w:szCs w:val="18"/>
          <w:lang w:eastAsia="nl-NL"/>
          <w14:ligatures w14:val="none"/>
        </w:rPr>
        <w:t xml:space="preserve">€400 miljoen, verzorgd door Nederlandse verzekeraars; </w:t>
      </w:r>
    </w:p>
    <w:p w:rsidRPr="00A76FCD" w:rsidR="00AB710F" w:rsidP="008E3029" w:rsidRDefault="00AB710F" w14:paraId="70CB4D97" w14:textId="77777777">
      <w:pPr>
        <w:pStyle w:val="Lijstalinea"/>
        <w:numPr>
          <w:ilvl w:val="0"/>
          <w:numId w:val="15"/>
        </w:numPr>
        <w:jc w:val="both"/>
        <w:rPr>
          <w:rFonts w:ascii="Verdana" w:hAnsi="Verdana" w:eastAsia="DejaVu Sans" w:cs="Lohit Hindi"/>
          <w:color w:val="000000"/>
          <w:kern w:val="0"/>
          <w:sz w:val="18"/>
          <w:szCs w:val="18"/>
          <w:lang w:eastAsia="nl-NL"/>
          <w14:ligatures w14:val="none"/>
        </w:rPr>
      </w:pPr>
      <w:r w:rsidRPr="00A76FCD">
        <w:rPr>
          <w:rFonts w:ascii="Verdana" w:hAnsi="Verdana" w:eastAsia="DejaVu Sans" w:cs="Lohit Hindi"/>
          <w:color w:val="000000"/>
          <w:kern w:val="0"/>
          <w:sz w:val="18"/>
          <w:szCs w:val="18"/>
          <w:lang w:eastAsia="nl-NL"/>
          <w14:ligatures w14:val="none"/>
        </w:rPr>
        <w:t>€550 miljoen, verzorgd door internationale herverzekeraars; en</w:t>
      </w:r>
    </w:p>
    <w:p w:rsidRPr="00A76FCD" w:rsidR="00EA2606" w:rsidP="00FB14AA" w:rsidRDefault="00AB710F" w14:paraId="426C9B42" w14:textId="77777777">
      <w:pPr>
        <w:pStyle w:val="Lijstalinea"/>
        <w:numPr>
          <w:ilvl w:val="0"/>
          <w:numId w:val="15"/>
        </w:numPr>
        <w:jc w:val="both"/>
        <w:rPr>
          <w:rFonts w:ascii="Verdana" w:hAnsi="Verdana" w:eastAsia="DejaVu Sans" w:cs="Lohit Hindi"/>
          <w:color w:val="000000"/>
          <w:kern w:val="0"/>
          <w:sz w:val="18"/>
          <w:szCs w:val="18"/>
          <w:lang w:eastAsia="nl-NL"/>
          <w14:ligatures w14:val="none"/>
        </w:rPr>
      </w:pPr>
      <w:r w:rsidRPr="00A76FCD">
        <w:rPr>
          <w:rFonts w:ascii="Verdana" w:hAnsi="Verdana" w:eastAsia="DejaVu Sans" w:cs="Lohit Hindi"/>
          <w:color w:val="000000"/>
          <w:kern w:val="0"/>
          <w:sz w:val="18"/>
          <w:szCs w:val="18"/>
          <w:lang w:eastAsia="nl-NL"/>
          <w14:ligatures w14:val="none"/>
        </w:rPr>
        <w:t xml:space="preserve">€50 miljoen verzorgd door de Staat. </w:t>
      </w:r>
    </w:p>
    <w:p w:rsidRPr="00A76FCD" w:rsidR="007E3D44" w:rsidP="008E3029" w:rsidRDefault="00C24C65" w14:paraId="5B8D0120" w14:textId="77777777">
      <w:pPr>
        <w:ind w:left="1068"/>
        <w:jc w:val="both"/>
      </w:pPr>
      <w:r w:rsidRPr="00A76FCD">
        <w:t xml:space="preserve">De NHT </w:t>
      </w:r>
      <w:r w:rsidR="00FE4F51">
        <w:t>keert</w:t>
      </w:r>
      <w:r w:rsidRPr="00A76FCD" w:rsidR="00FE4F51">
        <w:t xml:space="preserve"> </w:t>
      </w:r>
      <w:r w:rsidRPr="00A76FCD">
        <w:t>niet meer aan verzekeraars uit</w:t>
      </w:r>
      <w:r w:rsidR="00FE4F51">
        <w:t xml:space="preserve"> </w:t>
      </w:r>
      <w:r w:rsidRPr="00A76FCD">
        <w:t xml:space="preserve">dan de jaarlijks beschikbare capaciteit van €1 miljard. </w:t>
      </w:r>
      <w:r w:rsidRPr="00A76FCD" w:rsidR="00EA2606">
        <w:t>Deze lagen kennen een opbouw in senioriteit, wat betekend dat de 1</w:t>
      </w:r>
      <w:r w:rsidRPr="00A76FCD" w:rsidR="00EA2606">
        <w:rPr>
          <w:vertAlign w:val="superscript"/>
        </w:rPr>
        <w:t>e</w:t>
      </w:r>
      <w:r w:rsidRPr="00A76FCD" w:rsidR="00EA2606">
        <w:t xml:space="preserve"> laag eerst volledig wordt benut, daarna de 2</w:t>
      </w:r>
      <w:r w:rsidRPr="00A76FCD" w:rsidR="00EA2606">
        <w:rPr>
          <w:vertAlign w:val="superscript"/>
        </w:rPr>
        <w:t>e</w:t>
      </w:r>
      <w:r w:rsidRPr="00A76FCD" w:rsidR="00EA2606">
        <w:t xml:space="preserve"> laag wordt aangesproken en tot slot de 3</w:t>
      </w:r>
      <w:r w:rsidRPr="00A76FCD" w:rsidR="00EA2606">
        <w:rPr>
          <w:vertAlign w:val="superscript"/>
        </w:rPr>
        <w:t>e</w:t>
      </w:r>
      <w:r w:rsidRPr="00A76FCD" w:rsidR="00EA2606">
        <w:t xml:space="preserve"> laag. </w:t>
      </w:r>
      <w:r w:rsidRPr="00A76FCD" w:rsidR="00E11BE3">
        <w:t xml:space="preserve">Als er een gebeurtenis plaatsvindt </w:t>
      </w:r>
      <w:r w:rsidRPr="00A76FCD" w:rsidR="004D06FB">
        <w:t>waarbij</w:t>
      </w:r>
      <w:r w:rsidRPr="00A76FCD" w:rsidR="00E11BE3">
        <w:t xml:space="preserve"> een beroep wordt gedaan op de NHT, worden </w:t>
      </w:r>
      <w:r w:rsidRPr="00A76FCD" w:rsidR="00EA2606">
        <w:t xml:space="preserve">dus </w:t>
      </w:r>
      <w:r w:rsidRPr="00A76FCD" w:rsidR="00E11BE3">
        <w:t xml:space="preserve">eerst de eerste twee tranches van in totaal €950 miljoen uitgekeerd. Pas nadat deze volledig zijn benut, kan aanspraak worden gemaakt op het senior risicodeel van €50 miljoen van de Staat. </w:t>
      </w:r>
    </w:p>
    <w:p w:rsidRPr="00A76FCD" w:rsidR="006B0BCB" w:rsidP="008E3029" w:rsidRDefault="006B0BCB" w14:paraId="4B7113C6" w14:textId="77777777">
      <w:pPr>
        <w:ind w:left="1068"/>
        <w:jc w:val="both"/>
      </w:pPr>
    </w:p>
    <w:p w:rsidR="006B0BCB" w:rsidP="009E2138" w:rsidRDefault="006B0BCB" w14:paraId="4C106307" w14:textId="77777777">
      <w:pPr>
        <w:ind w:left="1068"/>
        <w:jc w:val="both"/>
      </w:pPr>
      <w:r w:rsidRPr="00A76FCD">
        <w:t xml:space="preserve">De NHT hanteert een marktfranchise van €7,5 miljoen per jaar, </w:t>
      </w:r>
      <w:r w:rsidRPr="00A76FCD" w:rsidR="00F77D7E">
        <w:t>welke</w:t>
      </w:r>
      <w:r w:rsidRPr="00A76FCD">
        <w:t xml:space="preserve"> geldt voor alle verzekeraars gezamenlijk. Zolang de totale geclaimde schade onder dit bedrag blijft, zijn de verzekeraars volledig zelf verantwoordelijk voor de uitkering van schadevergoedingen. Pas wanneer de totale schadeclaims dit drempelbedrag overschrijden, treedt de NHT in werking en worden schadevergoedingen via de NHT uitgekeerd. </w:t>
      </w:r>
    </w:p>
    <w:p w:rsidRPr="00A76FCD" w:rsidR="00654B0F" w:rsidP="008E3029" w:rsidRDefault="00654B0F" w14:paraId="2BB3E40D" w14:textId="77777777">
      <w:pPr>
        <w:ind w:left="1132"/>
        <w:jc w:val="both"/>
      </w:pPr>
    </w:p>
    <w:p w:rsidRPr="00A76FCD" w:rsidR="00AB710F" w:rsidP="008E3029" w:rsidRDefault="00AB710F" w14:paraId="2F409EC4" w14:textId="77777777">
      <w:pPr>
        <w:jc w:val="both"/>
      </w:pPr>
    </w:p>
    <w:p w:rsidRPr="00A76FCD" w:rsidR="005A03D1" w:rsidP="008E3029" w:rsidRDefault="002370AA" w14:paraId="5D178916" w14:textId="77777777">
      <w:pPr>
        <w:pStyle w:val="Lijstniveau1"/>
        <w:jc w:val="both"/>
        <w:rPr>
          <w:b/>
          <w:bCs/>
        </w:rPr>
      </w:pPr>
      <w:r w:rsidRPr="00A76FCD">
        <w:rPr>
          <w:b/>
          <w:bCs/>
        </w:rPr>
        <w:t>Verzekerbaarheid van terrorismeschade</w:t>
      </w:r>
    </w:p>
    <w:p w:rsidRPr="00A76FCD" w:rsidR="00534B73" w:rsidP="008E3029" w:rsidRDefault="0030695E" w14:paraId="6AF3008F" w14:textId="77777777">
      <w:pPr>
        <w:pStyle w:val="Lijstniveau2"/>
        <w:jc w:val="both"/>
        <w:rPr>
          <w:b/>
          <w:bCs/>
        </w:rPr>
      </w:pPr>
      <w:r w:rsidRPr="00A76FCD">
        <w:rPr>
          <w:b/>
          <w:bCs/>
        </w:rPr>
        <w:t>Voorwaarden voor de verzekerbaarheid van terrorismeschade en de rol van de verzekeringsmarkt</w:t>
      </w:r>
    </w:p>
    <w:p w:rsidRPr="00A76FCD" w:rsidR="008303E8" w:rsidP="008E3029" w:rsidRDefault="002C06A9" w14:paraId="0769598D" w14:textId="77777777">
      <w:pPr>
        <w:pStyle w:val="Lijstniveau2"/>
        <w:numPr>
          <w:ilvl w:val="0"/>
          <w:numId w:val="0"/>
        </w:numPr>
        <w:ind w:left="1132"/>
        <w:jc w:val="both"/>
      </w:pPr>
      <w:r w:rsidRPr="00A76FCD">
        <w:t>Verzekerbaarheid</w:t>
      </w:r>
      <w:r w:rsidRPr="00A76FCD" w:rsidR="00534B73">
        <w:t xml:space="preserve"> </w:t>
      </w:r>
      <w:r w:rsidRPr="00A76FCD">
        <w:t>van</w:t>
      </w:r>
      <w:r w:rsidRPr="00A76FCD" w:rsidR="00011F27">
        <w:t xml:space="preserve"> te</w:t>
      </w:r>
      <w:r w:rsidRPr="00A76FCD">
        <w:t>rr</w:t>
      </w:r>
      <w:r w:rsidRPr="00A76FCD" w:rsidR="00011F27">
        <w:t xml:space="preserve">orismeschade wordt grotendeels bepaald door het terrorismerisico en de beschikbare capaciteit op de (her)verzekeringsmarkt. </w:t>
      </w:r>
      <w:r w:rsidRPr="00A76FCD" w:rsidR="008303E8">
        <w:t xml:space="preserve">Het </w:t>
      </w:r>
      <w:r w:rsidRPr="00A76FCD">
        <w:t xml:space="preserve">terrorismerisico </w:t>
      </w:r>
      <w:r w:rsidRPr="00A76FCD" w:rsidR="008303E8">
        <w:t xml:space="preserve">verschilt op belangrijke punten van andere risico’s zoals </w:t>
      </w:r>
      <w:r w:rsidRPr="00A76FCD" w:rsidR="00B85043">
        <w:t xml:space="preserve">bijvoorbeeld </w:t>
      </w:r>
      <w:r w:rsidRPr="00A76FCD" w:rsidR="008303E8">
        <w:t xml:space="preserve">storm of hagel. Natuurrisico’s komen regelmatig voor en er bestaan betrouwbare statistieken over de kans </w:t>
      </w:r>
      <w:r w:rsidRPr="00A76FCD" w:rsidR="00011F27">
        <w:t>op</w:t>
      </w:r>
      <w:r w:rsidRPr="00A76FCD" w:rsidR="008303E8">
        <w:t xml:space="preserve"> verwachte schade. Op basis daarvan kunnen verzekeraars deze risico’s inschatten en passende premies vaststellen. Bij het terrorismerisico is dat veel moeilijker. Aanslagen zijn zeldzaam, onvoorspelbaar en afhankelijk van politieke </w:t>
      </w:r>
      <w:r w:rsidRPr="00A76FCD" w:rsidR="00F77D7E">
        <w:t>of</w:t>
      </w:r>
      <w:r w:rsidRPr="00A76FCD" w:rsidR="008303E8">
        <w:t xml:space="preserve"> maatschappelijke omstandigheden. </w:t>
      </w:r>
      <w:r w:rsidRPr="00A76FCD" w:rsidR="00F77D7E">
        <w:t>Daarnaast is het lastig te voorspellen wat de schade is die een terroristische aanslag kan veroorzaken</w:t>
      </w:r>
      <w:r w:rsidRPr="00A76FCD" w:rsidR="00E922E1">
        <w:t xml:space="preserve"> en </w:t>
      </w:r>
      <w:r w:rsidRPr="00A76FCD" w:rsidR="00DF680A">
        <w:t>is het moeilijk om het risico te spreiden.</w:t>
      </w:r>
      <w:r w:rsidRPr="00A76FCD" w:rsidR="001B438D">
        <w:rPr>
          <w:rStyle w:val="Voetnootmarkering"/>
        </w:rPr>
        <w:footnoteReference w:id="11"/>
      </w:r>
      <w:r w:rsidRPr="00A76FCD" w:rsidR="00DF680A">
        <w:t xml:space="preserve"> </w:t>
      </w:r>
      <w:r w:rsidRPr="00A76FCD">
        <w:t>De mogelijkheid dat m</w:t>
      </w:r>
      <w:r w:rsidRPr="00A76FCD" w:rsidR="00011F27">
        <w:t>eerdere aanslagen kort na elkaar</w:t>
      </w:r>
      <w:r w:rsidRPr="00A76FCD">
        <w:t xml:space="preserve"> plaatsvinden, </w:t>
      </w:r>
      <w:r w:rsidRPr="00A76FCD" w:rsidR="00DF680A">
        <w:t>kan</w:t>
      </w:r>
      <w:r w:rsidRPr="00A76FCD">
        <w:t xml:space="preserve"> voor de verzekeraars</w:t>
      </w:r>
      <w:r w:rsidRPr="00A76FCD" w:rsidR="00DF680A">
        <w:t xml:space="preserve"> leiden tot een opeenstapeling van zeer hoge schadeclaims in korte tijd.</w:t>
      </w:r>
      <w:r w:rsidRPr="00A76FCD" w:rsidR="00E922E1">
        <w:t xml:space="preserve"> </w:t>
      </w:r>
      <w:r w:rsidRPr="00A76FCD" w:rsidR="00DF680A">
        <w:t xml:space="preserve">Tot slot zijn het vaak maar een paar grote herverzekeraars die dit soort risico’s willen dekken. </w:t>
      </w:r>
      <w:r w:rsidRPr="00A76FCD" w:rsidR="00E922E1">
        <w:t>D</w:t>
      </w:r>
      <w:r w:rsidRPr="00A76FCD" w:rsidR="00DF680A">
        <w:t>e beschikbare</w:t>
      </w:r>
      <w:r w:rsidRPr="00A76FCD">
        <w:t xml:space="preserve"> </w:t>
      </w:r>
      <w:r w:rsidRPr="00A76FCD" w:rsidR="00DF680A">
        <w:t xml:space="preserve">herverzekeringscapaciteit </w:t>
      </w:r>
      <w:r w:rsidRPr="00A76FCD" w:rsidR="00E922E1">
        <w:t xml:space="preserve">is hierdoor </w:t>
      </w:r>
      <w:r w:rsidRPr="00A76FCD" w:rsidR="00011F27">
        <w:t>b</w:t>
      </w:r>
      <w:r w:rsidRPr="00A76FCD" w:rsidR="00DF680A">
        <w:t>eperkt.</w:t>
      </w:r>
      <w:r w:rsidRPr="00A76FCD" w:rsidR="00DF680A">
        <w:rPr>
          <w:vertAlign w:val="superscript"/>
        </w:rPr>
        <w:t xml:space="preserve"> </w:t>
      </w:r>
      <w:r w:rsidRPr="00A76FCD" w:rsidR="00DF680A">
        <w:rPr>
          <w:vertAlign w:val="superscript"/>
        </w:rPr>
        <w:footnoteReference w:id="12"/>
      </w:r>
    </w:p>
    <w:p w:rsidRPr="00A76FCD" w:rsidR="00011F27" w:rsidP="008E3029" w:rsidRDefault="00011F27" w14:paraId="6F9D2367" w14:textId="77777777">
      <w:pPr>
        <w:ind w:left="1132"/>
        <w:jc w:val="both"/>
        <w:rPr>
          <w:vertAlign w:val="superscript"/>
        </w:rPr>
      </w:pPr>
    </w:p>
    <w:p w:rsidRPr="00A76FCD" w:rsidR="00011F27" w:rsidP="008E3029" w:rsidRDefault="00011F27" w14:paraId="7A64148F" w14:textId="77777777">
      <w:pPr>
        <w:ind w:left="1132"/>
        <w:jc w:val="both"/>
      </w:pPr>
      <w:r w:rsidRPr="00A76FCD">
        <w:t>Tot 2001 stond terrorisme te boek als klein molest en was terrorismeschade een verzekerbaar risico.</w:t>
      </w:r>
      <w:r w:rsidRPr="00A76FCD" w:rsidR="002C06A9">
        <w:t xml:space="preserve"> Na 9/11 werd het risico door de verzekeraars als onverzekerbaar bestempeld.</w:t>
      </w:r>
      <w:r w:rsidRPr="00A76FCD">
        <w:t xml:space="preserve"> In de huidige situatie wordt terrorismeschade alleen gedekt als het de achterliggende oorzaak is van een gedekte gebeurtenis. </w:t>
      </w:r>
      <w:r w:rsidRPr="00A76FCD" w:rsidR="00047351">
        <w:t>Bijvoorbeeld, schade</w:t>
      </w:r>
      <w:r w:rsidRPr="00A76FCD">
        <w:t xml:space="preserve"> aan een huis door brand is gedekt op een brandverzekering. Indien de brand is veroorzaakt door terrorisme dan is dit gedekt bij de NHT. De NHT hanteert een strakke definitie van terrorisme. Behalve dat het een geweldsdaad moet zijn waardoor verzekeringnemers van de NHT zijn geraakt, moet de daad met een bepaald oogmerk gepleegd zijn. De NHT onderzoekt </w:t>
      </w:r>
      <w:r w:rsidR="009E2138">
        <w:t xml:space="preserve">periodiek </w:t>
      </w:r>
      <w:r w:rsidRPr="00A76FCD">
        <w:t>of de terrorismedefinitie nog sluitend is. Zo wordt onderzocht of bijvoorbeeld ook cyberaanvallen moeten worden inbegrepen.</w:t>
      </w:r>
    </w:p>
    <w:p w:rsidRPr="00A76FCD" w:rsidR="00DB475B" w:rsidP="008E3029" w:rsidRDefault="00DB475B" w14:paraId="6C75B2C0" w14:textId="77777777">
      <w:pPr>
        <w:pStyle w:val="Lijstniveau2"/>
        <w:numPr>
          <w:ilvl w:val="0"/>
          <w:numId w:val="0"/>
        </w:numPr>
        <w:jc w:val="both"/>
      </w:pPr>
    </w:p>
    <w:p w:rsidRPr="00A76FCD" w:rsidR="004D06FB" w:rsidP="008E3029" w:rsidRDefault="004D06FB" w14:paraId="7A5752E0" w14:textId="77777777">
      <w:pPr>
        <w:pStyle w:val="Lijstniveau2"/>
        <w:jc w:val="both"/>
        <w:rPr>
          <w:b/>
          <w:bCs/>
        </w:rPr>
      </w:pPr>
      <w:r w:rsidRPr="00A76FCD">
        <w:rPr>
          <w:b/>
          <w:bCs/>
        </w:rPr>
        <w:t>H</w:t>
      </w:r>
      <w:r w:rsidRPr="00A76FCD" w:rsidR="00646FF7">
        <w:rPr>
          <w:b/>
          <w:bCs/>
        </w:rPr>
        <w:t>et dreigingsniveau in Nederland</w:t>
      </w:r>
    </w:p>
    <w:p w:rsidRPr="00A76FCD" w:rsidR="005E7264" w:rsidP="008E3029" w:rsidRDefault="00A721E1" w14:paraId="03136792" w14:textId="77777777">
      <w:pPr>
        <w:pStyle w:val="Lijstniveau2"/>
        <w:numPr>
          <w:ilvl w:val="0"/>
          <w:numId w:val="0"/>
        </w:numPr>
        <w:ind w:left="1132"/>
        <w:jc w:val="both"/>
      </w:pPr>
      <w:r w:rsidRPr="00A76FCD">
        <w:t xml:space="preserve">Het actueel dreigingsniveau van de </w:t>
      </w:r>
      <w:r w:rsidRPr="00A76FCD" w:rsidR="00DB475B">
        <w:t xml:space="preserve">Nationaal Coördinator Terrorismebestrijding en Veiligheid Nationaal (NCTV) </w:t>
      </w:r>
      <w:r w:rsidRPr="00A76FCD">
        <w:t>is in</w:t>
      </w:r>
      <w:r w:rsidRPr="00A76FCD" w:rsidR="00DB475B">
        <w:t xml:space="preserve"> d</w:t>
      </w:r>
      <w:r w:rsidRPr="00A76FCD">
        <w:t>ecember 2023 gestegen van ‘aanzienlijk’ naar ‘substantieel’</w:t>
      </w:r>
      <w:r w:rsidRPr="00A76FCD" w:rsidR="00DB475B">
        <w:t xml:space="preserve"> (dreigingsniveau 4)</w:t>
      </w:r>
      <w:r w:rsidRPr="00A76FCD">
        <w:t xml:space="preserve">. </w:t>
      </w:r>
      <w:r w:rsidRPr="00A76FCD" w:rsidR="00DB475B">
        <w:t>In december 2024 heeft de NCTV bevestigd dat dit dreigingsniveau nog steeds actueel is en dit betekent dat er een reële kans is dat een aanslag in Nederland zal plaatsvinden.</w:t>
      </w:r>
      <w:r w:rsidRPr="00A76FCD" w:rsidR="004D06FB">
        <w:t xml:space="preserve"> </w:t>
      </w:r>
      <w:r w:rsidRPr="00A76FCD" w:rsidR="00D205F5">
        <w:t xml:space="preserve">Het risico op een aanslag is daarmee t.o.v. de laatste evaluatie in 2019 groter geworden. </w:t>
      </w:r>
    </w:p>
    <w:p w:rsidRPr="00A76FCD" w:rsidR="005E7264" w:rsidP="008E3029" w:rsidRDefault="005E7264" w14:paraId="1A78F9D3" w14:textId="77777777">
      <w:pPr>
        <w:pStyle w:val="Lijstniveau2"/>
        <w:numPr>
          <w:ilvl w:val="0"/>
          <w:numId w:val="0"/>
        </w:numPr>
        <w:ind w:left="1132"/>
        <w:jc w:val="both"/>
        <w:rPr>
          <w:b/>
          <w:bCs/>
        </w:rPr>
      </w:pPr>
    </w:p>
    <w:p w:rsidRPr="00A76FCD" w:rsidR="00534B73" w:rsidP="008E3029" w:rsidRDefault="00534B73" w14:paraId="2E14C675" w14:textId="77777777">
      <w:pPr>
        <w:pStyle w:val="Lijstniveau2"/>
        <w:jc w:val="both"/>
      </w:pPr>
      <w:r w:rsidRPr="00A76FCD">
        <w:rPr>
          <w:b/>
          <w:bCs/>
        </w:rPr>
        <w:t>Gevolgen voor de samenleving bij het wegvallen van verzekerbaarheid van terrorismeschade</w:t>
      </w:r>
    </w:p>
    <w:p w:rsidRPr="00A76FCD" w:rsidR="005E7264" w:rsidP="008E3029" w:rsidRDefault="00781839" w14:paraId="6E0E46D3" w14:textId="77777777">
      <w:pPr>
        <w:pStyle w:val="Lijstniveau2"/>
        <w:numPr>
          <w:ilvl w:val="0"/>
          <w:numId w:val="0"/>
        </w:numPr>
        <w:ind w:left="1132"/>
        <w:jc w:val="both"/>
      </w:pPr>
      <w:r w:rsidRPr="00A76FCD">
        <w:t xml:space="preserve">In de nasleep van 9/11 werd </w:t>
      </w:r>
      <w:r w:rsidRPr="00A76FCD" w:rsidR="002C06A9">
        <w:t>terrorismeschade uitgesloten van bepaalde polissen door de verzekeraars</w:t>
      </w:r>
      <w:r w:rsidRPr="00A76FCD" w:rsidR="005E7264">
        <w:t xml:space="preserve">. </w:t>
      </w:r>
      <w:r w:rsidRPr="00A76FCD" w:rsidR="008303E8">
        <w:t>H</w:t>
      </w:r>
      <w:r w:rsidRPr="00A76FCD" w:rsidR="005E7264">
        <w:t>et Verbond van Verzekeraars nam</w:t>
      </w:r>
      <w:r w:rsidRPr="00A76FCD" w:rsidR="008303E8">
        <w:t xml:space="preserve"> destijds</w:t>
      </w:r>
      <w:r w:rsidRPr="00A76FCD" w:rsidR="005E7264">
        <w:t xml:space="preserve"> het initiatief voor een verzekeringsoplossing</w:t>
      </w:r>
      <w:r w:rsidRPr="00A76FCD" w:rsidR="007368E2">
        <w:t xml:space="preserve"> in de vorm van de NHT</w:t>
      </w:r>
      <w:r w:rsidRPr="00A76FCD" w:rsidR="005E7264">
        <w:t xml:space="preserve">. </w:t>
      </w:r>
      <w:r w:rsidRPr="00A76FCD" w:rsidR="002C06A9">
        <w:t xml:space="preserve">Een gevolg van onverzekerbaarheid is dat individuen of bedrijven niet in staat zijn om zich financieel te beschermen tegen bepaalde risico's. Dit kan leiden tot aanzienlijke financiële gevolgen voor de </w:t>
      </w:r>
      <w:r w:rsidRPr="00A76FCD" w:rsidR="00E922E1">
        <w:t>benadeelden</w:t>
      </w:r>
      <w:r w:rsidRPr="00A76FCD" w:rsidR="002C06A9">
        <w:t xml:space="preserve">, omdat zij de kosten van schade zelf moeten dragen. </w:t>
      </w:r>
      <w:r w:rsidRPr="00A76FCD" w:rsidR="00BF0476">
        <w:t>Het wegvallen van de verzekerbaarheid van terrorismeschade zou de samenleving dus aanzienlijk nadelig kunnen beïnvloeden en d</w:t>
      </w:r>
      <w:r w:rsidRPr="00A76FCD" w:rsidR="002C06A9">
        <w:t xml:space="preserve">aarnaast </w:t>
      </w:r>
      <w:r w:rsidR="00FE4F51">
        <w:lastRenderedPageBreak/>
        <w:t>is</w:t>
      </w:r>
      <w:r w:rsidRPr="00A76FCD" w:rsidR="00FE4F51">
        <w:t xml:space="preserve"> </w:t>
      </w:r>
      <w:r w:rsidRPr="00A76FCD" w:rsidR="002C06A9">
        <w:t>het, vanuit het oogpunt van consumentenbescherming, ongewenst als burgers schade door terrorisme nergens kunnen verhalen</w:t>
      </w:r>
      <w:r w:rsidRPr="00A76FCD" w:rsidR="00BF0476">
        <w:t>.</w:t>
      </w:r>
    </w:p>
    <w:p w:rsidRPr="00A76FCD" w:rsidR="005A03D1" w:rsidP="008E3029" w:rsidRDefault="005A03D1" w14:paraId="34C00211" w14:textId="77777777">
      <w:pPr>
        <w:jc w:val="both"/>
      </w:pPr>
    </w:p>
    <w:p w:rsidRPr="00A76FCD" w:rsidR="00AF741E" w:rsidP="008E3029" w:rsidRDefault="0030695E" w14:paraId="451C11EE" w14:textId="77777777">
      <w:pPr>
        <w:pStyle w:val="Lijstniveau1"/>
        <w:jc w:val="both"/>
        <w:rPr>
          <w:b/>
          <w:bCs/>
        </w:rPr>
      </w:pPr>
      <w:r w:rsidRPr="00A76FCD">
        <w:rPr>
          <w:b/>
          <w:bCs/>
        </w:rPr>
        <w:t>Verzekerbaarheid zonder de NHT</w:t>
      </w:r>
    </w:p>
    <w:p w:rsidRPr="00A76FCD" w:rsidR="0022455E" w:rsidP="008E3029" w:rsidRDefault="00534B73" w14:paraId="60E8A370" w14:textId="77777777">
      <w:pPr>
        <w:pStyle w:val="Lijstniveau2"/>
        <w:jc w:val="both"/>
      </w:pPr>
      <w:r w:rsidRPr="00A76FCD">
        <w:rPr>
          <w:b/>
          <w:bCs/>
        </w:rPr>
        <w:t xml:space="preserve">De mogelijkheid voor verzekeraars om terrorismeschade zelfstandig te dekken </w:t>
      </w:r>
    </w:p>
    <w:p w:rsidRPr="00A76FCD" w:rsidR="00624368" w:rsidP="0022455E" w:rsidRDefault="00624368" w14:paraId="57D2E092" w14:textId="77777777">
      <w:pPr>
        <w:pStyle w:val="Lijstniveau2"/>
        <w:numPr>
          <w:ilvl w:val="0"/>
          <w:numId w:val="0"/>
        </w:numPr>
        <w:ind w:left="1132"/>
        <w:jc w:val="both"/>
      </w:pPr>
      <w:r w:rsidRPr="00A76FCD">
        <w:t xml:space="preserve">Een terugkeer naar de situatie van vóór 9/11, toen verzekeraars zelf verantwoordelijk waren voor de dekking, lijkt niet haalbaar vanwege de moeilijk voorspelbare risico’s en de beperkte capaciteit op de herverzekeringsmarkt. Om de schade onder deze omstandigheden zelf te kunnen dekken, zouden verzekeraars </w:t>
      </w:r>
      <w:r w:rsidR="00FE4F51">
        <w:t>(</w:t>
      </w:r>
      <w:r w:rsidRPr="00A76FCD">
        <w:t>extreem</w:t>
      </w:r>
      <w:r w:rsidR="00FE4F51">
        <w:t>)</w:t>
      </w:r>
      <w:r w:rsidRPr="00A76FCD">
        <w:t xml:space="preserve"> hoge premies moeten rekenen om zich voor te bereiden op mogelijke financiële schokken. </w:t>
      </w:r>
      <w:r w:rsidRPr="00A76FCD" w:rsidR="005A075C">
        <w:t xml:space="preserve">Een </w:t>
      </w:r>
      <w:r w:rsidRPr="00A76FCD" w:rsidR="00BF0476">
        <w:t xml:space="preserve">poolingsconstructie, </w:t>
      </w:r>
      <w:r w:rsidRPr="00A76FCD" w:rsidR="005A075C">
        <w:t xml:space="preserve">zoals de </w:t>
      </w:r>
      <w:r w:rsidRPr="00A76FCD" w:rsidR="00047351">
        <w:t>NHT, is</w:t>
      </w:r>
      <w:r w:rsidRPr="00A76FCD" w:rsidR="005A075C">
        <w:t xml:space="preserve"> daarmee een passend alternatief </w:t>
      </w:r>
      <w:r w:rsidRPr="00A76FCD" w:rsidR="0022455E">
        <w:t>voor</w:t>
      </w:r>
      <w:r w:rsidRPr="00A76FCD" w:rsidR="005A075C">
        <w:t xml:space="preserve"> het probleem dat verzekeraars het terrorismerisico niet zelfstandig kunnen dekken. </w:t>
      </w:r>
    </w:p>
    <w:p w:rsidRPr="00A76FCD" w:rsidR="00601FD2" w:rsidP="008E3029" w:rsidRDefault="00601FD2" w14:paraId="4FFE158F" w14:textId="77777777">
      <w:pPr>
        <w:pStyle w:val="Lijstniveau2"/>
        <w:numPr>
          <w:ilvl w:val="0"/>
          <w:numId w:val="0"/>
        </w:numPr>
        <w:jc w:val="both"/>
        <w:rPr>
          <w:b/>
          <w:bCs/>
        </w:rPr>
      </w:pPr>
    </w:p>
    <w:p w:rsidRPr="00A76FCD" w:rsidR="00534B73" w:rsidP="008E3029" w:rsidRDefault="00534B73" w14:paraId="618DE497" w14:textId="77777777">
      <w:pPr>
        <w:pStyle w:val="Lijstniveau2"/>
        <w:jc w:val="both"/>
        <w:rPr>
          <w:b/>
          <w:bCs/>
        </w:rPr>
      </w:pPr>
      <w:r w:rsidRPr="00A76FCD">
        <w:rPr>
          <w:b/>
          <w:bCs/>
        </w:rPr>
        <w:t>Gevolgen voor de samenleving bij het wegvallen van verzekerbaarheid middels de NHT</w:t>
      </w:r>
    </w:p>
    <w:p w:rsidRPr="00A76FCD" w:rsidR="00601FD2" w:rsidP="008E3029" w:rsidRDefault="00AF28E5" w14:paraId="1B87664D" w14:textId="77777777">
      <w:pPr>
        <w:pStyle w:val="Lijstniveau2"/>
        <w:numPr>
          <w:ilvl w:val="0"/>
          <w:numId w:val="0"/>
        </w:numPr>
        <w:ind w:left="1132"/>
        <w:jc w:val="both"/>
      </w:pPr>
      <w:r w:rsidRPr="00A76FCD">
        <w:t>Door de NHT wordt het terrorismerisico gespreid over meerdere partijen</w:t>
      </w:r>
      <w:r w:rsidRPr="00A76FCD" w:rsidR="004A38EA">
        <w:t xml:space="preserve"> in de verzekeringsmarkt</w:t>
      </w:r>
      <w:r w:rsidRPr="00A76FCD">
        <w:t xml:space="preserve">. Dit </w:t>
      </w:r>
      <w:r w:rsidRPr="00A76FCD" w:rsidR="004A38EA">
        <w:t xml:space="preserve">heeft een </w:t>
      </w:r>
      <w:r w:rsidRPr="00A76FCD">
        <w:t xml:space="preserve">neerwaarts effect op de premie en stelt de </w:t>
      </w:r>
      <w:r w:rsidRPr="00A76FCD" w:rsidR="004A38EA">
        <w:t>verzekeraars</w:t>
      </w:r>
      <w:r w:rsidRPr="00A76FCD">
        <w:t xml:space="preserve"> beter in de staat de financiële schok op te vangen die een grootschalige terroristische aanslag kan </w:t>
      </w:r>
      <w:r w:rsidRPr="00A76FCD" w:rsidR="004A38EA">
        <w:t>veroorzaken</w:t>
      </w:r>
      <w:r w:rsidRPr="00A76FCD">
        <w:t xml:space="preserve">. </w:t>
      </w:r>
      <w:r w:rsidRPr="00A76FCD" w:rsidR="00F550AE">
        <w:t xml:space="preserve">Door te poolen, creëren de (her)verzekeraars tezamen een hogere capaciteit terwijl ook gebruik kan worden gemaakt van de efficiëntie en expertise van </w:t>
      </w:r>
      <w:r w:rsidRPr="00A76FCD" w:rsidR="0035122D">
        <w:t>de NHT</w:t>
      </w:r>
      <w:r w:rsidRPr="00A76FCD" w:rsidR="00F550AE">
        <w:t xml:space="preserve">, die </w:t>
      </w:r>
      <w:r w:rsidRPr="00A76FCD" w:rsidR="0035122D">
        <w:t xml:space="preserve">anders </w:t>
      </w:r>
      <w:r w:rsidRPr="00A76FCD" w:rsidR="00F550AE">
        <w:t xml:space="preserve">bij </w:t>
      </w:r>
      <w:r w:rsidRPr="00A76FCD" w:rsidR="0035122D">
        <w:t xml:space="preserve">afhandeling door </w:t>
      </w:r>
      <w:r w:rsidRPr="00A76FCD" w:rsidR="00F550AE">
        <w:t>de</w:t>
      </w:r>
      <w:r w:rsidRPr="00A76FCD" w:rsidR="0035122D">
        <w:t xml:space="preserve"> individuele verzekeraars en</w:t>
      </w:r>
      <w:r w:rsidRPr="00A76FCD" w:rsidR="00F550AE">
        <w:t xml:space="preserve"> overheid minder voorhanden is. </w:t>
      </w:r>
      <w:r w:rsidRPr="00A76FCD" w:rsidR="004A38EA">
        <w:t>B</w:t>
      </w:r>
      <w:r w:rsidRPr="00A76FCD" w:rsidR="00F550AE">
        <w:t xml:space="preserve">ij een terroristische </w:t>
      </w:r>
      <w:r w:rsidRPr="00A76FCD" w:rsidR="004A38EA">
        <w:t>aanslag faciliteert de NHT de afhandeling van claims en</w:t>
      </w:r>
      <w:r w:rsidRPr="00A76FCD" w:rsidR="00F550AE">
        <w:t xml:space="preserve"> uitkeringen door </w:t>
      </w:r>
      <w:r w:rsidRPr="00A76FCD" w:rsidR="004A38EA">
        <w:t>de aangesloten verzekeraars</w:t>
      </w:r>
      <w:r w:rsidRPr="00A76FCD" w:rsidR="003E520E">
        <w:t>,</w:t>
      </w:r>
      <w:r w:rsidRPr="00A76FCD" w:rsidR="00F550AE">
        <w:t xml:space="preserve"> </w:t>
      </w:r>
      <w:r w:rsidRPr="00A76FCD" w:rsidR="004A38EA">
        <w:t>waarbij d</w:t>
      </w:r>
      <w:r w:rsidRPr="00A76FCD" w:rsidR="00F550AE">
        <w:t>e hiermee gemoeide</w:t>
      </w:r>
      <w:r w:rsidRPr="00A76FCD">
        <w:t xml:space="preserve"> kosten</w:t>
      </w:r>
      <w:r w:rsidRPr="00A76FCD" w:rsidR="00F550AE">
        <w:t xml:space="preserve"> </w:t>
      </w:r>
      <w:r w:rsidRPr="00A76FCD" w:rsidR="004A38EA">
        <w:t xml:space="preserve">van de Vereende </w:t>
      </w:r>
      <w:r w:rsidRPr="00A76FCD" w:rsidR="00F550AE">
        <w:t>voor rekening kom</w:t>
      </w:r>
      <w:r w:rsidRPr="00A76FCD">
        <w:t>en</w:t>
      </w:r>
      <w:r w:rsidRPr="00A76FCD" w:rsidR="00F550AE">
        <w:t xml:space="preserve"> van</w:t>
      </w:r>
      <w:r w:rsidRPr="00A76FCD" w:rsidR="004A38EA">
        <w:t xml:space="preserve"> private markt</w:t>
      </w:r>
      <w:r w:rsidRPr="00A76FCD" w:rsidR="00F550AE">
        <w:t>.</w:t>
      </w:r>
      <w:r w:rsidRPr="00A76FCD" w:rsidR="00F550AE">
        <w:rPr>
          <w:rStyle w:val="Voetnootmarkering"/>
        </w:rPr>
        <w:footnoteReference w:id="13"/>
      </w:r>
      <w:r w:rsidRPr="00A76FCD" w:rsidR="00E922E1">
        <w:t xml:space="preserve"> Zonder de NHT zouden </w:t>
      </w:r>
      <w:r w:rsidRPr="00A76FCD" w:rsidR="003E520E">
        <w:t xml:space="preserve">sommige </w:t>
      </w:r>
      <w:r w:rsidRPr="00A76FCD" w:rsidR="00E922E1">
        <w:t>verzekeraars (tot verschillende bedragen) terrorismeschade wel kunnen verzekeren en anderen wellicht niet meer.</w:t>
      </w:r>
      <w:r w:rsidRPr="00A76FCD" w:rsidR="00996FD3">
        <w:t xml:space="preserve"> </w:t>
      </w:r>
      <w:r w:rsidRPr="00A76FCD" w:rsidR="00E922E1">
        <w:t xml:space="preserve">Indien de verzekeraars de afhandeling zelf moeten faciliteren, </w:t>
      </w:r>
      <w:r w:rsidR="00A31C4D">
        <w:t>brengt</w:t>
      </w:r>
      <w:r w:rsidRPr="00A76FCD" w:rsidR="00A31C4D">
        <w:t xml:space="preserve"> </w:t>
      </w:r>
      <w:r w:rsidRPr="00A76FCD" w:rsidR="00E922E1">
        <w:t xml:space="preserve">dit een kostenpost met zich mee wat uiteindelijk voor rekening van de burger </w:t>
      </w:r>
      <w:r w:rsidR="00A31C4D">
        <w:t>komt</w:t>
      </w:r>
      <w:r w:rsidRPr="00A76FCD" w:rsidR="00E922E1">
        <w:t>.</w:t>
      </w:r>
      <w:r w:rsidRPr="00A76FCD" w:rsidR="0035122D">
        <w:t xml:space="preserve"> Daarnaast dienen op korte termijn alle betrokken polissen te worden opengebroken om te worden aangepast</w:t>
      </w:r>
      <w:r w:rsidRPr="00A76FCD" w:rsidR="00996FD3">
        <w:t xml:space="preserve"> en </w:t>
      </w:r>
      <w:r w:rsidR="00A31C4D">
        <w:t>hetgeen</w:t>
      </w:r>
      <w:r w:rsidRPr="00A76FCD" w:rsidR="00A31C4D">
        <w:t xml:space="preserve"> </w:t>
      </w:r>
      <w:r w:rsidRPr="00A76FCD" w:rsidR="00996FD3">
        <w:t>een grote administratieve last vorm</w:t>
      </w:r>
      <w:r w:rsidR="00A31C4D">
        <w:t>t</w:t>
      </w:r>
      <w:r w:rsidRPr="00A76FCD" w:rsidR="0035122D">
        <w:t>.</w:t>
      </w:r>
      <w:r w:rsidRPr="00A76FCD" w:rsidR="00E922E1">
        <w:t xml:space="preserve"> </w:t>
      </w:r>
      <w:r w:rsidRPr="00A76FCD" w:rsidR="00C62B47">
        <w:t>In conclusie kan h</w:t>
      </w:r>
      <w:r w:rsidRPr="00A76FCD" w:rsidR="0088323A">
        <w:t xml:space="preserve">et wegvallen van de NHT </w:t>
      </w:r>
      <w:r w:rsidR="00A31C4D">
        <w:t>tot gevolg hebben</w:t>
      </w:r>
      <w:r w:rsidRPr="00A76FCD" w:rsidR="0088323A">
        <w:t xml:space="preserve"> dat</w:t>
      </w:r>
      <w:r w:rsidRPr="00A76FCD" w:rsidR="009B4EE1">
        <w:t xml:space="preserve"> de spreiding van </w:t>
      </w:r>
      <w:r w:rsidRPr="00A76FCD" w:rsidR="00BF0476">
        <w:t>terrorisme</w:t>
      </w:r>
      <w:r w:rsidRPr="00A76FCD" w:rsidR="009B4EE1">
        <w:t>risico</w:t>
      </w:r>
      <w:r w:rsidRPr="00A76FCD" w:rsidR="00CF1B36">
        <w:t>’</w:t>
      </w:r>
      <w:r w:rsidRPr="00A76FCD" w:rsidR="009B4EE1">
        <w:t>s verdwijnt</w:t>
      </w:r>
      <w:r w:rsidRPr="00A76FCD" w:rsidR="00CF1B36">
        <w:t xml:space="preserve">, premies </w:t>
      </w:r>
      <w:r w:rsidRPr="00A76FCD" w:rsidR="00BF0476">
        <w:t xml:space="preserve">hierdoor </w:t>
      </w:r>
      <w:r w:rsidRPr="00A76FCD" w:rsidR="00CF1B36">
        <w:t>hoger worden</w:t>
      </w:r>
      <w:r w:rsidRPr="00A76FCD" w:rsidR="009B4EE1">
        <w:t xml:space="preserve"> en</w:t>
      </w:r>
      <w:r w:rsidRPr="00A76FCD" w:rsidR="0088323A">
        <w:t xml:space="preserve"> schade door terrorisme</w:t>
      </w:r>
      <w:r w:rsidRPr="00A76FCD" w:rsidR="00E922E1">
        <w:t xml:space="preserve"> </w:t>
      </w:r>
      <w:r w:rsidRPr="00A76FCD" w:rsidR="0022455E">
        <w:t>d</w:t>
      </w:r>
      <w:r w:rsidRPr="00A76FCD" w:rsidR="00E922E1">
        <w:t>oor sommige</w:t>
      </w:r>
      <w:r w:rsidRPr="00A76FCD" w:rsidR="0022455E">
        <w:t xml:space="preserve"> of </w:t>
      </w:r>
      <w:r w:rsidRPr="00A76FCD" w:rsidR="00FE7ADF">
        <w:t>alle verzekeraars</w:t>
      </w:r>
      <w:r w:rsidRPr="00A76FCD" w:rsidR="0022455E">
        <w:t xml:space="preserve"> </w:t>
      </w:r>
      <w:r w:rsidRPr="00A76FCD" w:rsidR="00FE3EC5">
        <w:t>weer</w:t>
      </w:r>
      <w:r w:rsidRPr="00A76FCD" w:rsidR="00CF1B36">
        <w:t xml:space="preserve"> als</w:t>
      </w:r>
      <w:r w:rsidRPr="00A76FCD" w:rsidR="0088323A">
        <w:t xml:space="preserve"> onverzekerbaar wordt</w:t>
      </w:r>
      <w:r w:rsidRPr="00A76FCD" w:rsidR="00F550AE">
        <w:t xml:space="preserve"> </w:t>
      </w:r>
      <w:r w:rsidRPr="00A76FCD" w:rsidR="004A38EA">
        <w:t>bestempeld</w:t>
      </w:r>
      <w:r w:rsidRPr="00A76FCD" w:rsidR="00CF1B36">
        <w:t>.</w:t>
      </w:r>
    </w:p>
    <w:p w:rsidRPr="00A76FCD" w:rsidR="00E922E1" w:rsidP="008E3029" w:rsidRDefault="00E922E1" w14:paraId="346C4B99" w14:textId="77777777">
      <w:pPr>
        <w:pStyle w:val="Lijstniveau2"/>
        <w:numPr>
          <w:ilvl w:val="0"/>
          <w:numId w:val="0"/>
        </w:numPr>
        <w:ind w:left="1132"/>
        <w:jc w:val="both"/>
      </w:pPr>
    </w:p>
    <w:p w:rsidR="00534B73" w:rsidP="008E3029" w:rsidRDefault="0022455E" w14:paraId="399D0C31" w14:textId="77777777">
      <w:pPr>
        <w:pStyle w:val="Lijstniveau1"/>
        <w:numPr>
          <w:ilvl w:val="0"/>
          <w:numId w:val="0"/>
        </w:numPr>
        <w:ind w:left="1132"/>
        <w:jc w:val="both"/>
      </w:pPr>
      <w:r w:rsidRPr="00A76FCD">
        <w:t>Tot slot is er mogelijk e</w:t>
      </w:r>
      <w:r w:rsidRPr="00A76FCD" w:rsidR="005A075C">
        <w:t>e</w:t>
      </w:r>
      <w:r w:rsidRPr="00A76FCD">
        <w:t>n</w:t>
      </w:r>
      <w:r w:rsidRPr="00A76FCD" w:rsidR="005A075C">
        <w:t xml:space="preserve"> maatschappelijke verwachting dat de Staat, zonder het bestaan van de NHT, uiteindelijk </w:t>
      </w:r>
      <w:r w:rsidRPr="00A76FCD" w:rsidR="001F6571">
        <w:t>de schade bij</w:t>
      </w:r>
      <w:r w:rsidRPr="00A76FCD" w:rsidR="005A075C">
        <w:t xml:space="preserve"> een terroristische aanslag </w:t>
      </w:r>
      <w:r w:rsidR="00A31C4D">
        <w:t>vergoedt</w:t>
      </w:r>
      <w:r w:rsidRPr="00A76FCD" w:rsidR="001F6571">
        <w:t xml:space="preserve">. </w:t>
      </w:r>
      <w:r w:rsidRPr="00A76FCD" w:rsidR="00C62B47">
        <w:t xml:space="preserve">Hierbij kan </w:t>
      </w:r>
      <w:r w:rsidRPr="00A76FCD" w:rsidR="001C04D4">
        <w:t>de</w:t>
      </w:r>
      <w:r w:rsidRPr="00A76FCD" w:rsidR="0088323A">
        <w:t xml:space="preserve"> Wet Tegemoetkoming Schade bij rampen (</w:t>
      </w:r>
      <w:proofErr w:type="spellStart"/>
      <w:r w:rsidRPr="00A76FCD" w:rsidR="001C04D4">
        <w:t>Wts</w:t>
      </w:r>
      <w:proofErr w:type="spellEnd"/>
      <w:r w:rsidRPr="00A76FCD" w:rsidR="0088323A">
        <w:t>)</w:t>
      </w:r>
      <w:r w:rsidRPr="00A76FCD" w:rsidR="00AA20FB">
        <w:t xml:space="preserve"> door de Staat</w:t>
      </w:r>
      <w:r w:rsidRPr="00A76FCD" w:rsidR="001C04D4">
        <w:t xml:space="preserve"> van toepassing</w:t>
      </w:r>
      <w:r w:rsidRPr="00A76FCD" w:rsidR="0088323A">
        <w:t xml:space="preserve"> </w:t>
      </w:r>
      <w:r w:rsidRPr="00A76FCD" w:rsidR="001C04D4">
        <w:t>worden verklaard</w:t>
      </w:r>
      <w:r w:rsidRPr="00A76FCD" w:rsidR="001D6A67">
        <w:t xml:space="preserve"> </w:t>
      </w:r>
      <w:r w:rsidRPr="00A76FCD" w:rsidR="00FE3EC5">
        <w:t>op</w:t>
      </w:r>
      <w:r w:rsidRPr="00A76FCD" w:rsidR="001C04D4">
        <w:t xml:space="preserve"> terroristische aanslagen.</w:t>
      </w:r>
      <w:r w:rsidRPr="00A76FCD" w:rsidR="00CF1B36">
        <w:t xml:space="preserve"> </w:t>
      </w:r>
      <w:r w:rsidRPr="00A76FCD" w:rsidR="001C04D4">
        <w:t xml:space="preserve">De </w:t>
      </w:r>
      <w:proofErr w:type="spellStart"/>
      <w:r w:rsidRPr="00A76FCD" w:rsidR="001C04D4">
        <w:t>Wts</w:t>
      </w:r>
      <w:proofErr w:type="spellEnd"/>
      <w:r w:rsidRPr="00A76FCD" w:rsidR="001C04D4">
        <w:t xml:space="preserve"> bepaalt dat schade die redelijkerwijs verzekerbaar is, niet </w:t>
      </w:r>
      <w:r w:rsidRPr="00A76FCD" w:rsidR="009B4EE1">
        <w:t xml:space="preserve">op grond van de </w:t>
      </w:r>
      <w:proofErr w:type="spellStart"/>
      <w:r w:rsidRPr="00A76FCD" w:rsidR="009B4EE1">
        <w:t>Wts</w:t>
      </w:r>
      <w:proofErr w:type="spellEnd"/>
      <w:r w:rsidRPr="00A76FCD" w:rsidR="009B4EE1">
        <w:t xml:space="preserve"> kan worden</w:t>
      </w:r>
      <w:r w:rsidRPr="00A76FCD" w:rsidR="00FE3EC5">
        <w:t xml:space="preserve"> </w:t>
      </w:r>
      <w:r w:rsidRPr="00A76FCD" w:rsidR="001C04D4">
        <w:t>vergoed</w:t>
      </w:r>
      <w:r w:rsidRPr="00A76FCD" w:rsidR="0088323A">
        <w:t>. Dit beteken</w:t>
      </w:r>
      <w:r w:rsidRPr="00A76FCD" w:rsidR="003569F1">
        <w:t>t</w:t>
      </w:r>
      <w:r w:rsidRPr="00A76FCD" w:rsidR="0088323A">
        <w:t xml:space="preserve"> dat</w:t>
      </w:r>
      <w:r w:rsidRPr="00A76FCD" w:rsidR="001C04D4">
        <w:t xml:space="preserve"> het bestaan van de NHT </w:t>
      </w:r>
      <w:r w:rsidR="00A31C4D">
        <w:t>voorkomt</w:t>
      </w:r>
      <w:r w:rsidRPr="00A76FCD" w:rsidR="001C04D4">
        <w:t xml:space="preserve"> dat de </w:t>
      </w:r>
      <w:proofErr w:type="spellStart"/>
      <w:r w:rsidRPr="00A76FCD" w:rsidR="001C04D4">
        <w:t>Wts</w:t>
      </w:r>
      <w:proofErr w:type="spellEnd"/>
      <w:r w:rsidRPr="00A76FCD" w:rsidR="001C04D4">
        <w:t xml:space="preserve"> kan worden toegepast</w:t>
      </w:r>
      <w:r w:rsidRPr="00A76FCD" w:rsidR="001D6A67">
        <w:t xml:space="preserve"> </w:t>
      </w:r>
      <w:r w:rsidRPr="00A76FCD" w:rsidR="00FE3EC5">
        <w:t>op</w:t>
      </w:r>
      <w:r w:rsidRPr="00A76FCD" w:rsidR="001D6A67">
        <w:t xml:space="preserve"> schade</w:t>
      </w:r>
      <w:r w:rsidRPr="00A76FCD" w:rsidR="00FE3EC5">
        <w:t xml:space="preserve"> door </w:t>
      </w:r>
      <w:r w:rsidRPr="00A76FCD" w:rsidR="005A7B89">
        <w:t>terrorisme</w:t>
      </w:r>
      <w:r w:rsidRPr="00A76FCD" w:rsidR="00FE3EC5">
        <w:t xml:space="preserve"> (althans tot de </w:t>
      </w:r>
      <w:r w:rsidRPr="00A76FCD" w:rsidR="001D6A67">
        <w:t>omvang van</w:t>
      </w:r>
      <w:r w:rsidRPr="00A76FCD" w:rsidR="00FE3EC5">
        <w:t xml:space="preserve"> het verzekerde bedrag van</w:t>
      </w:r>
      <w:r w:rsidRPr="00A76FCD" w:rsidR="001D6A67">
        <w:t xml:space="preserve"> </w:t>
      </w:r>
      <w:r w:rsidRPr="00A76FCD" w:rsidR="00FE3EC5">
        <w:t xml:space="preserve">€ </w:t>
      </w:r>
      <w:r w:rsidRPr="00A76FCD" w:rsidR="001D6A67">
        <w:t>1 miljard</w:t>
      </w:r>
      <w:r w:rsidRPr="00A76FCD" w:rsidR="00FE3EC5">
        <w:t>)</w:t>
      </w:r>
      <w:r w:rsidRPr="00A76FCD" w:rsidR="001C04D4">
        <w:t>.</w:t>
      </w:r>
      <w:r w:rsidRPr="00A76FCD" w:rsidR="00CF1B36">
        <w:t xml:space="preserve"> </w:t>
      </w:r>
      <w:r w:rsidRPr="00A76FCD" w:rsidR="003E520E">
        <w:t xml:space="preserve">Als de overheid </w:t>
      </w:r>
      <w:r w:rsidRPr="00A76FCD" w:rsidR="00717903">
        <w:t xml:space="preserve">op grond van de </w:t>
      </w:r>
      <w:proofErr w:type="spellStart"/>
      <w:r w:rsidRPr="00A76FCD" w:rsidR="00717903">
        <w:t>Wts</w:t>
      </w:r>
      <w:proofErr w:type="spellEnd"/>
      <w:r w:rsidRPr="00A76FCD" w:rsidR="00717903">
        <w:t xml:space="preserve"> </w:t>
      </w:r>
      <w:r w:rsidRPr="00A76FCD" w:rsidR="003E520E">
        <w:t xml:space="preserve">overgaat tot een tegemoetkoming </w:t>
      </w:r>
      <w:r w:rsidRPr="00A76FCD" w:rsidR="00717903">
        <w:t xml:space="preserve">van onverzekerbare schade </w:t>
      </w:r>
      <w:r w:rsidRPr="00A76FCD">
        <w:t xml:space="preserve">bij een terroristische aanslag, </w:t>
      </w:r>
      <w:r w:rsidRPr="00A76FCD" w:rsidR="003E520E">
        <w:t xml:space="preserve">dan </w:t>
      </w:r>
      <w:r w:rsidRPr="00A76FCD">
        <w:t xml:space="preserve">worden de </w:t>
      </w:r>
      <w:r w:rsidRPr="00A76FCD" w:rsidR="00CF1B36">
        <w:t xml:space="preserve">overheidsfinanciën in de toekomst </w:t>
      </w:r>
      <w:r w:rsidRPr="00A76FCD" w:rsidR="003E520E">
        <w:t xml:space="preserve">potentieel </w:t>
      </w:r>
      <w:r w:rsidRPr="00A76FCD" w:rsidR="00CF1B36">
        <w:t>met grote tegenvallers geconfronteerd.</w:t>
      </w:r>
      <w:r w:rsidRPr="00A76FCD" w:rsidR="00304BFE">
        <w:rPr>
          <w:rStyle w:val="Voetnootmarkering"/>
        </w:rPr>
        <w:footnoteReference w:id="14"/>
      </w:r>
    </w:p>
    <w:p w:rsidR="00654B0F" w:rsidP="008E3029" w:rsidRDefault="00654B0F" w14:paraId="58E984F2" w14:textId="77777777">
      <w:pPr>
        <w:pStyle w:val="Lijstniveau1"/>
        <w:numPr>
          <w:ilvl w:val="0"/>
          <w:numId w:val="0"/>
        </w:numPr>
        <w:ind w:left="1132"/>
        <w:jc w:val="both"/>
      </w:pPr>
    </w:p>
    <w:p w:rsidR="00654B0F" w:rsidP="008E3029" w:rsidRDefault="00654B0F" w14:paraId="119E2D41" w14:textId="77777777">
      <w:pPr>
        <w:pStyle w:val="Lijstniveau1"/>
        <w:numPr>
          <w:ilvl w:val="0"/>
          <w:numId w:val="0"/>
        </w:numPr>
        <w:ind w:left="1132"/>
        <w:jc w:val="both"/>
      </w:pPr>
    </w:p>
    <w:p w:rsidRPr="00A76FCD" w:rsidR="00654B0F" w:rsidP="008E3029" w:rsidRDefault="00654B0F" w14:paraId="7C3ADB52" w14:textId="77777777">
      <w:pPr>
        <w:pStyle w:val="Lijstniveau1"/>
        <w:numPr>
          <w:ilvl w:val="0"/>
          <w:numId w:val="0"/>
        </w:numPr>
        <w:ind w:left="1132"/>
        <w:jc w:val="both"/>
      </w:pPr>
    </w:p>
    <w:p w:rsidRPr="00A76FCD" w:rsidR="0022455E" w:rsidP="008E3029" w:rsidRDefault="0022455E" w14:paraId="78FCC847" w14:textId="77777777">
      <w:pPr>
        <w:pStyle w:val="Lijstniveau1"/>
        <w:numPr>
          <w:ilvl w:val="0"/>
          <w:numId w:val="0"/>
        </w:numPr>
        <w:ind w:left="1132"/>
        <w:jc w:val="both"/>
      </w:pPr>
    </w:p>
    <w:p w:rsidRPr="00A76FCD" w:rsidR="000F5831" w:rsidP="008E3029" w:rsidRDefault="00534B73" w14:paraId="149C56CA" w14:textId="77777777">
      <w:pPr>
        <w:pStyle w:val="Lijstniveau1"/>
        <w:jc w:val="both"/>
      </w:pPr>
      <w:r w:rsidRPr="00A76FCD">
        <w:rPr>
          <w:b/>
          <w:bCs/>
        </w:rPr>
        <w:lastRenderedPageBreak/>
        <w:t>Verzekerbaarheid van terrorismeschade zonder staatsdeelname in de NHT</w:t>
      </w:r>
    </w:p>
    <w:p w:rsidRPr="00A76FCD" w:rsidR="00E41B53" w:rsidP="008E3029" w:rsidRDefault="00FF5511" w14:paraId="4CBA34C3" w14:textId="77777777">
      <w:pPr>
        <w:pStyle w:val="Lijstniveau1"/>
        <w:numPr>
          <w:ilvl w:val="0"/>
          <w:numId w:val="0"/>
        </w:numPr>
        <w:ind w:left="1132"/>
        <w:jc w:val="both"/>
      </w:pPr>
      <w:r w:rsidRPr="00A76FCD">
        <w:t xml:space="preserve">Deelname van de Staat is niet </w:t>
      </w:r>
      <w:r w:rsidRPr="00A76FCD" w:rsidR="0022455E">
        <w:t xml:space="preserve">strikt noodzakelijk </w:t>
      </w:r>
      <w:r w:rsidRPr="00A76FCD">
        <w:t xml:space="preserve">om de NHT te continueren. </w:t>
      </w:r>
      <w:r w:rsidRPr="00A76FCD" w:rsidR="007D4D04">
        <w:t>De d</w:t>
      </w:r>
      <w:r w:rsidRPr="00A76FCD" w:rsidR="000A0262">
        <w:t>eelname van de</w:t>
      </w:r>
      <w:r w:rsidRPr="00A76FCD">
        <w:t xml:space="preserve"> Staat </w:t>
      </w:r>
      <w:r w:rsidRPr="00A76FCD" w:rsidR="000A0262">
        <w:t>zou van</w:t>
      </w:r>
      <w:r w:rsidRPr="00A76FCD">
        <w:t xml:space="preserve"> tijdelijke aard zijn en de verzekeraars hebben aangegeven </w:t>
      </w:r>
      <w:r w:rsidRPr="00A76FCD" w:rsidR="000A0262">
        <w:t>de</w:t>
      </w:r>
      <w:r w:rsidRPr="00A76FCD">
        <w:t xml:space="preserve"> dekking</w:t>
      </w:r>
      <w:r w:rsidRPr="00A76FCD" w:rsidR="007D4D04">
        <w:t xml:space="preserve"> aan de NHT</w:t>
      </w:r>
      <w:r w:rsidRPr="00A76FCD" w:rsidR="00047351">
        <w:t xml:space="preserve"> </w:t>
      </w:r>
      <w:r w:rsidRPr="00A76FCD">
        <w:t xml:space="preserve">te blijven bieden indien de overheid haar participatie in de NHT zal beëindigen. </w:t>
      </w:r>
      <w:r w:rsidRPr="00A76FCD" w:rsidR="00780741">
        <w:t>Er zijn echter belangrijke voordelen</w:t>
      </w:r>
      <w:r w:rsidRPr="00A76FCD" w:rsidR="007D4D04">
        <w:t xml:space="preserve"> door </w:t>
      </w:r>
      <w:r w:rsidRPr="00A76FCD" w:rsidR="00780741">
        <w:t xml:space="preserve">deelname van de Staat in de NHT. </w:t>
      </w:r>
      <w:r w:rsidRPr="00A76FCD">
        <w:t xml:space="preserve">Na de aanslagen van 9/11 bestond het risico dat bij een volgende terroristische aanslag zowel de financiële stabiliteit als de financiële zekerheid van burgers in het gedrang zou komen. De Staat draagt een (mede)verantwoordelijkheid voor </w:t>
      </w:r>
      <w:r w:rsidRPr="00A76FCD" w:rsidR="00780741">
        <w:t xml:space="preserve">deze </w:t>
      </w:r>
      <w:r w:rsidRPr="00A76FCD">
        <w:t xml:space="preserve">onderwerpen </w:t>
      </w:r>
      <w:r w:rsidRPr="00A76FCD" w:rsidR="00780741">
        <w:t>en d</w:t>
      </w:r>
      <w:r w:rsidRPr="00A76FCD">
        <w:t xml:space="preserve">oor deelname in de NHT geeft de Staat het signaal af dat </w:t>
      </w:r>
      <w:r w:rsidRPr="00A76FCD" w:rsidR="00780741">
        <w:t xml:space="preserve">zij </w:t>
      </w:r>
      <w:r w:rsidRPr="00A76FCD" w:rsidR="0022455E">
        <w:t xml:space="preserve">hieraan </w:t>
      </w:r>
      <w:r w:rsidRPr="00A76FCD">
        <w:t>bijdraagt</w:t>
      </w:r>
      <w:r w:rsidRPr="00A76FCD" w:rsidR="00304BFE">
        <w:t xml:space="preserve"> en zodat in het geval van een terroristische aanslag in Nederland het economische verkeer zo ongestoord mogelijk voortgang kan vinden en verzekerden op adequate wijze </w:t>
      </w:r>
      <w:r w:rsidR="00A31C4D">
        <w:t>worden beschermd</w:t>
      </w:r>
      <w:r w:rsidRPr="00A76FCD" w:rsidR="00304BFE">
        <w:t xml:space="preserve"> tegen de financiële gevolgen van een dergelijke aanslag</w:t>
      </w:r>
      <w:r w:rsidRPr="00A76FCD">
        <w:t>.</w:t>
      </w:r>
      <w:r w:rsidRPr="00A76FCD" w:rsidR="00304BFE">
        <w:rPr>
          <w:rStyle w:val="Voetnootmarkering"/>
        </w:rPr>
        <w:footnoteReference w:id="15"/>
      </w:r>
      <w:r w:rsidRPr="00A76FCD">
        <w:t xml:space="preserve"> De verzekeraars hebben</w:t>
      </w:r>
      <w:r w:rsidRPr="00A76FCD" w:rsidR="001F6571">
        <w:t xml:space="preserve"> bij de evaluatie in 2018</w:t>
      </w:r>
      <w:r w:rsidRPr="00A76FCD">
        <w:t xml:space="preserve"> aangegeven dat staatsdeelname gewenst is voor het afgeven van dit signaal. Het Verbond van verzekeraars noemt daarnaast het belang dat de Staat en verzekeraars elkaar goed weten te vinden mocht </w:t>
      </w:r>
      <w:r w:rsidRPr="00A76FCD" w:rsidR="001F47B9">
        <w:t xml:space="preserve">er </w:t>
      </w:r>
      <w:r w:rsidRPr="00A76FCD">
        <w:t>een aanslag plaatsvinden.</w:t>
      </w:r>
      <w:r w:rsidRPr="00A76FCD" w:rsidR="0047143A">
        <w:t xml:space="preserve"> </w:t>
      </w:r>
      <w:r w:rsidRPr="00A76FCD" w:rsidR="0035122D">
        <w:t>Daarnaast maakt de participatie van de Staat het gemakkelijker en goedkoper om dekking in te kopen bij de internationale herverzekeraars</w:t>
      </w:r>
      <w:r w:rsidRPr="00A76FCD" w:rsidR="00290CA1">
        <w:t xml:space="preserve"> </w:t>
      </w:r>
      <w:r w:rsidRPr="00A76FCD" w:rsidR="007A5443">
        <w:t>omdat (internationale) herverzekeraars waarde hechten aan de signaalwerking die uitgaat van overheidsdeelname.</w:t>
      </w:r>
    </w:p>
    <w:p w:rsidRPr="00A76FCD" w:rsidR="00FF5511" w:rsidP="008E3029" w:rsidRDefault="00FF5511" w14:paraId="1E86EB38" w14:textId="77777777">
      <w:pPr>
        <w:pStyle w:val="Lijstniveau1"/>
        <w:numPr>
          <w:ilvl w:val="0"/>
          <w:numId w:val="0"/>
        </w:numPr>
        <w:ind w:left="1132"/>
        <w:jc w:val="both"/>
      </w:pPr>
    </w:p>
    <w:p w:rsidRPr="00A76FCD" w:rsidR="00E41B53" w:rsidP="008E3029" w:rsidRDefault="005D3C75" w14:paraId="38FA76AC" w14:textId="77777777">
      <w:pPr>
        <w:pStyle w:val="Lijstniveau2"/>
        <w:numPr>
          <w:ilvl w:val="0"/>
          <w:numId w:val="0"/>
        </w:numPr>
        <w:ind w:left="1132"/>
        <w:jc w:val="both"/>
      </w:pPr>
      <w:r w:rsidRPr="00A76FCD">
        <w:t xml:space="preserve">Hoewel de verzekeraars hebben aangegeven </w:t>
      </w:r>
      <w:r w:rsidRPr="00A76FCD" w:rsidR="00290CA1">
        <w:t xml:space="preserve">vooralsnog </w:t>
      </w:r>
      <w:r w:rsidRPr="00A76FCD">
        <w:t>dekking te blijven bieden indien de Staat haar participatie beëindig</w:t>
      </w:r>
      <w:r w:rsidR="00A31C4D">
        <w:t>t</w:t>
      </w:r>
      <w:r w:rsidRPr="00A76FCD">
        <w:t xml:space="preserve">, blijft er een risico bestaan dat de pool in de toekomst zal worden opgeheven. In dit geval </w:t>
      </w:r>
      <w:r w:rsidR="00A31C4D">
        <w:t>wordt</w:t>
      </w:r>
      <w:r w:rsidRPr="00A76FCD" w:rsidR="001F6571">
        <w:t xml:space="preserve">, eveneens als benoemd in paragraaf </w:t>
      </w:r>
      <w:r w:rsidRPr="00A76FCD" w:rsidR="00FE7ADF">
        <w:t>4.2., naar</w:t>
      </w:r>
      <w:r w:rsidRPr="00A76FCD">
        <w:t xml:space="preserve"> alle waarschijnlijkheid</w:t>
      </w:r>
      <w:r w:rsidRPr="00A76FCD" w:rsidR="001F6571">
        <w:t xml:space="preserve"> op grond van de maatschappelijke verwachting</w:t>
      </w:r>
      <w:r w:rsidRPr="00A76FCD">
        <w:t xml:space="preserve"> een beroep gedaan op de Staat </w:t>
      </w:r>
      <w:r w:rsidRPr="00A76FCD" w:rsidR="001F6571">
        <w:t>voor de schadevergoeding van een terroristische aanslag</w:t>
      </w:r>
      <w:r w:rsidRPr="00A76FCD">
        <w:t xml:space="preserve">. </w:t>
      </w:r>
      <w:r w:rsidRPr="00A76FCD" w:rsidR="0088323A">
        <w:t>Door de</w:t>
      </w:r>
      <w:r w:rsidRPr="00A76FCD" w:rsidR="00A721E1">
        <w:t xml:space="preserve"> aanvullende herverzekeringsdekking </w:t>
      </w:r>
      <w:r w:rsidRPr="00A76FCD" w:rsidR="00E96839">
        <w:t>te bieden en in de NHT te participeren,</w:t>
      </w:r>
      <w:r w:rsidRPr="00A76FCD" w:rsidR="003569F1">
        <w:t xml:space="preserve"> kan de Staat invloed uitoefenen op de voortzetting van de NHT</w:t>
      </w:r>
      <w:r w:rsidRPr="00A76FCD" w:rsidR="00E25D9F">
        <w:t xml:space="preserve">, de spreiding van het terrorismerisico </w:t>
      </w:r>
      <w:r w:rsidRPr="00A76FCD" w:rsidR="00E41B53">
        <w:t>in</w:t>
      </w:r>
      <w:r w:rsidRPr="00A76FCD" w:rsidR="00E25D9F">
        <w:t xml:space="preserve"> de commerciële markt </w:t>
      </w:r>
      <w:r w:rsidRPr="00A76FCD" w:rsidR="003569F1">
        <w:t xml:space="preserve">en </w:t>
      </w:r>
      <w:r w:rsidRPr="00A76FCD" w:rsidR="00A721E1">
        <w:t xml:space="preserve">kan een mogelijk beroep op de </w:t>
      </w:r>
      <w:r w:rsidRPr="00A76FCD" w:rsidR="0088323A">
        <w:t>Staat</w:t>
      </w:r>
      <w:r w:rsidRPr="00A76FCD" w:rsidR="00E41B53">
        <w:t xml:space="preserve"> </w:t>
      </w:r>
      <w:r w:rsidRPr="00A76FCD" w:rsidR="00A721E1">
        <w:t xml:space="preserve">worden </w:t>
      </w:r>
      <w:r w:rsidR="00A31C4D">
        <w:t>voorkomen</w:t>
      </w:r>
      <w:r w:rsidRPr="00A76FCD" w:rsidR="00A721E1">
        <w:t>.</w:t>
      </w:r>
      <w:r w:rsidRPr="00A76FCD" w:rsidR="00A721E1">
        <w:rPr>
          <w:rStyle w:val="Voetnootmarkering"/>
        </w:rPr>
        <w:footnoteReference w:id="16"/>
      </w:r>
      <w:r w:rsidRPr="00A76FCD" w:rsidR="00A721E1">
        <w:t xml:space="preserve"> </w:t>
      </w:r>
    </w:p>
    <w:p w:rsidRPr="00A76FCD" w:rsidR="005A03D1" w:rsidP="008E3029" w:rsidRDefault="005A03D1" w14:paraId="7BA76837" w14:textId="77777777">
      <w:pPr>
        <w:jc w:val="both"/>
      </w:pPr>
    </w:p>
    <w:p w:rsidRPr="00A76FCD" w:rsidR="000A0262" w:rsidP="008E3029" w:rsidRDefault="000F5831" w14:paraId="60560DF9" w14:textId="77777777">
      <w:pPr>
        <w:pStyle w:val="Lijstniveau1"/>
        <w:jc w:val="both"/>
        <w:rPr>
          <w:b/>
          <w:bCs/>
        </w:rPr>
      </w:pPr>
      <w:r w:rsidRPr="00A76FCD">
        <w:rPr>
          <w:b/>
          <w:bCs/>
        </w:rPr>
        <w:t>Risico’s</w:t>
      </w:r>
      <w:r w:rsidRPr="00A76FCD" w:rsidR="00646FF7">
        <w:rPr>
          <w:b/>
          <w:bCs/>
        </w:rPr>
        <w:t xml:space="preserve"> en gevolgen </w:t>
      </w:r>
      <w:r w:rsidRPr="00A76FCD">
        <w:rPr>
          <w:b/>
          <w:bCs/>
        </w:rPr>
        <w:t xml:space="preserve">bij </w:t>
      </w:r>
      <w:r w:rsidRPr="00A76FCD" w:rsidR="00646FF7">
        <w:rPr>
          <w:b/>
          <w:bCs/>
        </w:rPr>
        <w:t xml:space="preserve">voortzetting van </w:t>
      </w:r>
      <w:r w:rsidRPr="00A76FCD">
        <w:rPr>
          <w:b/>
          <w:bCs/>
        </w:rPr>
        <w:t>staats</w:t>
      </w:r>
      <w:r w:rsidRPr="00A76FCD" w:rsidR="00646FF7">
        <w:rPr>
          <w:b/>
          <w:bCs/>
        </w:rPr>
        <w:t xml:space="preserve">deelname </w:t>
      </w:r>
      <w:r w:rsidRPr="00A76FCD">
        <w:rPr>
          <w:b/>
          <w:bCs/>
        </w:rPr>
        <w:t>in</w:t>
      </w:r>
      <w:r w:rsidRPr="00A76FCD" w:rsidR="00646FF7">
        <w:rPr>
          <w:b/>
          <w:bCs/>
        </w:rPr>
        <w:t xml:space="preserve"> de NHT</w:t>
      </w:r>
    </w:p>
    <w:p w:rsidRPr="00A76FCD" w:rsidR="001F47B9" w:rsidP="008E3029" w:rsidRDefault="000A0262" w14:paraId="6062FD5F" w14:textId="77777777">
      <w:pPr>
        <w:pStyle w:val="Lijstniveau1"/>
        <w:numPr>
          <w:ilvl w:val="0"/>
          <w:numId w:val="0"/>
        </w:numPr>
        <w:ind w:left="1132"/>
        <w:jc w:val="both"/>
        <w:rPr>
          <w:b/>
          <w:bCs/>
        </w:rPr>
      </w:pPr>
      <w:r w:rsidRPr="00A76FCD">
        <w:t>De risico’s voor de Staat zijn beperkt</w:t>
      </w:r>
      <w:r w:rsidRPr="00A76FCD" w:rsidR="00B9791D">
        <w:t xml:space="preserve"> tot €50</w:t>
      </w:r>
      <w:r w:rsidRPr="00A76FCD" w:rsidR="00290CA1">
        <w:t xml:space="preserve"> miljoen</w:t>
      </w:r>
      <w:r w:rsidRPr="00A76FCD">
        <w:t xml:space="preserve"> doordat de verzekeraars en herverzekeraars de eerste €950 miljoen van de dekkingscapaciteit garanderen en pas daarna de garantie van de Staat kan worden aangesproken. Ter illustratie, de totale schade voor de Belgische </w:t>
      </w:r>
      <w:r w:rsidRPr="00A76FCD" w:rsidR="004125E7">
        <w:t>herverzekerings</w:t>
      </w:r>
      <w:r w:rsidRPr="00A76FCD">
        <w:t xml:space="preserve">pool van de aanslagen in 2016 in Brussel was </w:t>
      </w:r>
      <w:r w:rsidRPr="00A76FCD" w:rsidR="001A6093">
        <w:t>€</w:t>
      </w:r>
      <w:r w:rsidRPr="00A76FCD">
        <w:t>1</w:t>
      </w:r>
      <w:r w:rsidRPr="00A76FCD" w:rsidR="002D0131">
        <w:t xml:space="preserve">40 </w:t>
      </w:r>
      <w:r w:rsidRPr="00A76FCD">
        <w:t>miljoen</w:t>
      </w:r>
      <w:r w:rsidRPr="00A76FCD" w:rsidR="004125E7">
        <w:t>.</w:t>
      </w:r>
      <w:r w:rsidRPr="00A76FCD" w:rsidR="00362FBD">
        <w:t xml:space="preserve"> </w:t>
      </w:r>
      <w:r w:rsidRPr="00A76FCD" w:rsidR="001A6093">
        <w:t xml:space="preserve">Bij een aanslag van vergelijkbare grootte </w:t>
      </w:r>
      <w:r w:rsidR="00A31C4D">
        <w:t>wordt</w:t>
      </w:r>
      <w:r w:rsidRPr="00A76FCD" w:rsidR="00A31C4D">
        <w:t xml:space="preserve"> </w:t>
      </w:r>
      <w:r w:rsidRPr="00A76FCD" w:rsidR="001A6093">
        <w:t xml:space="preserve">de schade door de </w:t>
      </w:r>
      <w:r w:rsidRPr="00A76FCD" w:rsidR="00290CA1">
        <w:t xml:space="preserve">eerste tranche van de </w:t>
      </w:r>
      <w:r w:rsidRPr="00A76FCD" w:rsidR="001A6093">
        <w:t xml:space="preserve">NHT opgevangen. Hoewel </w:t>
      </w:r>
      <w:r w:rsidRPr="00A76FCD" w:rsidR="004125E7">
        <w:t>de risico</w:t>
      </w:r>
      <w:r w:rsidRPr="00A76FCD" w:rsidR="001A6093">
        <w:t>’</w:t>
      </w:r>
      <w:r w:rsidRPr="00A76FCD" w:rsidR="004125E7">
        <w:t xml:space="preserve">s </w:t>
      </w:r>
      <w:r w:rsidRPr="00A76FCD" w:rsidR="001A6093">
        <w:t xml:space="preserve">voor de Staat </w:t>
      </w:r>
      <w:r w:rsidRPr="00A76FCD" w:rsidR="004125E7">
        <w:t>beperkt zijn, blijft een terroristische aanslag</w:t>
      </w:r>
      <w:r w:rsidR="00012521">
        <w:t xml:space="preserve"> een reëel en actueel risico vanwege</w:t>
      </w:r>
      <w:r w:rsidRPr="00A76FCD" w:rsidR="004125E7">
        <w:t xml:space="preserve"> het huidige dreigingsniveau </w:t>
      </w:r>
      <w:r w:rsidRPr="00A76FCD" w:rsidR="00B9791D">
        <w:t>het onvoorspelbare karakter terrorisme</w:t>
      </w:r>
      <w:r w:rsidR="00012521">
        <w:t xml:space="preserve"> en de mogelijke schade die dan kan ontstaan</w:t>
      </w:r>
      <w:proofErr w:type="gramStart"/>
      <w:r w:rsidR="00012521">
        <w:t>.</w:t>
      </w:r>
      <w:r w:rsidRPr="00A76FCD" w:rsidR="00B9791D">
        <w:t xml:space="preserve"> </w:t>
      </w:r>
      <w:r w:rsidRPr="00A76FCD" w:rsidR="00290CA1">
        <w:t>.</w:t>
      </w:r>
      <w:proofErr w:type="gramEnd"/>
      <w:r w:rsidRPr="00A76FCD" w:rsidR="00290CA1">
        <w:t xml:space="preserve"> </w:t>
      </w:r>
      <w:r w:rsidRPr="00A76FCD" w:rsidR="00E311FE">
        <w:t>W</w:t>
      </w:r>
      <w:r w:rsidRPr="00A76FCD" w:rsidR="001F47B9">
        <w:t xml:space="preserve">ereldwijd </w:t>
      </w:r>
      <w:r w:rsidRPr="00A76FCD" w:rsidR="00E311FE">
        <w:t xml:space="preserve">zijn </w:t>
      </w:r>
      <w:r w:rsidRPr="00A76FCD" w:rsidR="001F47B9">
        <w:t xml:space="preserve">diverse terroristische aanslagen uitgevoerd die vele mensenlevens hebben gekost en aanzienlijke schade hebben veroorzaakt. </w:t>
      </w:r>
      <w:r w:rsidRPr="00A76FCD" w:rsidR="001F6571">
        <w:t>Zoals eerder benoemd is d</w:t>
      </w:r>
      <w:r w:rsidRPr="00A76FCD" w:rsidR="00E311FE">
        <w:t xml:space="preserve">e maatschappelijke verwachting dat de Staat, ook zonder het bestaan of deelname aan de NHT, </w:t>
      </w:r>
      <w:r w:rsidRPr="00A76FCD" w:rsidR="001F47B9">
        <w:t xml:space="preserve">uiteindelijk </w:t>
      </w:r>
      <w:r w:rsidRPr="00A76FCD" w:rsidR="00290CA1">
        <w:t>een tegemoetkoming biedt</w:t>
      </w:r>
      <w:r w:rsidRPr="00A76FCD" w:rsidR="001F47B9">
        <w:t xml:space="preserve"> als benadeelden van </w:t>
      </w:r>
      <w:r w:rsidRPr="00A76FCD" w:rsidR="00E311FE">
        <w:t xml:space="preserve">een terroristische aanslag </w:t>
      </w:r>
      <w:r w:rsidRPr="00A76FCD" w:rsidR="001F47B9">
        <w:t>niet schadeloos worden gesteld</w:t>
      </w:r>
      <w:r w:rsidR="00A028CA">
        <w:t xml:space="preserve"> door verzekeraars</w:t>
      </w:r>
      <w:r w:rsidRPr="00A76FCD" w:rsidR="001F47B9">
        <w:t xml:space="preserve">. In die zin </w:t>
      </w:r>
      <w:r w:rsidRPr="00A76FCD" w:rsidR="001F6571">
        <w:t xml:space="preserve">houdt </w:t>
      </w:r>
      <w:r w:rsidRPr="00A76FCD" w:rsidR="001F47B9">
        <w:t xml:space="preserve">de NHT de </w:t>
      </w:r>
      <w:r w:rsidRPr="00A76FCD" w:rsidR="0047143A">
        <w:t>S</w:t>
      </w:r>
      <w:r w:rsidRPr="00A76FCD" w:rsidR="001F47B9">
        <w:t>taat</w:t>
      </w:r>
      <w:r w:rsidRPr="00A76FCD" w:rsidR="00E311FE">
        <w:t xml:space="preserve"> in zekere zin</w:t>
      </w:r>
      <w:r w:rsidRPr="00A76FCD" w:rsidR="001F47B9">
        <w:t xml:space="preserve"> juist voor €950 miljoen uit de wind</w:t>
      </w:r>
      <w:r w:rsidRPr="00A76FCD" w:rsidR="00E311FE">
        <w:t xml:space="preserve"> door het risico te beperken en te delen met de (her)verzekeringsmarkt.</w:t>
      </w:r>
    </w:p>
    <w:p w:rsidRPr="00A76FCD" w:rsidR="00E25D9F" w:rsidP="008E3029" w:rsidRDefault="00E25D9F" w14:paraId="509EFF46" w14:textId="77777777">
      <w:pPr>
        <w:jc w:val="both"/>
      </w:pPr>
    </w:p>
    <w:p w:rsidRPr="00A76FCD" w:rsidR="000F5831" w:rsidP="008E3029" w:rsidRDefault="000F5831" w14:paraId="7EB4117E" w14:textId="77777777">
      <w:pPr>
        <w:pStyle w:val="Lijstniveau1"/>
        <w:jc w:val="both"/>
        <w:rPr>
          <w:b/>
          <w:bCs/>
        </w:rPr>
      </w:pPr>
      <w:r w:rsidRPr="00A76FCD">
        <w:rPr>
          <w:b/>
          <w:bCs/>
        </w:rPr>
        <w:lastRenderedPageBreak/>
        <w:t>Toetsing van de doeltreffendheid en doelmatigheid van de voortzetting van de staatsgarantie binnen de NHT</w:t>
      </w:r>
    </w:p>
    <w:p w:rsidRPr="00A76FCD" w:rsidR="00F550AE" w:rsidP="008E3029" w:rsidRDefault="000F5831" w14:paraId="5D1012A5" w14:textId="77777777">
      <w:pPr>
        <w:pStyle w:val="Lijstniveau2"/>
        <w:jc w:val="both"/>
        <w:rPr>
          <w:b/>
          <w:bCs/>
        </w:rPr>
      </w:pPr>
      <w:r w:rsidRPr="00A76FCD">
        <w:rPr>
          <w:b/>
          <w:bCs/>
        </w:rPr>
        <w:t>Doeltreffendheid van de NHT en staatsdeelname bij het realiseren van het oorspronkelijke doel</w:t>
      </w:r>
    </w:p>
    <w:p w:rsidRPr="00A76FCD" w:rsidR="007762B8" w:rsidP="008E3029" w:rsidRDefault="00EC3EFF" w14:paraId="4CA83828" w14:textId="77777777">
      <w:pPr>
        <w:pStyle w:val="Lijstniveau2"/>
        <w:numPr>
          <w:ilvl w:val="0"/>
          <w:numId w:val="0"/>
        </w:numPr>
        <w:ind w:left="1132"/>
        <w:jc w:val="both"/>
      </w:pPr>
      <w:r w:rsidRPr="00A76FCD">
        <w:t xml:space="preserve">De NHT werd opgericht om de verzekerbaarheid van terrorismeschade in Nederland te waarborgen, door het risico te spreiden en daarmee de schade voor schadeverzekeraars beheersbaar te houden. </w:t>
      </w:r>
      <w:r w:rsidRPr="00A76FCD" w:rsidR="001C04D4">
        <w:t xml:space="preserve">De NHT is in zoverre effectief dat </w:t>
      </w:r>
      <w:r w:rsidRPr="00A76FCD" w:rsidR="005D3C75">
        <w:t>te</w:t>
      </w:r>
      <w:r w:rsidRPr="00A76FCD" w:rsidR="00FF5511">
        <w:t>r</w:t>
      </w:r>
      <w:r w:rsidRPr="00A76FCD" w:rsidR="005D3C75">
        <w:t xml:space="preserve">rorismeschade wordt gedekt tot het bedrag van </w:t>
      </w:r>
      <w:r w:rsidRPr="00A76FCD" w:rsidR="001C04D4">
        <w:t>€1 miljard</w:t>
      </w:r>
      <w:r w:rsidRPr="00A76FCD" w:rsidR="00F550AE">
        <w:t xml:space="preserve">, schade door terrorisme niet meer onverzekerbaar is en de </w:t>
      </w:r>
      <w:r w:rsidRPr="00A76FCD" w:rsidR="00C61879">
        <w:t>commerciële (her)</w:t>
      </w:r>
      <w:r w:rsidRPr="00A76FCD" w:rsidR="00F550AE">
        <w:t>verzekeraars grotendeels zelf bijdragen aan de</w:t>
      </w:r>
      <w:r w:rsidRPr="00A76FCD" w:rsidR="00A9447C">
        <w:t>ze</w:t>
      </w:r>
      <w:r w:rsidRPr="00A76FCD" w:rsidR="00F550AE">
        <w:t xml:space="preserve"> constructie</w:t>
      </w:r>
      <w:r w:rsidRPr="00A76FCD" w:rsidR="001C04D4">
        <w:t xml:space="preserve">. </w:t>
      </w:r>
      <w:r w:rsidRPr="00A76FCD" w:rsidR="007762B8">
        <w:t xml:space="preserve">De NHT heeft tot nu toe nog nooit hoeven uitkeren, waardoor er over de effectiviteit van de NHT als deze moet worden geactiveerd, nog geen uitspraken kunnen worden gedaan. Wel is het schaderegistratiesysteem een aantal keren opengesteld, maar bleven de geregistreerde schades onder het drempelbedrag van de marktfranchise. </w:t>
      </w:r>
    </w:p>
    <w:p w:rsidRPr="00A76FCD" w:rsidR="00FF5511" w:rsidP="008E3029" w:rsidRDefault="00FF5511" w14:paraId="6C7F25CE" w14:textId="77777777">
      <w:pPr>
        <w:pStyle w:val="Lijstniveau2"/>
        <w:numPr>
          <w:ilvl w:val="0"/>
          <w:numId w:val="0"/>
        </w:numPr>
        <w:ind w:left="1132"/>
        <w:jc w:val="both"/>
      </w:pPr>
    </w:p>
    <w:p w:rsidRPr="00A76FCD" w:rsidR="00304BFE" w:rsidP="00304BFE" w:rsidRDefault="000A0262" w14:paraId="64DA306B" w14:textId="77777777">
      <w:pPr>
        <w:pStyle w:val="Lijstniveau2"/>
        <w:numPr>
          <w:ilvl w:val="0"/>
          <w:numId w:val="0"/>
        </w:numPr>
        <w:ind w:left="1132"/>
        <w:jc w:val="both"/>
      </w:pPr>
      <w:r w:rsidRPr="00A76FCD">
        <w:t>De</w:t>
      </w:r>
      <w:r w:rsidRPr="00A76FCD" w:rsidR="001C04D4">
        <w:t xml:space="preserve"> uitvoering van de NHT in handen van de </w:t>
      </w:r>
      <w:r w:rsidRPr="00A76FCD" w:rsidR="00F550AE">
        <w:t>Vereende</w:t>
      </w:r>
      <w:r w:rsidRPr="00A76FCD" w:rsidR="001C04D4">
        <w:t xml:space="preserve">, die als verzekeraar met </w:t>
      </w:r>
      <w:proofErr w:type="spellStart"/>
      <w:r w:rsidRPr="00A76FCD" w:rsidR="001C04D4">
        <w:t>Wft</w:t>
      </w:r>
      <w:proofErr w:type="spellEnd"/>
      <w:r w:rsidRPr="00A76FCD" w:rsidR="001C04D4">
        <w:t xml:space="preserve">-vergunning voldoende capaciteit kan mobiliseren en deskundigheid kan bieden als er na een grote terroristische aanslag massaal claims worden ingediend. </w:t>
      </w:r>
      <w:r w:rsidRPr="00A76FCD" w:rsidR="00FF5511">
        <w:t>Deskundigheid die de Staat anders moet inwinnen wanneer er een grote aanslag plaatsvindt. Hierdoor wordt de afhandeling van grootschalige terrorismeschade effectiever uitgevoerd</w:t>
      </w:r>
      <w:r w:rsidRPr="00A76FCD">
        <w:t xml:space="preserve"> door de NHT</w:t>
      </w:r>
      <w:r w:rsidRPr="00A76FCD" w:rsidR="00CE195D">
        <w:t xml:space="preserve"> d</w:t>
      </w:r>
      <w:r w:rsidRPr="00A76FCD" w:rsidR="00FF5511">
        <w:t xml:space="preserve">an wanneer dit door de Staat </w:t>
      </w:r>
      <w:r w:rsidRPr="00A76FCD">
        <w:t>uitgevoerd zou moeten worden</w:t>
      </w:r>
      <w:r w:rsidRPr="00A76FCD" w:rsidR="00FF5511">
        <w:t>.</w:t>
      </w:r>
    </w:p>
    <w:p w:rsidRPr="00A76FCD" w:rsidR="00304BFE" w:rsidP="00304BFE" w:rsidRDefault="00304BFE" w14:paraId="218057F5" w14:textId="77777777">
      <w:pPr>
        <w:pStyle w:val="Lijstniveau2"/>
        <w:numPr>
          <w:ilvl w:val="0"/>
          <w:numId w:val="0"/>
        </w:numPr>
        <w:ind w:left="1132"/>
        <w:jc w:val="both"/>
      </w:pPr>
    </w:p>
    <w:p w:rsidRPr="00A76FCD" w:rsidR="00EC3EFF" w:rsidP="00304BFE" w:rsidRDefault="00304BFE" w14:paraId="53BB18BC" w14:textId="77777777">
      <w:pPr>
        <w:pStyle w:val="Lijstniveau2"/>
        <w:numPr>
          <w:ilvl w:val="0"/>
          <w:numId w:val="0"/>
        </w:numPr>
        <w:ind w:left="1132"/>
        <w:jc w:val="both"/>
        <w:rPr>
          <w:highlight w:val="yellow"/>
        </w:rPr>
      </w:pPr>
      <w:r w:rsidRPr="00A76FCD">
        <w:t>He</w:t>
      </w:r>
      <w:r w:rsidRPr="00A76FCD" w:rsidR="00EC3EFF">
        <w:t xml:space="preserve">t doel van participatie van de Staat was eveneens om schade door terrorisme verzekerbaar te houden. Tevens zou in het geval van onverzekerbaarheid de Staat mogelijk een groter of het gehele aandeel in de schadevergoeding als gevolg van een terroristische aanslag moeten dragen. </w:t>
      </w:r>
      <w:r w:rsidRPr="00A76FCD" w:rsidR="00934786">
        <w:t>Hoewel de NHT ook kan voortbestaan zonder staatsparticipati</w:t>
      </w:r>
      <w:r w:rsidRPr="00A76FCD" w:rsidR="00EC3EFF">
        <w:t xml:space="preserve">e, </w:t>
      </w:r>
      <w:r w:rsidRPr="00A76FCD" w:rsidR="00934786">
        <w:t xml:space="preserve">wordt door te participeren in de NHT geborgd dat de NHT als marktoplossing in werking blijft en wordt daarmee voorkomen dat de Staat het eerste en </w:t>
      </w:r>
      <w:r w:rsidRPr="00A76FCD" w:rsidR="00CE195D">
        <w:t>enige</w:t>
      </w:r>
      <w:r w:rsidRPr="00A76FCD" w:rsidR="00934786">
        <w:t xml:space="preserve"> aanspreekpunt wordt bij schade door terrorisme. De </w:t>
      </w:r>
      <w:r w:rsidRPr="00A76FCD" w:rsidR="00E32D86">
        <w:t>S</w:t>
      </w:r>
      <w:r w:rsidRPr="00A76FCD" w:rsidR="00934786">
        <w:t xml:space="preserve">taat borgt hiermee een privaat-publieke verzekeringsoplossing en geeft hiermee een signaal af dat zij bijdraagt aan het verzekerbaar houden </w:t>
      </w:r>
      <w:r w:rsidR="00E84551">
        <w:t xml:space="preserve">van </w:t>
      </w:r>
      <w:r w:rsidRPr="00A76FCD" w:rsidR="00E32D86">
        <w:t>terrorismeschade</w:t>
      </w:r>
      <w:r w:rsidRPr="00A76FCD" w:rsidR="00934786">
        <w:t>. De spreiding van het risico tussen overheid en markt zorgt ervoor dat alle partijen minder risico lopen, premies hierdoor laag kunnen worden gehouden</w:t>
      </w:r>
      <w:r w:rsidRPr="00A76FCD" w:rsidR="003F012C">
        <w:t xml:space="preserve"> en de participatie van de Staat het gemakkelijker en goedkoper voor de NHT </w:t>
      </w:r>
      <w:r w:rsidR="00E84551">
        <w:t xml:space="preserve">maakt </w:t>
      </w:r>
      <w:r w:rsidRPr="00A76FCD" w:rsidR="003F012C">
        <w:t xml:space="preserve">om dekking in te kopen bij de internationale herverzekeraars. </w:t>
      </w:r>
    </w:p>
    <w:p w:rsidRPr="00A76FCD" w:rsidR="00EC3EFF" w:rsidP="008E3029" w:rsidRDefault="00EC3EFF" w14:paraId="4BB0D01E" w14:textId="77777777">
      <w:pPr>
        <w:ind w:left="1132"/>
        <w:jc w:val="both"/>
      </w:pPr>
    </w:p>
    <w:p w:rsidRPr="00A76FCD" w:rsidR="005E5493" w:rsidP="008E3029" w:rsidRDefault="00EC3EFF" w14:paraId="592CF759" w14:textId="77777777">
      <w:pPr>
        <w:ind w:left="1132"/>
        <w:jc w:val="both"/>
      </w:pPr>
      <w:r w:rsidRPr="00A76FCD">
        <w:t xml:space="preserve">Het eerste doel, verzekerbaarheid van terrorismeschade wordt dus bereikt door de werking van de NHT. Het tweede doel, namelijk het verzekerbaarheid </w:t>
      </w:r>
      <w:r w:rsidRPr="00A76FCD">
        <w:rPr>
          <w:i/>
          <w:iCs/>
        </w:rPr>
        <w:t>houden</w:t>
      </w:r>
      <w:r w:rsidRPr="00A76FCD">
        <w:t xml:space="preserve"> </w:t>
      </w:r>
      <w:r w:rsidRPr="00A76FCD" w:rsidR="00E32D86">
        <w:t xml:space="preserve">van terrorismeschade </w:t>
      </w:r>
      <w:r w:rsidRPr="00A76FCD">
        <w:t>en het borgen van de werking van de NHT wordt behaald door</w:t>
      </w:r>
      <w:r w:rsidRPr="00A76FCD" w:rsidR="00E32D86">
        <w:t xml:space="preserve"> te</w:t>
      </w:r>
      <w:r w:rsidRPr="00A76FCD">
        <w:t xml:space="preserve"> blijven participeren in de NHT met de voordelen voor de markt</w:t>
      </w:r>
      <w:r w:rsidRPr="00A76FCD" w:rsidR="00E32D86">
        <w:t xml:space="preserve"> (goedkopere dekking), burger (lagere premie)</w:t>
      </w:r>
      <w:r w:rsidRPr="00A76FCD">
        <w:t xml:space="preserve"> en de </w:t>
      </w:r>
      <w:r w:rsidRPr="00A76FCD" w:rsidR="00E32D86">
        <w:t>Staat (premie t.o.v. beperkt risico)</w:t>
      </w:r>
      <w:r w:rsidRPr="00A76FCD">
        <w:t xml:space="preserve">, van dien. </w:t>
      </w:r>
    </w:p>
    <w:p w:rsidRPr="00A76FCD" w:rsidR="000A0262" w:rsidP="008E3029" w:rsidRDefault="000A0262" w14:paraId="2D19F31D" w14:textId="77777777">
      <w:pPr>
        <w:pStyle w:val="Lijstniveau2"/>
        <w:numPr>
          <w:ilvl w:val="0"/>
          <w:numId w:val="0"/>
        </w:numPr>
        <w:ind w:left="1132"/>
        <w:jc w:val="both"/>
      </w:pPr>
    </w:p>
    <w:p w:rsidRPr="00A76FCD" w:rsidR="000F5831" w:rsidP="008E3029" w:rsidRDefault="000F5831" w14:paraId="57907AF2" w14:textId="77777777">
      <w:pPr>
        <w:pStyle w:val="Lijstniveau2"/>
        <w:jc w:val="both"/>
      </w:pPr>
      <w:r w:rsidRPr="00A76FCD">
        <w:rPr>
          <w:b/>
          <w:bCs/>
        </w:rPr>
        <w:t>Doelmatigheid van de staatsgarantie: verhouding tussen premie, kosten en risico voor de overheid</w:t>
      </w:r>
    </w:p>
    <w:p w:rsidRPr="00A76FCD" w:rsidR="003D1544" w:rsidP="008E3029" w:rsidRDefault="00DB03B4" w14:paraId="5CC986D4" w14:textId="77777777">
      <w:pPr>
        <w:pStyle w:val="Lijstniveau2"/>
        <w:numPr>
          <w:ilvl w:val="0"/>
          <w:numId w:val="0"/>
        </w:numPr>
        <w:ind w:left="1132"/>
        <w:jc w:val="both"/>
      </w:pPr>
      <w:r w:rsidRPr="00A76FCD">
        <w:t>D</w:t>
      </w:r>
      <w:r w:rsidRPr="00A76FCD" w:rsidR="00ED0984">
        <w:t xml:space="preserve">e premie </w:t>
      </w:r>
      <w:r w:rsidRPr="00A76FCD" w:rsidR="00277558">
        <w:t>die</w:t>
      </w:r>
      <w:r w:rsidRPr="00A76FCD" w:rsidR="00F204DE">
        <w:t xml:space="preserve"> </w:t>
      </w:r>
      <w:r w:rsidRPr="00A76FCD" w:rsidR="00277558">
        <w:t>de Staat ontvang</w:t>
      </w:r>
      <w:r w:rsidRPr="00A76FCD" w:rsidR="00F204DE">
        <w:t>t</w:t>
      </w:r>
      <w:r w:rsidRPr="00A76FCD">
        <w:t xml:space="preserve"> is</w:t>
      </w:r>
      <w:r w:rsidRPr="00A76FCD" w:rsidR="00ED0984">
        <w:t xml:space="preserve"> gebaseerd op de premie die de marktpartijen betalen</w:t>
      </w:r>
      <w:r w:rsidR="00E84551">
        <w:t xml:space="preserve"> aan de NHT</w:t>
      </w:r>
      <w:r w:rsidRPr="00A76FCD" w:rsidR="00ED0984">
        <w:t xml:space="preserve"> en </w:t>
      </w:r>
      <w:r w:rsidRPr="00A76FCD" w:rsidR="00F204DE">
        <w:t xml:space="preserve">is </w:t>
      </w:r>
      <w:r w:rsidRPr="00A76FCD" w:rsidR="00277558">
        <w:t xml:space="preserve">daarmee </w:t>
      </w:r>
      <w:r w:rsidRPr="00A76FCD" w:rsidR="00ED0984">
        <w:t>marktconform.</w:t>
      </w:r>
      <w:r w:rsidRPr="00A76FCD" w:rsidR="00755679">
        <w:t xml:space="preserve"> </w:t>
      </w:r>
      <w:r w:rsidRPr="00A76FCD" w:rsidR="000825E8">
        <w:t xml:space="preserve">De premie van 2024 en </w:t>
      </w:r>
      <w:bookmarkStart w:name="_Hlk197538572" w:id="7"/>
      <w:r w:rsidRPr="00A76FCD" w:rsidR="000825E8">
        <w:t>2025 bedraagt €535.500.</w:t>
      </w:r>
      <w:bookmarkEnd w:id="7"/>
      <w:r w:rsidRPr="00A76FCD" w:rsidR="000825E8">
        <w:t xml:space="preserve"> </w:t>
      </w:r>
      <w:r w:rsidRPr="00A76FCD" w:rsidR="003D1544">
        <w:t xml:space="preserve">Door de marktconformiteit staat de premie in verhouding tot de gemaakte kosten en het risico van de overheid bij het verstrekken van de garantie. </w:t>
      </w:r>
    </w:p>
    <w:p w:rsidRPr="00A76FCD" w:rsidR="003D1544" w:rsidP="008E3029" w:rsidRDefault="003D1544" w14:paraId="3A4668F4" w14:textId="77777777">
      <w:pPr>
        <w:pStyle w:val="Lijstniveau2"/>
        <w:numPr>
          <w:ilvl w:val="0"/>
          <w:numId w:val="0"/>
        </w:numPr>
        <w:ind w:left="1132"/>
        <w:jc w:val="both"/>
      </w:pPr>
    </w:p>
    <w:p w:rsidRPr="00A76FCD" w:rsidR="001F47B9" w:rsidP="008E3029" w:rsidRDefault="000A0262" w14:paraId="3A352EBC" w14:textId="77777777">
      <w:pPr>
        <w:pStyle w:val="Lijstniveau2"/>
        <w:numPr>
          <w:ilvl w:val="0"/>
          <w:numId w:val="0"/>
        </w:numPr>
        <w:ind w:left="1132"/>
        <w:jc w:val="both"/>
      </w:pPr>
      <w:r w:rsidRPr="00A76FCD">
        <w:lastRenderedPageBreak/>
        <w:t>Andere h</w:t>
      </w:r>
      <w:r w:rsidRPr="00A76FCD" w:rsidR="00277558">
        <w:t>erverzekeraars dienen</w:t>
      </w:r>
      <w:r w:rsidRPr="00A76FCD" w:rsidR="00756B2D">
        <w:t xml:space="preserve"> </w:t>
      </w:r>
      <w:r w:rsidRPr="00A76FCD" w:rsidR="00277558">
        <w:t>10% commissie over de ontvangen premie aan de NHT retour te betalen</w:t>
      </w:r>
      <w:r w:rsidRPr="00A76FCD" w:rsidR="00AA20FB">
        <w:t xml:space="preserve">, de Staat niet. In feite maakt </w:t>
      </w:r>
      <w:r w:rsidRPr="00A76FCD" w:rsidR="00FE7ADF">
        <w:t>dit de</w:t>
      </w:r>
      <w:r w:rsidRPr="00A76FCD" w:rsidR="00277558">
        <w:t xml:space="preserve"> overheidsdekking 10% duurder </w:t>
      </w:r>
      <w:r w:rsidRPr="00A76FCD" w:rsidR="00AA20FB">
        <w:t xml:space="preserve">voor de verzekeraars </w:t>
      </w:r>
      <w:r w:rsidRPr="00A76FCD" w:rsidR="00277558">
        <w:t xml:space="preserve">dan </w:t>
      </w:r>
      <w:r w:rsidRPr="00A76FCD" w:rsidR="00AA20FB">
        <w:t xml:space="preserve">een </w:t>
      </w:r>
      <w:r w:rsidRPr="00A76FCD" w:rsidR="00277558">
        <w:t>marktdekking</w:t>
      </w:r>
      <w:r w:rsidRPr="00A76FCD" w:rsidR="00AA20FB">
        <w:t>.</w:t>
      </w:r>
      <w:r w:rsidRPr="00A76FCD" w:rsidR="00277558">
        <w:t xml:space="preserve"> De premie die de Staat uiteindelijk ontvangt is hierdoor iets hoger dan die van de internationale herverzekeraars, terwijl het risico </w:t>
      </w:r>
      <w:r w:rsidRPr="00A76FCD" w:rsidR="00F204DE">
        <w:t xml:space="preserve">voor de Staat </w:t>
      </w:r>
      <w:r w:rsidRPr="00A76FCD" w:rsidR="00277558">
        <w:t xml:space="preserve">juist lager ligt. Reden hiervoor is dat herverzekeraars hierdoor geprikkeld worden om het risico van de </w:t>
      </w:r>
      <w:r w:rsidR="00E84551">
        <w:t>S</w:t>
      </w:r>
      <w:r w:rsidRPr="00A76FCD" w:rsidR="00277558">
        <w:t>taat over te nemen</w:t>
      </w:r>
      <w:r w:rsidRPr="00A76FCD" w:rsidR="00755679">
        <w:t xml:space="preserve">. Deze stimulering van de markt blijkt te werken, gegeven het feit dat de markt het </w:t>
      </w:r>
      <w:r w:rsidR="00012521">
        <w:t xml:space="preserve">€150 miljoen aan dekking van de Staat heeft overgenomen. </w:t>
      </w:r>
    </w:p>
    <w:p w:rsidRPr="00A76FCD" w:rsidR="001F47B9" w:rsidP="008E3029" w:rsidRDefault="001F47B9" w14:paraId="254EB0D3" w14:textId="77777777">
      <w:pPr>
        <w:pStyle w:val="Lijstniveau2"/>
        <w:numPr>
          <w:ilvl w:val="0"/>
          <w:numId w:val="0"/>
        </w:numPr>
        <w:ind w:left="1132"/>
        <w:jc w:val="both"/>
      </w:pPr>
    </w:p>
    <w:p w:rsidRPr="00A76FCD" w:rsidR="00E60C3E" w:rsidP="008E3029" w:rsidRDefault="002A0996" w14:paraId="56E24FEA" w14:textId="77777777">
      <w:pPr>
        <w:pStyle w:val="Lijstniveau2"/>
        <w:numPr>
          <w:ilvl w:val="0"/>
          <w:numId w:val="0"/>
        </w:numPr>
        <w:ind w:left="1132"/>
        <w:jc w:val="both"/>
        <w:rPr>
          <w:b/>
          <w:bCs/>
        </w:rPr>
      </w:pPr>
      <w:r w:rsidRPr="00A76FCD">
        <w:t>De afgelopen jaren is de te ontvangen premie gedaald t</w:t>
      </w:r>
      <w:r w:rsidRPr="00A76FCD" w:rsidR="005E5493">
        <w:t>en opzichte van</w:t>
      </w:r>
      <w:r w:rsidRPr="00A76FCD">
        <w:t xml:space="preserve"> eerdere jaren. </w:t>
      </w:r>
      <w:r w:rsidRPr="00A76FCD" w:rsidR="00F204DE">
        <w:t xml:space="preserve">De </w:t>
      </w:r>
      <w:r w:rsidRPr="00A76FCD" w:rsidR="00F204DE">
        <w:rPr>
          <w:rFonts w:eastAsia="Times New Roman" w:cs="Calibri"/>
        </w:rPr>
        <w:t>NHT geeft aan dit vooral wordt veroorzaakt door een dalende perceptie bij verzekeraars en herverzekeraars ten aanzien van het risico op omvangrijke terroristische aanslagen</w:t>
      </w:r>
      <w:r w:rsidRPr="00A76FCD" w:rsidR="003F3FED">
        <w:t>.</w:t>
      </w:r>
      <w:r w:rsidRPr="00A76FCD" w:rsidR="00755679">
        <w:t xml:space="preserve"> </w:t>
      </w:r>
      <w:r w:rsidRPr="00A76FCD" w:rsidR="00755679">
        <w:rPr>
          <w:rFonts w:eastAsia="Times New Roman" w:cs="Calibri"/>
        </w:rPr>
        <w:t>Onderzoeken die NHT heeft laten uitvoeren over trends in terrorismedreiging wijzen ook in die richting.</w:t>
      </w:r>
      <w:r w:rsidRPr="00A76FCD" w:rsidR="00FA524E">
        <w:rPr>
          <w:rFonts w:eastAsia="Times New Roman" w:cs="Calibri"/>
        </w:rPr>
        <w:t xml:space="preserve"> </w:t>
      </w:r>
      <w:r w:rsidRPr="00A76FCD" w:rsidR="00CD102C">
        <w:rPr>
          <w:rFonts w:eastAsia="Times New Roman" w:cs="Calibri"/>
        </w:rPr>
        <w:t xml:space="preserve">De dalende perceptie, ondanks het actuele dreigingsniveau, heeft ermee te maken dat </w:t>
      </w:r>
      <w:r w:rsidRPr="00A76FCD" w:rsidR="00CD102C">
        <w:t xml:space="preserve">sinds 9/11 de manier waarop veiligheids- en opsporingsdiensten werken sterk is verbeterd. </w:t>
      </w:r>
      <w:r w:rsidRPr="00A76FCD" w:rsidR="00AA20FB">
        <w:t xml:space="preserve">De voorbereiding van </w:t>
      </w:r>
      <w:r w:rsidRPr="00A76FCD" w:rsidR="00FA524E">
        <w:t>een grootschalige</w:t>
      </w:r>
      <w:r w:rsidRPr="00A76FCD" w:rsidR="00CD102C">
        <w:t xml:space="preserve"> aanslag kunnen ze</w:t>
      </w:r>
      <w:r w:rsidRPr="00A76FCD" w:rsidR="00AA20FB">
        <w:t xml:space="preserve"> hierdoor</w:t>
      </w:r>
      <w:r w:rsidRPr="00A76FCD" w:rsidR="00CD102C">
        <w:t xml:space="preserve"> eerder</w:t>
      </w:r>
      <w:r w:rsidRPr="00A76FCD" w:rsidR="00AA20FB">
        <w:t xml:space="preserve"> detecteren</w:t>
      </w:r>
      <w:r w:rsidRPr="00A76FCD" w:rsidR="00CD102C">
        <w:t xml:space="preserve"> in de gaten hebben en hopelijk eerder voorkomen. De terreur van de </w:t>
      </w:r>
      <w:proofErr w:type="spellStart"/>
      <w:r w:rsidRPr="00A76FCD" w:rsidR="00CD102C">
        <w:rPr>
          <w:i/>
          <w:iCs/>
        </w:rPr>
        <w:t>lone</w:t>
      </w:r>
      <w:proofErr w:type="spellEnd"/>
      <w:r w:rsidRPr="00A76FCD" w:rsidR="00CD102C">
        <w:rPr>
          <w:i/>
          <w:iCs/>
        </w:rPr>
        <w:t xml:space="preserve"> </w:t>
      </w:r>
      <w:proofErr w:type="spellStart"/>
      <w:r w:rsidRPr="00A76FCD" w:rsidR="00CD102C">
        <w:rPr>
          <w:i/>
          <w:iCs/>
        </w:rPr>
        <w:t>wolves</w:t>
      </w:r>
      <w:proofErr w:type="spellEnd"/>
      <w:r w:rsidRPr="00A76FCD" w:rsidR="005E5493">
        <w:rPr>
          <w:i/>
          <w:iCs/>
        </w:rPr>
        <w:t xml:space="preserve"> </w:t>
      </w:r>
      <w:r w:rsidRPr="009E2138" w:rsidR="003E4F5A">
        <w:t xml:space="preserve">is minder goed voorspelbaar maar </w:t>
      </w:r>
      <w:r w:rsidRPr="003E4F5A" w:rsidR="005E5493">
        <w:t xml:space="preserve">die </w:t>
      </w:r>
      <w:r w:rsidRPr="003E4F5A" w:rsidR="003E4F5A">
        <w:t>pl</w:t>
      </w:r>
      <w:r w:rsidR="003E4F5A">
        <w:t xml:space="preserve">egen </w:t>
      </w:r>
      <w:r w:rsidRPr="00A76FCD" w:rsidR="005E5493">
        <w:t>mogelijk minder omvangrijke aanslagen</w:t>
      </w:r>
      <w:r w:rsidRPr="00A76FCD" w:rsidR="00CD102C">
        <w:t>.</w:t>
      </w:r>
    </w:p>
    <w:p w:rsidRPr="00A76FCD" w:rsidR="002D0131" w:rsidP="008E3029" w:rsidRDefault="002D0131" w14:paraId="4320A5DD" w14:textId="77777777">
      <w:pPr>
        <w:pStyle w:val="Lijstniveau2"/>
        <w:numPr>
          <w:ilvl w:val="0"/>
          <w:numId w:val="0"/>
        </w:numPr>
        <w:ind w:left="1132"/>
        <w:jc w:val="both"/>
      </w:pPr>
    </w:p>
    <w:p w:rsidRPr="00A76FCD" w:rsidR="00CC0625" w:rsidP="008E3029" w:rsidRDefault="000F5831" w14:paraId="5687F1AA" w14:textId="77777777">
      <w:pPr>
        <w:pStyle w:val="Lijstniveau2"/>
        <w:jc w:val="both"/>
      </w:pPr>
      <w:r w:rsidRPr="00A76FCD">
        <w:rPr>
          <w:b/>
          <w:bCs/>
        </w:rPr>
        <w:t>Beoordeling van ongewenste bijwerkingen en neveneffecten van het beleid</w:t>
      </w:r>
    </w:p>
    <w:p w:rsidRPr="00A76FCD" w:rsidR="00F204DE" w:rsidP="008E3029" w:rsidRDefault="00F204DE" w14:paraId="384EF38E" w14:textId="77777777">
      <w:pPr>
        <w:pStyle w:val="Lijstniveau2"/>
        <w:numPr>
          <w:ilvl w:val="0"/>
          <w:numId w:val="0"/>
        </w:numPr>
        <w:ind w:left="1132"/>
        <w:jc w:val="both"/>
      </w:pPr>
      <w:r w:rsidRPr="00A76FCD">
        <w:t xml:space="preserve">Er zijn geen signalen ontvangen waaruit blijkt dat het beleid ongewenste bijwerkingen of neveneffecten heeft gehad. Wel dient opgemerkt te worden dat </w:t>
      </w:r>
      <w:r w:rsidRPr="00A76FCD" w:rsidR="00CF1B36">
        <w:t xml:space="preserve">de NHT alleen van toepassing is op gedekte gebeurtenissen van deelnemende verzekeraars. Dit betekent dat een burger die bepaalde objecten niet heeft verzekerd of </w:t>
      </w:r>
      <w:r w:rsidRPr="00A76FCD" w:rsidR="00DD0FCC">
        <w:t xml:space="preserve">niet </w:t>
      </w:r>
      <w:r w:rsidRPr="00A76FCD" w:rsidR="00CF1B36">
        <w:t>is aangesloten bij een verzekeraar</w:t>
      </w:r>
      <w:r w:rsidRPr="00A76FCD" w:rsidR="00DD0FCC">
        <w:t xml:space="preserve"> die is aangesloten bij de NHT</w:t>
      </w:r>
      <w:r w:rsidRPr="00A76FCD" w:rsidR="00CF1B36">
        <w:t xml:space="preserve">, geen aanspraak </w:t>
      </w:r>
      <w:r w:rsidRPr="00A76FCD" w:rsidR="00DD0FCC">
        <w:t xml:space="preserve">kan maken </w:t>
      </w:r>
      <w:r w:rsidR="00AE6A88">
        <w:t xml:space="preserve">op </w:t>
      </w:r>
      <w:r w:rsidRPr="00A76FCD" w:rsidR="00DD0FCC">
        <w:t>de capaciteit van de NHT</w:t>
      </w:r>
      <w:r w:rsidRPr="00A76FCD" w:rsidR="00CF1B36">
        <w:t xml:space="preserve">. </w:t>
      </w:r>
    </w:p>
    <w:p w:rsidRPr="00A76FCD" w:rsidR="00CF1B36" w:rsidP="008E3029" w:rsidRDefault="00CF1B36" w14:paraId="47E25E89" w14:textId="77777777">
      <w:pPr>
        <w:pStyle w:val="Lijstniveau2"/>
        <w:numPr>
          <w:ilvl w:val="0"/>
          <w:numId w:val="0"/>
        </w:numPr>
        <w:jc w:val="both"/>
      </w:pPr>
    </w:p>
    <w:p w:rsidR="007D0A76" w:rsidP="008E3029" w:rsidRDefault="00F03EC5" w14:paraId="52518057" w14:textId="77777777">
      <w:pPr>
        <w:ind w:left="1132"/>
        <w:jc w:val="both"/>
      </w:pPr>
      <w:r w:rsidRPr="00A76FCD">
        <w:t>Daarnaast is de NHT gelimiteerd tot een bedrag van €</w:t>
      </w:r>
      <w:r w:rsidRPr="00A76FCD" w:rsidR="007D0A76">
        <w:t>1 miljard.</w:t>
      </w:r>
      <w:r w:rsidRPr="00A76FCD" w:rsidR="007762B8">
        <w:t xml:space="preserve"> Mocht de totale schade bij een grote gebeurtenis hoger uitvallen, dan wordt er naar rato uitgekeerd en krijgen de gedupeerden een gedeelte vergoed.</w:t>
      </w:r>
      <w:r w:rsidR="0050107E">
        <w:rPr>
          <w:rStyle w:val="Voetnootmarkering"/>
        </w:rPr>
        <w:footnoteReference w:id="17"/>
      </w:r>
      <w:r w:rsidRPr="00A76FCD" w:rsidR="007762B8">
        <w:t> </w:t>
      </w:r>
      <w:r w:rsidR="00AE6A88">
        <w:t xml:space="preserve">Mocht deze situatie zich voordoen, </w:t>
      </w:r>
      <w:r w:rsidRPr="00A76FCD" w:rsidR="007762B8">
        <w:t xml:space="preserve">dan kan het voor </w:t>
      </w:r>
      <w:r w:rsidR="00AE6A88">
        <w:t>een</w:t>
      </w:r>
      <w:r w:rsidRPr="00A76FCD" w:rsidR="007D0A76">
        <w:t xml:space="preserve"> burger moeilijk te accepteren</w:t>
      </w:r>
      <w:r w:rsidR="00AE6A88">
        <w:t xml:space="preserve"> zijn</w:t>
      </w:r>
      <w:r w:rsidRPr="00A76FCD" w:rsidR="007D0A76">
        <w:t xml:space="preserve"> dat hij na een terroristische aanslag met een deel van zijn schadepost blijft zitten. Tegelijkertijd komt de continuïteit van de verzekeringssector in het geding als de capaciteit van de NHT ongelimiteerd is. Daarom is besloten om de NHT een maximumcapaciteit toe te kennen. Bedraagt de schade meer dan </w:t>
      </w:r>
      <w:r w:rsidRPr="00A76FCD" w:rsidR="000825E8">
        <w:t>€</w:t>
      </w:r>
      <w:r w:rsidRPr="00A76FCD" w:rsidR="007D0A76">
        <w:t xml:space="preserve">1 miljard, </w:t>
      </w:r>
      <w:r w:rsidRPr="00A76FCD" w:rsidR="007762B8">
        <w:t xml:space="preserve">dan </w:t>
      </w:r>
      <w:r w:rsidRPr="00A76FCD" w:rsidR="007D0A76">
        <w:t>is</w:t>
      </w:r>
      <w:r w:rsidRPr="00A76FCD" w:rsidR="007762B8">
        <w:t xml:space="preserve"> het</w:t>
      </w:r>
      <w:r w:rsidRPr="00A76FCD" w:rsidR="007D0A76">
        <w:t xml:space="preserve"> aan de overheid of in zo’n geval alsnog wordt besloten om meer financiële middelen ter beschikking te stellen</w:t>
      </w:r>
      <w:r w:rsidRPr="00A76FCD">
        <w:t>.</w:t>
      </w:r>
      <w:r w:rsidRPr="00A76FCD">
        <w:rPr>
          <w:rStyle w:val="Voetnootmarkering"/>
        </w:rPr>
        <w:footnoteReference w:id="18"/>
      </w:r>
    </w:p>
    <w:p w:rsidR="007B5944" w:rsidP="008E3029" w:rsidRDefault="007B5944" w14:paraId="1BB569E4" w14:textId="77777777">
      <w:pPr>
        <w:ind w:left="1132"/>
        <w:jc w:val="both"/>
      </w:pPr>
    </w:p>
    <w:p w:rsidRPr="007B5944" w:rsidR="007B5944" w:rsidP="007B5944" w:rsidRDefault="007B5944" w14:paraId="19AC12F7" w14:textId="77777777">
      <w:pPr>
        <w:ind w:left="1132"/>
        <w:jc w:val="both"/>
      </w:pPr>
      <w:r w:rsidRPr="007B5944">
        <w:t>Hoewel de schade extreem groot moet zijn voordat de totale capaciteit van de NHT wordt overschreden, is dit risico niet volledig uit te sluiten. Dat komt</w:t>
      </w:r>
      <w:r>
        <w:t xml:space="preserve"> ook</w:t>
      </w:r>
      <w:r w:rsidRPr="007B5944">
        <w:t xml:space="preserve"> doordat sommige </w:t>
      </w:r>
      <w:r>
        <w:t>levens- en schade</w:t>
      </w:r>
      <w:r w:rsidRPr="007B5944">
        <w:t xml:space="preserve">verzekeringen, </w:t>
      </w:r>
      <w:r>
        <w:t>d</w:t>
      </w:r>
      <w:r w:rsidRPr="007B5944">
        <w:t xml:space="preserve">ie vóór de oprichting van de NHT zijn afgesloten, het terrorismerisico nog steeds </w:t>
      </w:r>
      <w:r>
        <w:t xml:space="preserve">onvoorwaardelijk en </w:t>
      </w:r>
      <w:r w:rsidRPr="007B5944">
        <w:t xml:space="preserve">volledig dekken en tussentijds niet kunnen worden aangepast. </w:t>
      </w:r>
    </w:p>
    <w:p w:rsidRPr="00A76FCD" w:rsidR="007B5944" w:rsidP="007B5944" w:rsidRDefault="007B5944" w14:paraId="79605DFA" w14:textId="77777777">
      <w:pPr>
        <w:ind w:left="1132"/>
        <w:jc w:val="both"/>
      </w:pPr>
      <w:r w:rsidRPr="007B5944">
        <w:t>Als de schade door een terroristische aanslag groter is dan wat de NHT kan vergoeden, kan dat het Nederlandse verzekeringsstelsel onder druk zetten. Dit vormt een risico voor de stabiliteit van de financiële sector.</w:t>
      </w:r>
      <w:r>
        <w:rPr>
          <w:rStyle w:val="Voetnootmarkering"/>
        </w:rPr>
        <w:footnoteReference w:id="19"/>
      </w:r>
      <w:r w:rsidRPr="007B5944">
        <w:t xml:space="preserve"> Om dat te voorkomen</w:t>
      </w:r>
      <w:r>
        <w:t xml:space="preserve"> is in </w:t>
      </w:r>
      <w:r w:rsidRPr="007B5944">
        <w:t>2003</w:t>
      </w:r>
      <w:r>
        <w:t xml:space="preserve"> ten tijde van de oprichting van de NHT</w:t>
      </w:r>
      <w:r w:rsidRPr="007B5944">
        <w:t xml:space="preserve"> een wetswijziging doorgevoerd</w:t>
      </w:r>
      <w:r>
        <w:t xml:space="preserve"> in de Noodwet financieel verkeer</w:t>
      </w:r>
      <w:r w:rsidRPr="007B5944">
        <w:t>.</w:t>
      </w:r>
      <w:r>
        <w:rPr>
          <w:rStyle w:val="Voetnootmarkering"/>
        </w:rPr>
        <w:footnoteReference w:id="20"/>
      </w:r>
      <w:r w:rsidRPr="007B5944">
        <w:t xml:space="preserve"> </w:t>
      </w:r>
      <w:r>
        <w:t xml:space="preserve">Artikel 18b van de </w:t>
      </w:r>
      <w:r>
        <w:lastRenderedPageBreak/>
        <w:t>Noodwet financieel verkeer</w:t>
      </w:r>
      <w:r w:rsidRPr="007B5944">
        <w:t xml:space="preserve"> geeft de </w:t>
      </w:r>
      <w:r w:rsidR="003E4F5A">
        <w:t>m</w:t>
      </w:r>
      <w:r w:rsidRPr="007B5944">
        <w:t>inister van Financiën de bevoegdheid om, in het geval van een zeer grote terroristische aanslag, schade</w:t>
      </w:r>
      <w:r w:rsidR="003E4F5A">
        <w:t>-</w:t>
      </w:r>
      <w:r w:rsidRPr="007B5944">
        <w:t>uitkeringen te verlagen.</w:t>
      </w:r>
    </w:p>
    <w:p w:rsidRPr="00A76FCD" w:rsidR="00F204DE" w:rsidP="008E3029" w:rsidRDefault="00F204DE" w14:paraId="01022E45" w14:textId="77777777">
      <w:pPr>
        <w:pStyle w:val="Lijstniveau2"/>
        <w:numPr>
          <w:ilvl w:val="0"/>
          <w:numId w:val="0"/>
        </w:numPr>
        <w:jc w:val="both"/>
      </w:pPr>
    </w:p>
    <w:p w:rsidRPr="00A76FCD" w:rsidR="00CC0625" w:rsidP="008E3029" w:rsidRDefault="00CC0625" w14:paraId="4BB5B6A7" w14:textId="77777777">
      <w:pPr>
        <w:pStyle w:val="Lijstniveau2"/>
        <w:jc w:val="both"/>
      </w:pPr>
      <w:r w:rsidRPr="00A76FCD">
        <w:rPr>
          <w:b/>
          <w:bCs/>
        </w:rPr>
        <w:t>Alternatieven voor staatsdeelname ter realisatie van het oorspronkelijke doel van de NHT</w:t>
      </w:r>
    </w:p>
    <w:p w:rsidRPr="00A76FCD" w:rsidR="00CD102C" w:rsidP="008E3029" w:rsidRDefault="003F012C" w14:paraId="152CF73E" w14:textId="77777777">
      <w:pPr>
        <w:pStyle w:val="Lijstniveau2"/>
        <w:numPr>
          <w:ilvl w:val="0"/>
          <w:numId w:val="0"/>
        </w:numPr>
        <w:ind w:left="1132"/>
        <w:jc w:val="both"/>
      </w:pPr>
      <w:r w:rsidRPr="00A76FCD">
        <w:t xml:space="preserve">Het doel van oprichting en deelname van de Staat in de NHT is dat terrorismeschade verzekerbaar wordt gehouden </w:t>
      </w:r>
      <w:r w:rsidRPr="00A76FCD" w:rsidR="00E32D86">
        <w:t xml:space="preserve">en daarmee </w:t>
      </w:r>
      <w:r w:rsidRPr="00A76FCD" w:rsidR="00BF5355">
        <w:t xml:space="preserve">eveneens </w:t>
      </w:r>
      <w:r w:rsidRPr="00A76FCD" w:rsidR="00E32D86">
        <w:t xml:space="preserve">wordt voorkomen </w:t>
      </w:r>
      <w:r w:rsidRPr="00A76FCD" w:rsidR="00BF5355">
        <w:t xml:space="preserve">dat </w:t>
      </w:r>
      <w:r w:rsidRPr="00A76FCD" w:rsidR="00E32D86">
        <w:t xml:space="preserve">de Staat mogelijk een groter of het gehele aandeel in de schadevergoeding als gevolg van een terroristische aanslag moet dragen. </w:t>
      </w:r>
      <w:r w:rsidRPr="00A76FCD" w:rsidR="00CD102C">
        <w:t>Een ander alternatief</w:t>
      </w:r>
      <w:r w:rsidRPr="00A76FCD" w:rsidR="00E922E1">
        <w:t xml:space="preserve"> </w:t>
      </w:r>
      <w:r w:rsidRPr="00A76FCD" w:rsidR="005E5493">
        <w:t xml:space="preserve">om de verzekerbaarheid te bereiken </w:t>
      </w:r>
      <w:r w:rsidRPr="00A76FCD" w:rsidR="00CD102C">
        <w:t>is middels subsidies bepaalde terrorismeverzekeringen betaalbaar te maken</w:t>
      </w:r>
      <w:r w:rsidRPr="00A76FCD" w:rsidR="00E922E1">
        <w:t xml:space="preserve">. </w:t>
      </w:r>
      <w:r w:rsidRPr="00A76FCD" w:rsidR="00CD102C">
        <w:t>Hier kan weinig effect van worden verwacht, omdat het probleem niet zozeer de hoogte van premie is, maar veeleer het hoge en onvoorspelbare risico dat de verzekeraar loopt. Om die reden ligt risicospreiding, zoals dat binnen NHT plaatsvindt, meer voor de hand. Bovendien zijn aan een subsidieregeling hogere uitvoeringskosten verbonden en is het onwaarschijnlijk dat internationale herverzekeraars bereid zijn hun positie hierdoor aan te passen.</w:t>
      </w:r>
      <w:r w:rsidRPr="00A76FCD" w:rsidR="00E32D86">
        <w:t xml:space="preserve"> Andere vormen van risicoregelingen, zoals een </w:t>
      </w:r>
      <w:proofErr w:type="spellStart"/>
      <w:r w:rsidRPr="00A76FCD" w:rsidR="00E645F8">
        <w:t>achterborgstelling</w:t>
      </w:r>
      <w:proofErr w:type="spellEnd"/>
      <w:r w:rsidR="00AE6A88">
        <w:t>,</w:t>
      </w:r>
      <w:r w:rsidRPr="00A76FCD" w:rsidR="00E32D86">
        <w:t xml:space="preserve"> </w:t>
      </w:r>
      <w:r w:rsidRPr="00A76FCD" w:rsidR="005C0BE0">
        <w:t>lig</w:t>
      </w:r>
      <w:r w:rsidR="00AE6A88">
        <w:t>gen</w:t>
      </w:r>
      <w:r w:rsidRPr="00A76FCD" w:rsidR="005C0BE0">
        <w:t xml:space="preserve"> hierbij niet voor de hand gezien van de Staat een directe garantie en daarmee zekerheid </w:t>
      </w:r>
      <w:r w:rsidR="00AE6A88">
        <w:t>w</w:t>
      </w:r>
      <w:r w:rsidRPr="00A76FCD" w:rsidR="005C0BE0">
        <w:t>ordt verlangd en niet dat een aangewezen tussenpersoon hiervoor wordt aangewezen. Ook</w:t>
      </w:r>
      <w:r w:rsidRPr="00A76FCD" w:rsidR="00E32D86">
        <w:t xml:space="preserve"> een lening</w:t>
      </w:r>
      <w:r w:rsidRPr="00A76FCD" w:rsidR="005C0BE0">
        <w:t xml:space="preserve"> is geen passende oplossing gezien er geen directe middelen dienen te worden verstrekt, maar pas wanneer de realisatie van het risico zich voordoet.</w:t>
      </w:r>
      <w:r w:rsidRPr="00A76FCD" w:rsidR="00CE195D">
        <w:rPr>
          <w:rStyle w:val="Voetnootmarkering"/>
        </w:rPr>
        <w:footnoteReference w:id="21"/>
      </w:r>
      <w:r w:rsidRPr="00A76FCD" w:rsidR="005C0BE0">
        <w:t xml:space="preserve"> </w:t>
      </w:r>
    </w:p>
    <w:p w:rsidRPr="00A76FCD" w:rsidR="007D0A76" w:rsidP="008E3029" w:rsidRDefault="007D0A76" w14:paraId="7915CAE7" w14:textId="77777777">
      <w:pPr>
        <w:pStyle w:val="Lijstniveau1"/>
        <w:numPr>
          <w:ilvl w:val="0"/>
          <w:numId w:val="0"/>
        </w:numPr>
        <w:jc w:val="both"/>
        <w:rPr>
          <w:b/>
          <w:bCs/>
        </w:rPr>
      </w:pPr>
    </w:p>
    <w:p w:rsidRPr="00A76FCD" w:rsidR="002D0131" w:rsidP="008E3029" w:rsidRDefault="00E561FA" w14:paraId="541607C3" w14:textId="77777777">
      <w:pPr>
        <w:pStyle w:val="Lijstniveau1"/>
        <w:jc w:val="both"/>
        <w:rPr>
          <w:b/>
          <w:bCs/>
        </w:rPr>
      </w:pPr>
      <w:r w:rsidRPr="00A76FCD">
        <w:rPr>
          <w:b/>
          <w:bCs/>
        </w:rPr>
        <w:t>Terrorismepools en overheidsbetrokkenheid</w:t>
      </w:r>
      <w:r w:rsidRPr="00A76FCD" w:rsidR="00CC0625">
        <w:rPr>
          <w:b/>
          <w:bCs/>
        </w:rPr>
        <w:t xml:space="preserve"> in andere </w:t>
      </w:r>
      <w:r w:rsidRPr="00A76FCD" w:rsidR="007A6D32">
        <w:rPr>
          <w:b/>
          <w:bCs/>
        </w:rPr>
        <w:t>lidstaten</w:t>
      </w:r>
    </w:p>
    <w:p w:rsidR="0036712D" w:rsidP="00B072CA" w:rsidRDefault="0036712D" w14:paraId="6C34A9D1" w14:textId="77777777">
      <w:pPr>
        <w:pStyle w:val="Lijstniveau2"/>
      </w:pPr>
      <w:r w:rsidRPr="00A76FCD">
        <w:t>Om de rol van de Staat bij de NHT te beoordelen, is het belangrijk te kijken naar de status van terroris</w:t>
      </w:r>
      <w:r w:rsidRPr="00A76FCD" w:rsidR="00B072CA">
        <w:t>me</w:t>
      </w:r>
      <w:r w:rsidRPr="00A76FCD">
        <w:t xml:space="preserve">pools en staatsgaranties in andere lidstaten van de Europese Unie. </w:t>
      </w:r>
      <w:r w:rsidRPr="00A76FCD" w:rsidR="00B072CA">
        <w:t xml:space="preserve">Ten tijde van de oprichting van de NHT wordt </w:t>
      </w:r>
      <w:r w:rsidRPr="00A76FCD">
        <w:t>in Kamerstukken vermeld dat de staatsherverzekering aan de NHT een vergelijkbare functie vervult als in andere EU-lidstaten.</w:t>
      </w:r>
      <w:r w:rsidRPr="00A76FCD" w:rsidR="00B072CA">
        <w:rPr>
          <w:rStyle w:val="Voetnootmarkering"/>
        </w:rPr>
        <w:footnoteReference w:id="22"/>
      </w:r>
      <w:r w:rsidRPr="00A76FCD">
        <w:t xml:space="preserve"> Of de huidige invulling van de staatsgarantie nog passend is, kan</w:t>
      </w:r>
      <w:r w:rsidRPr="00A76FCD" w:rsidR="00B072CA">
        <w:t xml:space="preserve"> onder andere</w:t>
      </w:r>
      <w:r w:rsidRPr="00A76FCD">
        <w:t xml:space="preserve"> worden beoordeeld door deze te vergelijken met de situatie in andere lidstaten, vooral in landen met ervaring met terroristische aanslagen.</w:t>
      </w:r>
    </w:p>
    <w:p w:rsidRPr="00A76FCD" w:rsidR="00DC2782" w:rsidP="009E2138" w:rsidRDefault="00DC2782" w14:paraId="3B6398EF" w14:textId="77777777">
      <w:pPr>
        <w:pStyle w:val="Lijstniveau2"/>
        <w:numPr>
          <w:ilvl w:val="0"/>
          <w:numId w:val="0"/>
        </w:numPr>
        <w:ind w:left="1132"/>
      </w:pPr>
    </w:p>
    <w:p w:rsidRPr="00A76FCD" w:rsidR="00EE1AD8" w:rsidP="00E561FA" w:rsidRDefault="0036712D" w14:paraId="76EED2C7" w14:textId="77777777">
      <w:pPr>
        <w:pStyle w:val="Lijstniveau1"/>
        <w:numPr>
          <w:ilvl w:val="0"/>
          <w:numId w:val="0"/>
        </w:numPr>
        <w:ind w:left="1132"/>
      </w:pPr>
      <w:r w:rsidRPr="00A76FCD">
        <w:t>In de volgende paragrafen wordt een globaal overzicht gegeven van de verzekeringsoplossingen in lidstaten die een poolingsconstructie voor terr</w:t>
      </w:r>
      <w:r w:rsidRPr="00A76FCD" w:rsidR="00B072CA">
        <w:t>orismer</w:t>
      </w:r>
      <w:r w:rsidRPr="00A76FCD">
        <w:t>isico’s hanteren. Omdat deze constructies per land verschillen, worden ze op hoofdlijnen behandeld. Tevens moet worden opgemerkt dat lidstaten die hier niet genoemd worden, geen vergelijkbare poolingsconstructie hebben als de NHT.</w:t>
      </w:r>
    </w:p>
    <w:p w:rsidRPr="00A76FCD" w:rsidR="00EE1AD8" w:rsidP="00EE1AD8" w:rsidRDefault="00EE1AD8" w14:paraId="431900D9" w14:textId="77777777">
      <w:pPr>
        <w:pStyle w:val="Lijstniveau2"/>
        <w:numPr>
          <w:ilvl w:val="0"/>
          <w:numId w:val="0"/>
        </w:numPr>
        <w:ind w:left="1132"/>
        <w:rPr>
          <w:b/>
          <w:bCs/>
        </w:rPr>
      </w:pPr>
    </w:p>
    <w:p w:rsidRPr="00A76FCD" w:rsidR="00CC0625" w:rsidP="00EE1AD8" w:rsidRDefault="00FC0F6E" w14:paraId="314255AE" w14:textId="77777777">
      <w:pPr>
        <w:pStyle w:val="Lijstniveau2"/>
        <w:rPr>
          <w:b/>
          <w:bCs/>
        </w:rPr>
      </w:pPr>
      <w:r w:rsidRPr="00A76FCD">
        <w:rPr>
          <w:b/>
          <w:bCs/>
        </w:rPr>
        <w:t>België</w:t>
      </w:r>
    </w:p>
    <w:p w:rsidRPr="00A76FCD" w:rsidR="00A344E3" w:rsidP="00A344E3" w:rsidRDefault="00A344E3" w14:paraId="58DDCDAD" w14:textId="77777777">
      <w:pPr>
        <w:pStyle w:val="Lijstniveau2"/>
        <w:numPr>
          <w:ilvl w:val="0"/>
          <w:numId w:val="0"/>
        </w:numPr>
        <w:ind w:left="1132"/>
        <w:jc w:val="both"/>
      </w:pPr>
      <w:r w:rsidRPr="00A76FCD">
        <w:t>In 2007 werd in België de herverzekeringspool TRIP (</w:t>
      </w:r>
      <w:proofErr w:type="spellStart"/>
      <w:r w:rsidRPr="00A76FCD">
        <w:t>Terrorism</w:t>
      </w:r>
      <w:proofErr w:type="spellEnd"/>
      <w:r w:rsidRPr="00A76FCD">
        <w:t xml:space="preserve"> Reinsurance </w:t>
      </w:r>
      <w:proofErr w:type="spellStart"/>
      <w:r w:rsidRPr="00A76FCD">
        <w:t>and</w:t>
      </w:r>
      <w:proofErr w:type="spellEnd"/>
      <w:r w:rsidRPr="00A76FCD">
        <w:t xml:space="preserve"> Insurance Pool) opgericht, grotendeels gemodelleerd naar het Nederlandse NHT. Ook de Belgische Staat trad toe tot de pool, die aanvankelijk een capaciteit van €1 miljard had. Deze capaciteit is inmiddels geïndexeerd tot €1,</w:t>
      </w:r>
      <w:r w:rsidRPr="00A76FCD" w:rsidR="003B1D97">
        <w:t>3</w:t>
      </w:r>
      <w:r w:rsidRPr="00A76FCD">
        <w:t xml:space="preserve"> miljard. </w:t>
      </w:r>
      <w:r w:rsidRPr="00A76FCD" w:rsidR="00EE1AD8">
        <w:t xml:space="preserve">De terreuraanslagen in Brussel in 2016 brachten ernstige tekortkomingen aan het licht in de schaderegeling voor slachtoffers, wat leidde tot publieke en politieke kritiek. </w:t>
      </w:r>
      <w:r w:rsidRPr="00A76FCD">
        <w:t>Als reactie daarop werd op 15 juni 2024 een nieuwe wet ingevoerd die een solidariteitsregeling vastlegt.</w:t>
      </w:r>
      <w:r w:rsidRPr="00A76FCD" w:rsidR="00975B9F">
        <w:rPr>
          <w:rStyle w:val="Voetnootmarkering"/>
        </w:rPr>
        <w:footnoteReference w:id="23"/>
      </w:r>
      <w:r w:rsidRPr="00A76FCD">
        <w:t xml:space="preserve"> De wet garandeert dat slachtoffers van terreur hun schade </w:t>
      </w:r>
      <w:r w:rsidRPr="00A76FCD">
        <w:lastRenderedPageBreak/>
        <w:t>vergoed krijgen, ongeacht de omstandigheden of verzekeringsdekking. Zo wil men een rechtvaardige en uniforme compensatie waarborgen voor alle slachtoffers</w:t>
      </w:r>
      <w:r w:rsidRPr="00A76FCD" w:rsidR="00334365">
        <w:t xml:space="preserve">. </w:t>
      </w:r>
      <w:r w:rsidRPr="00A76FCD">
        <w:t>Volgens de wet dekken TRIP en de Belgische Staat gezamenlijk de schade als gevolg van terrorisme. Het aandeel van de Staat wordt jaarlijks bepaald</w:t>
      </w:r>
      <w:r w:rsidRPr="00A76FCD" w:rsidR="003B1D97">
        <w:t xml:space="preserve"> en staat op dit moment op €600 miljoen.</w:t>
      </w:r>
      <w:r w:rsidRPr="00A76FCD">
        <w:t xml:space="preserve"> </w:t>
      </w:r>
    </w:p>
    <w:p w:rsidRPr="00A76FCD" w:rsidR="00940102" w:rsidP="00A344E3" w:rsidRDefault="00940102" w14:paraId="50283B0A" w14:textId="77777777">
      <w:pPr>
        <w:pStyle w:val="Lijstniveau2"/>
        <w:numPr>
          <w:ilvl w:val="0"/>
          <w:numId w:val="0"/>
        </w:numPr>
        <w:ind w:left="1132"/>
        <w:jc w:val="both"/>
      </w:pPr>
    </w:p>
    <w:p w:rsidRPr="00A76FCD" w:rsidR="00940102" w:rsidP="00940102" w:rsidRDefault="00940102" w14:paraId="326DDCA1" w14:textId="77777777">
      <w:pPr>
        <w:pStyle w:val="Lijstniveau2"/>
        <w:rPr>
          <w:b/>
          <w:bCs/>
        </w:rPr>
      </w:pPr>
      <w:r w:rsidRPr="00A76FCD">
        <w:rPr>
          <w:b/>
          <w:bCs/>
        </w:rPr>
        <w:t>Duitsland</w:t>
      </w:r>
    </w:p>
    <w:p w:rsidRPr="00A76FCD" w:rsidR="009E39D8" w:rsidP="00F46C1C" w:rsidRDefault="002A1644" w14:paraId="3BB5D8D7" w14:textId="77777777">
      <w:pPr>
        <w:pStyle w:val="Lijstniveau2"/>
        <w:numPr>
          <w:ilvl w:val="0"/>
          <w:numId w:val="0"/>
        </w:numPr>
        <w:ind w:left="1132"/>
      </w:pPr>
      <w:r w:rsidRPr="00A76FCD">
        <w:t xml:space="preserve">In 2002 richtte Duitsland, als reactie op de aanslagen van 9/11, de verzekeraar </w:t>
      </w:r>
      <w:proofErr w:type="spellStart"/>
      <w:r w:rsidRPr="00A76FCD">
        <w:t>Extremus</w:t>
      </w:r>
      <w:proofErr w:type="spellEnd"/>
      <w:r w:rsidRPr="00A76FCD">
        <w:t xml:space="preserve"> </w:t>
      </w:r>
      <w:proofErr w:type="spellStart"/>
      <w:r w:rsidRPr="00A76FCD">
        <w:t>Versicherungs</w:t>
      </w:r>
      <w:proofErr w:type="spellEnd"/>
      <w:r w:rsidRPr="00A76FCD">
        <w:t>-AG</w:t>
      </w:r>
      <w:r w:rsidRPr="00A76FCD" w:rsidR="009E39D8">
        <w:t xml:space="preserve">. </w:t>
      </w:r>
      <w:proofErr w:type="spellStart"/>
      <w:r w:rsidRPr="00A76FCD" w:rsidR="009E39D8">
        <w:t>Extremus</w:t>
      </w:r>
      <w:proofErr w:type="spellEnd"/>
      <w:r w:rsidRPr="00A76FCD" w:rsidR="009E39D8">
        <w:t xml:space="preserve"> dekt uitsluitend commerciële en industriële eigendommen, inclusief bedrijfsschade, voor risico’s/polissen die hoger zijn dan €25 miljoen.</w:t>
      </w:r>
    </w:p>
    <w:p w:rsidRPr="00A76FCD" w:rsidR="002A1644" w:rsidP="002A1644" w:rsidRDefault="009E39D8" w14:paraId="4A4C8D77" w14:textId="77777777">
      <w:pPr>
        <w:pStyle w:val="Lijstniveau2"/>
        <w:numPr>
          <w:ilvl w:val="0"/>
          <w:numId w:val="0"/>
        </w:numPr>
        <w:ind w:left="1132"/>
      </w:pPr>
      <w:r w:rsidRPr="00A76FCD">
        <w:t>D</w:t>
      </w:r>
      <w:r w:rsidRPr="00A76FCD" w:rsidR="002A1644">
        <w:t xml:space="preserve">e </w:t>
      </w:r>
      <w:r w:rsidRPr="00A76FCD" w:rsidR="00A344E3">
        <w:t>capaciteit</w:t>
      </w:r>
      <w:r w:rsidRPr="00A76FCD" w:rsidR="00975B9F">
        <w:t xml:space="preserve"> </w:t>
      </w:r>
      <w:r w:rsidRPr="00A76FCD" w:rsidR="00EE1AD8">
        <w:t xml:space="preserve">van de pool </w:t>
      </w:r>
      <w:r w:rsidRPr="00A76FCD" w:rsidR="002A1644">
        <w:t>bedraagt €8,5 miljard</w:t>
      </w:r>
      <w:r w:rsidRPr="00A76FCD">
        <w:t xml:space="preserve"> waarbij </w:t>
      </w:r>
      <w:proofErr w:type="spellStart"/>
      <w:r w:rsidRPr="00A76FCD" w:rsidR="008A4D52">
        <w:t>Extremus</w:t>
      </w:r>
      <w:proofErr w:type="spellEnd"/>
      <w:r w:rsidRPr="00A76FCD" w:rsidR="008A4D52">
        <w:t xml:space="preserve"> €2,5 miljard</w:t>
      </w:r>
      <w:r w:rsidRPr="00A76FCD">
        <w:t xml:space="preserve"> draagt en </w:t>
      </w:r>
      <w:r w:rsidRPr="00A76FCD" w:rsidR="008A4D52">
        <w:t>de Duitse staat €6 miljard garandeert via een staatsgarantie</w:t>
      </w:r>
      <w:r w:rsidRPr="00A76FCD">
        <w:t xml:space="preserve">. De garantie is </w:t>
      </w:r>
      <w:r w:rsidRPr="00A76FCD" w:rsidR="008A4D52">
        <w:t>in november 2024 is verlengd tot eind 2029.</w:t>
      </w:r>
    </w:p>
    <w:p w:rsidRPr="00A76FCD" w:rsidR="008A4D52" w:rsidP="002A1644" w:rsidRDefault="008A4D52" w14:paraId="75DBF481" w14:textId="77777777">
      <w:pPr>
        <w:pStyle w:val="Lijstniveau2"/>
        <w:numPr>
          <w:ilvl w:val="0"/>
          <w:numId w:val="0"/>
        </w:numPr>
        <w:ind w:left="1132"/>
      </w:pPr>
    </w:p>
    <w:p w:rsidRPr="00A76FCD" w:rsidR="00CC0625" w:rsidP="00975B9F" w:rsidRDefault="00975B9F" w14:paraId="123FF6BF" w14:textId="77777777">
      <w:pPr>
        <w:pStyle w:val="Lijstniveau2"/>
        <w:numPr>
          <w:ilvl w:val="0"/>
          <w:numId w:val="0"/>
        </w:numPr>
        <w:ind w:left="1132"/>
      </w:pPr>
      <w:r w:rsidRPr="00A76FCD">
        <w:t>Burgers die het s</w:t>
      </w:r>
      <w:r w:rsidRPr="00A76FCD" w:rsidR="008A4D52">
        <w:t xml:space="preserve">lachtoffers </w:t>
      </w:r>
      <w:r w:rsidRPr="00A76FCD">
        <w:t xml:space="preserve">worden </w:t>
      </w:r>
      <w:r w:rsidRPr="00A76FCD" w:rsidR="008A4D52">
        <w:t xml:space="preserve">van </w:t>
      </w:r>
      <w:r w:rsidRPr="00A76FCD">
        <w:t>terroristische misdrijven</w:t>
      </w:r>
      <w:r w:rsidRPr="00A76FCD" w:rsidR="008A4D52">
        <w:t xml:space="preserve"> kunnen volgens</w:t>
      </w:r>
      <w:r w:rsidRPr="00A76FCD">
        <w:t xml:space="preserve"> een Duitse wet vergoeding aanvragen bij de Duitse overheid. Dit </w:t>
      </w:r>
      <w:r w:rsidRPr="00A76FCD" w:rsidR="008A4D52">
        <w:t>is gebaseerd op het principe dat de Staat schadevergoeding moet bieden wanneer zij onvoldoende bescherming heeft geboden aan haar burgers en zij slachtoffer worden van een misdrijf</w:t>
      </w:r>
      <w:r w:rsidRPr="00A76FCD">
        <w:t>. Na de aanslag op de kerstmarkt in Berlijn in 2016 ontstond onduidelijkheid over schadevergoedingen voor slachtoffers. De overheid kreeg kritiek op haar communicatie en beperkte ondersteuning. Een daaropvolgend rapport adviseerde de overheid een leidende rol te nemen bij het informeren van slachtoffers en hun familie over hulp en compensatie.</w:t>
      </w:r>
    </w:p>
    <w:p w:rsidRPr="00A76FCD" w:rsidR="00975B9F" w:rsidP="00975B9F" w:rsidRDefault="00975B9F" w14:paraId="3AE9B6DB" w14:textId="77777777">
      <w:pPr>
        <w:pStyle w:val="Lijstniveau2"/>
        <w:numPr>
          <w:ilvl w:val="0"/>
          <w:numId w:val="0"/>
        </w:numPr>
        <w:ind w:left="1132"/>
        <w:rPr>
          <w:b/>
          <w:bCs/>
        </w:rPr>
      </w:pPr>
    </w:p>
    <w:p w:rsidRPr="00A76FCD" w:rsidR="00334365" w:rsidP="00334365" w:rsidRDefault="00334365" w14:paraId="3318D59D" w14:textId="77777777">
      <w:pPr>
        <w:pStyle w:val="Lijstniveau2"/>
        <w:rPr>
          <w:b/>
          <w:bCs/>
        </w:rPr>
      </w:pPr>
      <w:r w:rsidRPr="00A76FCD">
        <w:rPr>
          <w:b/>
          <w:bCs/>
        </w:rPr>
        <w:t>Frankrijk</w:t>
      </w:r>
    </w:p>
    <w:p w:rsidRPr="00A76FCD" w:rsidR="00E11929" w:rsidP="00975B9F" w:rsidRDefault="00EE1AD8" w14:paraId="5AC7AAA5" w14:textId="77777777">
      <w:pPr>
        <w:pStyle w:val="Lijstniveau2"/>
        <w:numPr>
          <w:ilvl w:val="0"/>
          <w:numId w:val="0"/>
        </w:numPr>
        <w:ind w:left="1132"/>
        <w:jc w:val="both"/>
      </w:pPr>
      <w:r w:rsidRPr="00A76FCD">
        <w:t xml:space="preserve">In de Franse verzekeringsmarkt is terrorismeverzekering een verplichte uitbreiding van alle opstal- en inboedelverzekeringen. </w:t>
      </w:r>
      <w:proofErr w:type="spellStart"/>
      <w:r w:rsidRPr="0050107E" w:rsidR="00722D48">
        <w:rPr>
          <w:lang w:val="fr-FR"/>
        </w:rPr>
        <w:t>In</w:t>
      </w:r>
      <w:proofErr w:type="spellEnd"/>
      <w:r w:rsidRPr="0050107E" w:rsidR="00722D48">
        <w:rPr>
          <w:lang w:val="fr-FR"/>
        </w:rPr>
        <w:t xml:space="preserve"> 2002 </w:t>
      </w:r>
      <w:proofErr w:type="spellStart"/>
      <w:r w:rsidRPr="0050107E" w:rsidR="00722D48">
        <w:rPr>
          <w:lang w:val="fr-FR"/>
        </w:rPr>
        <w:t>werd</w:t>
      </w:r>
      <w:proofErr w:type="spellEnd"/>
      <w:r w:rsidRPr="0050107E" w:rsidR="00722D48">
        <w:rPr>
          <w:lang w:val="fr-FR"/>
        </w:rPr>
        <w:t xml:space="preserve"> de </w:t>
      </w:r>
      <w:proofErr w:type="spellStart"/>
      <w:r w:rsidRPr="0050107E" w:rsidR="00722D48">
        <w:rPr>
          <w:lang w:val="fr-FR"/>
        </w:rPr>
        <w:t>herverzekeringspool</w:t>
      </w:r>
      <w:proofErr w:type="spellEnd"/>
      <w:r w:rsidRPr="0050107E" w:rsidR="00722D48">
        <w:rPr>
          <w:lang w:val="fr-FR"/>
        </w:rPr>
        <w:t xml:space="preserve"> GAREAT (Gestion de l’Assurance et de la Réassurance des Risques Attentats et Actes de Terrorisme) </w:t>
      </w:r>
      <w:proofErr w:type="spellStart"/>
      <w:r w:rsidRPr="0050107E" w:rsidR="00722D48">
        <w:rPr>
          <w:lang w:val="fr-FR"/>
        </w:rPr>
        <w:t>opgericht</w:t>
      </w:r>
      <w:proofErr w:type="spellEnd"/>
      <w:r w:rsidRPr="0050107E" w:rsidR="00722D48">
        <w:rPr>
          <w:lang w:val="fr-FR"/>
        </w:rPr>
        <w:t xml:space="preserve">. </w:t>
      </w:r>
      <w:r w:rsidRPr="00A76FCD" w:rsidR="00722D48">
        <w:t xml:space="preserve">Aan deze pool nemen zowel </w:t>
      </w:r>
      <w:r w:rsidRPr="00A76FCD" w:rsidR="00FA524E">
        <w:t xml:space="preserve">commerciële </w:t>
      </w:r>
      <w:r w:rsidRPr="00A76FCD" w:rsidR="00722D48">
        <w:t>(her)verzekeraars als de publieke herverzekeraar CCR</w:t>
      </w:r>
      <w:r w:rsidRPr="00A76FCD" w:rsidR="00FA524E">
        <w:t xml:space="preserve"> (Caisse Centrale de </w:t>
      </w:r>
      <w:proofErr w:type="spellStart"/>
      <w:r w:rsidRPr="00A76FCD" w:rsidR="00FA524E">
        <w:t>Réassurance</w:t>
      </w:r>
      <w:proofErr w:type="spellEnd"/>
      <w:r w:rsidRPr="00A76FCD" w:rsidR="00FA524E">
        <w:t>)</w:t>
      </w:r>
      <w:r w:rsidRPr="00A76FCD" w:rsidR="001D0DA0">
        <w:t xml:space="preserve"> </w:t>
      </w:r>
      <w:r w:rsidRPr="00A76FCD" w:rsidR="00722D48">
        <w:t>dee</w:t>
      </w:r>
      <w:r w:rsidRPr="00A76FCD" w:rsidR="00FA524E">
        <w:t>l</w:t>
      </w:r>
      <w:r w:rsidRPr="00A76FCD" w:rsidR="00722D48">
        <w:t>. De pool biedt dekking voor materiële schade veroorzaakt door terroristische aanslagen via een gelaagd systeem</w:t>
      </w:r>
      <w:r w:rsidRPr="00A76FCD" w:rsidR="008A4D52">
        <w:t xml:space="preserve">, vergelijkbaar </w:t>
      </w:r>
      <w:r w:rsidRPr="00A76FCD" w:rsidR="00975B9F">
        <w:t>met het gelaagde systeem</w:t>
      </w:r>
      <w:r w:rsidRPr="00A76FCD" w:rsidR="008A4D52">
        <w:t xml:space="preserve"> in België en Nederland</w:t>
      </w:r>
      <w:r w:rsidRPr="00A76FCD" w:rsidR="00722D48">
        <w:t xml:space="preserve">. In de eerste lagen dragen verzekeraars en herverzekeraars gezamenlijk het risico tot een bedrag van </w:t>
      </w:r>
      <w:r w:rsidRPr="00A76FCD" w:rsidR="008A4D52">
        <w:t xml:space="preserve">€1 </w:t>
      </w:r>
      <w:r w:rsidRPr="00A76FCD" w:rsidR="00722D48">
        <w:t>miljard. Voor de bovenste laag is een herverzekering van €2,5 miljard beschikbaar via de CCR</w:t>
      </w:r>
      <w:r w:rsidRPr="00A76FCD" w:rsidR="008A4D52">
        <w:t xml:space="preserve"> en </w:t>
      </w:r>
      <w:r w:rsidRPr="00A76FCD" w:rsidR="001D0DA0">
        <w:t xml:space="preserve">indien dit te kort schiet </w:t>
      </w:r>
      <w:r w:rsidRPr="00A76FCD" w:rsidR="008A4D52">
        <w:t xml:space="preserve">heeft de CCR tevens een </w:t>
      </w:r>
      <w:r w:rsidRPr="00A76FCD" w:rsidR="00722D48">
        <w:t>ongelimiteerde staatsgarantie van de Franse overheid</w:t>
      </w:r>
      <w:r w:rsidRPr="00A76FCD" w:rsidR="00E11929">
        <w:t>.</w:t>
      </w:r>
    </w:p>
    <w:p w:rsidRPr="00A76FCD" w:rsidR="00661C41" w:rsidP="00975B9F" w:rsidRDefault="00661C41" w14:paraId="38EA6823" w14:textId="77777777">
      <w:pPr>
        <w:pStyle w:val="Lijstniveau2"/>
        <w:numPr>
          <w:ilvl w:val="0"/>
          <w:numId w:val="0"/>
        </w:numPr>
        <w:ind w:left="1132"/>
        <w:jc w:val="both"/>
      </w:pPr>
    </w:p>
    <w:p w:rsidRPr="00A76FCD" w:rsidR="00661C41" w:rsidP="00661C41" w:rsidRDefault="00661C41" w14:paraId="13A9EBA5" w14:textId="77777777">
      <w:pPr>
        <w:pStyle w:val="Lijstniveau2"/>
        <w:rPr>
          <w:b/>
          <w:bCs/>
        </w:rPr>
      </w:pPr>
      <w:r w:rsidRPr="00A76FCD">
        <w:rPr>
          <w:b/>
          <w:bCs/>
        </w:rPr>
        <w:t>Oostenrijk</w:t>
      </w:r>
    </w:p>
    <w:p w:rsidRPr="00A76FCD" w:rsidR="00EE1AD8" w:rsidP="00EE1AD8" w:rsidRDefault="00EE1AD8" w14:paraId="78C1E61D" w14:textId="77777777">
      <w:pPr>
        <w:pStyle w:val="Lijstniveau2"/>
        <w:numPr>
          <w:ilvl w:val="0"/>
          <w:numId w:val="0"/>
        </w:numPr>
        <w:ind w:left="1132"/>
      </w:pPr>
      <w:r w:rsidRPr="00A76FCD">
        <w:t xml:space="preserve">Na 9/11 richtten Oostenrijkse verzekeraars in 2002 de </w:t>
      </w:r>
      <w:proofErr w:type="spellStart"/>
      <w:r w:rsidRPr="00A76FCD">
        <w:t>Österreichischer</w:t>
      </w:r>
      <w:proofErr w:type="spellEnd"/>
      <w:r w:rsidRPr="00A76FCD">
        <w:t xml:space="preserve"> </w:t>
      </w:r>
      <w:proofErr w:type="spellStart"/>
      <w:r w:rsidRPr="00A76FCD">
        <w:t>Terrorpool</w:t>
      </w:r>
      <w:proofErr w:type="spellEnd"/>
      <w:r w:rsidRPr="00A76FCD">
        <w:t xml:space="preserve"> op om terrorismerisico’s te verzekeren. Het belangrijkste doel was het bieden van betaalbare dekking voor schade</w:t>
      </w:r>
      <w:r w:rsidRPr="00A76FCD" w:rsidR="0036712D">
        <w:t>verzekeringen</w:t>
      </w:r>
      <w:r w:rsidRPr="00A76FCD">
        <w:t xml:space="preserve"> en zakelijke verzekeringen. De pool beschikt over een capaciteit van €200 miljoen, die volledig door de (her)verzekeraars zelf word</w:t>
      </w:r>
      <w:r w:rsidRPr="00A76FCD" w:rsidR="0036712D">
        <w:t>t</w:t>
      </w:r>
      <w:r w:rsidRPr="00A76FCD">
        <w:t xml:space="preserve"> gedragen. De overheid verleent voorlopig geen staatsgarantie voor de herverzekeringspool. Het Oostenrijkse ministerie van Financiën steunt de inspanningen van de verzekeringssector, maar wil voorkomen dat overheidsmaatregelen de private sector ontmoedigen om zelf het risico te dragen en verdere stappen te zetten.</w:t>
      </w:r>
    </w:p>
    <w:p w:rsidRPr="00A76FCD" w:rsidR="00EE1AD8" w:rsidP="00EE1AD8" w:rsidRDefault="00EE1AD8" w14:paraId="41A5EA2F" w14:textId="77777777">
      <w:pPr>
        <w:pStyle w:val="Lijstniveau2"/>
        <w:numPr>
          <w:ilvl w:val="0"/>
          <w:numId w:val="0"/>
        </w:numPr>
        <w:ind w:left="1132"/>
        <w:rPr>
          <w:b/>
          <w:bCs/>
        </w:rPr>
      </w:pPr>
    </w:p>
    <w:p w:rsidRPr="00A76FCD" w:rsidR="003B1D97" w:rsidP="003B1D97" w:rsidRDefault="003B1D97" w14:paraId="1515EC76" w14:textId="77777777">
      <w:pPr>
        <w:pStyle w:val="Lijstniveau2"/>
        <w:rPr>
          <w:b/>
          <w:bCs/>
        </w:rPr>
      </w:pPr>
      <w:r w:rsidRPr="00A76FCD">
        <w:rPr>
          <w:b/>
          <w:bCs/>
        </w:rPr>
        <w:t>Denemarken</w:t>
      </w:r>
    </w:p>
    <w:p w:rsidRPr="00A76FCD" w:rsidR="00595364" w:rsidP="00595364" w:rsidRDefault="00595364" w14:paraId="051D271D" w14:textId="77777777">
      <w:pPr>
        <w:pStyle w:val="Lijstniveau2"/>
        <w:numPr>
          <w:ilvl w:val="0"/>
          <w:numId w:val="0"/>
        </w:numPr>
        <w:ind w:left="1132"/>
      </w:pPr>
      <w:r w:rsidRPr="00A76FCD">
        <w:t>In Denemarken fungeer</w:t>
      </w:r>
      <w:r w:rsidRPr="00A76FCD" w:rsidR="00EE1AD8">
        <w:t>de</w:t>
      </w:r>
      <w:r w:rsidRPr="00A76FCD">
        <w:t xml:space="preserve"> de overheid als herverzekeraar voor terrorismerisico’s met nucleaire, chemische, biologische of radiologische (NCBR) aanvallen, omdat verzekeraars hiervoor moeilijk herverzekering kunnen vinden. Sinds 1 juli 2019 dekken verzekeraars zelf </w:t>
      </w:r>
      <w:r w:rsidRPr="00A76FCD">
        <w:lastRenderedPageBreak/>
        <w:t>geen schade door NCBR-terrorisme meer</w:t>
      </w:r>
      <w:r w:rsidRPr="00A76FCD" w:rsidR="00B072CA">
        <w:t>, maar</w:t>
      </w:r>
      <w:r w:rsidRPr="00A76FCD">
        <w:t xml:space="preserve"> </w:t>
      </w:r>
      <w:r w:rsidRPr="00A76FCD" w:rsidR="00B072CA">
        <w:t>wordt dit door een wet gedekt en vergoed door de overheid</w:t>
      </w:r>
      <w:r w:rsidRPr="00A76FCD">
        <w:t>. Verzekeraars blijven wel verantwoordelijk voor de administratieve afhandeling, maar het financiële risico tot 15,9 miljard Deense kronen (2022) ligt bij de staat</w:t>
      </w:r>
      <w:r w:rsidR="00DC2782">
        <w:t xml:space="preserve"> (is ruim € 2 mld.)</w:t>
      </w:r>
      <w:r w:rsidRPr="00A76FCD">
        <w:t>. De overheid betaalt de schade-uitkeringen vooraf en krijgt dit later terug via een toeslag op verzekeringspremies van polishouders.</w:t>
      </w:r>
      <w:r w:rsidRPr="00A76FCD" w:rsidR="00B072CA">
        <w:t xml:space="preserve"> Schade door terroristische aanslagen die niet als een </w:t>
      </w:r>
      <w:r w:rsidRPr="00A76FCD" w:rsidR="00FE7ADF">
        <w:t>NCBR-aanval</w:t>
      </w:r>
      <w:r w:rsidRPr="00A76FCD" w:rsidR="00B072CA">
        <w:t xml:space="preserve"> kwalificeren kunnen commercieel verzekerd worden. </w:t>
      </w:r>
    </w:p>
    <w:p w:rsidRPr="00A76FCD" w:rsidR="009E39D8" w:rsidP="00595364" w:rsidRDefault="009E39D8" w14:paraId="4A723882" w14:textId="77777777">
      <w:pPr>
        <w:pStyle w:val="Lijstniveau2"/>
        <w:numPr>
          <w:ilvl w:val="0"/>
          <w:numId w:val="0"/>
        </w:numPr>
        <w:ind w:left="1132"/>
      </w:pPr>
    </w:p>
    <w:p w:rsidRPr="00A76FCD" w:rsidR="009E39D8" w:rsidP="009E39D8" w:rsidRDefault="009E39D8" w14:paraId="1AEEBD2E" w14:textId="77777777">
      <w:pPr>
        <w:pStyle w:val="Lijstniveau2"/>
        <w:rPr>
          <w:b/>
          <w:bCs/>
        </w:rPr>
      </w:pPr>
      <w:r w:rsidRPr="00A76FCD">
        <w:rPr>
          <w:b/>
          <w:bCs/>
        </w:rPr>
        <w:t>Spanje</w:t>
      </w:r>
    </w:p>
    <w:p w:rsidRPr="00A76FCD" w:rsidR="009E39D8" w:rsidP="009E39D8" w:rsidRDefault="009E39D8" w14:paraId="53DC3B0B" w14:textId="77777777">
      <w:pPr>
        <w:pStyle w:val="Lijstniveau2"/>
        <w:numPr>
          <w:ilvl w:val="0"/>
          <w:numId w:val="0"/>
        </w:numPr>
        <w:ind w:left="1132"/>
      </w:pPr>
      <w:proofErr w:type="spellStart"/>
      <w:r w:rsidRPr="00A76FCD">
        <w:t>Consorcio</w:t>
      </w:r>
      <w:proofErr w:type="spellEnd"/>
      <w:r w:rsidRPr="00A76FCD">
        <w:t xml:space="preserve"> de </w:t>
      </w:r>
      <w:proofErr w:type="spellStart"/>
      <w:r w:rsidRPr="00A76FCD">
        <w:t>Compensación</w:t>
      </w:r>
      <w:proofErr w:type="spellEnd"/>
      <w:r w:rsidRPr="00A76FCD">
        <w:t xml:space="preserve"> de </w:t>
      </w:r>
      <w:proofErr w:type="spellStart"/>
      <w:r w:rsidRPr="00A76FCD">
        <w:t>Seguros</w:t>
      </w:r>
      <w:proofErr w:type="spellEnd"/>
      <w:r w:rsidRPr="00A76FCD">
        <w:t xml:space="preserve"> (CCS) is geen verzekeringspool, maar een staatsbedrijf dat bijzondere risico’s, waaronder terrorisme, dekt. In Spanje is het verplicht om bij de meeste verzekeringen ook dekking voor buitengewone risico’s aan te bieden. Wanneer deze risico’s (gedeeltelijk of volledig) niet door de verzekeraar worden gedekt, vergoedt CCS automatisch de schade onder dezelfde voorwaarden en bedragen als in de oorspronkelijke polis, mits de verzekeraar deze risico’s niet expliciet op zich neemt. Hierdoor bestaan er in de praktijk twee polissen: een standaardpolis van de private verzekeraar en een polis van CCS die de buitengewone risico’s, inclusief terrorisme, dekt. Er is een staatsgarantie voor verliezen die de capaciteit van CCS overschrijden. Deze garantie is sinds het bestaan van de regeling nooit ingeroepen. </w:t>
      </w:r>
    </w:p>
    <w:p w:rsidRPr="00A76FCD" w:rsidR="00E561FA" w:rsidP="009E39D8" w:rsidRDefault="00E561FA" w14:paraId="42D1EAB7" w14:textId="77777777">
      <w:pPr>
        <w:pStyle w:val="Lijstniveau2"/>
        <w:numPr>
          <w:ilvl w:val="0"/>
          <w:numId w:val="0"/>
        </w:numPr>
        <w:ind w:left="1132"/>
      </w:pPr>
    </w:p>
    <w:p w:rsidRPr="00A76FCD" w:rsidR="00E561FA" w:rsidP="00E561FA" w:rsidRDefault="00E561FA" w14:paraId="0A264088" w14:textId="77777777">
      <w:pPr>
        <w:pStyle w:val="Lijstniveau2"/>
        <w:rPr>
          <w:b/>
          <w:bCs/>
        </w:rPr>
      </w:pPr>
      <w:r w:rsidRPr="00A76FCD">
        <w:rPr>
          <w:b/>
          <w:bCs/>
        </w:rPr>
        <w:t>Verschillen en overeenkomsten met de constructies van andere lidstaten</w:t>
      </w:r>
    </w:p>
    <w:p w:rsidRPr="00A76FCD" w:rsidR="00A76FCD" w:rsidP="00A76FCD" w:rsidRDefault="00A76FCD" w14:paraId="788650E8" w14:textId="77777777">
      <w:pPr>
        <w:pStyle w:val="Lijstniveau1"/>
        <w:numPr>
          <w:ilvl w:val="0"/>
          <w:numId w:val="0"/>
        </w:numPr>
        <w:ind w:left="1132"/>
      </w:pPr>
      <w:r w:rsidRPr="00A76FCD">
        <w:t>Uit vergelijkingen blijkt dat overheidsbetrokkenheid bij het verzekeren van terrorismeschade ook in andere landen gebruikelijk is. Nederland wijkt hier niet van af</w:t>
      </w:r>
      <w:r w:rsidR="00AE6A88">
        <w:t xml:space="preserve"> door de garantie af te geven. </w:t>
      </w:r>
      <w:bookmarkStart w:name="_Hlk199969591" w:id="8"/>
      <w:r w:rsidRPr="00A76FCD">
        <w:t>De dekking van de NHT is naar verwachting zelfs uitgebreider en van toepassing op meer soorten verzekeringen dan in landen als Duitsland en Oostenrijk, waar de focus vooral ligt op materiële schade aan gebouwen en bedrijven. De leden van de NHT omvatten namelijk zowel verzekerings- als herverzekeringsmaatschappijen, waaronder levens-, schade-, auto-, aansprakelijkheids-, reis- en zorgverzekeraars. Dit zorgt voor een bredere dekking, terwijl de rol van de Staat kleiner is dan in sommige andere lidstaten.</w:t>
      </w:r>
    </w:p>
    <w:bookmarkEnd w:id="8"/>
    <w:p w:rsidRPr="00A76FCD" w:rsidR="00A76FCD" w:rsidP="00A76FCD" w:rsidRDefault="00A76FCD" w14:paraId="53DADAA0" w14:textId="77777777">
      <w:pPr>
        <w:pStyle w:val="Lijstniveau1"/>
        <w:numPr>
          <w:ilvl w:val="0"/>
          <w:numId w:val="0"/>
        </w:numPr>
        <w:ind w:left="1132"/>
        <w:rPr>
          <w:rFonts w:ascii="Times New Roman" w:hAnsi="Times New Roman"/>
          <w:color w:val="auto"/>
          <w:sz w:val="24"/>
          <w:szCs w:val="24"/>
        </w:rPr>
      </w:pPr>
    </w:p>
    <w:p w:rsidRPr="00A76FCD" w:rsidR="00A76FCD" w:rsidP="00A76FCD" w:rsidRDefault="00A76FCD" w14:paraId="0E022031" w14:textId="77777777">
      <w:pPr>
        <w:pStyle w:val="Lijstniveau1"/>
        <w:numPr>
          <w:ilvl w:val="0"/>
          <w:numId w:val="0"/>
        </w:numPr>
        <w:ind w:left="1132"/>
      </w:pPr>
      <w:r w:rsidRPr="00A76FCD">
        <w:t>De situatie verschilt echter per land, afhankelijk van het specifieke terrorismerisico en de beschikbaarheid van herverzekering. Zo wordt in Denemarken een zeer specifiek terrorismerisico wettelijk vergoed, biedt België een vangnet voor alle slachtoffers, ook onverzekerden, en kennen Frankrijk en Spanje beide een systeem met een onbeperkt plafond dat wordt gedekt door een staatsgarantie.</w:t>
      </w:r>
      <w:r w:rsidR="006C2D88">
        <w:t xml:space="preserve"> </w:t>
      </w:r>
      <w:r w:rsidRPr="006C2D88" w:rsidR="006C2D88">
        <w:t>Oostenrijk was het eerste land dat</w:t>
      </w:r>
      <w:r w:rsidR="006C2D88">
        <w:t xml:space="preserve"> recentelijk</w:t>
      </w:r>
      <w:r w:rsidRPr="006C2D88" w:rsidR="006C2D88">
        <w:t xml:space="preserve"> besloot geen staatsgarantie meer te verlenen aan de terrorism</w:t>
      </w:r>
      <w:r w:rsidR="009E2138">
        <w:t>e</w:t>
      </w:r>
      <w:r w:rsidRPr="006C2D88" w:rsidR="006C2D88">
        <w:t>pool.</w:t>
      </w:r>
      <w:r w:rsidR="006C2D88">
        <w:t xml:space="preserve"> </w:t>
      </w:r>
      <w:r w:rsidRPr="00A76FCD">
        <w:t xml:space="preserve">Het fundamentele uitgangspunt blijft dat terrorismerisico’s vaak onverzekerbaar zijn. Door deze risico’s te bundelen in een pool en met staatsbetrokkenheid, bijvoorbeeld via een garantie, kan </w:t>
      </w:r>
      <w:proofErr w:type="spellStart"/>
      <w:r w:rsidRPr="00A76FCD">
        <w:t>marktfalen</w:t>
      </w:r>
      <w:proofErr w:type="spellEnd"/>
      <w:r w:rsidRPr="00A76FCD">
        <w:t xml:space="preserve"> op de verzekeringsmarkt worden voorkomen en wordt het risico alsnog verzekerbaar gemaakt.</w:t>
      </w:r>
    </w:p>
    <w:p w:rsidRPr="00A76FCD" w:rsidR="00A76FCD" w:rsidP="00A76FCD" w:rsidRDefault="00A76FCD" w14:paraId="0299B924" w14:textId="77777777">
      <w:pPr>
        <w:pStyle w:val="Lijstniveau1"/>
        <w:numPr>
          <w:ilvl w:val="0"/>
          <w:numId w:val="0"/>
        </w:numPr>
        <w:ind w:left="1132"/>
      </w:pPr>
    </w:p>
    <w:p w:rsidRPr="007579C1" w:rsidR="007579C1" w:rsidP="007579C1" w:rsidRDefault="006C2D88" w14:paraId="5E605C8A" w14:textId="77777777">
      <w:pPr>
        <w:pStyle w:val="Lijstniveau2"/>
        <w:numPr>
          <w:ilvl w:val="0"/>
          <w:numId w:val="0"/>
        </w:numPr>
        <w:ind w:left="1132"/>
      </w:pPr>
      <w:r w:rsidRPr="006C2D88">
        <w:t>De aanslagen in 2016 in Duitsland en België toonden aan dat, hoewel beide landen procedures hadden voor het vergoeden van schade aan burgers, er aanzienlijke kritiek was op de</w:t>
      </w:r>
      <w:r>
        <w:t xml:space="preserve"> overheid over</w:t>
      </w:r>
      <w:r w:rsidR="00AE6A88">
        <w:t xml:space="preserve"> de</w:t>
      </w:r>
      <w:r w:rsidRPr="006C2D88">
        <w:t xml:space="preserve"> uitvoering, communicatie</w:t>
      </w:r>
      <w:r w:rsidR="00AE6A88">
        <w:t xml:space="preserve"> over</w:t>
      </w:r>
      <w:r w:rsidRPr="006C2D88">
        <w:t xml:space="preserve"> en snelheid van</w:t>
      </w:r>
      <w:r w:rsidR="00AE6A88">
        <w:t xml:space="preserve"> de</w:t>
      </w:r>
      <w:r w:rsidRPr="006C2D88">
        <w:t xml:space="preserve"> schadeafhandeling.</w:t>
      </w:r>
      <w:r>
        <w:t xml:space="preserve"> </w:t>
      </w:r>
      <w:r w:rsidRPr="006C2D88">
        <w:t>Dit onderstreept het belang van duidelijke communicatie en een concreet plan van aanpak van de overheid in tijden van maatschappelijke onrust.</w:t>
      </w:r>
      <w:r>
        <w:t xml:space="preserve"> </w:t>
      </w:r>
      <w:bookmarkStart w:name="_Hlk199969675" w:id="9"/>
      <w:r w:rsidRPr="006C2D88">
        <w:t>In Nederland helpt de poolingsconstructie van de NHT, gecombineerd met de aanwijzing van de NHT als centraal aanspreekpunt voor verzekeraars, om dergelijke problemen te</w:t>
      </w:r>
      <w:r>
        <w:t xml:space="preserve"> kunnen</w:t>
      </w:r>
      <w:r w:rsidRPr="006C2D88">
        <w:t xml:space="preserve"> voorkomen.</w:t>
      </w:r>
      <w:r>
        <w:t xml:space="preserve"> </w:t>
      </w:r>
      <w:r w:rsidRPr="007579C1" w:rsidR="007579C1">
        <w:t xml:space="preserve">Mocht zich in Nederland een grootschalige aanslag voordoen, dan </w:t>
      </w:r>
      <w:r w:rsidR="00044225">
        <w:t>kan</w:t>
      </w:r>
      <w:r w:rsidRPr="007579C1" w:rsidR="00044225">
        <w:t xml:space="preserve"> </w:t>
      </w:r>
      <w:r w:rsidRPr="007579C1" w:rsidR="007579C1">
        <w:t xml:space="preserve">de coördinatie </w:t>
      </w:r>
      <w:r w:rsidR="007579C1">
        <w:t>tussen</w:t>
      </w:r>
      <w:r w:rsidRPr="007579C1" w:rsidR="007579C1">
        <w:t xml:space="preserve"> de overheid </w:t>
      </w:r>
      <w:r w:rsidR="007579C1">
        <w:t xml:space="preserve">en de NHT </w:t>
      </w:r>
      <w:r w:rsidRPr="007579C1" w:rsidR="007579C1">
        <w:t xml:space="preserve">ervoor </w:t>
      </w:r>
      <w:r w:rsidR="00044225">
        <w:lastRenderedPageBreak/>
        <w:t xml:space="preserve">zorgen </w:t>
      </w:r>
      <w:r w:rsidRPr="007579C1" w:rsidR="007579C1">
        <w:t xml:space="preserve">dat burgers </w:t>
      </w:r>
      <w:proofErr w:type="gramStart"/>
      <w:r w:rsidRPr="007579C1" w:rsidR="007579C1">
        <w:t xml:space="preserve">weten </w:t>
      </w:r>
      <w:r w:rsidR="00044225">
        <w:t xml:space="preserve"> dat</w:t>
      </w:r>
      <w:proofErr w:type="gramEnd"/>
      <w:r w:rsidR="00044225">
        <w:t xml:space="preserve"> ze bij de NHT</w:t>
      </w:r>
      <w:r w:rsidRPr="007579C1" w:rsidR="007579C1">
        <w:t xml:space="preserve"> terechtkunnen, wat bijdraagt aan een transparanter en efficiënter afhandelingsproces.</w:t>
      </w:r>
    </w:p>
    <w:bookmarkEnd w:id="9"/>
    <w:p w:rsidRPr="00A76FCD" w:rsidR="00D01750" w:rsidP="007579C1" w:rsidRDefault="00D01750" w14:paraId="31CAF865" w14:textId="77777777">
      <w:pPr>
        <w:pStyle w:val="Lijstniveau2"/>
        <w:numPr>
          <w:ilvl w:val="0"/>
          <w:numId w:val="0"/>
        </w:numPr>
      </w:pPr>
    </w:p>
    <w:p w:rsidRPr="00A76FCD" w:rsidR="00CC0625" w:rsidP="008E3029" w:rsidRDefault="00CC0625" w14:paraId="52A81880" w14:textId="77777777">
      <w:pPr>
        <w:pStyle w:val="Lijstniveau1"/>
        <w:jc w:val="both"/>
        <w:rPr>
          <w:b/>
          <w:bCs/>
        </w:rPr>
      </w:pPr>
      <w:r w:rsidRPr="00A76FCD">
        <w:rPr>
          <w:b/>
          <w:bCs/>
        </w:rPr>
        <w:t>Toekomstige ontwikkelingen met mogelijke impact op het huidige beleid en de aanpassingsmogelijkheden van het NHT-beleid</w:t>
      </w:r>
    </w:p>
    <w:p w:rsidRPr="00A76FCD" w:rsidR="007762B8" w:rsidP="007A5443" w:rsidRDefault="008F6ABD" w14:paraId="15C0D03A" w14:textId="77777777">
      <w:pPr>
        <w:pStyle w:val="Lijstniveau1"/>
        <w:numPr>
          <w:ilvl w:val="0"/>
          <w:numId w:val="0"/>
        </w:numPr>
        <w:ind w:left="1132"/>
        <w:jc w:val="both"/>
      </w:pPr>
      <w:r w:rsidRPr="00A76FCD">
        <w:t xml:space="preserve">Toekomstige veranderingen in de verzekeringsmarkt en in het dreigingsniveau kunnen de risicoperceptie ten aanzien van grootschalige terroristische aanslagen beïnvloeden. Hierdoor </w:t>
      </w:r>
      <w:r w:rsidR="00DC2782">
        <w:t>kan</w:t>
      </w:r>
      <w:r w:rsidRPr="00A76FCD" w:rsidR="00DC2782">
        <w:t xml:space="preserve"> </w:t>
      </w:r>
      <w:r w:rsidRPr="00A76FCD">
        <w:t xml:space="preserve">op termijn de bereidheid van (her)verzekeraars terugkeren om dergelijke risico’s weer volledig zelf te dragen en </w:t>
      </w:r>
      <w:r w:rsidR="00DC2782">
        <w:t>kan</w:t>
      </w:r>
      <w:r w:rsidRPr="00A76FCD" w:rsidR="00DC2782">
        <w:t xml:space="preserve"> </w:t>
      </w:r>
      <w:r w:rsidRPr="00A76FCD">
        <w:t xml:space="preserve">daarmee het huidige beleid en de werking van de NHT beïnvloed worden. Gezien de enorme schade die een grootschalige terroristische aanslag kan veroorzaken, is het moeilijk te voorspellen of en onder welke omstandigheden deze bereidheid in de toekomst terug zal komen. </w:t>
      </w:r>
      <w:r w:rsidRPr="00A76FCD" w:rsidR="00AA20FB">
        <w:t xml:space="preserve">Bij voortzetting van de garantie kan over vijf jaar, ten einde van de horizonbepaling, </w:t>
      </w:r>
      <w:r w:rsidRPr="00A76FCD" w:rsidR="002D0131">
        <w:t xml:space="preserve">weer met </w:t>
      </w:r>
      <w:r w:rsidRPr="00A76FCD" w:rsidR="00D967D4">
        <w:t xml:space="preserve">de </w:t>
      </w:r>
      <w:r w:rsidRPr="00A76FCD" w:rsidR="002D0131">
        <w:t>(her)verzekeraars in gesprek worden gegaan om te bezien of het regulier verzekeren van terrorismeschaden binnen schade- en levensverzekeringen een optie is</w:t>
      </w:r>
      <w:r w:rsidR="00DC2782">
        <w:t>. E</w:t>
      </w:r>
      <w:r w:rsidRPr="00A76FCD" w:rsidR="002D0131">
        <w:t>n zo niet</w:t>
      </w:r>
      <w:r w:rsidR="00DC2782">
        <w:t>,</w:t>
      </w:r>
      <w:r w:rsidRPr="00A76FCD" w:rsidR="002D0131">
        <w:t xml:space="preserve"> of het opportuun is de deelneming van de Staat te beëindigen.</w:t>
      </w:r>
      <w:r w:rsidRPr="00A76FCD" w:rsidR="007A5443">
        <w:t xml:space="preserve"> </w:t>
      </w:r>
    </w:p>
    <w:p w:rsidR="008A6036" w:rsidP="008A6036" w:rsidRDefault="008A6036" w14:paraId="2100FFDD" w14:textId="77777777">
      <w:pPr>
        <w:pStyle w:val="Lijstniveau1"/>
        <w:numPr>
          <w:ilvl w:val="0"/>
          <w:numId w:val="0"/>
        </w:numPr>
        <w:ind w:left="1132"/>
        <w:jc w:val="both"/>
      </w:pPr>
    </w:p>
    <w:p w:rsidR="006A02E5" w:rsidP="006A02E5" w:rsidRDefault="00654B0F" w14:paraId="3E647D01" w14:textId="77777777">
      <w:pPr>
        <w:pStyle w:val="Lijstniveau1"/>
        <w:rPr>
          <w:b/>
          <w:bCs/>
        </w:rPr>
      </w:pPr>
      <w:r w:rsidRPr="00654B0F">
        <w:rPr>
          <w:b/>
          <w:bCs/>
        </w:rPr>
        <w:t>Conclusie evaluatie</w:t>
      </w:r>
    </w:p>
    <w:p w:rsidR="00C939D8" w:rsidP="00C939D8" w:rsidRDefault="00C939D8" w14:paraId="301C604A" w14:textId="77777777">
      <w:pPr>
        <w:pStyle w:val="Lijstniveau1"/>
        <w:numPr>
          <w:ilvl w:val="0"/>
          <w:numId w:val="0"/>
        </w:numPr>
        <w:ind w:left="1132"/>
      </w:pPr>
      <w:r>
        <w:t>De NHT is opgericht om de verzekerbaarheid van terrorismeschade in Nederland te waarborgen. Door risico’s te bundelen in een gezamenlijke pool kunnen verzekeraars dekking blijven bieden, terwijl de premies betaalbaar blijven. Deze poolingconstructie zorgt voor risicospreiding en een hogere uitkeringscapaciteit dan individuele verzekeraars zelfstandig kunnen bieden. Daarmee wordt niet alleen het mogelijk maken van terrorismedekking gerealiseerd, maar ook het behoud ervan, mede dankzij staatsdeelname.</w:t>
      </w:r>
    </w:p>
    <w:p w:rsidR="00C939D8" w:rsidP="00C939D8" w:rsidRDefault="00C939D8" w14:paraId="4BA6B0F4" w14:textId="77777777">
      <w:pPr>
        <w:pStyle w:val="Lijstniveau1"/>
        <w:numPr>
          <w:ilvl w:val="0"/>
          <w:numId w:val="0"/>
        </w:numPr>
        <w:ind w:left="1132"/>
      </w:pPr>
    </w:p>
    <w:p w:rsidR="00C939D8" w:rsidP="00C939D8" w:rsidRDefault="00C939D8" w14:paraId="54DF51B6" w14:textId="77777777">
      <w:pPr>
        <w:pStyle w:val="Lijstniveau1"/>
        <w:numPr>
          <w:ilvl w:val="0"/>
          <w:numId w:val="0"/>
        </w:numPr>
        <w:ind w:left="1132"/>
      </w:pPr>
      <w:r>
        <w:t>De deelname van de Staat rust op meerdere gronden. Belangrijk is de signaalwerking: de overheid toont hiermee haar verantwoordelijkheid voor financiële stabiliteit en bescherming van burgers. Er bestaat een maatschappelijke verwachting dat de overheid bij grootschalige schade bijspringt. Deelname aan de NHT biedt hier op een beheersbare manier invulling aan.</w:t>
      </w:r>
    </w:p>
    <w:p w:rsidR="00C939D8" w:rsidP="00C939D8" w:rsidRDefault="00C939D8" w14:paraId="164EA17D" w14:textId="77777777">
      <w:pPr>
        <w:pStyle w:val="Lijstniveau1"/>
        <w:numPr>
          <w:ilvl w:val="0"/>
          <w:numId w:val="0"/>
        </w:numPr>
        <w:ind w:left="1132"/>
      </w:pPr>
      <w:r>
        <w:t>Daarnaast biedt de NHT praktische voordelen. De centrale coördinatie en aanwezige expertise zorgen voor een efficiënte schadeafhandeling. Ook vergemakkelijkt staatsdeelname het aantrekken van internationale herverzekeringscapaciteit, doordat dit vertrouwen wekt bij herverzekeraars. Zowel de NHT als het Verbond van Verzekeraars hebben uitgesproken dat voortzetting van de staatsdeelname wenselijk is.</w:t>
      </w:r>
    </w:p>
    <w:p w:rsidR="00C939D8" w:rsidP="00C939D8" w:rsidRDefault="00C939D8" w14:paraId="6196013D" w14:textId="77777777">
      <w:pPr>
        <w:pStyle w:val="Lijstniveau1"/>
        <w:numPr>
          <w:ilvl w:val="0"/>
          <w:numId w:val="0"/>
        </w:numPr>
        <w:ind w:left="1132"/>
      </w:pPr>
    </w:p>
    <w:p w:rsidR="00C939D8" w:rsidP="00C939D8" w:rsidRDefault="00C939D8" w14:paraId="52BA7047" w14:textId="77777777">
      <w:pPr>
        <w:pStyle w:val="Lijstniveau1"/>
        <w:numPr>
          <w:ilvl w:val="0"/>
          <w:numId w:val="0"/>
        </w:numPr>
        <w:ind w:left="1132"/>
      </w:pPr>
      <w:r>
        <w:t xml:space="preserve">Het wegvallen van de NHT of beëindiging van de staatsdeelname brengt risico’s met zich mee. De kans neemt toe dat bij een aanslag een beroep wordt gedaan op de overheid, bijvoorbeeld via de </w:t>
      </w:r>
      <w:proofErr w:type="spellStart"/>
      <w:r>
        <w:t>Wts</w:t>
      </w:r>
      <w:proofErr w:type="spellEnd"/>
      <w:r>
        <w:t>. Zolang de NHT bestaat, is die wet echter niet van toepassing, waardoor onverwachte overheidsuitgaven worden voorkomen. Door voortzetting van de participatie blijft de NHT in stand en houdt de Staat invloed op haar werking en voorwaarden.</w:t>
      </w:r>
    </w:p>
    <w:p w:rsidRPr="00A76FCD" w:rsidR="00D52EF7" w:rsidP="00C939D8" w:rsidRDefault="00C939D8" w14:paraId="55723BF1" w14:textId="77777777">
      <w:pPr>
        <w:pStyle w:val="Lijstniveau1"/>
        <w:numPr>
          <w:ilvl w:val="0"/>
          <w:numId w:val="0"/>
        </w:numPr>
        <w:ind w:left="1132"/>
      </w:pPr>
      <w:r>
        <w:t>De Nederlandse NHT-regeling biedt bovendien een bredere dekking dan vergelijkbare regelingen in het buitenland, terwijl de rol van de Staat beperkt blijft. Voor de garantie van €50 miljoen ontvangt de Staat een marktconforme premie, met een geringe kans dat deze daadwerkelijk wordt aangesproken. Kortom, de NHT biedt een doeltreffende en evenwichtige oplossing voor de verzekerbaarheid van terrorismeschade. Zij combineert marktwerking met publieke verantwoordelijkheid en voorkomt dat onverzekerde schade automatisch voor rekening van de Staat komt. Voortzetting van de staatsdeelname is wenselijk en wordt dan ook aanbevolen.</w:t>
      </w:r>
      <w:r w:rsidR="006A02E5">
        <w:t xml:space="preserve"> </w:t>
      </w:r>
    </w:p>
    <w:sectPr w:rsidRPr="00A76FCD" w:rsidR="00D52EF7" w:rsidSect="00925464">
      <w:headerReference w:type="default" r:id="rId7"/>
      <w:headerReference w:type="first" r:id="rId8"/>
      <w:pgSz w:w="11905" w:h="16837"/>
      <w:pgMar w:top="1440" w:right="1080" w:bottom="1440" w:left="1080"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CDF4" w14:textId="77777777" w:rsidR="00902EF8" w:rsidRDefault="00902EF8">
      <w:pPr>
        <w:spacing w:line="240" w:lineRule="auto"/>
      </w:pPr>
      <w:r>
        <w:separator/>
      </w:r>
    </w:p>
  </w:endnote>
  <w:endnote w:type="continuationSeparator" w:id="0">
    <w:p w14:paraId="25FD15AD" w14:textId="77777777" w:rsidR="00902EF8" w:rsidRDefault="00902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867E" w14:textId="77777777" w:rsidR="00902EF8" w:rsidRDefault="00902EF8">
      <w:pPr>
        <w:spacing w:line="240" w:lineRule="auto"/>
      </w:pPr>
      <w:r>
        <w:separator/>
      </w:r>
    </w:p>
  </w:footnote>
  <w:footnote w:type="continuationSeparator" w:id="0">
    <w:p w14:paraId="7BFB171C" w14:textId="77777777" w:rsidR="00902EF8" w:rsidRDefault="00902EF8">
      <w:pPr>
        <w:spacing w:line="240" w:lineRule="auto"/>
      </w:pPr>
      <w:r>
        <w:continuationSeparator/>
      </w:r>
    </w:p>
  </w:footnote>
  <w:footnote w:id="1">
    <w:p w14:paraId="271F6465" w14:textId="77777777" w:rsidR="003E5C55" w:rsidRPr="009E2138" w:rsidRDefault="003E5C55"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BB529C">
        <w:rPr>
          <w:sz w:val="16"/>
          <w:szCs w:val="16"/>
        </w:rPr>
        <w:t xml:space="preserve">Bijlage bij </w:t>
      </w:r>
      <w:r w:rsidRPr="00BB529C">
        <w:rPr>
          <w:i/>
          <w:iCs/>
          <w:sz w:val="16"/>
          <w:szCs w:val="16"/>
        </w:rPr>
        <w:t>Kamerstukken II</w:t>
      </w:r>
      <w:r w:rsidRPr="00BB529C">
        <w:rPr>
          <w:sz w:val="16"/>
          <w:szCs w:val="16"/>
        </w:rPr>
        <w:t xml:space="preserve"> 2017-2018, 31935, nr. 45. (Rapport Beleidsdoorlichting FM 2017, zie p. 139)</w:t>
      </w:r>
      <w:r w:rsidR="00686292" w:rsidRPr="00BB529C">
        <w:rPr>
          <w:sz w:val="16"/>
          <w:szCs w:val="16"/>
        </w:rPr>
        <w:t>.</w:t>
      </w:r>
    </w:p>
  </w:footnote>
  <w:footnote w:id="2">
    <w:p w14:paraId="7A5B34A7" w14:textId="77777777" w:rsidR="0050107E" w:rsidRPr="009E2138" w:rsidRDefault="0050107E"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BB529C">
        <w:rPr>
          <w:sz w:val="16"/>
          <w:szCs w:val="16"/>
        </w:rPr>
        <w:t>Toetsingskader verlenging garantie NHT - Vaststelling van de begrotingsstaat van het Ministerie van Financiën (IXB) en de begrotingsstaat van Nationale Schuld (IXA) voor het jaar 2019</w:t>
      </w:r>
    </w:p>
  </w:footnote>
  <w:footnote w:id="3">
    <w:p w14:paraId="17FFF331" w14:textId="77777777" w:rsidR="001B438D" w:rsidRPr="009E2138" w:rsidRDefault="001B438D"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BB529C">
        <w:rPr>
          <w:i/>
          <w:iCs/>
          <w:sz w:val="16"/>
          <w:szCs w:val="16"/>
        </w:rPr>
        <w:t>Kamerstukken II</w:t>
      </w:r>
      <w:r w:rsidRPr="00BB529C">
        <w:rPr>
          <w:sz w:val="16"/>
          <w:szCs w:val="16"/>
        </w:rPr>
        <w:t xml:space="preserve"> 2002-2003, 28668, nr. 1, p. 1.</w:t>
      </w:r>
    </w:p>
  </w:footnote>
  <w:footnote w:id="4">
    <w:p w14:paraId="5121507A" w14:textId="77777777" w:rsidR="00B76E00" w:rsidRPr="009E2138" w:rsidRDefault="00B76E00"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bookmarkStart w:id="0" w:name="_Hlk200015289"/>
      <w:r w:rsidRPr="00FE4F51">
        <w:rPr>
          <w:i/>
          <w:iCs/>
          <w:sz w:val="16"/>
          <w:szCs w:val="16"/>
        </w:rPr>
        <w:t>Kamerstukken II</w:t>
      </w:r>
      <w:r w:rsidRPr="00FE4F51">
        <w:rPr>
          <w:sz w:val="16"/>
          <w:szCs w:val="16"/>
        </w:rPr>
        <w:t> 2002/03, 28915, nr. 3, p. 3.</w:t>
      </w:r>
      <w:bookmarkEnd w:id="0"/>
    </w:p>
  </w:footnote>
  <w:footnote w:id="5">
    <w:p w14:paraId="06194293" w14:textId="77777777" w:rsidR="003734FF" w:rsidRPr="009E2138" w:rsidRDefault="003734FF"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FE4F51">
        <w:rPr>
          <w:i/>
          <w:iCs/>
          <w:sz w:val="16"/>
          <w:szCs w:val="16"/>
        </w:rPr>
        <w:t>Kamerstukken II</w:t>
      </w:r>
      <w:r w:rsidRPr="00FE4F51">
        <w:rPr>
          <w:sz w:val="16"/>
          <w:szCs w:val="16"/>
        </w:rPr>
        <w:t xml:space="preserve"> 2002-2003, 28668, nr. 2, p. 2.</w:t>
      </w:r>
    </w:p>
  </w:footnote>
  <w:footnote w:id="6">
    <w:p w14:paraId="121BA43F" w14:textId="77777777" w:rsidR="00624A77" w:rsidRPr="00FE4F51" w:rsidRDefault="00624A77"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00362FBD" w:rsidRPr="00FE4F51">
        <w:rPr>
          <w:sz w:val="16"/>
          <w:szCs w:val="16"/>
        </w:rPr>
        <w:t>Bulletin “de verzekerbaarheid van terrorisme”, Verbond van Verzekeraars (Juni 2003).</w:t>
      </w:r>
    </w:p>
  </w:footnote>
  <w:footnote w:id="7">
    <w:p w14:paraId="4978CA1F" w14:textId="77777777" w:rsidR="00427146" w:rsidRPr="009E2138" w:rsidRDefault="00427146"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FE4F51">
        <w:rPr>
          <w:i/>
          <w:iCs/>
          <w:sz w:val="16"/>
          <w:szCs w:val="16"/>
        </w:rPr>
        <w:t>Kamerstukken II</w:t>
      </w:r>
      <w:r w:rsidRPr="00FE4F51">
        <w:rPr>
          <w:sz w:val="16"/>
          <w:szCs w:val="16"/>
        </w:rPr>
        <w:t> 2002/03, 28915, nr. 5, p. 2.</w:t>
      </w:r>
    </w:p>
  </w:footnote>
  <w:footnote w:id="8">
    <w:p w14:paraId="39EEDACF" w14:textId="77777777" w:rsidR="002632D0" w:rsidRPr="009E2138" w:rsidRDefault="002632D0"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FE4F51">
        <w:rPr>
          <w:i/>
          <w:iCs/>
          <w:sz w:val="16"/>
          <w:szCs w:val="16"/>
        </w:rPr>
        <w:t>Kamerstukken II</w:t>
      </w:r>
      <w:r w:rsidRPr="00FE4F51">
        <w:rPr>
          <w:sz w:val="16"/>
          <w:szCs w:val="16"/>
        </w:rPr>
        <w:t> 2002/03, 28915, nr. 3, p. 3.</w:t>
      </w:r>
    </w:p>
  </w:footnote>
  <w:footnote w:id="9">
    <w:p w14:paraId="1B4CFEFC" w14:textId="77777777" w:rsidR="00925464" w:rsidRPr="00A05A9C" w:rsidRDefault="00925464" w:rsidP="009E2138">
      <w:pPr>
        <w:pStyle w:val="Voetnoottekst"/>
        <w:spacing w:line="240" w:lineRule="atLeast"/>
        <w:rPr>
          <w:sz w:val="16"/>
          <w:szCs w:val="16"/>
        </w:rPr>
      </w:pPr>
      <w:r w:rsidRPr="009E2138">
        <w:rPr>
          <w:sz w:val="16"/>
          <w:szCs w:val="16"/>
          <w:vertAlign w:val="superscript"/>
        </w:rPr>
        <w:footnoteRef/>
      </w:r>
      <w:r w:rsidRPr="00FE4F51">
        <w:rPr>
          <w:sz w:val="16"/>
          <w:szCs w:val="16"/>
        </w:rPr>
        <w:t xml:space="preserve"> NHT Jaarverslag 2023</w:t>
      </w:r>
      <w:r w:rsidR="00755A25" w:rsidRPr="00FE4F51">
        <w:rPr>
          <w:sz w:val="16"/>
          <w:szCs w:val="16"/>
        </w:rPr>
        <w:t>.</w:t>
      </w:r>
    </w:p>
  </w:footnote>
  <w:footnote w:id="10">
    <w:p w14:paraId="73DEBD78" w14:textId="77777777" w:rsidR="00925464" w:rsidRPr="00A05A9C" w:rsidRDefault="00925464" w:rsidP="009E2138">
      <w:pPr>
        <w:pStyle w:val="Voetnoottekst"/>
        <w:spacing w:line="240" w:lineRule="atLeast"/>
        <w:rPr>
          <w:i/>
          <w:iCs/>
        </w:rPr>
      </w:pPr>
      <w:r w:rsidRPr="00686292">
        <w:rPr>
          <w:vertAlign w:val="superscript"/>
        </w:rPr>
        <w:footnoteRef/>
      </w:r>
      <w:r w:rsidRPr="00686292">
        <w:t xml:space="preserve"> </w:t>
      </w:r>
      <w:r w:rsidR="00047351">
        <w:rPr>
          <w:sz w:val="16"/>
          <w:szCs w:val="16"/>
        </w:rPr>
        <w:t>NHT-kenniscentrum</w:t>
      </w:r>
      <w:r w:rsidR="00755A25">
        <w:rPr>
          <w:sz w:val="16"/>
          <w:szCs w:val="16"/>
        </w:rPr>
        <w:t>, “</w:t>
      </w:r>
      <w:hyperlink r:id="rId1" w:history="1">
        <w:r w:rsidR="00755A25" w:rsidRPr="00A05A9C">
          <w:rPr>
            <w:i/>
            <w:iCs/>
            <w:sz w:val="16"/>
            <w:szCs w:val="16"/>
          </w:rPr>
          <w:t>Voorbereiding op iets waarvan we hopen dat het nooit gebeurt</w:t>
        </w:r>
      </w:hyperlink>
      <w:r w:rsidR="00755A25">
        <w:rPr>
          <w:i/>
          <w:iCs/>
          <w:sz w:val="16"/>
          <w:szCs w:val="16"/>
        </w:rPr>
        <w:t>”.</w:t>
      </w:r>
    </w:p>
  </w:footnote>
  <w:footnote w:id="11">
    <w:p w14:paraId="4317A013" w14:textId="77777777" w:rsidR="001B438D" w:rsidRDefault="001B438D">
      <w:pPr>
        <w:pStyle w:val="Voetnoottekst"/>
      </w:pPr>
      <w:r>
        <w:rPr>
          <w:rStyle w:val="Voetnootmarkering"/>
        </w:rPr>
        <w:footnoteRef/>
      </w:r>
      <w:r>
        <w:t xml:space="preserve"> </w:t>
      </w:r>
      <w:r w:rsidRPr="003734FF">
        <w:rPr>
          <w:i/>
          <w:iCs/>
          <w:sz w:val="16"/>
          <w:szCs w:val="16"/>
        </w:rPr>
        <w:t>Kamerstukken II</w:t>
      </w:r>
      <w:r w:rsidRPr="003734FF">
        <w:rPr>
          <w:sz w:val="16"/>
          <w:szCs w:val="16"/>
        </w:rPr>
        <w:t xml:space="preserve"> 2002-2003, 28668, n</w:t>
      </w:r>
      <w:r>
        <w:rPr>
          <w:sz w:val="16"/>
          <w:szCs w:val="16"/>
        </w:rPr>
        <w:t>r</w:t>
      </w:r>
      <w:r w:rsidRPr="003734FF">
        <w:rPr>
          <w:sz w:val="16"/>
          <w:szCs w:val="16"/>
        </w:rPr>
        <w:t xml:space="preserve">. </w:t>
      </w:r>
      <w:r>
        <w:rPr>
          <w:sz w:val="16"/>
          <w:szCs w:val="16"/>
        </w:rPr>
        <w:t>1, p. 2.</w:t>
      </w:r>
    </w:p>
  </w:footnote>
  <w:footnote w:id="12">
    <w:p w14:paraId="7C64DFED" w14:textId="77777777" w:rsidR="00DF680A" w:rsidRDefault="00DF680A" w:rsidP="00DF680A">
      <w:pPr>
        <w:pStyle w:val="Voetnoottekst"/>
      </w:pPr>
      <w:r>
        <w:rPr>
          <w:rStyle w:val="Voetnootmarkering"/>
        </w:rPr>
        <w:footnoteRef/>
      </w:r>
      <w:r>
        <w:t xml:space="preserve"> </w:t>
      </w:r>
      <w:bookmarkStart w:id="6" w:name="_Hlk199148192"/>
      <w:r w:rsidRPr="00DF680A">
        <w:rPr>
          <w:sz w:val="16"/>
          <w:szCs w:val="16"/>
        </w:rPr>
        <w:t xml:space="preserve">Bulletin </w:t>
      </w:r>
      <w:r w:rsidR="00755A25">
        <w:rPr>
          <w:sz w:val="16"/>
          <w:szCs w:val="16"/>
        </w:rPr>
        <w:t>“</w:t>
      </w:r>
      <w:r w:rsidRPr="00755A25">
        <w:rPr>
          <w:i/>
          <w:iCs/>
          <w:sz w:val="16"/>
          <w:szCs w:val="16"/>
        </w:rPr>
        <w:t xml:space="preserve">de verzekerbaarheid van </w:t>
      </w:r>
      <w:r w:rsidR="00755A25" w:rsidRPr="00755A25">
        <w:rPr>
          <w:i/>
          <w:iCs/>
          <w:sz w:val="16"/>
          <w:szCs w:val="16"/>
        </w:rPr>
        <w:t>terrorisme</w:t>
      </w:r>
      <w:r w:rsidR="00755A25">
        <w:rPr>
          <w:sz w:val="16"/>
          <w:szCs w:val="16"/>
        </w:rPr>
        <w:t>”</w:t>
      </w:r>
      <w:r w:rsidRPr="00DF680A">
        <w:rPr>
          <w:sz w:val="16"/>
          <w:szCs w:val="16"/>
        </w:rPr>
        <w:t>, Verbond van Verzekeraars (Juni 2003).</w:t>
      </w:r>
      <w:r>
        <w:t xml:space="preserve"> </w:t>
      </w:r>
      <w:bookmarkEnd w:id="6"/>
    </w:p>
  </w:footnote>
  <w:footnote w:id="13">
    <w:p w14:paraId="44EF7DEF" w14:textId="77777777" w:rsidR="00F550AE" w:rsidRDefault="00F550AE" w:rsidP="00F550AE">
      <w:pPr>
        <w:pStyle w:val="Voetnoottekst"/>
      </w:pPr>
      <w:r>
        <w:rPr>
          <w:rStyle w:val="Voetnootmarkering"/>
        </w:rPr>
        <w:footnoteRef/>
      </w:r>
      <w:r>
        <w:t xml:space="preserve"> </w:t>
      </w:r>
      <w:r w:rsidRPr="00ED3600">
        <w:rPr>
          <w:i/>
          <w:iCs/>
          <w:sz w:val="16"/>
          <w:szCs w:val="16"/>
        </w:rPr>
        <w:t>Kamerstukken II</w:t>
      </w:r>
      <w:r w:rsidRPr="00ED3600">
        <w:rPr>
          <w:sz w:val="16"/>
          <w:szCs w:val="16"/>
        </w:rPr>
        <w:t xml:space="preserve"> 2002/03, 28915, nr. 5, p. 5. </w:t>
      </w:r>
    </w:p>
  </w:footnote>
  <w:footnote w:id="14">
    <w:p w14:paraId="32BF16F6" w14:textId="77777777" w:rsidR="00304BFE" w:rsidRDefault="00304BFE">
      <w:pPr>
        <w:pStyle w:val="Voetnoottekst"/>
      </w:pPr>
      <w:r>
        <w:rPr>
          <w:rStyle w:val="Voetnootmarkering"/>
        </w:rPr>
        <w:footnoteRef/>
      </w:r>
      <w:r>
        <w:t xml:space="preserve"> </w:t>
      </w:r>
      <w:r w:rsidRPr="003734FF">
        <w:rPr>
          <w:i/>
          <w:iCs/>
          <w:sz w:val="16"/>
          <w:szCs w:val="16"/>
        </w:rPr>
        <w:t>Kamerstukken II</w:t>
      </w:r>
      <w:r w:rsidRPr="003734FF">
        <w:rPr>
          <w:sz w:val="16"/>
          <w:szCs w:val="16"/>
        </w:rPr>
        <w:t xml:space="preserve"> 2002-2003, 28668, n</w:t>
      </w:r>
      <w:r>
        <w:rPr>
          <w:sz w:val="16"/>
          <w:szCs w:val="16"/>
        </w:rPr>
        <w:t>r</w:t>
      </w:r>
      <w:r w:rsidRPr="003734FF">
        <w:rPr>
          <w:sz w:val="16"/>
          <w:szCs w:val="16"/>
        </w:rPr>
        <w:t xml:space="preserve">. </w:t>
      </w:r>
      <w:r>
        <w:rPr>
          <w:sz w:val="16"/>
          <w:szCs w:val="16"/>
        </w:rPr>
        <w:t>1, p. 3.</w:t>
      </w:r>
    </w:p>
  </w:footnote>
  <w:footnote w:id="15">
    <w:p w14:paraId="67E0ACBD" w14:textId="77777777" w:rsidR="00304BFE" w:rsidRPr="009E2138" w:rsidRDefault="00304BFE"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A31C4D">
        <w:rPr>
          <w:i/>
          <w:iCs/>
          <w:sz w:val="16"/>
          <w:szCs w:val="16"/>
        </w:rPr>
        <w:t>Kamerstukken II</w:t>
      </w:r>
      <w:r w:rsidRPr="00A31C4D">
        <w:rPr>
          <w:sz w:val="16"/>
          <w:szCs w:val="16"/>
        </w:rPr>
        <w:t xml:space="preserve"> 2002-2003, 28668, nr. 1, p. 6.</w:t>
      </w:r>
    </w:p>
  </w:footnote>
  <w:footnote w:id="16">
    <w:p w14:paraId="314FB28A" w14:textId="77777777" w:rsidR="00A721E1" w:rsidRDefault="00A721E1" w:rsidP="009E2138">
      <w:pPr>
        <w:pStyle w:val="Voetnoottekst"/>
        <w:spacing w:line="240" w:lineRule="atLeast"/>
      </w:pPr>
      <w:r w:rsidRPr="009E2138">
        <w:rPr>
          <w:rStyle w:val="Voetnootmarkering"/>
          <w:sz w:val="16"/>
          <w:szCs w:val="16"/>
        </w:rPr>
        <w:footnoteRef/>
      </w:r>
      <w:r w:rsidRPr="009E2138">
        <w:rPr>
          <w:sz w:val="16"/>
          <w:szCs w:val="16"/>
        </w:rPr>
        <w:t xml:space="preserve"> </w:t>
      </w:r>
      <w:r w:rsidRPr="00A31C4D">
        <w:rPr>
          <w:i/>
          <w:iCs/>
          <w:sz w:val="16"/>
          <w:szCs w:val="16"/>
        </w:rPr>
        <w:t>Kamerstukken II</w:t>
      </w:r>
      <w:r w:rsidRPr="00A31C4D">
        <w:rPr>
          <w:sz w:val="16"/>
          <w:szCs w:val="16"/>
        </w:rPr>
        <w:t> 2002/03, 28915, nr. 3, p. 3.</w:t>
      </w:r>
    </w:p>
  </w:footnote>
  <w:footnote w:id="17">
    <w:p w14:paraId="598136D7" w14:textId="77777777" w:rsidR="0050107E" w:rsidRPr="009E2138" w:rsidRDefault="0050107E"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3E4F5A">
        <w:rPr>
          <w:i/>
          <w:iCs/>
          <w:sz w:val="16"/>
          <w:szCs w:val="16"/>
        </w:rPr>
        <w:t>Kamerstukken II</w:t>
      </w:r>
      <w:r w:rsidRPr="003E4F5A">
        <w:rPr>
          <w:sz w:val="16"/>
          <w:szCs w:val="16"/>
        </w:rPr>
        <w:t> 2008/09, 29754, nr. 136, p. 2.</w:t>
      </w:r>
    </w:p>
  </w:footnote>
  <w:footnote w:id="18">
    <w:p w14:paraId="4D21C6B9" w14:textId="77777777" w:rsidR="00F03EC5" w:rsidRPr="009E2138" w:rsidRDefault="00F03EC5"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3E4F5A">
        <w:rPr>
          <w:i/>
          <w:iCs/>
          <w:sz w:val="16"/>
          <w:szCs w:val="16"/>
        </w:rPr>
        <w:t>Kamerstukken II</w:t>
      </w:r>
      <w:r w:rsidRPr="003E4F5A">
        <w:rPr>
          <w:sz w:val="16"/>
          <w:szCs w:val="16"/>
        </w:rPr>
        <w:t> 2002/03, 28915, nr. 5, p. 4.</w:t>
      </w:r>
    </w:p>
  </w:footnote>
  <w:footnote w:id="19">
    <w:p w14:paraId="23D18146" w14:textId="77777777" w:rsidR="007B5944" w:rsidRPr="009E2138" w:rsidRDefault="007B5944" w:rsidP="009E2138">
      <w:pPr>
        <w:pStyle w:val="Voetnoottekst"/>
        <w:spacing w:line="240" w:lineRule="atLeast"/>
        <w:rPr>
          <w:sz w:val="16"/>
          <w:szCs w:val="16"/>
        </w:rPr>
      </w:pPr>
      <w:r w:rsidRPr="009E2138">
        <w:rPr>
          <w:rStyle w:val="Voetnootmarkering"/>
          <w:sz w:val="16"/>
          <w:szCs w:val="16"/>
        </w:rPr>
        <w:footnoteRef/>
      </w:r>
      <w:r w:rsidRPr="009E2138">
        <w:rPr>
          <w:sz w:val="16"/>
          <w:szCs w:val="16"/>
        </w:rPr>
        <w:t xml:space="preserve"> </w:t>
      </w:r>
      <w:r w:rsidRPr="003E4F5A">
        <w:rPr>
          <w:i/>
          <w:iCs/>
          <w:sz w:val="16"/>
          <w:szCs w:val="16"/>
        </w:rPr>
        <w:t>Kamerstukken II</w:t>
      </w:r>
      <w:r w:rsidRPr="003E4F5A">
        <w:rPr>
          <w:sz w:val="16"/>
          <w:szCs w:val="16"/>
        </w:rPr>
        <w:t> 2008/09, 29754, nr. 136, p. 2.</w:t>
      </w:r>
    </w:p>
  </w:footnote>
  <w:footnote w:id="20">
    <w:p w14:paraId="37591AA5" w14:textId="77777777" w:rsidR="007B5944" w:rsidRDefault="007B5944" w:rsidP="009E2138">
      <w:pPr>
        <w:pStyle w:val="Voetnoottekst"/>
        <w:spacing w:line="240" w:lineRule="atLeast"/>
      </w:pPr>
      <w:r w:rsidRPr="009E2138">
        <w:rPr>
          <w:rStyle w:val="Voetnootmarkering"/>
          <w:sz w:val="16"/>
          <w:szCs w:val="16"/>
        </w:rPr>
        <w:footnoteRef/>
      </w:r>
      <w:r w:rsidRPr="009E2138">
        <w:rPr>
          <w:sz w:val="16"/>
          <w:szCs w:val="16"/>
        </w:rPr>
        <w:t xml:space="preserve"> </w:t>
      </w:r>
      <w:r w:rsidRPr="003E4F5A">
        <w:rPr>
          <w:sz w:val="16"/>
          <w:szCs w:val="16"/>
        </w:rPr>
        <w:t>Stb. 2003, 465</w:t>
      </w:r>
      <w:r w:rsidRPr="009E2138">
        <w:rPr>
          <w:sz w:val="16"/>
          <w:szCs w:val="16"/>
        </w:rPr>
        <w:t>.</w:t>
      </w:r>
    </w:p>
  </w:footnote>
  <w:footnote w:id="21">
    <w:p w14:paraId="705FF8F7" w14:textId="77777777" w:rsidR="00CE195D" w:rsidRPr="007545A5" w:rsidRDefault="00CE195D" w:rsidP="007545A5">
      <w:pPr>
        <w:pStyle w:val="Voetnoottekst"/>
        <w:spacing w:line="240" w:lineRule="atLeast"/>
        <w:rPr>
          <w:sz w:val="16"/>
          <w:szCs w:val="16"/>
        </w:rPr>
      </w:pPr>
      <w:r w:rsidRPr="007545A5">
        <w:rPr>
          <w:rStyle w:val="Voetnootmarkering"/>
          <w:sz w:val="16"/>
          <w:szCs w:val="16"/>
        </w:rPr>
        <w:footnoteRef/>
      </w:r>
      <w:r w:rsidRPr="007545A5">
        <w:rPr>
          <w:sz w:val="16"/>
          <w:szCs w:val="16"/>
        </w:rPr>
        <w:t xml:space="preserve"> </w:t>
      </w:r>
      <w:r w:rsidR="0075305D" w:rsidRPr="007545A5">
        <w:rPr>
          <w:sz w:val="16"/>
          <w:szCs w:val="16"/>
        </w:rPr>
        <w:t>Procesbeschrijving Risicoregelingen</w:t>
      </w:r>
      <w:r w:rsidR="00686292" w:rsidRPr="007545A5">
        <w:rPr>
          <w:sz w:val="16"/>
          <w:szCs w:val="16"/>
        </w:rPr>
        <w:t xml:space="preserve"> Rijksfinanciën.</w:t>
      </w:r>
    </w:p>
  </w:footnote>
  <w:footnote w:id="22">
    <w:p w14:paraId="2CDF1172" w14:textId="77777777" w:rsidR="00B072CA" w:rsidRPr="007545A5" w:rsidRDefault="00B072CA" w:rsidP="007545A5">
      <w:pPr>
        <w:pStyle w:val="Voetnoottekst"/>
        <w:spacing w:line="240" w:lineRule="atLeast"/>
        <w:rPr>
          <w:sz w:val="16"/>
          <w:szCs w:val="16"/>
        </w:rPr>
      </w:pPr>
      <w:r w:rsidRPr="007545A5">
        <w:rPr>
          <w:rStyle w:val="Voetnootmarkering"/>
          <w:sz w:val="16"/>
          <w:szCs w:val="16"/>
        </w:rPr>
        <w:footnoteRef/>
      </w:r>
      <w:r w:rsidRPr="007545A5">
        <w:rPr>
          <w:sz w:val="16"/>
          <w:szCs w:val="16"/>
        </w:rPr>
        <w:t xml:space="preserve"> </w:t>
      </w:r>
      <w:r w:rsidRPr="007545A5">
        <w:rPr>
          <w:i/>
          <w:iCs/>
          <w:sz w:val="16"/>
          <w:szCs w:val="16"/>
        </w:rPr>
        <w:t>Kamerstukken II</w:t>
      </w:r>
      <w:r w:rsidRPr="007545A5">
        <w:rPr>
          <w:sz w:val="16"/>
          <w:szCs w:val="16"/>
        </w:rPr>
        <w:t xml:space="preserve"> 2002-2003, 28668, nr. 2, p. 2.</w:t>
      </w:r>
    </w:p>
  </w:footnote>
  <w:footnote w:id="23">
    <w:p w14:paraId="04AD03AE" w14:textId="77777777" w:rsidR="00975B9F" w:rsidRPr="007545A5" w:rsidRDefault="00975B9F" w:rsidP="007545A5">
      <w:pPr>
        <w:pStyle w:val="Voetnoottekst"/>
        <w:spacing w:line="240" w:lineRule="atLeast"/>
        <w:rPr>
          <w:sz w:val="16"/>
          <w:szCs w:val="16"/>
        </w:rPr>
      </w:pPr>
      <w:r w:rsidRPr="007545A5">
        <w:rPr>
          <w:rStyle w:val="Voetnootmarkering"/>
          <w:sz w:val="16"/>
          <w:szCs w:val="16"/>
        </w:rPr>
        <w:footnoteRef/>
      </w:r>
      <w:r w:rsidRPr="007545A5">
        <w:rPr>
          <w:sz w:val="16"/>
          <w:szCs w:val="16"/>
        </w:rPr>
        <w:t xml:space="preserve"> Wet betreffende de schadeloosstelling van slachtoffers van een daad van terrorisme en betreffende de verzekering tegen schade veroorzaakt door terrorisme.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2787" w14:textId="77777777" w:rsidR="00904C3B" w:rsidRDefault="00646FF7">
    <w:pPr>
      <w:spacing w:after="3764" w:line="14" w:lineRule="exact"/>
    </w:pPr>
    <w:r>
      <w:rPr>
        <w:noProof/>
      </w:rPr>
      <mc:AlternateContent>
        <mc:Choice Requires="wps">
          <w:drawing>
            <wp:anchor distT="0" distB="0" distL="0" distR="0" simplePos="0" relativeHeight="251654656" behindDoc="0" locked="1" layoutInCell="1" allowOverlap="1" wp14:anchorId="4E6B5F3E" wp14:editId="0831AD83">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E30CC5" w14:textId="77777777" w:rsidR="0069205D" w:rsidRDefault="001E000B">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4E6B5F3E"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5EE30CC5" w14:textId="77777777" w:rsidR="0069205D" w:rsidRDefault="001E000B">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74DA21D9" wp14:editId="6F5188ED">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A95759A" w14:textId="77777777" w:rsidR="00646FF7" w:rsidRDefault="00646FF7"/>
                      </w:txbxContent>
                    </wps:txbx>
                    <wps:bodyPr vert="horz" wrap="square" lIns="0" tIns="0" rIns="0" bIns="0" anchor="t" anchorCtr="0"/>
                  </wps:wsp>
                </a:graphicData>
              </a:graphic>
            </wp:anchor>
          </w:drawing>
        </mc:Choice>
        <mc:Fallback>
          <w:pict>
            <v:shape w14:anchorId="74DA21D9"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5A95759A" w14:textId="77777777" w:rsidR="00646FF7" w:rsidRDefault="00646FF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5FED91F" wp14:editId="3CDC38D4">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122AB823" w14:textId="77777777" w:rsidR="00646FF7" w:rsidRDefault="00646FF7"/>
                      </w:txbxContent>
                    </wps:txbx>
                    <wps:bodyPr vert="horz" wrap="square" lIns="0" tIns="0" rIns="0" bIns="0" anchor="t" anchorCtr="0"/>
                  </wps:wsp>
                </a:graphicData>
              </a:graphic>
            </wp:anchor>
          </w:drawing>
        </mc:Choice>
        <mc:Fallback>
          <w:pict>
            <v:shape w14:anchorId="25FED91F"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122AB823" w14:textId="77777777" w:rsidR="00646FF7" w:rsidRDefault="00646FF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0A8C" w14:textId="77777777" w:rsidR="00904C3B" w:rsidRDefault="00646FF7">
    <w:r>
      <w:rPr>
        <w:noProof/>
      </w:rPr>
      <mc:AlternateContent>
        <mc:Choice Requires="wps">
          <w:drawing>
            <wp:anchor distT="0" distB="0" distL="0" distR="0" simplePos="0" relativeHeight="251657728" behindDoc="0" locked="1" layoutInCell="1" allowOverlap="1" wp14:anchorId="677CEA31" wp14:editId="3E313716">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B93686" w14:textId="77777777" w:rsidR="00904C3B" w:rsidRDefault="00646FF7">
                          <w:pPr>
                            <w:spacing w:line="240" w:lineRule="auto"/>
                          </w:pPr>
                          <w:r>
                            <w:rPr>
                              <w:noProof/>
                            </w:rPr>
                            <w:drawing>
                              <wp:inline distT="0" distB="0" distL="0" distR="0" wp14:anchorId="32D1EECD" wp14:editId="3AC2FEB9">
                                <wp:extent cx="2339975" cy="1582834"/>
                                <wp:effectExtent l="0" t="0" r="0" b="0"/>
                                <wp:docPr id="5"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7CEA31"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31B93686" w14:textId="77777777" w:rsidR="00904C3B" w:rsidRDefault="00646FF7">
                    <w:pPr>
                      <w:spacing w:line="240" w:lineRule="auto"/>
                    </w:pPr>
                    <w:r>
                      <w:rPr>
                        <w:noProof/>
                      </w:rPr>
                      <w:drawing>
                        <wp:inline distT="0" distB="0" distL="0" distR="0" wp14:anchorId="32D1EECD" wp14:editId="3AC2FEB9">
                          <wp:extent cx="2339975" cy="1582834"/>
                          <wp:effectExtent l="0" t="0" r="0" b="0"/>
                          <wp:docPr id="5"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11B264E" wp14:editId="0999339D">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8533767" w14:textId="77777777" w:rsidR="00904C3B" w:rsidRDefault="00646FF7">
                          <w:pPr>
                            <w:spacing w:line="240" w:lineRule="auto"/>
                          </w:pPr>
                          <w:r>
                            <w:rPr>
                              <w:noProof/>
                            </w:rPr>
                            <w:drawing>
                              <wp:inline distT="0" distB="0" distL="0" distR="0" wp14:anchorId="65B2C749" wp14:editId="169431AF">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1B264E"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8533767" w14:textId="77777777" w:rsidR="00904C3B" w:rsidRDefault="00646FF7">
                    <w:pPr>
                      <w:spacing w:line="240" w:lineRule="auto"/>
                    </w:pPr>
                    <w:r>
                      <w:rPr>
                        <w:noProof/>
                      </w:rPr>
                      <w:drawing>
                        <wp:inline distT="0" distB="0" distL="0" distR="0" wp14:anchorId="65B2C749" wp14:editId="169431AF">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55DC721" wp14:editId="09AD3211">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D857737" w14:textId="77777777" w:rsidR="00646FF7" w:rsidRDefault="00646FF7"/>
                      </w:txbxContent>
                    </wps:txbx>
                    <wps:bodyPr vert="horz" wrap="square" lIns="0" tIns="0" rIns="0" bIns="0" anchor="t" anchorCtr="0"/>
                  </wps:wsp>
                </a:graphicData>
              </a:graphic>
            </wp:anchor>
          </w:drawing>
        </mc:Choice>
        <mc:Fallback>
          <w:pict>
            <v:shape w14:anchorId="555DC721"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0D857737" w14:textId="77777777" w:rsidR="00646FF7" w:rsidRDefault="00646FF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46675B7" wp14:editId="79BEC884">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AF4FF7" w14:textId="77777777" w:rsidR="0069205D" w:rsidRDefault="001E000B">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46675B7"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DAF4FF7" w14:textId="77777777" w:rsidR="0069205D" w:rsidRDefault="001E000B">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DCB48"/>
    <w:multiLevelType w:val="multilevel"/>
    <w:tmpl w:val="3FA438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1FA7DC8"/>
    <w:multiLevelType w:val="multilevel"/>
    <w:tmpl w:val="0413001D"/>
    <w:lvl w:ilvl="0">
      <w:start w:val="1"/>
      <w:numFmt w:val="decimal"/>
      <w:lvlText w:val="%1)"/>
      <w:lvlJc w:val="lef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 w15:restartNumberingAfterBreak="0">
    <w:nsid w:val="0708292C"/>
    <w:multiLevelType w:val="multilevel"/>
    <w:tmpl w:val="51ED041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A353F8C"/>
    <w:multiLevelType w:val="hybridMultilevel"/>
    <w:tmpl w:val="1BA02A2E"/>
    <w:lvl w:ilvl="0" w:tplc="086A4E58">
      <w:numFmt w:val="bullet"/>
      <w:lvlText w:val="-"/>
      <w:lvlJc w:val="left"/>
      <w:pPr>
        <w:ind w:left="1492" w:hanging="360"/>
      </w:pPr>
      <w:rPr>
        <w:rFonts w:ascii="Verdana" w:eastAsia="DejaVu Sans" w:hAnsi="Verdana" w:cs="Lohit Hindi" w:hint="default"/>
      </w:rPr>
    </w:lvl>
    <w:lvl w:ilvl="1" w:tplc="04130003" w:tentative="1">
      <w:start w:val="1"/>
      <w:numFmt w:val="bullet"/>
      <w:lvlText w:val="o"/>
      <w:lvlJc w:val="left"/>
      <w:pPr>
        <w:ind w:left="2212" w:hanging="360"/>
      </w:pPr>
      <w:rPr>
        <w:rFonts w:ascii="Courier New" w:hAnsi="Courier New" w:cs="Courier New" w:hint="default"/>
      </w:rPr>
    </w:lvl>
    <w:lvl w:ilvl="2" w:tplc="04130005" w:tentative="1">
      <w:start w:val="1"/>
      <w:numFmt w:val="bullet"/>
      <w:lvlText w:val=""/>
      <w:lvlJc w:val="left"/>
      <w:pPr>
        <w:ind w:left="2932" w:hanging="360"/>
      </w:pPr>
      <w:rPr>
        <w:rFonts w:ascii="Wingdings" w:hAnsi="Wingdings" w:hint="default"/>
      </w:rPr>
    </w:lvl>
    <w:lvl w:ilvl="3" w:tplc="04130001" w:tentative="1">
      <w:start w:val="1"/>
      <w:numFmt w:val="bullet"/>
      <w:lvlText w:val=""/>
      <w:lvlJc w:val="left"/>
      <w:pPr>
        <w:ind w:left="3652" w:hanging="360"/>
      </w:pPr>
      <w:rPr>
        <w:rFonts w:ascii="Symbol" w:hAnsi="Symbol" w:hint="default"/>
      </w:rPr>
    </w:lvl>
    <w:lvl w:ilvl="4" w:tplc="04130003" w:tentative="1">
      <w:start w:val="1"/>
      <w:numFmt w:val="bullet"/>
      <w:lvlText w:val="o"/>
      <w:lvlJc w:val="left"/>
      <w:pPr>
        <w:ind w:left="4372" w:hanging="360"/>
      </w:pPr>
      <w:rPr>
        <w:rFonts w:ascii="Courier New" w:hAnsi="Courier New" w:cs="Courier New" w:hint="default"/>
      </w:rPr>
    </w:lvl>
    <w:lvl w:ilvl="5" w:tplc="04130005" w:tentative="1">
      <w:start w:val="1"/>
      <w:numFmt w:val="bullet"/>
      <w:lvlText w:val=""/>
      <w:lvlJc w:val="left"/>
      <w:pPr>
        <w:ind w:left="5092" w:hanging="360"/>
      </w:pPr>
      <w:rPr>
        <w:rFonts w:ascii="Wingdings" w:hAnsi="Wingdings" w:hint="default"/>
      </w:rPr>
    </w:lvl>
    <w:lvl w:ilvl="6" w:tplc="04130001" w:tentative="1">
      <w:start w:val="1"/>
      <w:numFmt w:val="bullet"/>
      <w:lvlText w:val=""/>
      <w:lvlJc w:val="left"/>
      <w:pPr>
        <w:ind w:left="5812" w:hanging="360"/>
      </w:pPr>
      <w:rPr>
        <w:rFonts w:ascii="Symbol" w:hAnsi="Symbol" w:hint="default"/>
      </w:rPr>
    </w:lvl>
    <w:lvl w:ilvl="7" w:tplc="04130003" w:tentative="1">
      <w:start w:val="1"/>
      <w:numFmt w:val="bullet"/>
      <w:lvlText w:val="o"/>
      <w:lvlJc w:val="left"/>
      <w:pPr>
        <w:ind w:left="6532" w:hanging="360"/>
      </w:pPr>
      <w:rPr>
        <w:rFonts w:ascii="Courier New" w:hAnsi="Courier New" w:cs="Courier New" w:hint="default"/>
      </w:rPr>
    </w:lvl>
    <w:lvl w:ilvl="8" w:tplc="04130005" w:tentative="1">
      <w:start w:val="1"/>
      <w:numFmt w:val="bullet"/>
      <w:lvlText w:val=""/>
      <w:lvlJc w:val="left"/>
      <w:pPr>
        <w:ind w:left="7252" w:hanging="360"/>
      </w:pPr>
      <w:rPr>
        <w:rFonts w:ascii="Wingdings" w:hAnsi="Wingdings" w:hint="default"/>
      </w:rPr>
    </w:lvl>
  </w:abstractNum>
  <w:abstractNum w:abstractNumId="4" w15:restartNumberingAfterBreak="0">
    <w:nsid w:val="160741DC"/>
    <w:multiLevelType w:val="multilevel"/>
    <w:tmpl w:val="4E267C9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C61827"/>
    <w:multiLevelType w:val="multilevel"/>
    <w:tmpl w:val="A2C9BBB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095E07A"/>
    <w:multiLevelType w:val="multilevel"/>
    <w:tmpl w:val="2657F6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63F493D"/>
    <w:multiLevelType w:val="multilevel"/>
    <w:tmpl w:val="0413001D"/>
    <w:lvl w:ilvl="0">
      <w:start w:val="1"/>
      <w:numFmt w:val="decimal"/>
      <w:lvlText w:val="%1)"/>
      <w:lvlJc w:val="lef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8" w15:restartNumberingAfterBreak="0">
    <w:nsid w:val="56FA016D"/>
    <w:multiLevelType w:val="hybridMultilevel"/>
    <w:tmpl w:val="33BAD47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0805EB"/>
    <w:multiLevelType w:val="multilevel"/>
    <w:tmpl w:val="E51AD368"/>
    <w:name w:val="Lijst"/>
    <w:lvl w:ilvl="0">
      <w:start w:val="1"/>
      <w:numFmt w:val="decimal"/>
      <w:pStyle w:val="Lijstniveau1"/>
      <w:lvlText w:val="%1."/>
      <w:lvlJc w:val="left"/>
      <w:pPr>
        <w:ind w:left="1132" w:hanging="1132"/>
      </w:pPr>
      <w:rPr>
        <w:rFonts w:hint="default"/>
        <w:b/>
        <w:bCs/>
      </w:rPr>
    </w:lvl>
    <w:lvl w:ilvl="1">
      <w:start w:val="1"/>
      <w:numFmt w:val="decimal"/>
      <w:pStyle w:val="Lijstniveau2"/>
      <w:lvlText w:val="%1.%2."/>
      <w:lvlJc w:val="left"/>
      <w:pPr>
        <w:ind w:left="1983" w:hanging="1132"/>
      </w:pPr>
      <w:rPr>
        <w:rFonts w:hint="default"/>
        <w:b/>
        <w:bCs/>
      </w:rPr>
    </w:lvl>
    <w:lvl w:ilvl="2">
      <w:start w:val="1"/>
      <w:numFmt w:val="decimal"/>
      <w:pStyle w:val="Lijstniveau3"/>
      <w:lvlText w:val="%1.%2.%3."/>
      <w:lvlJc w:val="left"/>
      <w:pPr>
        <w:ind w:left="1132" w:hanging="1132"/>
      </w:pPr>
      <w:rPr>
        <w:rFonts w:hint="default"/>
      </w:rPr>
    </w:lvl>
    <w:lvl w:ilvl="3">
      <w:start w:val="1"/>
      <w:numFmt w:val="lowerLetter"/>
      <w:pStyle w:val="Lijstniveau4"/>
      <w:lvlText w:val="%1.%2.%3.%4."/>
      <w:lvlJc w:val="left"/>
      <w:pPr>
        <w:ind w:left="1132" w:hanging="1132"/>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5C9A3CCB"/>
    <w:multiLevelType w:val="hybridMultilevel"/>
    <w:tmpl w:val="946C6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8A31D7"/>
    <w:multiLevelType w:val="multilevel"/>
    <w:tmpl w:val="0413001D"/>
    <w:lvl w:ilvl="0">
      <w:start w:val="1"/>
      <w:numFmt w:val="decimal"/>
      <w:lvlText w:val="%1)"/>
      <w:lvlJc w:val="lef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num w:numId="1" w16cid:durableId="571961902">
    <w:abstractNumId w:val="2"/>
  </w:num>
  <w:num w:numId="2" w16cid:durableId="182943611">
    <w:abstractNumId w:val="5"/>
  </w:num>
  <w:num w:numId="3" w16cid:durableId="1153643233">
    <w:abstractNumId w:val="6"/>
  </w:num>
  <w:num w:numId="4" w16cid:durableId="72440137">
    <w:abstractNumId w:val="9"/>
  </w:num>
  <w:num w:numId="5" w16cid:durableId="2034114822">
    <w:abstractNumId w:val="0"/>
  </w:num>
  <w:num w:numId="6" w16cid:durableId="787046171">
    <w:abstractNumId w:val="10"/>
  </w:num>
  <w:num w:numId="7" w16cid:durableId="1679381291">
    <w:abstractNumId w:val="4"/>
  </w:num>
  <w:num w:numId="8" w16cid:durableId="2028559452">
    <w:abstractNumId w:val="1"/>
  </w:num>
  <w:num w:numId="9" w16cid:durableId="662051681">
    <w:abstractNumId w:val="8"/>
  </w:num>
  <w:num w:numId="10" w16cid:durableId="1995255610">
    <w:abstractNumId w:val="7"/>
  </w:num>
  <w:num w:numId="11" w16cid:durableId="1304702127">
    <w:abstractNumId w:val="9"/>
  </w:num>
  <w:num w:numId="12" w16cid:durableId="226958274">
    <w:abstractNumId w:val="9"/>
  </w:num>
  <w:num w:numId="13" w16cid:durableId="1296564697">
    <w:abstractNumId w:val="9"/>
  </w:num>
  <w:num w:numId="14" w16cid:durableId="1787264077">
    <w:abstractNumId w:val="9"/>
  </w:num>
  <w:num w:numId="15" w16cid:durableId="865021407">
    <w:abstractNumId w:val="11"/>
  </w:num>
  <w:num w:numId="16" w16cid:durableId="16784289">
    <w:abstractNumId w:val="9"/>
  </w:num>
  <w:num w:numId="17" w16cid:durableId="115415711">
    <w:abstractNumId w:val="3"/>
  </w:num>
  <w:num w:numId="18" w16cid:durableId="2126800539">
    <w:abstractNumId w:val="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9" w16cid:durableId="977421226">
    <w:abstractNumId w:val="9"/>
  </w:num>
  <w:num w:numId="20" w16cid:durableId="120420549">
    <w:abstractNumId w:val="9"/>
  </w:num>
  <w:num w:numId="21" w16cid:durableId="1212501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3B"/>
    <w:rsid w:val="0000181C"/>
    <w:rsid w:val="00011F27"/>
    <w:rsid w:val="00012521"/>
    <w:rsid w:val="0002613A"/>
    <w:rsid w:val="00034F78"/>
    <w:rsid w:val="00044225"/>
    <w:rsid w:val="00047351"/>
    <w:rsid w:val="000579CA"/>
    <w:rsid w:val="00072613"/>
    <w:rsid w:val="000825E8"/>
    <w:rsid w:val="00085CC8"/>
    <w:rsid w:val="00090EEF"/>
    <w:rsid w:val="000A0262"/>
    <w:rsid w:val="000A2E7B"/>
    <w:rsid w:val="000C3C99"/>
    <w:rsid w:val="000D1C61"/>
    <w:rsid w:val="000D3C52"/>
    <w:rsid w:val="000D40A2"/>
    <w:rsid w:val="000E6FB2"/>
    <w:rsid w:val="000F5831"/>
    <w:rsid w:val="00125CBF"/>
    <w:rsid w:val="0014191D"/>
    <w:rsid w:val="001441D6"/>
    <w:rsid w:val="0014607F"/>
    <w:rsid w:val="00150C24"/>
    <w:rsid w:val="00157668"/>
    <w:rsid w:val="00162FB1"/>
    <w:rsid w:val="00170EB2"/>
    <w:rsid w:val="00172393"/>
    <w:rsid w:val="00173B4E"/>
    <w:rsid w:val="0017500E"/>
    <w:rsid w:val="001846E4"/>
    <w:rsid w:val="00195CFF"/>
    <w:rsid w:val="001A0A12"/>
    <w:rsid w:val="001A6093"/>
    <w:rsid w:val="001B438D"/>
    <w:rsid w:val="001B4439"/>
    <w:rsid w:val="001C04D4"/>
    <w:rsid w:val="001D0DA0"/>
    <w:rsid w:val="001D6A67"/>
    <w:rsid w:val="001D6DC4"/>
    <w:rsid w:val="001E000B"/>
    <w:rsid w:val="001E4612"/>
    <w:rsid w:val="001F47B9"/>
    <w:rsid w:val="001F5F57"/>
    <w:rsid w:val="001F6571"/>
    <w:rsid w:val="002062B7"/>
    <w:rsid w:val="0022455E"/>
    <w:rsid w:val="002370AA"/>
    <w:rsid w:val="00252306"/>
    <w:rsid w:val="00253908"/>
    <w:rsid w:val="002632D0"/>
    <w:rsid w:val="00277558"/>
    <w:rsid w:val="002778B3"/>
    <w:rsid w:val="00281F13"/>
    <w:rsid w:val="00290CA1"/>
    <w:rsid w:val="002A0996"/>
    <w:rsid w:val="002A1644"/>
    <w:rsid w:val="002C06A9"/>
    <w:rsid w:val="002C6BE0"/>
    <w:rsid w:val="002D0131"/>
    <w:rsid w:val="002D4350"/>
    <w:rsid w:val="002E13B2"/>
    <w:rsid w:val="002E5FE8"/>
    <w:rsid w:val="002E757B"/>
    <w:rsid w:val="002F0A0D"/>
    <w:rsid w:val="002F58DF"/>
    <w:rsid w:val="002F79E5"/>
    <w:rsid w:val="00304BFE"/>
    <w:rsid w:val="00304F99"/>
    <w:rsid w:val="0030695E"/>
    <w:rsid w:val="0033102C"/>
    <w:rsid w:val="00334365"/>
    <w:rsid w:val="003403C1"/>
    <w:rsid w:val="00342B1F"/>
    <w:rsid w:val="0035122D"/>
    <w:rsid w:val="0035357D"/>
    <w:rsid w:val="0035512C"/>
    <w:rsid w:val="003569F1"/>
    <w:rsid w:val="00362FBD"/>
    <w:rsid w:val="00366257"/>
    <w:rsid w:val="0036712D"/>
    <w:rsid w:val="00367244"/>
    <w:rsid w:val="003734FF"/>
    <w:rsid w:val="003B0F59"/>
    <w:rsid w:val="003B1D97"/>
    <w:rsid w:val="003C00EA"/>
    <w:rsid w:val="003C5206"/>
    <w:rsid w:val="003D1544"/>
    <w:rsid w:val="003E4F5A"/>
    <w:rsid w:val="003E520E"/>
    <w:rsid w:val="003E5C55"/>
    <w:rsid w:val="003F012C"/>
    <w:rsid w:val="003F1B19"/>
    <w:rsid w:val="003F3FED"/>
    <w:rsid w:val="004125E7"/>
    <w:rsid w:val="00416C4C"/>
    <w:rsid w:val="00427146"/>
    <w:rsid w:val="0042729F"/>
    <w:rsid w:val="0044189F"/>
    <w:rsid w:val="0047143A"/>
    <w:rsid w:val="004926F8"/>
    <w:rsid w:val="00492D02"/>
    <w:rsid w:val="00493218"/>
    <w:rsid w:val="004932CC"/>
    <w:rsid w:val="00495B4B"/>
    <w:rsid w:val="00495F4A"/>
    <w:rsid w:val="004A38EA"/>
    <w:rsid w:val="004D06FB"/>
    <w:rsid w:val="004D166F"/>
    <w:rsid w:val="004E4241"/>
    <w:rsid w:val="004E5A2C"/>
    <w:rsid w:val="0050107E"/>
    <w:rsid w:val="00505B9D"/>
    <w:rsid w:val="00517223"/>
    <w:rsid w:val="00534B73"/>
    <w:rsid w:val="00541497"/>
    <w:rsid w:val="00553A7E"/>
    <w:rsid w:val="005669FA"/>
    <w:rsid w:val="00595364"/>
    <w:rsid w:val="005A03D1"/>
    <w:rsid w:val="005A075C"/>
    <w:rsid w:val="005A79FA"/>
    <w:rsid w:val="005A7B89"/>
    <w:rsid w:val="005B6E5F"/>
    <w:rsid w:val="005C0BE0"/>
    <w:rsid w:val="005C5C7F"/>
    <w:rsid w:val="005D1F59"/>
    <w:rsid w:val="005D3C75"/>
    <w:rsid w:val="005E3C3B"/>
    <w:rsid w:val="005E5493"/>
    <w:rsid w:val="005E7264"/>
    <w:rsid w:val="00601FD2"/>
    <w:rsid w:val="00603128"/>
    <w:rsid w:val="00624368"/>
    <w:rsid w:val="00624A77"/>
    <w:rsid w:val="0062564A"/>
    <w:rsid w:val="00646FF7"/>
    <w:rsid w:val="00654B0F"/>
    <w:rsid w:val="00661C41"/>
    <w:rsid w:val="00684249"/>
    <w:rsid w:val="0068429A"/>
    <w:rsid w:val="00686292"/>
    <w:rsid w:val="0069205D"/>
    <w:rsid w:val="006A02E5"/>
    <w:rsid w:val="006A0A0D"/>
    <w:rsid w:val="006A6F7C"/>
    <w:rsid w:val="006B0BCB"/>
    <w:rsid w:val="006C2D88"/>
    <w:rsid w:val="00702062"/>
    <w:rsid w:val="00707D90"/>
    <w:rsid w:val="00714E03"/>
    <w:rsid w:val="0071777E"/>
    <w:rsid w:val="00717903"/>
    <w:rsid w:val="00722D48"/>
    <w:rsid w:val="007270AE"/>
    <w:rsid w:val="007368E2"/>
    <w:rsid w:val="00746D89"/>
    <w:rsid w:val="0075305D"/>
    <w:rsid w:val="0075358D"/>
    <w:rsid w:val="007545A5"/>
    <w:rsid w:val="00755679"/>
    <w:rsid w:val="00755A25"/>
    <w:rsid w:val="00756B2D"/>
    <w:rsid w:val="007579C1"/>
    <w:rsid w:val="00770B81"/>
    <w:rsid w:val="007762B8"/>
    <w:rsid w:val="00780741"/>
    <w:rsid w:val="00781839"/>
    <w:rsid w:val="00783CB4"/>
    <w:rsid w:val="007A5443"/>
    <w:rsid w:val="007A6D32"/>
    <w:rsid w:val="007B5944"/>
    <w:rsid w:val="007D0A76"/>
    <w:rsid w:val="007D4D04"/>
    <w:rsid w:val="007E3D44"/>
    <w:rsid w:val="00803EEB"/>
    <w:rsid w:val="008303E8"/>
    <w:rsid w:val="0086125C"/>
    <w:rsid w:val="00862C59"/>
    <w:rsid w:val="0088323A"/>
    <w:rsid w:val="008A4D52"/>
    <w:rsid w:val="008A6036"/>
    <w:rsid w:val="008E3029"/>
    <w:rsid w:val="008F6ABD"/>
    <w:rsid w:val="00902EF8"/>
    <w:rsid w:val="00903AD9"/>
    <w:rsid w:val="00904C3B"/>
    <w:rsid w:val="00925464"/>
    <w:rsid w:val="00934786"/>
    <w:rsid w:val="009353D0"/>
    <w:rsid w:val="00940102"/>
    <w:rsid w:val="00972539"/>
    <w:rsid w:val="00975B9F"/>
    <w:rsid w:val="00993561"/>
    <w:rsid w:val="0099561E"/>
    <w:rsid w:val="00996FD3"/>
    <w:rsid w:val="009B1B73"/>
    <w:rsid w:val="009B4EE1"/>
    <w:rsid w:val="009C6CB2"/>
    <w:rsid w:val="009C78C7"/>
    <w:rsid w:val="009D4EAD"/>
    <w:rsid w:val="009E2138"/>
    <w:rsid w:val="009E39D8"/>
    <w:rsid w:val="009F0081"/>
    <w:rsid w:val="00A028CA"/>
    <w:rsid w:val="00A05A9C"/>
    <w:rsid w:val="00A213D6"/>
    <w:rsid w:val="00A31C4D"/>
    <w:rsid w:val="00A344E3"/>
    <w:rsid w:val="00A52792"/>
    <w:rsid w:val="00A53473"/>
    <w:rsid w:val="00A60E34"/>
    <w:rsid w:val="00A721E1"/>
    <w:rsid w:val="00A722E6"/>
    <w:rsid w:val="00A74D26"/>
    <w:rsid w:val="00A75F99"/>
    <w:rsid w:val="00A76FCD"/>
    <w:rsid w:val="00A777DC"/>
    <w:rsid w:val="00A9447C"/>
    <w:rsid w:val="00AA20FB"/>
    <w:rsid w:val="00AB710F"/>
    <w:rsid w:val="00AC6B9E"/>
    <w:rsid w:val="00AE6A88"/>
    <w:rsid w:val="00AF28E5"/>
    <w:rsid w:val="00AF5B53"/>
    <w:rsid w:val="00AF5BF1"/>
    <w:rsid w:val="00AF741E"/>
    <w:rsid w:val="00B072CA"/>
    <w:rsid w:val="00B17929"/>
    <w:rsid w:val="00B443B4"/>
    <w:rsid w:val="00B51ACB"/>
    <w:rsid w:val="00B76E00"/>
    <w:rsid w:val="00B85043"/>
    <w:rsid w:val="00B92743"/>
    <w:rsid w:val="00B9791D"/>
    <w:rsid w:val="00BB172D"/>
    <w:rsid w:val="00BB529C"/>
    <w:rsid w:val="00BC1A90"/>
    <w:rsid w:val="00BC55EE"/>
    <w:rsid w:val="00BC7A45"/>
    <w:rsid w:val="00BD0E1C"/>
    <w:rsid w:val="00BD7A4A"/>
    <w:rsid w:val="00BF0476"/>
    <w:rsid w:val="00BF5355"/>
    <w:rsid w:val="00C24C65"/>
    <w:rsid w:val="00C268D0"/>
    <w:rsid w:val="00C61879"/>
    <w:rsid w:val="00C62B47"/>
    <w:rsid w:val="00C70A60"/>
    <w:rsid w:val="00C71EFD"/>
    <w:rsid w:val="00C84AFA"/>
    <w:rsid w:val="00C90987"/>
    <w:rsid w:val="00C939D8"/>
    <w:rsid w:val="00C94EA9"/>
    <w:rsid w:val="00CB1C3F"/>
    <w:rsid w:val="00CB254E"/>
    <w:rsid w:val="00CB3DBD"/>
    <w:rsid w:val="00CC0625"/>
    <w:rsid w:val="00CD102C"/>
    <w:rsid w:val="00CE195D"/>
    <w:rsid w:val="00CF1B36"/>
    <w:rsid w:val="00D01750"/>
    <w:rsid w:val="00D205F5"/>
    <w:rsid w:val="00D32871"/>
    <w:rsid w:val="00D523D0"/>
    <w:rsid w:val="00D52EF7"/>
    <w:rsid w:val="00D5716D"/>
    <w:rsid w:val="00D967D4"/>
    <w:rsid w:val="00DA0737"/>
    <w:rsid w:val="00DB03B4"/>
    <w:rsid w:val="00DB26BE"/>
    <w:rsid w:val="00DB475B"/>
    <w:rsid w:val="00DC1E1A"/>
    <w:rsid w:val="00DC2782"/>
    <w:rsid w:val="00DC4EFD"/>
    <w:rsid w:val="00DD0FCC"/>
    <w:rsid w:val="00DD45A0"/>
    <w:rsid w:val="00DE2311"/>
    <w:rsid w:val="00DF680A"/>
    <w:rsid w:val="00E03789"/>
    <w:rsid w:val="00E03E8D"/>
    <w:rsid w:val="00E11929"/>
    <w:rsid w:val="00E11BE3"/>
    <w:rsid w:val="00E23617"/>
    <w:rsid w:val="00E25D9F"/>
    <w:rsid w:val="00E26419"/>
    <w:rsid w:val="00E311FE"/>
    <w:rsid w:val="00E32D86"/>
    <w:rsid w:val="00E41B53"/>
    <w:rsid w:val="00E4740F"/>
    <w:rsid w:val="00E47E15"/>
    <w:rsid w:val="00E50ED4"/>
    <w:rsid w:val="00E51B7F"/>
    <w:rsid w:val="00E52D89"/>
    <w:rsid w:val="00E54E19"/>
    <w:rsid w:val="00E561FA"/>
    <w:rsid w:val="00E60C3E"/>
    <w:rsid w:val="00E645F8"/>
    <w:rsid w:val="00E84551"/>
    <w:rsid w:val="00E922E1"/>
    <w:rsid w:val="00E96839"/>
    <w:rsid w:val="00EA0D20"/>
    <w:rsid w:val="00EA2606"/>
    <w:rsid w:val="00EB05FB"/>
    <w:rsid w:val="00EC3EFF"/>
    <w:rsid w:val="00EC73C0"/>
    <w:rsid w:val="00ED0984"/>
    <w:rsid w:val="00ED3600"/>
    <w:rsid w:val="00EE0466"/>
    <w:rsid w:val="00EE1AD8"/>
    <w:rsid w:val="00EF1AF4"/>
    <w:rsid w:val="00EF1DEC"/>
    <w:rsid w:val="00EF7E59"/>
    <w:rsid w:val="00F03EC5"/>
    <w:rsid w:val="00F12C67"/>
    <w:rsid w:val="00F14BFD"/>
    <w:rsid w:val="00F204DE"/>
    <w:rsid w:val="00F46C1C"/>
    <w:rsid w:val="00F539B3"/>
    <w:rsid w:val="00F550AE"/>
    <w:rsid w:val="00F720FC"/>
    <w:rsid w:val="00F77D7E"/>
    <w:rsid w:val="00F82EEF"/>
    <w:rsid w:val="00F83911"/>
    <w:rsid w:val="00FA524E"/>
    <w:rsid w:val="00FB14AA"/>
    <w:rsid w:val="00FB5E94"/>
    <w:rsid w:val="00FC0F6E"/>
    <w:rsid w:val="00FC7328"/>
    <w:rsid w:val="00FE3EC5"/>
    <w:rsid w:val="00FE4F51"/>
    <w:rsid w:val="00FE7ADF"/>
    <w:rsid w:val="00FF5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3F30B"/>
  <w15:docId w15:val="{F3792384-A665-43E6-A61C-DAFB194B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7B8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paragraph" w:styleId="Kop4">
    <w:name w:val="heading 4"/>
    <w:basedOn w:val="Standaard"/>
    <w:next w:val="Standaard"/>
    <w:link w:val="Kop4Char"/>
    <w:uiPriority w:val="9"/>
    <w:semiHidden/>
    <w:rsid w:val="002370AA"/>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ind w:left="1132"/>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443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43B4"/>
    <w:rPr>
      <w:rFonts w:ascii="Verdana" w:hAnsi="Verdana"/>
      <w:color w:val="000000"/>
      <w:sz w:val="18"/>
      <w:szCs w:val="18"/>
    </w:rPr>
  </w:style>
  <w:style w:type="paragraph" w:styleId="Voettekst">
    <w:name w:val="footer"/>
    <w:basedOn w:val="Standaard"/>
    <w:link w:val="VoettekstChar"/>
    <w:uiPriority w:val="99"/>
    <w:unhideWhenUsed/>
    <w:rsid w:val="00B443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43B4"/>
    <w:rPr>
      <w:rFonts w:ascii="Verdana" w:hAnsi="Verdana"/>
      <w:color w:val="000000"/>
      <w:sz w:val="18"/>
      <w:szCs w:val="18"/>
    </w:rPr>
  </w:style>
  <w:style w:type="paragraph" w:styleId="Voetnoottekst">
    <w:name w:val="footnote text"/>
    <w:basedOn w:val="Standaard"/>
    <w:link w:val="VoetnoottekstChar"/>
    <w:uiPriority w:val="99"/>
    <w:semiHidden/>
    <w:unhideWhenUsed/>
    <w:rsid w:val="00B443B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443B4"/>
    <w:rPr>
      <w:rFonts w:ascii="Verdana" w:hAnsi="Verdana"/>
      <w:color w:val="000000"/>
    </w:rPr>
  </w:style>
  <w:style w:type="character" w:styleId="Voetnootmarkering">
    <w:name w:val="footnote reference"/>
    <w:basedOn w:val="Standaardalinea-lettertype"/>
    <w:uiPriority w:val="99"/>
    <w:semiHidden/>
    <w:unhideWhenUsed/>
    <w:rsid w:val="00B443B4"/>
    <w:rPr>
      <w:vertAlign w:val="superscript"/>
    </w:rPr>
  </w:style>
  <w:style w:type="paragraph" w:styleId="Lijstalinea">
    <w:name w:val="List Paragraph"/>
    <w:basedOn w:val="Standaard"/>
    <w:uiPriority w:val="34"/>
    <w:qFormat/>
    <w:rsid w:val="005A03D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Kop4Char">
    <w:name w:val="Kop 4 Char"/>
    <w:basedOn w:val="Standaardalinea-lettertype"/>
    <w:link w:val="Kop4"/>
    <w:uiPriority w:val="9"/>
    <w:semiHidden/>
    <w:rsid w:val="002370AA"/>
    <w:rPr>
      <w:rFonts w:asciiTheme="majorHAnsi" w:eastAsiaTheme="majorEastAsia" w:hAnsiTheme="majorHAnsi" w:cstheme="majorBidi"/>
      <w:i/>
      <w:iCs/>
      <w:color w:val="0F4761" w:themeColor="accent1" w:themeShade="BF"/>
      <w:sz w:val="18"/>
      <w:szCs w:val="18"/>
    </w:rPr>
  </w:style>
  <w:style w:type="paragraph" w:styleId="Geenafstand">
    <w:name w:val="No Spacing"/>
    <w:uiPriority w:val="1"/>
    <w:qFormat/>
    <w:rsid w:val="002370AA"/>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Plattetekst">
    <w:name w:val="Body Text"/>
    <w:basedOn w:val="Standaard"/>
    <w:link w:val="PlattetekstChar"/>
    <w:uiPriority w:val="99"/>
    <w:unhideWhenUsed/>
    <w:rsid w:val="00862C59"/>
    <w:pPr>
      <w:spacing w:after="120"/>
    </w:pPr>
  </w:style>
  <w:style w:type="character" w:customStyle="1" w:styleId="PlattetekstChar">
    <w:name w:val="Platte tekst Char"/>
    <w:basedOn w:val="Standaardalinea-lettertype"/>
    <w:link w:val="Plattetekst"/>
    <w:uiPriority w:val="99"/>
    <w:rsid w:val="00862C59"/>
    <w:rPr>
      <w:rFonts w:ascii="Verdana" w:hAnsi="Verdana"/>
      <w:color w:val="000000"/>
      <w:sz w:val="18"/>
      <w:szCs w:val="18"/>
    </w:rPr>
  </w:style>
  <w:style w:type="paragraph" w:styleId="Plattetekstinspringen">
    <w:name w:val="Body Text Indent"/>
    <w:basedOn w:val="Standaard"/>
    <w:link w:val="PlattetekstinspringenChar"/>
    <w:uiPriority w:val="99"/>
    <w:unhideWhenUsed/>
    <w:rsid w:val="00862C59"/>
    <w:pPr>
      <w:spacing w:after="120"/>
      <w:ind w:left="283"/>
    </w:pPr>
  </w:style>
  <w:style w:type="character" w:customStyle="1" w:styleId="PlattetekstinspringenChar">
    <w:name w:val="Platte tekst inspringen Char"/>
    <w:basedOn w:val="Standaardalinea-lettertype"/>
    <w:link w:val="Plattetekstinspringen"/>
    <w:uiPriority w:val="99"/>
    <w:rsid w:val="00862C59"/>
    <w:rPr>
      <w:rFonts w:ascii="Verdana" w:hAnsi="Verdana"/>
      <w:color w:val="000000"/>
      <w:sz w:val="18"/>
      <w:szCs w:val="18"/>
    </w:rPr>
  </w:style>
  <w:style w:type="paragraph" w:styleId="Platteteksteersteinspringing2">
    <w:name w:val="Body Text First Indent 2"/>
    <w:basedOn w:val="Plattetekstinspringen"/>
    <w:link w:val="Platteteksteersteinspringing2Char"/>
    <w:uiPriority w:val="99"/>
    <w:unhideWhenUsed/>
    <w:rsid w:val="00862C59"/>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rsid w:val="00862C59"/>
    <w:rPr>
      <w:rFonts w:ascii="Verdana" w:hAnsi="Verdana"/>
      <w:color w:val="000000"/>
      <w:sz w:val="18"/>
      <w:szCs w:val="18"/>
    </w:rPr>
  </w:style>
  <w:style w:type="character" w:styleId="Onopgelostemelding">
    <w:name w:val="Unresolved Mention"/>
    <w:basedOn w:val="Standaardalinea-lettertype"/>
    <w:uiPriority w:val="99"/>
    <w:semiHidden/>
    <w:unhideWhenUsed/>
    <w:rsid w:val="00EF1DEC"/>
    <w:rPr>
      <w:color w:val="605E5C"/>
      <w:shd w:val="clear" w:color="auto" w:fill="E1DFDD"/>
    </w:rPr>
  </w:style>
  <w:style w:type="paragraph" w:styleId="Normaalweb">
    <w:name w:val="Normal (Web)"/>
    <w:basedOn w:val="Standaard"/>
    <w:uiPriority w:val="99"/>
    <w:semiHidden/>
    <w:unhideWhenUsed/>
    <w:rsid w:val="000D3C5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0D3C52"/>
    <w:rPr>
      <w:i/>
      <w:iCs/>
    </w:rPr>
  </w:style>
  <w:style w:type="character" w:styleId="Verwijzingopmerking">
    <w:name w:val="annotation reference"/>
    <w:basedOn w:val="Standaardalinea-lettertype"/>
    <w:uiPriority w:val="99"/>
    <w:semiHidden/>
    <w:unhideWhenUsed/>
    <w:rsid w:val="005E7264"/>
    <w:rPr>
      <w:sz w:val="16"/>
      <w:szCs w:val="16"/>
    </w:rPr>
  </w:style>
  <w:style w:type="paragraph" w:styleId="Tekstopmerking">
    <w:name w:val="annotation text"/>
    <w:basedOn w:val="Standaard"/>
    <w:link w:val="TekstopmerkingChar"/>
    <w:uiPriority w:val="99"/>
    <w:unhideWhenUsed/>
    <w:rsid w:val="005E7264"/>
    <w:pPr>
      <w:spacing w:line="240" w:lineRule="auto"/>
    </w:pPr>
    <w:rPr>
      <w:sz w:val="20"/>
      <w:szCs w:val="20"/>
    </w:rPr>
  </w:style>
  <w:style w:type="character" w:customStyle="1" w:styleId="TekstopmerkingChar">
    <w:name w:val="Tekst opmerking Char"/>
    <w:basedOn w:val="Standaardalinea-lettertype"/>
    <w:link w:val="Tekstopmerking"/>
    <w:uiPriority w:val="99"/>
    <w:rsid w:val="005E726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E7264"/>
    <w:rPr>
      <w:b/>
      <w:bCs/>
    </w:rPr>
  </w:style>
  <w:style w:type="character" w:customStyle="1" w:styleId="OnderwerpvanopmerkingChar">
    <w:name w:val="Onderwerp van opmerking Char"/>
    <w:basedOn w:val="TekstopmerkingChar"/>
    <w:link w:val="Onderwerpvanopmerking"/>
    <w:uiPriority w:val="99"/>
    <w:semiHidden/>
    <w:rsid w:val="005E7264"/>
    <w:rPr>
      <w:rFonts w:ascii="Verdana" w:hAnsi="Verdana"/>
      <w:b/>
      <w:bCs/>
      <w:color w:val="000000"/>
    </w:rPr>
  </w:style>
  <w:style w:type="paragraph" w:styleId="Revisie">
    <w:name w:val="Revision"/>
    <w:hidden/>
    <w:uiPriority w:val="99"/>
    <w:semiHidden/>
    <w:rsid w:val="003E5C55"/>
    <w:pPr>
      <w:autoSpaceDN/>
      <w:textAlignment w:val="auto"/>
    </w:pPr>
    <w:rPr>
      <w:rFonts w:ascii="Verdana" w:hAnsi="Verdana"/>
      <w:color w:val="000000"/>
      <w:sz w:val="18"/>
      <w:szCs w:val="18"/>
    </w:rPr>
  </w:style>
  <w:style w:type="paragraph" w:customStyle="1" w:styleId="pf0">
    <w:name w:val="pf0"/>
    <w:basedOn w:val="Standaard"/>
    <w:rsid w:val="007A6D3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7A6D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368">
      <w:bodyDiv w:val="1"/>
      <w:marLeft w:val="0"/>
      <w:marRight w:val="0"/>
      <w:marTop w:val="0"/>
      <w:marBottom w:val="0"/>
      <w:divBdr>
        <w:top w:val="none" w:sz="0" w:space="0" w:color="auto"/>
        <w:left w:val="none" w:sz="0" w:space="0" w:color="auto"/>
        <w:bottom w:val="none" w:sz="0" w:space="0" w:color="auto"/>
        <w:right w:val="none" w:sz="0" w:space="0" w:color="auto"/>
      </w:divBdr>
    </w:div>
    <w:div w:id="31737048">
      <w:bodyDiv w:val="1"/>
      <w:marLeft w:val="0"/>
      <w:marRight w:val="0"/>
      <w:marTop w:val="0"/>
      <w:marBottom w:val="0"/>
      <w:divBdr>
        <w:top w:val="none" w:sz="0" w:space="0" w:color="auto"/>
        <w:left w:val="none" w:sz="0" w:space="0" w:color="auto"/>
        <w:bottom w:val="none" w:sz="0" w:space="0" w:color="auto"/>
        <w:right w:val="none" w:sz="0" w:space="0" w:color="auto"/>
      </w:divBdr>
    </w:div>
    <w:div w:id="34279156">
      <w:bodyDiv w:val="1"/>
      <w:marLeft w:val="0"/>
      <w:marRight w:val="0"/>
      <w:marTop w:val="0"/>
      <w:marBottom w:val="0"/>
      <w:divBdr>
        <w:top w:val="none" w:sz="0" w:space="0" w:color="auto"/>
        <w:left w:val="none" w:sz="0" w:space="0" w:color="auto"/>
        <w:bottom w:val="none" w:sz="0" w:space="0" w:color="auto"/>
        <w:right w:val="none" w:sz="0" w:space="0" w:color="auto"/>
      </w:divBdr>
      <w:divsChild>
        <w:div w:id="170489317">
          <w:marLeft w:val="0"/>
          <w:marRight w:val="0"/>
          <w:marTop w:val="0"/>
          <w:marBottom w:val="0"/>
          <w:divBdr>
            <w:top w:val="none" w:sz="0" w:space="0" w:color="auto"/>
            <w:left w:val="none" w:sz="0" w:space="0" w:color="auto"/>
            <w:bottom w:val="none" w:sz="0" w:space="0" w:color="auto"/>
            <w:right w:val="none" w:sz="0" w:space="0" w:color="auto"/>
          </w:divBdr>
          <w:divsChild>
            <w:div w:id="1773354422">
              <w:marLeft w:val="0"/>
              <w:marRight w:val="0"/>
              <w:marTop w:val="0"/>
              <w:marBottom w:val="0"/>
              <w:divBdr>
                <w:top w:val="none" w:sz="0" w:space="0" w:color="auto"/>
                <w:left w:val="none" w:sz="0" w:space="0" w:color="auto"/>
                <w:bottom w:val="none" w:sz="0" w:space="0" w:color="auto"/>
                <w:right w:val="none" w:sz="0" w:space="0" w:color="auto"/>
              </w:divBdr>
              <w:divsChild>
                <w:div w:id="533004671">
                  <w:marLeft w:val="0"/>
                  <w:marRight w:val="0"/>
                  <w:marTop w:val="0"/>
                  <w:marBottom w:val="0"/>
                  <w:divBdr>
                    <w:top w:val="none" w:sz="0" w:space="0" w:color="auto"/>
                    <w:left w:val="none" w:sz="0" w:space="0" w:color="auto"/>
                    <w:bottom w:val="none" w:sz="0" w:space="0" w:color="auto"/>
                    <w:right w:val="none" w:sz="0" w:space="0" w:color="auto"/>
                  </w:divBdr>
                  <w:divsChild>
                    <w:div w:id="936790852">
                      <w:marLeft w:val="0"/>
                      <w:marRight w:val="0"/>
                      <w:marTop w:val="0"/>
                      <w:marBottom w:val="0"/>
                      <w:divBdr>
                        <w:top w:val="none" w:sz="0" w:space="0" w:color="auto"/>
                        <w:left w:val="none" w:sz="0" w:space="0" w:color="auto"/>
                        <w:bottom w:val="none" w:sz="0" w:space="0" w:color="auto"/>
                        <w:right w:val="none" w:sz="0" w:space="0" w:color="auto"/>
                      </w:divBdr>
                      <w:divsChild>
                        <w:div w:id="142741513">
                          <w:marLeft w:val="0"/>
                          <w:marRight w:val="0"/>
                          <w:marTop w:val="0"/>
                          <w:marBottom w:val="0"/>
                          <w:divBdr>
                            <w:top w:val="none" w:sz="0" w:space="0" w:color="auto"/>
                            <w:left w:val="none" w:sz="0" w:space="0" w:color="auto"/>
                            <w:bottom w:val="none" w:sz="0" w:space="0" w:color="auto"/>
                            <w:right w:val="none" w:sz="0" w:space="0" w:color="auto"/>
                          </w:divBdr>
                          <w:divsChild>
                            <w:div w:id="1661738293">
                              <w:marLeft w:val="0"/>
                              <w:marRight w:val="0"/>
                              <w:marTop w:val="0"/>
                              <w:marBottom w:val="0"/>
                              <w:divBdr>
                                <w:top w:val="none" w:sz="0" w:space="0" w:color="auto"/>
                                <w:left w:val="none" w:sz="0" w:space="0" w:color="auto"/>
                                <w:bottom w:val="none" w:sz="0" w:space="0" w:color="auto"/>
                                <w:right w:val="none" w:sz="0" w:space="0" w:color="auto"/>
                              </w:divBdr>
                              <w:divsChild>
                                <w:div w:id="1252810317">
                                  <w:marLeft w:val="0"/>
                                  <w:marRight w:val="0"/>
                                  <w:marTop w:val="0"/>
                                  <w:marBottom w:val="0"/>
                                  <w:divBdr>
                                    <w:top w:val="none" w:sz="0" w:space="0" w:color="auto"/>
                                    <w:left w:val="none" w:sz="0" w:space="0" w:color="auto"/>
                                    <w:bottom w:val="none" w:sz="0" w:space="0" w:color="auto"/>
                                    <w:right w:val="none" w:sz="0" w:space="0" w:color="auto"/>
                                  </w:divBdr>
                                  <w:divsChild>
                                    <w:div w:id="289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79299">
      <w:bodyDiv w:val="1"/>
      <w:marLeft w:val="0"/>
      <w:marRight w:val="0"/>
      <w:marTop w:val="0"/>
      <w:marBottom w:val="0"/>
      <w:divBdr>
        <w:top w:val="none" w:sz="0" w:space="0" w:color="auto"/>
        <w:left w:val="none" w:sz="0" w:space="0" w:color="auto"/>
        <w:bottom w:val="none" w:sz="0" w:space="0" w:color="auto"/>
        <w:right w:val="none" w:sz="0" w:space="0" w:color="auto"/>
      </w:divBdr>
    </w:div>
    <w:div w:id="89743658">
      <w:bodyDiv w:val="1"/>
      <w:marLeft w:val="0"/>
      <w:marRight w:val="0"/>
      <w:marTop w:val="0"/>
      <w:marBottom w:val="0"/>
      <w:divBdr>
        <w:top w:val="none" w:sz="0" w:space="0" w:color="auto"/>
        <w:left w:val="none" w:sz="0" w:space="0" w:color="auto"/>
        <w:bottom w:val="none" w:sz="0" w:space="0" w:color="auto"/>
        <w:right w:val="none" w:sz="0" w:space="0" w:color="auto"/>
      </w:divBdr>
      <w:divsChild>
        <w:div w:id="509951881">
          <w:marLeft w:val="0"/>
          <w:marRight w:val="0"/>
          <w:marTop w:val="0"/>
          <w:marBottom w:val="0"/>
          <w:divBdr>
            <w:top w:val="none" w:sz="0" w:space="0" w:color="auto"/>
            <w:left w:val="none" w:sz="0" w:space="0" w:color="auto"/>
            <w:bottom w:val="none" w:sz="0" w:space="0" w:color="auto"/>
            <w:right w:val="none" w:sz="0" w:space="0" w:color="auto"/>
          </w:divBdr>
          <w:divsChild>
            <w:div w:id="1460488401">
              <w:marLeft w:val="0"/>
              <w:marRight w:val="0"/>
              <w:marTop w:val="0"/>
              <w:marBottom w:val="0"/>
              <w:divBdr>
                <w:top w:val="none" w:sz="0" w:space="0" w:color="auto"/>
                <w:left w:val="none" w:sz="0" w:space="0" w:color="auto"/>
                <w:bottom w:val="none" w:sz="0" w:space="0" w:color="auto"/>
                <w:right w:val="none" w:sz="0" w:space="0" w:color="auto"/>
              </w:divBdr>
              <w:divsChild>
                <w:div w:id="1533953148">
                  <w:marLeft w:val="0"/>
                  <w:marRight w:val="0"/>
                  <w:marTop w:val="0"/>
                  <w:marBottom w:val="0"/>
                  <w:divBdr>
                    <w:top w:val="none" w:sz="0" w:space="0" w:color="auto"/>
                    <w:left w:val="none" w:sz="0" w:space="0" w:color="auto"/>
                    <w:bottom w:val="none" w:sz="0" w:space="0" w:color="auto"/>
                    <w:right w:val="none" w:sz="0" w:space="0" w:color="auto"/>
                  </w:divBdr>
                  <w:divsChild>
                    <w:div w:id="2019186900">
                      <w:marLeft w:val="0"/>
                      <w:marRight w:val="0"/>
                      <w:marTop w:val="0"/>
                      <w:marBottom w:val="0"/>
                      <w:divBdr>
                        <w:top w:val="none" w:sz="0" w:space="0" w:color="auto"/>
                        <w:left w:val="none" w:sz="0" w:space="0" w:color="auto"/>
                        <w:bottom w:val="none" w:sz="0" w:space="0" w:color="auto"/>
                        <w:right w:val="none" w:sz="0" w:space="0" w:color="auto"/>
                      </w:divBdr>
                      <w:divsChild>
                        <w:div w:id="1961912464">
                          <w:marLeft w:val="0"/>
                          <w:marRight w:val="0"/>
                          <w:marTop w:val="0"/>
                          <w:marBottom w:val="0"/>
                          <w:divBdr>
                            <w:top w:val="none" w:sz="0" w:space="0" w:color="auto"/>
                            <w:left w:val="none" w:sz="0" w:space="0" w:color="auto"/>
                            <w:bottom w:val="none" w:sz="0" w:space="0" w:color="auto"/>
                            <w:right w:val="none" w:sz="0" w:space="0" w:color="auto"/>
                          </w:divBdr>
                          <w:divsChild>
                            <w:div w:id="1324354620">
                              <w:marLeft w:val="0"/>
                              <w:marRight w:val="0"/>
                              <w:marTop w:val="0"/>
                              <w:marBottom w:val="0"/>
                              <w:divBdr>
                                <w:top w:val="none" w:sz="0" w:space="0" w:color="auto"/>
                                <w:left w:val="none" w:sz="0" w:space="0" w:color="auto"/>
                                <w:bottom w:val="none" w:sz="0" w:space="0" w:color="auto"/>
                                <w:right w:val="none" w:sz="0" w:space="0" w:color="auto"/>
                              </w:divBdr>
                              <w:divsChild>
                                <w:div w:id="1689015858">
                                  <w:marLeft w:val="0"/>
                                  <w:marRight w:val="0"/>
                                  <w:marTop w:val="0"/>
                                  <w:marBottom w:val="0"/>
                                  <w:divBdr>
                                    <w:top w:val="none" w:sz="0" w:space="0" w:color="auto"/>
                                    <w:left w:val="none" w:sz="0" w:space="0" w:color="auto"/>
                                    <w:bottom w:val="none" w:sz="0" w:space="0" w:color="auto"/>
                                    <w:right w:val="none" w:sz="0" w:space="0" w:color="auto"/>
                                  </w:divBdr>
                                  <w:divsChild>
                                    <w:div w:id="6646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85659">
      <w:bodyDiv w:val="1"/>
      <w:marLeft w:val="0"/>
      <w:marRight w:val="0"/>
      <w:marTop w:val="0"/>
      <w:marBottom w:val="0"/>
      <w:divBdr>
        <w:top w:val="none" w:sz="0" w:space="0" w:color="auto"/>
        <w:left w:val="none" w:sz="0" w:space="0" w:color="auto"/>
        <w:bottom w:val="none" w:sz="0" w:space="0" w:color="auto"/>
        <w:right w:val="none" w:sz="0" w:space="0" w:color="auto"/>
      </w:divBdr>
    </w:div>
    <w:div w:id="135879396">
      <w:bodyDiv w:val="1"/>
      <w:marLeft w:val="0"/>
      <w:marRight w:val="0"/>
      <w:marTop w:val="0"/>
      <w:marBottom w:val="0"/>
      <w:divBdr>
        <w:top w:val="none" w:sz="0" w:space="0" w:color="auto"/>
        <w:left w:val="none" w:sz="0" w:space="0" w:color="auto"/>
        <w:bottom w:val="none" w:sz="0" w:space="0" w:color="auto"/>
        <w:right w:val="none" w:sz="0" w:space="0" w:color="auto"/>
      </w:divBdr>
      <w:divsChild>
        <w:div w:id="110442009">
          <w:marLeft w:val="0"/>
          <w:marRight w:val="0"/>
          <w:marTop w:val="0"/>
          <w:marBottom w:val="0"/>
          <w:divBdr>
            <w:top w:val="none" w:sz="0" w:space="0" w:color="auto"/>
            <w:left w:val="none" w:sz="0" w:space="0" w:color="auto"/>
            <w:bottom w:val="none" w:sz="0" w:space="0" w:color="auto"/>
            <w:right w:val="none" w:sz="0" w:space="0" w:color="auto"/>
          </w:divBdr>
          <w:divsChild>
            <w:div w:id="154882097">
              <w:marLeft w:val="0"/>
              <w:marRight w:val="0"/>
              <w:marTop w:val="0"/>
              <w:marBottom w:val="0"/>
              <w:divBdr>
                <w:top w:val="none" w:sz="0" w:space="0" w:color="auto"/>
                <w:left w:val="none" w:sz="0" w:space="0" w:color="auto"/>
                <w:bottom w:val="none" w:sz="0" w:space="0" w:color="auto"/>
                <w:right w:val="none" w:sz="0" w:space="0" w:color="auto"/>
              </w:divBdr>
              <w:divsChild>
                <w:div w:id="1898859525">
                  <w:marLeft w:val="0"/>
                  <w:marRight w:val="0"/>
                  <w:marTop w:val="0"/>
                  <w:marBottom w:val="0"/>
                  <w:divBdr>
                    <w:top w:val="none" w:sz="0" w:space="0" w:color="auto"/>
                    <w:left w:val="none" w:sz="0" w:space="0" w:color="auto"/>
                    <w:bottom w:val="none" w:sz="0" w:space="0" w:color="auto"/>
                    <w:right w:val="none" w:sz="0" w:space="0" w:color="auto"/>
                  </w:divBdr>
                  <w:divsChild>
                    <w:div w:id="1128354321">
                      <w:marLeft w:val="0"/>
                      <w:marRight w:val="0"/>
                      <w:marTop w:val="0"/>
                      <w:marBottom w:val="0"/>
                      <w:divBdr>
                        <w:top w:val="none" w:sz="0" w:space="0" w:color="auto"/>
                        <w:left w:val="none" w:sz="0" w:space="0" w:color="auto"/>
                        <w:bottom w:val="none" w:sz="0" w:space="0" w:color="auto"/>
                        <w:right w:val="none" w:sz="0" w:space="0" w:color="auto"/>
                      </w:divBdr>
                      <w:divsChild>
                        <w:div w:id="1775900038">
                          <w:marLeft w:val="0"/>
                          <w:marRight w:val="0"/>
                          <w:marTop w:val="0"/>
                          <w:marBottom w:val="0"/>
                          <w:divBdr>
                            <w:top w:val="none" w:sz="0" w:space="0" w:color="auto"/>
                            <w:left w:val="none" w:sz="0" w:space="0" w:color="auto"/>
                            <w:bottom w:val="none" w:sz="0" w:space="0" w:color="auto"/>
                            <w:right w:val="none" w:sz="0" w:space="0" w:color="auto"/>
                          </w:divBdr>
                          <w:divsChild>
                            <w:div w:id="1935821318">
                              <w:marLeft w:val="0"/>
                              <w:marRight w:val="0"/>
                              <w:marTop w:val="0"/>
                              <w:marBottom w:val="0"/>
                              <w:divBdr>
                                <w:top w:val="none" w:sz="0" w:space="0" w:color="auto"/>
                                <w:left w:val="none" w:sz="0" w:space="0" w:color="auto"/>
                                <w:bottom w:val="none" w:sz="0" w:space="0" w:color="auto"/>
                                <w:right w:val="none" w:sz="0" w:space="0" w:color="auto"/>
                              </w:divBdr>
                              <w:divsChild>
                                <w:div w:id="838078041">
                                  <w:marLeft w:val="0"/>
                                  <w:marRight w:val="0"/>
                                  <w:marTop w:val="0"/>
                                  <w:marBottom w:val="0"/>
                                  <w:divBdr>
                                    <w:top w:val="none" w:sz="0" w:space="0" w:color="auto"/>
                                    <w:left w:val="none" w:sz="0" w:space="0" w:color="auto"/>
                                    <w:bottom w:val="none" w:sz="0" w:space="0" w:color="auto"/>
                                    <w:right w:val="none" w:sz="0" w:space="0" w:color="auto"/>
                                  </w:divBdr>
                                  <w:divsChild>
                                    <w:div w:id="4482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941472">
      <w:bodyDiv w:val="1"/>
      <w:marLeft w:val="0"/>
      <w:marRight w:val="0"/>
      <w:marTop w:val="0"/>
      <w:marBottom w:val="0"/>
      <w:divBdr>
        <w:top w:val="none" w:sz="0" w:space="0" w:color="auto"/>
        <w:left w:val="none" w:sz="0" w:space="0" w:color="auto"/>
        <w:bottom w:val="none" w:sz="0" w:space="0" w:color="auto"/>
        <w:right w:val="none" w:sz="0" w:space="0" w:color="auto"/>
      </w:divBdr>
    </w:div>
    <w:div w:id="249048084">
      <w:bodyDiv w:val="1"/>
      <w:marLeft w:val="0"/>
      <w:marRight w:val="0"/>
      <w:marTop w:val="0"/>
      <w:marBottom w:val="0"/>
      <w:divBdr>
        <w:top w:val="none" w:sz="0" w:space="0" w:color="auto"/>
        <w:left w:val="none" w:sz="0" w:space="0" w:color="auto"/>
        <w:bottom w:val="none" w:sz="0" w:space="0" w:color="auto"/>
        <w:right w:val="none" w:sz="0" w:space="0" w:color="auto"/>
      </w:divBdr>
    </w:div>
    <w:div w:id="301543004">
      <w:bodyDiv w:val="1"/>
      <w:marLeft w:val="0"/>
      <w:marRight w:val="0"/>
      <w:marTop w:val="0"/>
      <w:marBottom w:val="0"/>
      <w:divBdr>
        <w:top w:val="none" w:sz="0" w:space="0" w:color="auto"/>
        <w:left w:val="none" w:sz="0" w:space="0" w:color="auto"/>
        <w:bottom w:val="none" w:sz="0" w:space="0" w:color="auto"/>
        <w:right w:val="none" w:sz="0" w:space="0" w:color="auto"/>
      </w:divBdr>
    </w:div>
    <w:div w:id="306395229">
      <w:bodyDiv w:val="1"/>
      <w:marLeft w:val="0"/>
      <w:marRight w:val="0"/>
      <w:marTop w:val="0"/>
      <w:marBottom w:val="0"/>
      <w:divBdr>
        <w:top w:val="none" w:sz="0" w:space="0" w:color="auto"/>
        <w:left w:val="none" w:sz="0" w:space="0" w:color="auto"/>
        <w:bottom w:val="none" w:sz="0" w:space="0" w:color="auto"/>
        <w:right w:val="none" w:sz="0" w:space="0" w:color="auto"/>
      </w:divBdr>
    </w:div>
    <w:div w:id="367416056">
      <w:bodyDiv w:val="1"/>
      <w:marLeft w:val="0"/>
      <w:marRight w:val="0"/>
      <w:marTop w:val="0"/>
      <w:marBottom w:val="0"/>
      <w:divBdr>
        <w:top w:val="none" w:sz="0" w:space="0" w:color="auto"/>
        <w:left w:val="none" w:sz="0" w:space="0" w:color="auto"/>
        <w:bottom w:val="none" w:sz="0" w:space="0" w:color="auto"/>
        <w:right w:val="none" w:sz="0" w:space="0" w:color="auto"/>
      </w:divBdr>
    </w:div>
    <w:div w:id="390429056">
      <w:bodyDiv w:val="1"/>
      <w:marLeft w:val="0"/>
      <w:marRight w:val="0"/>
      <w:marTop w:val="0"/>
      <w:marBottom w:val="0"/>
      <w:divBdr>
        <w:top w:val="none" w:sz="0" w:space="0" w:color="auto"/>
        <w:left w:val="none" w:sz="0" w:space="0" w:color="auto"/>
        <w:bottom w:val="none" w:sz="0" w:space="0" w:color="auto"/>
        <w:right w:val="none" w:sz="0" w:space="0" w:color="auto"/>
      </w:divBdr>
    </w:div>
    <w:div w:id="418411476">
      <w:bodyDiv w:val="1"/>
      <w:marLeft w:val="0"/>
      <w:marRight w:val="0"/>
      <w:marTop w:val="0"/>
      <w:marBottom w:val="0"/>
      <w:divBdr>
        <w:top w:val="none" w:sz="0" w:space="0" w:color="auto"/>
        <w:left w:val="none" w:sz="0" w:space="0" w:color="auto"/>
        <w:bottom w:val="none" w:sz="0" w:space="0" w:color="auto"/>
        <w:right w:val="none" w:sz="0" w:space="0" w:color="auto"/>
      </w:divBdr>
      <w:divsChild>
        <w:div w:id="1814905558">
          <w:marLeft w:val="0"/>
          <w:marRight w:val="0"/>
          <w:marTop w:val="0"/>
          <w:marBottom w:val="0"/>
          <w:divBdr>
            <w:top w:val="none" w:sz="0" w:space="0" w:color="auto"/>
            <w:left w:val="none" w:sz="0" w:space="0" w:color="auto"/>
            <w:bottom w:val="none" w:sz="0" w:space="0" w:color="auto"/>
            <w:right w:val="none" w:sz="0" w:space="0" w:color="auto"/>
          </w:divBdr>
          <w:divsChild>
            <w:div w:id="2064326431">
              <w:marLeft w:val="0"/>
              <w:marRight w:val="0"/>
              <w:marTop w:val="0"/>
              <w:marBottom w:val="0"/>
              <w:divBdr>
                <w:top w:val="none" w:sz="0" w:space="0" w:color="auto"/>
                <w:left w:val="none" w:sz="0" w:space="0" w:color="auto"/>
                <w:bottom w:val="none" w:sz="0" w:space="0" w:color="auto"/>
                <w:right w:val="none" w:sz="0" w:space="0" w:color="auto"/>
              </w:divBdr>
              <w:divsChild>
                <w:div w:id="1724020601">
                  <w:marLeft w:val="0"/>
                  <w:marRight w:val="0"/>
                  <w:marTop w:val="0"/>
                  <w:marBottom w:val="0"/>
                  <w:divBdr>
                    <w:top w:val="none" w:sz="0" w:space="0" w:color="auto"/>
                    <w:left w:val="none" w:sz="0" w:space="0" w:color="auto"/>
                    <w:bottom w:val="none" w:sz="0" w:space="0" w:color="auto"/>
                    <w:right w:val="none" w:sz="0" w:space="0" w:color="auto"/>
                  </w:divBdr>
                  <w:divsChild>
                    <w:div w:id="1714117284">
                      <w:marLeft w:val="0"/>
                      <w:marRight w:val="0"/>
                      <w:marTop w:val="0"/>
                      <w:marBottom w:val="0"/>
                      <w:divBdr>
                        <w:top w:val="none" w:sz="0" w:space="0" w:color="auto"/>
                        <w:left w:val="none" w:sz="0" w:space="0" w:color="auto"/>
                        <w:bottom w:val="none" w:sz="0" w:space="0" w:color="auto"/>
                        <w:right w:val="none" w:sz="0" w:space="0" w:color="auto"/>
                      </w:divBdr>
                      <w:divsChild>
                        <w:div w:id="1466508630">
                          <w:marLeft w:val="0"/>
                          <w:marRight w:val="0"/>
                          <w:marTop w:val="0"/>
                          <w:marBottom w:val="0"/>
                          <w:divBdr>
                            <w:top w:val="none" w:sz="0" w:space="0" w:color="auto"/>
                            <w:left w:val="none" w:sz="0" w:space="0" w:color="auto"/>
                            <w:bottom w:val="none" w:sz="0" w:space="0" w:color="auto"/>
                            <w:right w:val="none" w:sz="0" w:space="0" w:color="auto"/>
                          </w:divBdr>
                          <w:divsChild>
                            <w:div w:id="1432042079">
                              <w:marLeft w:val="0"/>
                              <w:marRight w:val="0"/>
                              <w:marTop w:val="0"/>
                              <w:marBottom w:val="0"/>
                              <w:divBdr>
                                <w:top w:val="none" w:sz="0" w:space="0" w:color="auto"/>
                                <w:left w:val="none" w:sz="0" w:space="0" w:color="auto"/>
                                <w:bottom w:val="none" w:sz="0" w:space="0" w:color="auto"/>
                                <w:right w:val="none" w:sz="0" w:space="0" w:color="auto"/>
                              </w:divBdr>
                              <w:divsChild>
                                <w:div w:id="2065643583">
                                  <w:marLeft w:val="0"/>
                                  <w:marRight w:val="0"/>
                                  <w:marTop w:val="0"/>
                                  <w:marBottom w:val="0"/>
                                  <w:divBdr>
                                    <w:top w:val="none" w:sz="0" w:space="0" w:color="auto"/>
                                    <w:left w:val="none" w:sz="0" w:space="0" w:color="auto"/>
                                    <w:bottom w:val="none" w:sz="0" w:space="0" w:color="auto"/>
                                    <w:right w:val="none" w:sz="0" w:space="0" w:color="auto"/>
                                  </w:divBdr>
                                  <w:divsChild>
                                    <w:div w:id="12379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594236">
      <w:bodyDiv w:val="1"/>
      <w:marLeft w:val="0"/>
      <w:marRight w:val="0"/>
      <w:marTop w:val="0"/>
      <w:marBottom w:val="0"/>
      <w:divBdr>
        <w:top w:val="none" w:sz="0" w:space="0" w:color="auto"/>
        <w:left w:val="none" w:sz="0" w:space="0" w:color="auto"/>
        <w:bottom w:val="none" w:sz="0" w:space="0" w:color="auto"/>
        <w:right w:val="none" w:sz="0" w:space="0" w:color="auto"/>
      </w:divBdr>
      <w:divsChild>
        <w:div w:id="930623705">
          <w:marLeft w:val="0"/>
          <w:marRight w:val="0"/>
          <w:marTop w:val="0"/>
          <w:marBottom w:val="0"/>
          <w:divBdr>
            <w:top w:val="none" w:sz="0" w:space="0" w:color="auto"/>
            <w:left w:val="none" w:sz="0" w:space="0" w:color="auto"/>
            <w:bottom w:val="none" w:sz="0" w:space="0" w:color="auto"/>
            <w:right w:val="none" w:sz="0" w:space="0" w:color="auto"/>
          </w:divBdr>
          <w:divsChild>
            <w:div w:id="311757185">
              <w:marLeft w:val="0"/>
              <w:marRight w:val="0"/>
              <w:marTop w:val="0"/>
              <w:marBottom w:val="0"/>
              <w:divBdr>
                <w:top w:val="none" w:sz="0" w:space="0" w:color="auto"/>
                <w:left w:val="none" w:sz="0" w:space="0" w:color="auto"/>
                <w:bottom w:val="none" w:sz="0" w:space="0" w:color="auto"/>
                <w:right w:val="none" w:sz="0" w:space="0" w:color="auto"/>
              </w:divBdr>
              <w:divsChild>
                <w:div w:id="547230815">
                  <w:marLeft w:val="0"/>
                  <w:marRight w:val="0"/>
                  <w:marTop w:val="0"/>
                  <w:marBottom w:val="0"/>
                  <w:divBdr>
                    <w:top w:val="none" w:sz="0" w:space="0" w:color="auto"/>
                    <w:left w:val="none" w:sz="0" w:space="0" w:color="auto"/>
                    <w:bottom w:val="none" w:sz="0" w:space="0" w:color="auto"/>
                    <w:right w:val="none" w:sz="0" w:space="0" w:color="auto"/>
                  </w:divBdr>
                  <w:divsChild>
                    <w:div w:id="1146387452">
                      <w:marLeft w:val="0"/>
                      <w:marRight w:val="0"/>
                      <w:marTop w:val="0"/>
                      <w:marBottom w:val="0"/>
                      <w:divBdr>
                        <w:top w:val="none" w:sz="0" w:space="0" w:color="auto"/>
                        <w:left w:val="none" w:sz="0" w:space="0" w:color="auto"/>
                        <w:bottom w:val="none" w:sz="0" w:space="0" w:color="auto"/>
                        <w:right w:val="none" w:sz="0" w:space="0" w:color="auto"/>
                      </w:divBdr>
                      <w:divsChild>
                        <w:div w:id="501237566">
                          <w:marLeft w:val="0"/>
                          <w:marRight w:val="0"/>
                          <w:marTop w:val="0"/>
                          <w:marBottom w:val="0"/>
                          <w:divBdr>
                            <w:top w:val="none" w:sz="0" w:space="0" w:color="auto"/>
                            <w:left w:val="none" w:sz="0" w:space="0" w:color="auto"/>
                            <w:bottom w:val="none" w:sz="0" w:space="0" w:color="auto"/>
                            <w:right w:val="none" w:sz="0" w:space="0" w:color="auto"/>
                          </w:divBdr>
                          <w:divsChild>
                            <w:div w:id="2002391242">
                              <w:marLeft w:val="0"/>
                              <w:marRight w:val="0"/>
                              <w:marTop w:val="0"/>
                              <w:marBottom w:val="0"/>
                              <w:divBdr>
                                <w:top w:val="none" w:sz="0" w:space="0" w:color="auto"/>
                                <w:left w:val="none" w:sz="0" w:space="0" w:color="auto"/>
                                <w:bottom w:val="none" w:sz="0" w:space="0" w:color="auto"/>
                                <w:right w:val="none" w:sz="0" w:space="0" w:color="auto"/>
                              </w:divBdr>
                              <w:divsChild>
                                <w:div w:id="550389768">
                                  <w:marLeft w:val="0"/>
                                  <w:marRight w:val="0"/>
                                  <w:marTop w:val="0"/>
                                  <w:marBottom w:val="0"/>
                                  <w:divBdr>
                                    <w:top w:val="none" w:sz="0" w:space="0" w:color="auto"/>
                                    <w:left w:val="none" w:sz="0" w:space="0" w:color="auto"/>
                                    <w:bottom w:val="none" w:sz="0" w:space="0" w:color="auto"/>
                                    <w:right w:val="none" w:sz="0" w:space="0" w:color="auto"/>
                                  </w:divBdr>
                                  <w:divsChild>
                                    <w:div w:id="6385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20752">
      <w:bodyDiv w:val="1"/>
      <w:marLeft w:val="0"/>
      <w:marRight w:val="0"/>
      <w:marTop w:val="0"/>
      <w:marBottom w:val="0"/>
      <w:divBdr>
        <w:top w:val="none" w:sz="0" w:space="0" w:color="auto"/>
        <w:left w:val="none" w:sz="0" w:space="0" w:color="auto"/>
        <w:bottom w:val="none" w:sz="0" w:space="0" w:color="auto"/>
        <w:right w:val="none" w:sz="0" w:space="0" w:color="auto"/>
      </w:divBdr>
    </w:div>
    <w:div w:id="509682235">
      <w:bodyDiv w:val="1"/>
      <w:marLeft w:val="0"/>
      <w:marRight w:val="0"/>
      <w:marTop w:val="0"/>
      <w:marBottom w:val="0"/>
      <w:divBdr>
        <w:top w:val="none" w:sz="0" w:space="0" w:color="auto"/>
        <w:left w:val="none" w:sz="0" w:space="0" w:color="auto"/>
        <w:bottom w:val="none" w:sz="0" w:space="0" w:color="auto"/>
        <w:right w:val="none" w:sz="0" w:space="0" w:color="auto"/>
      </w:divBdr>
    </w:div>
    <w:div w:id="587276396">
      <w:bodyDiv w:val="1"/>
      <w:marLeft w:val="0"/>
      <w:marRight w:val="0"/>
      <w:marTop w:val="0"/>
      <w:marBottom w:val="0"/>
      <w:divBdr>
        <w:top w:val="none" w:sz="0" w:space="0" w:color="auto"/>
        <w:left w:val="none" w:sz="0" w:space="0" w:color="auto"/>
        <w:bottom w:val="none" w:sz="0" w:space="0" w:color="auto"/>
        <w:right w:val="none" w:sz="0" w:space="0" w:color="auto"/>
      </w:divBdr>
      <w:divsChild>
        <w:div w:id="327026336">
          <w:marLeft w:val="0"/>
          <w:marRight w:val="0"/>
          <w:marTop w:val="0"/>
          <w:marBottom w:val="0"/>
          <w:divBdr>
            <w:top w:val="none" w:sz="0" w:space="0" w:color="auto"/>
            <w:left w:val="none" w:sz="0" w:space="0" w:color="auto"/>
            <w:bottom w:val="none" w:sz="0" w:space="0" w:color="auto"/>
            <w:right w:val="none" w:sz="0" w:space="0" w:color="auto"/>
          </w:divBdr>
          <w:divsChild>
            <w:div w:id="455023281">
              <w:marLeft w:val="0"/>
              <w:marRight w:val="0"/>
              <w:marTop w:val="0"/>
              <w:marBottom w:val="0"/>
              <w:divBdr>
                <w:top w:val="none" w:sz="0" w:space="0" w:color="auto"/>
                <w:left w:val="none" w:sz="0" w:space="0" w:color="auto"/>
                <w:bottom w:val="none" w:sz="0" w:space="0" w:color="auto"/>
                <w:right w:val="none" w:sz="0" w:space="0" w:color="auto"/>
              </w:divBdr>
              <w:divsChild>
                <w:div w:id="2064137741">
                  <w:marLeft w:val="0"/>
                  <w:marRight w:val="0"/>
                  <w:marTop w:val="0"/>
                  <w:marBottom w:val="0"/>
                  <w:divBdr>
                    <w:top w:val="none" w:sz="0" w:space="0" w:color="auto"/>
                    <w:left w:val="none" w:sz="0" w:space="0" w:color="auto"/>
                    <w:bottom w:val="none" w:sz="0" w:space="0" w:color="auto"/>
                    <w:right w:val="none" w:sz="0" w:space="0" w:color="auto"/>
                  </w:divBdr>
                  <w:divsChild>
                    <w:div w:id="290944905">
                      <w:marLeft w:val="0"/>
                      <w:marRight w:val="0"/>
                      <w:marTop w:val="0"/>
                      <w:marBottom w:val="0"/>
                      <w:divBdr>
                        <w:top w:val="none" w:sz="0" w:space="0" w:color="auto"/>
                        <w:left w:val="none" w:sz="0" w:space="0" w:color="auto"/>
                        <w:bottom w:val="none" w:sz="0" w:space="0" w:color="auto"/>
                        <w:right w:val="none" w:sz="0" w:space="0" w:color="auto"/>
                      </w:divBdr>
                      <w:divsChild>
                        <w:div w:id="127670130">
                          <w:marLeft w:val="0"/>
                          <w:marRight w:val="0"/>
                          <w:marTop w:val="0"/>
                          <w:marBottom w:val="0"/>
                          <w:divBdr>
                            <w:top w:val="none" w:sz="0" w:space="0" w:color="auto"/>
                            <w:left w:val="none" w:sz="0" w:space="0" w:color="auto"/>
                            <w:bottom w:val="none" w:sz="0" w:space="0" w:color="auto"/>
                            <w:right w:val="none" w:sz="0" w:space="0" w:color="auto"/>
                          </w:divBdr>
                          <w:divsChild>
                            <w:div w:id="822891796">
                              <w:marLeft w:val="0"/>
                              <w:marRight w:val="0"/>
                              <w:marTop w:val="0"/>
                              <w:marBottom w:val="0"/>
                              <w:divBdr>
                                <w:top w:val="none" w:sz="0" w:space="0" w:color="auto"/>
                                <w:left w:val="none" w:sz="0" w:space="0" w:color="auto"/>
                                <w:bottom w:val="none" w:sz="0" w:space="0" w:color="auto"/>
                                <w:right w:val="none" w:sz="0" w:space="0" w:color="auto"/>
                              </w:divBdr>
                              <w:divsChild>
                                <w:div w:id="1117530763">
                                  <w:marLeft w:val="0"/>
                                  <w:marRight w:val="0"/>
                                  <w:marTop w:val="0"/>
                                  <w:marBottom w:val="0"/>
                                  <w:divBdr>
                                    <w:top w:val="none" w:sz="0" w:space="0" w:color="auto"/>
                                    <w:left w:val="none" w:sz="0" w:space="0" w:color="auto"/>
                                    <w:bottom w:val="none" w:sz="0" w:space="0" w:color="auto"/>
                                    <w:right w:val="none" w:sz="0" w:space="0" w:color="auto"/>
                                  </w:divBdr>
                                  <w:divsChild>
                                    <w:div w:id="2939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043735">
      <w:bodyDiv w:val="1"/>
      <w:marLeft w:val="0"/>
      <w:marRight w:val="0"/>
      <w:marTop w:val="0"/>
      <w:marBottom w:val="0"/>
      <w:divBdr>
        <w:top w:val="none" w:sz="0" w:space="0" w:color="auto"/>
        <w:left w:val="none" w:sz="0" w:space="0" w:color="auto"/>
        <w:bottom w:val="none" w:sz="0" w:space="0" w:color="auto"/>
        <w:right w:val="none" w:sz="0" w:space="0" w:color="auto"/>
      </w:divBdr>
    </w:div>
    <w:div w:id="603464111">
      <w:bodyDiv w:val="1"/>
      <w:marLeft w:val="0"/>
      <w:marRight w:val="0"/>
      <w:marTop w:val="0"/>
      <w:marBottom w:val="0"/>
      <w:divBdr>
        <w:top w:val="none" w:sz="0" w:space="0" w:color="auto"/>
        <w:left w:val="none" w:sz="0" w:space="0" w:color="auto"/>
        <w:bottom w:val="none" w:sz="0" w:space="0" w:color="auto"/>
        <w:right w:val="none" w:sz="0" w:space="0" w:color="auto"/>
      </w:divBdr>
    </w:div>
    <w:div w:id="615216293">
      <w:bodyDiv w:val="1"/>
      <w:marLeft w:val="0"/>
      <w:marRight w:val="0"/>
      <w:marTop w:val="0"/>
      <w:marBottom w:val="0"/>
      <w:divBdr>
        <w:top w:val="none" w:sz="0" w:space="0" w:color="auto"/>
        <w:left w:val="none" w:sz="0" w:space="0" w:color="auto"/>
        <w:bottom w:val="none" w:sz="0" w:space="0" w:color="auto"/>
        <w:right w:val="none" w:sz="0" w:space="0" w:color="auto"/>
      </w:divBdr>
      <w:divsChild>
        <w:div w:id="249777438">
          <w:marLeft w:val="0"/>
          <w:marRight w:val="0"/>
          <w:marTop w:val="0"/>
          <w:marBottom w:val="0"/>
          <w:divBdr>
            <w:top w:val="none" w:sz="0" w:space="0" w:color="auto"/>
            <w:left w:val="none" w:sz="0" w:space="0" w:color="auto"/>
            <w:bottom w:val="none" w:sz="0" w:space="0" w:color="auto"/>
            <w:right w:val="none" w:sz="0" w:space="0" w:color="auto"/>
          </w:divBdr>
          <w:divsChild>
            <w:div w:id="63571078">
              <w:marLeft w:val="0"/>
              <w:marRight w:val="0"/>
              <w:marTop w:val="0"/>
              <w:marBottom w:val="0"/>
              <w:divBdr>
                <w:top w:val="none" w:sz="0" w:space="0" w:color="auto"/>
                <w:left w:val="none" w:sz="0" w:space="0" w:color="auto"/>
                <w:bottom w:val="none" w:sz="0" w:space="0" w:color="auto"/>
                <w:right w:val="none" w:sz="0" w:space="0" w:color="auto"/>
              </w:divBdr>
              <w:divsChild>
                <w:div w:id="197863230">
                  <w:marLeft w:val="0"/>
                  <w:marRight w:val="0"/>
                  <w:marTop w:val="0"/>
                  <w:marBottom w:val="0"/>
                  <w:divBdr>
                    <w:top w:val="none" w:sz="0" w:space="0" w:color="auto"/>
                    <w:left w:val="none" w:sz="0" w:space="0" w:color="auto"/>
                    <w:bottom w:val="none" w:sz="0" w:space="0" w:color="auto"/>
                    <w:right w:val="none" w:sz="0" w:space="0" w:color="auto"/>
                  </w:divBdr>
                  <w:divsChild>
                    <w:div w:id="1862813895">
                      <w:marLeft w:val="0"/>
                      <w:marRight w:val="0"/>
                      <w:marTop w:val="0"/>
                      <w:marBottom w:val="0"/>
                      <w:divBdr>
                        <w:top w:val="none" w:sz="0" w:space="0" w:color="auto"/>
                        <w:left w:val="none" w:sz="0" w:space="0" w:color="auto"/>
                        <w:bottom w:val="none" w:sz="0" w:space="0" w:color="auto"/>
                        <w:right w:val="none" w:sz="0" w:space="0" w:color="auto"/>
                      </w:divBdr>
                      <w:divsChild>
                        <w:div w:id="1956405054">
                          <w:marLeft w:val="0"/>
                          <w:marRight w:val="0"/>
                          <w:marTop w:val="0"/>
                          <w:marBottom w:val="0"/>
                          <w:divBdr>
                            <w:top w:val="none" w:sz="0" w:space="0" w:color="auto"/>
                            <w:left w:val="none" w:sz="0" w:space="0" w:color="auto"/>
                            <w:bottom w:val="none" w:sz="0" w:space="0" w:color="auto"/>
                            <w:right w:val="none" w:sz="0" w:space="0" w:color="auto"/>
                          </w:divBdr>
                          <w:divsChild>
                            <w:div w:id="146212334">
                              <w:marLeft w:val="0"/>
                              <w:marRight w:val="0"/>
                              <w:marTop w:val="0"/>
                              <w:marBottom w:val="0"/>
                              <w:divBdr>
                                <w:top w:val="none" w:sz="0" w:space="0" w:color="auto"/>
                                <w:left w:val="none" w:sz="0" w:space="0" w:color="auto"/>
                                <w:bottom w:val="none" w:sz="0" w:space="0" w:color="auto"/>
                                <w:right w:val="none" w:sz="0" w:space="0" w:color="auto"/>
                              </w:divBdr>
                              <w:divsChild>
                                <w:div w:id="951210520">
                                  <w:marLeft w:val="0"/>
                                  <w:marRight w:val="0"/>
                                  <w:marTop w:val="0"/>
                                  <w:marBottom w:val="0"/>
                                  <w:divBdr>
                                    <w:top w:val="none" w:sz="0" w:space="0" w:color="auto"/>
                                    <w:left w:val="none" w:sz="0" w:space="0" w:color="auto"/>
                                    <w:bottom w:val="none" w:sz="0" w:space="0" w:color="auto"/>
                                    <w:right w:val="none" w:sz="0" w:space="0" w:color="auto"/>
                                  </w:divBdr>
                                  <w:divsChild>
                                    <w:div w:id="19491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257639">
      <w:bodyDiv w:val="1"/>
      <w:marLeft w:val="0"/>
      <w:marRight w:val="0"/>
      <w:marTop w:val="0"/>
      <w:marBottom w:val="0"/>
      <w:divBdr>
        <w:top w:val="none" w:sz="0" w:space="0" w:color="auto"/>
        <w:left w:val="none" w:sz="0" w:space="0" w:color="auto"/>
        <w:bottom w:val="none" w:sz="0" w:space="0" w:color="auto"/>
        <w:right w:val="none" w:sz="0" w:space="0" w:color="auto"/>
      </w:divBdr>
    </w:div>
    <w:div w:id="727730718">
      <w:bodyDiv w:val="1"/>
      <w:marLeft w:val="0"/>
      <w:marRight w:val="0"/>
      <w:marTop w:val="0"/>
      <w:marBottom w:val="0"/>
      <w:divBdr>
        <w:top w:val="none" w:sz="0" w:space="0" w:color="auto"/>
        <w:left w:val="none" w:sz="0" w:space="0" w:color="auto"/>
        <w:bottom w:val="none" w:sz="0" w:space="0" w:color="auto"/>
        <w:right w:val="none" w:sz="0" w:space="0" w:color="auto"/>
      </w:divBdr>
    </w:div>
    <w:div w:id="768886875">
      <w:bodyDiv w:val="1"/>
      <w:marLeft w:val="0"/>
      <w:marRight w:val="0"/>
      <w:marTop w:val="0"/>
      <w:marBottom w:val="0"/>
      <w:divBdr>
        <w:top w:val="none" w:sz="0" w:space="0" w:color="auto"/>
        <w:left w:val="none" w:sz="0" w:space="0" w:color="auto"/>
        <w:bottom w:val="none" w:sz="0" w:space="0" w:color="auto"/>
        <w:right w:val="none" w:sz="0" w:space="0" w:color="auto"/>
      </w:divBdr>
    </w:div>
    <w:div w:id="816335310">
      <w:bodyDiv w:val="1"/>
      <w:marLeft w:val="0"/>
      <w:marRight w:val="0"/>
      <w:marTop w:val="0"/>
      <w:marBottom w:val="0"/>
      <w:divBdr>
        <w:top w:val="none" w:sz="0" w:space="0" w:color="auto"/>
        <w:left w:val="none" w:sz="0" w:space="0" w:color="auto"/>
        <w:bottom w:val="none" w:sz="0" w:space="0" w:color="auto"/>
        <w:right w:val="none" w:sz="0" w:space="0" w:color="auto"/>
      </w:divBdr>
      <w:divsChild>
        <w:div w:id="14230955">
          <w:marLeft w:val="0"/>
          <w:marRight w:val="0"/>
          <w:marTop w:val="0"/>
          <w:marBottom w:val="0"/>
          <w:divBdr>
            <w:top w:val="none" w:sz="0" w:space="0" w:color="auto"/>
            <w:left w:val="none" w:sz="0" w:space="0" w:color="auto"/>
            <w:bottom w:val="none" w:sz="0" w:space="0" w:color="auto"/>
            <w:right w:val="none" w:sz="0" w:space="0" w:color="auto"/>
          </w:divBdr>
          <w:divsChild>
            <w:div w:id="1467704487">
              <w:marLeft w:val="0"/>
              <w:marRight w:val="0"/>
              <w:marTop w:val="0"/>
              <w:marBottom w:val="0"/>
              <w:divBdr>
                <w:top w:val="none" w:sz="0" w:space="0" w:color="auto"/>
                <w:left w:val="none" w:sz="0" w:space="0" w:color="auto"/>
                <w:bottom w:val="none" w:sz="0" w:space="0" w:color="auto"/>
                <w:right w:val="none" w:sz="0" w:space="0" w:color="auto"/>
              </w:divBdr>
              <w:divsChild>
                <w:div w:id="317151747">
                  <w:marLeft w:val="0"/>
                  <w:marRight w:val="0"/>
                  <w:marTop w:val="0"/>
                  <w:marBottom w:val="0"/>
                  <w:divBdr>
                    <w:top w:val="none" w:sz="0" w:space="0" w:color="auto"/>
                    <w:left w:val="none" w:sz="0" w:space="0" w:color="auto"/>
                    <w:bottom w:val="none" w:sz="0" w:space="0" w:color="auto"/>
                    <w:right w:val="none" w:sz="0" w:space="0" w:color="auto"/>
                  </w:divBdr>
                  <w:divsChild>
                    <w:div w:id="1496070932">
                      <w:marLeft w:val="0"/>
                      <w:marRight w:val="0"/>
                      <w:marTop w:val="0"/>
                      <w:marBottom w:val="0"/>
                      <w:divBdr>
                        <w:top w:val="none" w:sz="0" w:space="0" w:color="auto"/>
                        <w:left w:val="none" w:sz="0" w:space="0" w:color="auto"/>
                        <w:bottom w:val="none" w:sz="0" w:space="0" w:color="auto"/>
                        <w:right w:val="none" w:sz="0" w:space="0" w:color="auto"/>
                      </w:divBdr>
                      <w:divsChild>
                        <w:div w:id="1047533869">
                          <w:marLeft w:val="0"/>
                          <w:marRight w:val="0"/>
                          <w:marTop w:val="0"/>
                          <w:marBottom w:val="0"/>
                          <w:divBdr>
                            <w:top w:val="none" w:sz="0" w:space="0" w:color="auto"/>
                            <w:left w:val="none" w:sz="0" w:space="0" w:color="auto"/>
                            <w:bottom w:val="none" w:sz="0" w:space="0" w:color="auto"/>
                            <w:right w:val="none" w:sz="0" w:space="0" w:color="auto"/>
                          </w:divBdr>
                          <w:divsChild>
                            <w:div w:id="990407375">
                              <w:marLeft w:val="0"/>
                              <w:marRight w:val="0"/>
                              <w:marTop w:val="0"/>
                              <w:marBottom w:val="0"/>
                              <w:divBdr>
                                <w:top w:val="none" w:sz="0" w:space="0" w:color="auto"/>
                                <w:left w:val="none" w:sz="0" w:space="0" w:color="auto"/>
                                <w:bottom w:val="none" w:sz="0" w:space="0" w:color="auto"/>
                                <w:right w:val="none" w:sz="0" w:space="0" w:color="auto"/>
                              </w:divBdr>
                              <w:divsChild>
                                <w:div w:id="460996791">
                                  <w:marLeft w:val="0"/>
                                  <w:marRight w:val="0"/>
                                  <w:marTop w:val="0"/>
                                  <w:marBottom w:val="0"/>
                                  <w:divBdr>
                                    <w:top w:val="none" w:sz="0" w:space="0" w:color="auto"/>
                                    <w:left w:val="none" w:sz="0" w:space="0" w:color="auto"/>
                                    <w:bottom w:val="none" w:sz="0" w:space="0" w:color="auto"/>
                                    <w:right w:val="none" w:sz="0" w:space="0" w:color="auto"/>
                                  </w:divBdr>
                                  <w:divsChild>
                                    <w:div w:id="20257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707472">
      <w:bodyDiv w:val="1"/>
      <w:marLeft w:val="0"/>
      <w:marRight w:val="0"/>
      <w:marTop w:val="0"/>
      <w:marBottom w:val="0"/>
      <w:divBdr>
        <w:top w:val="none" w:sz="0" w:space="0" w:color="auto"/>
        <w:left w:val="none" w:sz="0" w:space="0" w:color="auto"/>
        <w:bottom w:val="none" w:sz="0" w:space="0" w:color="auto"/>
        <w:right w:val="none" w:sz="0" w:space="0" w:color="auto"/>
      </w:divBdr>
      <w:divsChild>
        <w:div w:id="481848119">
          <w:marLeft w:val="0"/>
          <w:marRight w:val="0"/>
          <w:marTop w:val="0"/>
          <w:marBottom w:val="0"/>
          <w:divBdr>
            <w:top w:val="none" w:sz="0" w:space="0" w:color="auto"/>
            <w:left w:val="none" w:sz="0" w:space="0" w:color="auto"/>
            <w:bottom w:val="none" w:sz="0" w:space="0" w:color="auto"/>
            <w:right w:val="none" w:sz="0" w:space="0" w:color="auto"/>
          </w:divBdr>
          <w:divsChild>
            <w:div w:id="604965889">
              <w:marLeft w:val="0"/>
              <w:marRight w:val="0"/>
              <w:marTop w:val="0"/>
              <w:marBottom w:val="0"/>
              <w:divBdr>
                <w:top w:val="none" w:sz="0" w:space="0" w:color="auto"/>
                <w:left w:val="none" w:sz="0" w:space="0" w:color="auto"/>
                <w:bottom w:val="none" w:sz="0" w:space="0" w:color="auto"/>
                <w:right w:val="none" w:sz="0" w:space="0" w:color="auto"/>
              </w:divBdr>
              <w:divsChild>
                <w:div w:id="875892474">
                  <w:marLeft w:val="0"/>
                  <w:marRight w:val="0"/>
                  <w:marTop w:val="0"/>
                  <w:marBottom w:val="0"/>
                  <w:divBdr>
                    <w:top w:val="none" w:sz="0" w:space="0" w:color="auto"/>
                    <w:left w:val="none" w:sz="0" w:space="0" w:color="auto"/>
                    <w:bottom w:val="none" w:sz="0" w:space="0" w:color="auto"/>
                    <w:right w:val="none" w:sz="0" w:space="0" w:color="auto"/>
                  </w:divBdr>
                  <w:divsChild>
                    <w:div w:id="1292327753">
                      <w:marLeft w:val="0"/>
                      <w:marRight w:val="0"/>
                      <w:marTop w:val="0"/>
                      <w:marBottom w:val="0"/>
                      <w:divBdr>
                        <w:top w:val="none" w:sz="0" w:space="0" w:color="auto"/>
                        <w:left w:val="none" w:sz="0" w:space="0" w:color="auto"/>
                        <w:bottom w:val="none" w:sz="0" w:space="0" w:color="auto"/>
                        <w:right w:val="none" w:sz="0" w:space="0" w:color="auto"/>
                      </w:divBdr>
                      <w:divsChild>
                        <w:div w:id="1251541377">
                          <w:marLeft w:val="0"/>
                          <w:marRight w:val="0"/>
                          <w:marTop w:val="0"/>
                          <w:marBottom w:val="0"/>
                          <w:divBdr>
                            <w:top w:val="none" w:sz="0" w:space="0" w:color="auto"/>
                            <w:left w:val="none" w:sz="0" w:space="0" w:color="auto"/>
                            <w:bottom w:val="none" w:sz="0" w:space="0" w:color="auto"/>
                            <w:right w:val="none" w:sz="0" w:space="0" w:color="auto"/>
                          </w:divBdr>
                          <w:divsChild>
                            <w:div w:id="1540119937">
                              <w:marLeft w:val="0"/>
                              <w:marRight w:val="0"/>
                              <w:marTop w:val="0"/>
                              <w:marBottom w:val="0"/>
                              <w:divBdr>
                                <w:top w:val="none" w:sz="0" w:space="0" w:color="auto"/>
                                <w:left w:val="none" w:sz="0" w:space="0" w:color="auto"/>
                                <w:bottom w:val="none" w:sz="0" w:space="0" w:color="auto"/>
                                <w:right w:val="none" w:sz="0" w:space="0" w:color="auto"/>
                              </w:divBdr>
                              <w:divsChild>
                                <w:div w:id="1834297292">
                                  <w:marLeft w:val="0"/>
                                  <w:marRight w:val="0"/>
                                  <w:marTop w:val="0"/>
                                  <w:marBottom w:val="0"/>
                                  <w:divBdr>
                                    <w:top w:val="none" w:sz="0" w:space="0" w:color="auto"/>
                                    <w:left w:val="none" w:sz="0" w:space="0" w:color="auto"/>
                                    <w:bottom w:val="none" w:sz="0" w:space="0" w:color="auto"/>
                                    <w:right w:val="none" w:sz="0" w:space="0" w:color="auto"/>
                                  </w:divBdr>
                                  <w:divsChild>
                                    <w:div w:id="15484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019931">
      <w:bodyDiv w:val="1"/>
      <w:marLeft w:val="0"/>
      <w:marRight w:val="0"/>
      <w:marTop w:val="0"/>
      <w:marBottom w:val="0"/>
      <w:divBdr>
        <w:top w:val="none" w:sz="0" w:space="0" w:color="auto"/>
        <w:left w:val="none" w:sz="0" w:space="0" w:color="auto"/>
        <w:bottom w:val="none" w:sz="0" w:space="0" w:color="auto"/>
        <w:right w:val="none" w:sz="0" w:space="0" w:color="auto"/>
      </w:divBdr>
    </w:div>
    <w:div w:id="932129013">
      <w:bodyDiv w:val="1"/>
      <w:marLeft w:val="0"/>
      <w:marRight w:val="0"/>
      <w:marTop w:val="0"/>
      <w:marBottom w:val="0"/>
      <w:divBdr>
        <w:top w:val="none" w:sz="0" w:space="0" w:color="auto"/>
        <w:left w:val="none" w:sz="0" w:space="0" w:color="auto"/>
        <w:bottom w:val="none" w:sz="0" w:space="0" w:color="auto"/>
        <w:right w:val="none" w:sz="0" w:space="0" w:color="auto"/>
      </w:divBdr>
      <w:divsChild>
        <w:div w:id="544951606">
          <w:marLeft w:val="0"/>
          <w:marRight w:val="0"/>
          <w:marTop w:val="0"/>
          <w:marBottom w:val="0"/>
          <w:divBdr>
            <w:top w:val="none" w:sz="0" w:space="0" w:color="auto"/>
            <w:left w:val="none" w:sz="0" w:space="0" w:color="auto"/>
            <w:bottom w:val="none" w:sz="0" w:space="0" w:color="auto"/>
            <w:right w:val="none" w:sz="0" w:space="0" w:color="auto"/>
          </w:divBdr>
          <w:divsChild>
            <w:div w:id="790779280">
              <w:marLeft w:val="0"/>
              <w:marRight w:val="0"/>
              <w:marTop w:val="0"/>
              <w:marBottom w:val="0"/>
              <w:divBdr>
                <w:top w:val="none" w:sz="0" w:space="0" w:color="auto"/>
                <w:left w:val="none" w:sz="0" w:space="0" w:color="auto"/>
                <w:bottom w:val="none" w:sz="0" w:space="0" w:color="auto"/>
                <w:right w:val="none" w:sz="0" w:space="0" w:color="auto"/>
              </w:divBdr>
              <w:divsChild>
                <w:div w:id="1254633356">
                  <w:marLeft w:val="0"/>
                  <w:marRight w:val="0"/>
                  <w:marTop w:val="0"/>
                  <w:marBottom w:val="0"/>
                  <w:divBdr>
                    <w:top w:val="none" w:sz="0" w:space="0" w:color="auto"/>
                    <w:left w:val="none" w:sz="0" w:space="0" w:color="auto"/>
                    <w:bottom w:val="none" w:sz="0" w:space="0" w:color="auto"/>
                    <w:right w:val="none" w:sz="0" w:space="0" w:color="auto"/>
                  </w:divBdr>
                  <w:divsChild>
                    <w:div w:id="994187087">
                      <w:marLeft w:val="0"/>
                      <w:marRight w:val="0"/>
                      <w:marTop w:val="0"/>
                      <w:marBottom w:val="0"/>
                      <w:divBdr>
                        <w:top w:val="none" w:sz="0" w:space="0" w:color="auto"/>
                        <w:left w:val="none" w:sz="0" w:space="0" w:color="auto"/>
                        <w:bottom w:val="none" w:sz="0" w:space="0" w:color="auto"/>
                        <w:right w:val="none" w:sz="0" w:space="0" w:color="auto"/>
                      </w:divBdr>
                      <w:divsChild>
                        <w:div w:id="801002013">
                          <w:marLeft w:val="0"/>
                          <w:marRight w:val="0"/>
                          <w:marTop w:val="0"/>
                          <w:marBottom w:val="0"/>
                          <w:divBdr>
                            <w:top w:val="none" w:sz="0" w:space="0" w:color="auto"/>
                            <w:left w:val="none" w:sz="0" w:space="0" w:color="auto"/>
                            <w:bottom w:val="none" w:sz="0" w:space="0" w:color="auto"/>
                            <w:right w:val="none" w:sz="0" w:space="0" w:color="auto"/>
                          </w:divBdr>
                          <w:divsChild>
                            <w:div w:id="1360158017">
                              <w:marLeft w:val="0"/>
                              <w:marRight w:val="0"/>
                              <w:marTop w:val="0"/>
                              <w:marBottom w:val="0"/>
                              <w:divBdr>
                                <w:top w:val="none" w:sz="0" w:space="0" w:color="auto"/>
                                <w:left w:val="none" w:sz="0" w:space="0" w:color="auto"/>
                                <w:bottom w:val="none" w:sz="0" w:space="0" w:color="auto"/>
                                <w:right w:val="none" w:sz="0" w:space="0" w:color="auto"/>
                              </w:divBdr>
                              <w:divsChild>
                                <w:div w:id="830871269">
                                  <w:marLeft w:val="0"/>
                                  <w:marRight w:val="0"/>
                                  <w:marTop w:val="0"/>
                                  <w:marBottom w:val="0"/>
                                  <w:divBdr>
                                    <w:top w:val="none" w:sz="0" w:space="0" w:color="auto"/>
                                    <w:left w:val="none" w:sz="0" w:space="0" w:color="auto"/>
                                    <w:bottom w:val="none" w:sz="0" w:space="0" w:color="auto"/>
                                    <w:right w:val="none" w:sz="0" w:space="0" w:color="auto"/>
                                  </w:divBdr>
                                  <w:divsChild>
                                    <w:div w:id="1276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099829">
      <w:bodyDiv w:val="1"/>
      <w:marLeft w:val="0"/>
      <w:marRight w:val="0"/>
      <w:marTop w:val="0"/>
      <w:marBottom w:val="0"/>
      <w:divBdr>
        <w:top w:val="none" w:sz="0" w:space="0" w:color="auto"/>
        <w:left w:val="none" w:sz="0" w:space="0" w:color="auto"/>
        <w:bottom w:val="none" w:sz="0" w:space="0" w:color="auto"/>
        <w:right w:val="none" w:sz="0" w:space="0" w:color="auto"/>
      </w:divBdr>
    </w:div>
    <w:div w:id="1064568357">
      <w:bodyDiv w:val="1"/>
      <w:marLeft w:val="0"/>
      <w:marRight w:val="0"/>
      <w:marTop w:val="0"/>
      <w:marBottom w:val="0"/>
      <w:divBdr>
        <w:top w:val="none" w:sz="0" w:space="0" w:color="auto"/>
        <w:left w:val="none" w:sz="0" w:space="0" w:color="auto"/>
        <w:bottom w:val="none" w:sz="0" w:space="0" w:color="auto"/>
        <w:right w:val="none" w:sz="0" w:space="0" w:color="auto"/>
      </w:divBdr>
    </w:div>
    <w:div w:id="1065491050">
      <w:bodyDiv w:val="1"/>
      <w:marLeft w:val="0"/>
      <w:marRight w:val="0"/>
      <w:marTop w:val="0"/>
      <w:marBottom w:val="0"/>
      <w:divBdr>
        <w:top w:val="none" w:sz="0" w:space="0" w:color="auto"/>
        <w:left w:val="none" w:sz="0" w:space="0" w:color="auto"/>
        <w:bottom w:val="none" w:sz="0" w:space="0" w:color="auto"/>
        <w:right w:val="none" w:sz="0" w:space="0" w:color="auto"/>
      </w:divBdr>
    </w:div>
    <w:div w:id="1127626812">
      <w:bodyDiv w:val="1"/>
      <w:marLeft w:val="0"/>
      <w:marRight w:val="0"/>
      <w:marTop w:val="0"/>
      <w:marBottom w:val="0"/>
      <w:divBdr>
        <w:top w:val="none" w:sz="0" w:space="0" w:color="auto"/>
        <w:left w:val="none" w:sz="0" w:space="0" w:color="auto"/>
        <w:bottom w:val="none" w:sz="0" w:space="0" w:color="auto"/>
        <w:right w:val="none" w:sz="0" w:space="0" w:color="auto"/>
      </w:divBdr>
      <w:divsChild>
        <w:div w:id="351611251">
          <w:marLeft w:val="0"/>
          <w:marRight w:val="0"/>
          <w:marTop w:val="0"/>
          <w:marBottom w:val="0"/>
          <w:divBdr>
            <w:top w:val="none" w:sz="0" w:space="0" w:color="auto"/>
            <w:left w:val="none" w:sz="0" w:space="0" w:color="auto"/>
            <w:bottom w:val="none" w:sz="0" w:space="0" w:color="auto"/>
            <w:right w:val="none" w:sz="0" w:space="0" w:color="auto"/>
          </w:divBdr>
          <w:divsChild>
            <w:div w:id="1290895009">
              <w:marLeft w:val="0"/>
              <w:marRight w:val="0"/>
              <w:marTop w:val="0"/>
              <w:marBottom w:val="0"/>
              <w:divBdr>
                <w:top w:val="none" w:sz="0" w:space="0" w:color="auto"/>
                <w:left w:val="none" w:sz="0" w:space="0" w:color="auto"/>
                <w:bottom w:val="none" w:sz="0" w:space="0" w:color="auto"/>
                <w:right w:val="none" w:sz="0" w:space="0" w:color="auto"/>
              </w:divBdr>
              <w:divsChild>
                <w:div w:id="367799024">
                  <w:marLeft w:val="0"/>
                  <w:marRight w:val="0"/>
                  <w:marTop w:val="0"/>
                  <w:marBottom w:val="0"/>
                  <w:divBdr>
                    <w:top w:val="none" w:sz="0" w:space="0" w:color="auto"/>
                    <w:left w:val="none" w:sz="0" w:space="0" w:color="auto"/>
                    <w:bottom w:val="none" w:sz="0" w:space="0" w:color="auto"/>
                    <w:right w:val="none" w:sz="0" w:space="0" w:color="auto"/>
                  </w:divBdr>
                  <w:divsChild>
                    <w:div w:id="182940420">
                      <w:marLeft w:val="0"/>
                      <w:marRight w:val="0"/>
                      <w:marTop w:val="0"/>
                      <w:marBottom w:val="0"/>
                      <w:divBdr>
                        <w:top w:val="none" w:sz="0" w:space="0" w:color="auto"/>
                        <w:left w:val="none" w:sz="0" w:space="0" w:color="auto"/>
                        <w:bottom w:val="none" w:sz="0" w:space="0" w:color="auto"/>
                        <w:right w:val="none" w:sz="0" w:space="0" w:color="auto"/>
                      </w:divBdr>
                      <w:divsChild>
                        <w:div w:id="799423439">
                          <w:marLeft w:val="0"/>
                          <w:marRight w:val="0"/>
                          <w:marTop w:val="0"/>
                          <w:marBottom w:val="0"/>
                          <w:divBdr>
                            <w:top w:val="none" w:sz="0" w:space="0" w:color="auto"/>
                            <w:left w:val="none" w:sz="0" w:space="0" w:color="auto"/>
                            <w:bottom w:val="none" w:sz="0" w:space="0" w:color="auto"/>
                            <w:right w:val="none" w:sz="0" w:space="0" w:color="auto"/>
                          </w:divBdr>
                          <w:divsChild>
                            <w:div w:id="841819039">
                              <w:marLeft w:val="0"/>
                              <w:marRight w:val="0"/>
                              <w:marTop w:val="0"/>
                              <w:marBottom w:val="0"/>
                              <w:divBdr>
                                <w:top w:val="none" w:sz="0" w:space="0" w:color="auto"/>
                                <w:left w:val="none" w:sz="0" w:space="0" w:color="auto"/>
                                <w:bottom w:val="none" w:sz="0" w:space="0" w:color="auto"/>
                                <w:right w:val="none" w:sz="0" w:space="0" w:color="auto"/>
                              </w:divBdr>
                              <w:divsChild>
                                <w:div w:id="1366558658">
                                  <w:marLeft w:val="0"/>
                                  <w:marRight w:val="0"/>
                                  <w:marTop w:val="0"/>
                                  <w:marBottom w:val="0"/>
                                  <w:divBdr>
                                    <w:top w:val="none" w:sz="0" w:space="0" w:color="auto"/>
                                    <w:left w:val="none" w:sz="0" w:space="0" w:color="auto"/>
                                    <w:bottom w:val="none" w:sz="0" w:space="0" w:color="auto"/>
                                    <w:right w:val="none" w:sz="0" w:space="0" w:color="auto"/>
                                  </w:divBdr>
                                  <w:divsChild>
                                    <w:div w:id="995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355">
      <w:bodyDiv w:val="1"/>
      <w:marLeft w:val="0"/>
      <w:marRight w:val="0"/>
      <w:marTop w:val="0"/>
      <w:marBottom w:val="0"/>
      <w:divBdr>
        <w:top w:val="none" w:sz="0" w:space="0" w:color="auto"/>
        <w:left w:val="none" w:sz="0" w:space="0" w:color="auto"/>
        <w:bottom w:val="none" w:sz="0" w:space="0" w:color="auto"/>
        <w:right w:val="none" w:sz="0" w:space="0" w:color="auto"/>
      </w:divBdr>
    </w:div>
    <w:div w:id="1245916205">
      <w:bodyDiv w:val="1"/>
      <w:marLeft w:val="0"/>
      <w:marRight w:val="0"/>
      <w:marTop w:val="0"/>
      <w:marBottom w:val="0"/>
      <w:divBdr>
        <w:top w:val="none" w:sz="0" w:space="0" w:color="auto"/>
        <w:left w:val="none" w:sz="0" w:space="0" w:color="auto"/>
        <w:bottom w:val="none" w:sz="0" w:space="0" w:color="auto"/>
        <w:right w:val="none" w:sz="0" w:space="0" w:color="auto"/>
      </w:divBdr>
    </w:div>
    <w:div w:id="1266033396">
      <w:bodyDiv w:val="1"/>
      <w:marLeft w:val="0"/>
      <w:marRight w:val="0"/>
      <w:marTop w:val="0"/>
      <w:marBottom w:val="0"/>
      <w:divBdr>
        <w:top w:val="none" w:sz="0" w:space="0" w:color="auto"/>
        <w:left w:val="none" w:sz="0" w:space="0" w:color="auto"/>
        <w:bottom w:val="none" w:sz="0" w:space="0" w:color="auto"/>
        <w:right w:val="none" w:sz="0" w:space="0" w:color="auto"/>
      </w:divBdr>
    </w:div>
    <w:div w:id="1277373477">
      <w:bodyDiv w:val="1"/>
      <w:marLeft w:val="0"/>
      <w:marRight w:val="0"/>
      <w:marTop w:val="0"/>
      <w:marBottom w:val="0"/>
      <w:divBdr>
        <w:top w:val="none" w:sz="0" w:space="0" w:color="auto"/>
        <w:left w:val="none" w:sz="0" w:space="0" w:color="auto"/>
        <w:bottom w:val="none" w:sz="0" w:space="0" w:color="auto"/>
        <w:right w:val="none" w:sz="0" w:space="0" w:color="auto"/>
      </w:divBdr>
    </w:div>
    <w:div w:id="1310017654">
      <w:bodyDiv w:val="1"/>
      <w:marLeft w:val="0"/>
      <w:marRight w:val="0"/>
      <w:marTop w:val="0"/>
      <w:marBottom w:val="0"/>
      <w:divBdr>
        <w:top w:val="none" w:sz="0" w:space="0" w:color="auto"/>
        <w:left w:val="none" w:sz="0" w:space="0" w:color="auto"/>
        <w:bottom w:val="none" w:sz="0" w:space="0" w:color="auto"/>
        <w:right w:val="none" w:sz="0" w:space="0" w:color="auto"/>
      </w:divBdr>
      <w:divsChild>
        <w:div w:id="1676808572">
          <w:marLeft w:val="0"/>
          <w:marRight w:val="0"/>
          <w:marTop w:val="0"/>
          <w:marBottom w:val="0"/>
          <w:divBdr>
            <w:top w:val="none" w:sz="0" w:space="0" w:color="auto"/>
            <w:left w:val="none" w:sz="0" w:space="0" w:color="auto"/>
            <w:bottom w:val="none" w:sz="0" w:space="0" w:color="auto"/>
            <w:right w:val="none" w:sz="0" w:space="0" w:color="auto"/>
          </w:divBdr>
          <w:divsChild>
            <w:div w:id="321198695">
              <w:marLeft w:val="0"/>
              <w:marRight w:val="0"/>
              <w:marTop w:val="0"/>
              <w:marBottom w:val="0"/>
              <w:divBdr>
                <w:top w:val="none" w:sz="0" w:space="0" w:color="auto"/>
                <w:left w:val="none" w:sz="0" w:space="0" w:color="auto"/>
                <w:bottom w:val="none" w:sz="0" w:space="0" w:color="auto"/>
                <w:right w:val="none" w:sz="0" w:space="0" w:color="auto"/>
              </w:divBdr>
              <w:divsChild>
                <w:div w:id="20938224">
                  <w:marLeft w:val="0"/>
                  <w:marRight w:val="0"/>
                  <w:marTop w:val="0"/>
                  <w:marBottom w:val="0"/>
                  <w:divBdr>
                    <w:top w:val="none" w:sz="0" w:space="0" w:color="auto"/>
                    <w:left w:val="none" w:sz="0" w:space="0" w:color="auto"/>
                    <w:bottom w:val="none" w:sz="0" w:space="0" w:color="auto"/>
                    <w:right w:val="none" w:sz="0" w:space="0" w:color="auto"/>
                  </w:divBdr>
                  <w:divsChild>
                    <w:div w:id="1449351157">
                      <w:marLeft w:val="0"/>
                      <w:marRight w:val="0"/>
                      <w:marTop w:val="0"/>
                      <w:marBottom w:val="0"/>
                      <w:divBdr>
                        <w:top w:val="none" w:sz="0" w:space="0" w:color="auto"/>
                        <w:left w:val="none" w:sz="0" w:space="0" w:color="auto"/>
                        <w:bottom w:val="none" w:sz="0" w:space="0" w:color="auto"/>
                        <w:right w:val="none" w:sz="0" w:space="0" w:color="auto"/>
                      </w:divBdr>
                      <w:divsChild>
                        <w:div w:id="1042823598">
                          <w:marLeft w:val="0"/>
                          <w:marRight w:val="0"/>
                          <w:marTop w:val="0"/>
                          <w:marBottom w:val="0"/>
                          <w:divBdr>
                            <w:top w:val="none" w:sz="0" w:space="0" w:color="auto"/>
                            <w:left w:val="none" w:sz="0" w:space="0" w:color="auto"/>
                            <w:bottom w:val="none" w:sz="0" w:space="0" w:color="auto"/>
                            <w:right w:val="none" w:sz="0" w:space="0" w:color="auto"/>
                          </w:divBdr>
                          <w:divsChild>
                            <w:div w:id="62336452">
                              <w:marLeft w:val="0"/>
                              <w:marRight w:val="0"/>
                              <w:marTop w:val="0"/>
                              <w:marBottom w:val="0"/>
                              <w:divBdr>
                                <w:top w:val="none" w:sz="0" w:space="0" w:color="auto"/>
                                <w:left w:val="none" w:sz="0" w:space="0" w:color="auto"/>
                                <w:bottom w:val="none" w:sz="0" w:space="0" w:color="auto"/>
                                <w:right w:val="none" w:sz="0" w:space="0" w:color="auto"/>
                              </w:divBdr>
                              <w:divsChild>
                                <w:div w:id="464088082">
                                  <w:marLeft w:val="0"/>
                                  <w:marRight w:val="0"/>
                                  <w:marTop w:val="0"/>
                                  <w:marBottom w:val="0"/>
                                  <w:divBdr>
                                    <w:top w:val="none" w:sz="0" w:space="0" w:color="auto"/>
                                    <w:left w:val="none" w:sz="0" w:space="0" w:color="auto"/>
                                    <w:bottom w:val="none" w:sz="0" w:space="0" w:color="auto"/>
                                    <w:right w:val="none" w:sz="0" w:space="0" w:color="auto"/>
                                  </w:divBdr>
                                  <w:divsChild>
                                    <w:div w:id="11216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064926">
      <w:bodyDiv w:val="1"/>
      <w:marLeft w:val="0"/>
      <w:marRight w:val="0"/>
      <w:marTop w:val="0"/>
      <w:marBottom w:val="0"/>
      <w:divBdr>
        <w:top w:val="none" w:sz="0" w:space="0" w:color="auto"/>
        <w:left w:val="none" w:sz="0" w:space="0" w:color="auto"/>
        <w:bottom w:val="none" w:sz="0" w:space="0" w:color="auto"/>
        <w:right w:val="none" w:sz="0" w:space="0" w:color="auto"/>
      </w:divBdr>
    </w:div>
    <w:div w:id="1330333841">
      <w:bodyDiv w:val="1"/>
      <w:marLeft w:val="0"/>
      <w:marRight w:val="0"/>
      <w:marTop w:val="0"/>
      <w:marBottom w:val="0"/>
      <w:divBdr>
        <w:top w:val="none" w:sz="0" w:space="0" w:color="auto"/>
        <w:left w:val="none" w:sz="0" w:space="0" w:color="auto"/>
        <w:bottom w:val="none" w:sz="0" w:space="0" w:color="auto"/>
        <w:right w:val="none" w:sz="0" w:space="0" w:color="auto"/>
      </w:divBdr>
    </w:div>
    <w:div w:id="1353416266">
      <w:bodyDiv w:val="1"/>
      <w:marLeft w:val="0"/>
      <w:marRight w:val="0"/>
      <w:marTop w:val="0"/>
      <w:marBottom w:val="0"/>
      <w:divBdr>
        <w:top w:val="none" w:sz="0" w:space="0" w:color="auto"/>
        <w:left w:val="none" w:sz="0" w:space="0" w:color="auto"/>
        <w:bottom w:val="none" w:sz="0" w:space="0" w:color="auto"/>
        <w:right w:val="none" w:sz="0" w:space="0" w:color="auto"/>
      </w:divBdr>
    </w:div>
    <w:div w:id="1369258168">
      <w:bodyDiv w:val="1"/>
      <w:marLeft w:val="0"/>
      <w:marRight w:val="0"/>
      <w:marTop w:val="0"/>
      <w:marBottom w:val="0"/>
      <w:divBdr>
        <w:top w:val="none" w:sz="0" w:space="0" w:color="auto"/>
        <w:left w:val="none" w:sz="0" w:space="0" w:color="auto"/>
        <w:bottom w:val="none" w:sz="0" w:space="0" w:color="auto"/>
        <w:right w:val="none" w:sz="0" w:space="0" w:color="auto"/>
      </w:divBdr>
      <w:divsChild>
        <w:div w:id="114368846">
          <w:marLeft w:val="0"/>
          <w:marRight w:val="0"/>
          <w:marTop w:val="0"/>
          <w:marBottom w:val="0"/>
          <w:divBdr>
            <w:top w:val="none" w:sz="0" w:space="0" w:color="auto"/>
            <w:left w:val="none" w:sz="0" w:space="0" w:color="auto"/>
            <w:bottom w:val="none" w:sz="0" w:space="0" w:color="auto"/>
            <w:right w:val="none" w:sz="0" w:space="0" w:color="auto"/>
          </w:divBdr>
          <w:divsChild>
            <w:div w:id="113208204">
              <w:marLeft w:val="0"/>
              <w:marRight w:val="0"/>
              <w:marTop w:val="0"/>
              <w:marBottom w:val="0"/>
              <w:divBdr>
                <w:top w:val="none" w:sz="0" w:space="0" w:color="auto"/>
                <w:left w:val="none" w:sz="0" w:space="0" w:color="auto"/>
                <w:bottom w:val="none" w:sz="0" w:space="0" w:color="auto"/>
                <w:right w:val="none" w:sz="0" w:space="0" w:color="auto"/>
              </w:divBdr>
              <w:divsChild>
                <w:div w:id="348675706">
                  <w:marLeft w:val="0"/>
                  <w:marRight w:val="0"/>
                  <w:marTop w:val="0"/>
                  <w:marBottom w:val="0"/>
                  <w:divBdr>
                    <w:top w:val="none" w:sz="0" w:space="0" w:color="auto"/>
                    <w:left w:val="none" w:sz="0" w:space="0" w:color="auto"/>
                    <w:bottom w:val="none" w:sz="0" w:space="0" w:color="auto"/>
                    <w:right w:val="none" w:sz="0" w:space="0" w:color="auto"/>
                  </w:divBdr>
                  <w:divsChild>
                    <w:div w:id="1376083651">
                      <w:marLeft w:val="0"/>
                      <w:marRight w:val="0"/>
                      <w:marTop w:val="0"/>
                      <w:marBottom w:val="0"/>
                      <w:divBdr>
                        <w:top w:val="none" w:sz="0" w:space="0" w:color="auto"/>
                        <w:left w:val="none" w:sz="0" w:space="0" w:color="auto"/>
                        <w:bottom w:val="none" w:sz="0" w:space="0" w:color="auto"/>
                        <w:right w:val="none" w:sz="0" w:space="0" w:color="auto"/>
                      </w:divBdr>
                      <w:divsChild>
                        <w:div w:id="801845951">
                          <w:marLeft w:val="0"/>
                          <w:marRight w:val="0"/>
                          <w:marTop w:val="0"/>
                          <w:marBottom w:val="0"/>
                          <w:divBdr>
                            <w:top w:val="none" w:sz="0" w:space="0" w:color="auto"/>
                            <w:left w:val="none" w:sz="0" w:space="0" w:color="auto"/>
                            <w:bottom w:val="none" w:sz="0" w:space="0" w:color="auto"/>
                            <w:right w:val="none" w:sz="0" w:space="0" w:color="auto"/>
                          </w:divBdr>
                          <w:divsChild>
                            <w:div w:id="1634364908">
                              <w:marLeft w:val="0"/>
                              <w:marRight w:val="0"/>
                              <w:marTop w:val="0"/>
                              <w:marBottom w:val="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10933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827133">
      <w:bodyDiv w:val="1"/>
      <w:marLeft w:val="0"/>
      <w:marRight w:val="0"/>
      <w:marTop w:val="0"/>
      <w:marBottom w:val="0"/>
      <w:divBdr>
        <w:top w:val="none" w:sz="0" w:space="0" w:color="auto"/>
        <w:left w:val="none" w:sz="0" w:space="0" w:color="auto"/>
        <w:bottom w:val="none" w:sz="0" w:space="0" w:color="auto"/>
        <w:right w:val="none" w:sz="0" w:space="0" w:color="auto"/>
      </w:divBdr>
    </w:div>
    <w:div w:id="1500386959">
      <w:bodyDiv w:val="1"/>
      <w:marLeft w:val="0"/>
      <w:marRight w:val="0"/>
      <w:marTop w:val="0"/>
      <w:marBottom w:val="0"/>
      <w:divBdr>
        <w:top w:val="none" w:sz="0" w:space="0" w:color="auto"/>
        <w:left w:val="none" w:sz="0" w:space="0" w:color="auto"/>
        <w:bottom w:val="none" w:sz="0" w:space="0" w:color="auto"/>
        <w:right w:val="none" w:sz="0" w:space="0" w:color="auto"/>
      </w:divBdr>
    </w:div>
    <w:div w:id="1501657640">
      <w:bodyDiv w:val="1"/>
      <w:marLeft w:val="0"/>
      <w:marRight w:val="0"/>
      <w:marTop w:val="0"/>
      <w:marBottom w:val="0"/>
      <w:divBdr>
        <w:top w:val="none" w:sz="0" w:space="0" w:color="auto"/>
        <w:left w:val="none" w:sz="0" w:space="0" w:color="auto"/>
        <w:bottom w:val="none" w:sz="0" w:space="0" w:color="auto"/>
        <w:right w:val="none" w:sz="0" w:space="0" w:color="auto"/>
      </w:divBdr>
    </w:div>
    <w:div w:id="1541283462">
      <w:bodyDiv w:val="1"/>
      <w:marLeft w:val="0"/>
      <w:marRight w:val="0"/>
      <w:marTop w:val="0"/>
      <w:marBottom w:val="0"/>
      <w:divBdr>
        <w:top w:val="none" w:sz="0" w:space="0" w:color="auto"/>
        <w:left w:val="none" w:sz="0" w:space="0" w:color="auto"/>
        <w:bottom w:val="none" w:sz="0" w:space="0" w:color="auto"/>
        <w:right w:val="none" w:sz="0" w:space="0" w:color="auto"/>
      </w:divBdr>
    </w:div>
    <w:div w:id="1614440620">
      <w:bodyDiv w:val="1"/>
      <w:marLeft w:val="0"/>
      <w:marRight w:val="0"/>
      <w:marTop w:val="0"/>
      <w:marBottom w:val="0"/>
      <w:divBdr>
        <w:top w:val="none" w:sz="0" w:space="0" w:color="auto"/>
        <w:left w:val="none" w:sz="0" w:space="0" w:color="auto"/>
        <w:bottom w:val="none" w:sz="0" w:space="0" w:color="auto"/>
        <w:right w:val="none" w:sz="0" w:space="0" w:color="auto"/>
      </w:divBdr>
      <w:divsChild>
        <w:div w:id="1851676467">
          <w:marLeft w:val="0"/>
          <w:marRight w:val="0"/>
          <w:marTop w:val="0"/>
          <w:marBottom w:val="0"/>
          <w:divBdr>
            <w:top w:val="none" w:sz="0" w:space="0" w:color="auto"/>
            <w:left w:val="none" w:sz="0" w:space="0" w:color="auto"/>
            <w:bottom w:val="none" w:sz="0" w:space="0" w:color="auto"/>
            <w:right w:val="none" w:sz="0" w:space="0" w:color="auto"/>
          </w:divBdr>
          <w:divsChild>
            <w:div w:id="1637832439">
              <w:marLeft w:val="0"/>
              <w:marRight w:val="0"/>
              <w:marTop w:val="0"/>
              <w:marBottom w:val="0"/>
              <w:divBdr>
                <w:top w:val="none" w:sz="0" w:space="0" w:color="auto"/>
                <w:left w:val="none" w:sz="0" w:space="0" w:color="auto"/>
                <w:bottom w:val="none" w:sz="0" w:space="0" w:color="auto"/>
                <w:right w:val="none" w:sz="0" w:space="0" w:color="auto"/>
              </w:divBdr>
              <w:divsChild>
                <w:div w:id="845705773">
                  <w:marLeft w:val="0"/>
                  <w:marRight w:val="0"/>
                  <w:marTop w:val="0"/>
                  <w:marBottom w:val="0"/>
                  <w:divBdr>
                    <w:top w:val="none" w:sz="0" w:space="0" w:color="auto"/>
                    <w:left w:val="none" w:sz="0" w:space="0" w:color="auto"/>
                    <w:bottom w:val="none" w:sz="0" w:space="0" w:color="auto"/>
                    <w:right w:val="none" w:sz="0" w:space="0" w:color="auto"/>
                  </w:divBdr>
                  <w:divsChild>
                    <w:div w:id="1083572409">
                      <w:marLeft w:val="0"/>
                      <w:marRight w:val="0"/>
                      <w:marTop w:val="0"/>
                      <w:marBottom w:val="0"/>
                      <w:divBdr>
                        <w:top w:val="none" w:sz="0" w:space="0" w:color="auto"/>
                        <w:left w:val="none" w:sz="0" w:space="0" w:color="auto"/>
                        <w:bottom w:val="none" w:sz="0" w:space="0" w:color="auto"/>
                        <w:right w:val="none" w:sz="0" w:space="0" w:color="auto"/>
                      </w:divBdr>
                      <w:divsChild>
                        <w:div w:id="1246959876">
                          <w:marLeft w:val="0"/>
                          <w:marRight w:val="0"/>
                          <w:marTop w:val="0"/>
                          <w:marBottom w:val="0"/>
                          <w:divBdr>
                            <w:top w:val="none" w:sz="0" w:space="0" w:color="auto"/>
                            <w:left w:val="none" w:sz="0" w:space="0" w:color="auto"/>
                            <w:bottom w:val="none" w:sz="0" w:space="0" w:color="auto"/>
                            <w:right w:val="none" w:sz="0" w:space="0" w:color="auto"/>
                          </w:divBdr>
                          <w:divsChild>
                            <w:div w:id="396898639">
                              <w:marLeft w:val="0"/>
                              <w:marRight w:val="0"/>
                              <w:marTop w:val="0"/>
                              <w:marBottom w:val="0"/>
                              <w:divBdr>
                                <w:top w:val="none" w:sz="0" w:space="0" w:color="auto"/>
                                <w:left w:val="none" w:sz="0" w:space="0" w:color="auto"/>
                                <w:bottom w:val="none" w:sz="0" w:space="0" w:color="auto"/>
                                <w:right w:val="none" w:sz="0" w:space="0" w:color="auto"/>
                              </w:divBdr>
                              <w:divsChild>
                                <w:div w:id="340011812">
                                  <w:marLeft w:val="0"/>
                                  <w:marRight w:val="0"/>
                                  <w:marTop w:val="0"/>
                                  <w:marBottom w:val="0"/>
                                  <w:divBdr>
                                    <w:top w:val="none" w:sz="0" w:space="0" w:color="auto"/>
                                    <w:left w:val="none" w:sz="0" w:space="0" w:color="auto"/>
                                    <w:bottom w:val="none" w:sz="0" w:space="0" w:color="auto"/>
                                    <w:right w:val="none" w:sz="0" w:space="0" w:color="auto"/>
                                  </w:divBdr>
                                  <w:divsChild>
                                    <w:div w:id="20370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632993">
      <w:bodyDiv w:val="1"/>
      <w:marLeft w:val="0"/>
      <w:marRight w:val="0"/>
      <w:marTop w:val="0"/>
      <w:marBottom w:val="0"/>
      <w:divBdr>
        <w:top w:val="none" w:sz="0" w:space="0" w:color="auto"/>
        <w:left w:val="none" w:sz="0" w:space="0" w:color="auto"/>
        <w:bottom w:val="none" w:sz="0" w:space="0" w:color="auto"/>
        <w:right w:val="none" w:sz="0" w:space="0" w:color="auto"/>
      </w:divBdr>
    </w:div>
    <w:div w:id="1659264178">
      <w:bodyDiv w:val="1"/>
      <w:marLeft w:val="0"/>
      <w:marRight w:val="0"/>
      <w:marTop w:val="0"/>
      <w:marBottom w:val="0"/>
      <w:divBdr>
        <w:top w:val="none" w:sz="0" w:space="0" w:color="auto"/>
        <w:left w:val="none" w:sz="0" w:space="0" w:color="auto"/>
        <w:bottom w:val="none" w:sz="0" w:space="0" w:color="auto"/>
        <w:right w:val="none" w:sz="0" w:space="0" w:color="auto"/>
      </w:divBdr>
    </w:div>
    <w:div w:id="1694107045">
      <w:bodyDiv w:val="1"/>
      <w:marLeft w:val="0"/>
      <w:marRight w:val="0"/>
      <w:marTop w:val="0"/>
      <w:marBottom w:val="0"/>
      <w:divBdr>
        <w:top w:val="none" w:sz="0" w:space="0" w:color="auto"/>
        <w:left w:val="none" w:sz="0" w:space="0" w:color="auto"/>
        <w:bottom w:val="none" w:sz="0" w:space="0" w:color="auto"/>
        <w:right w:val="none" w:sz="0" w:space="0" w:color="auto"/>
      </w:divBdr>
    </w:div>
    <w:div w:id="1695879394">
      <w:bodyDiv w:val="1"/>
      <w:marLeft w:val="0"/>
      <w:marRight w:val="0"/>
      <w:marTop w:val="0"/>
      <w:marBottom w:val="0"/>
      <w:divBdr>
        <w:top w:val="none" w:sz="0" w:space="0" w:color="auto"/>
        <w:left w:val="none" w:sz="0" w:space="0" w:color="auto"/>
        <w:bottom w:val="none" w:sz="0" w:space="0" w:color="auto"/>
        <w:right w:val="none" w:sz="0" w:space="0" w:color="auto"/>
      </w:divBdr>
    </w:div>
    <w:div w:id="1703702884">
      <w:bodyDiv w:val="1"/>
      <w:marLeft w:val="0"/>
      <w:marRight w:val="0"/>
      <w:marTop w:val="0"/>
      <w:marBottom w:val="0"/>
      <w:divBdr>
        <w:top w:val="none" w:sz="0" w:space="0" w:color="auto"/>
        <w:left w:val="none" w:sz="0" w:space="0" w:color="auto"/>
        <w:bottom w:val="none" w:sz="0" w:space="0" w:color="auto"/>
        <w:right w:val="none" w:sz="0" w:space="0" w:color="auto"/>
      </w:divBdr>
    </w:div>
    <w:div w:id="1764032838">
      <w:bodyDiv w:val="1"/>
      <w:marLeft w:val="0"/>
      <w:marRight w:val="0"/>
      <w:marTop w:val="0"/>
      <w:marBottom w:val="0"/>
      <w:divBdr>
        <w:top w:val="none" w:sz="0" w:space="0" w:color="auto"/>
        <w:left w:val="none" w:sz="0" w:space="0" w:color="auto"/>
        <w:bottom w:val="none" w:sz="0" w:space="0" w:color="auto"/>
        <w:right w:val="none" w:sz="0" w:space="0" w:color="auto"/>
      </w:divBdr>
    </w:div>
    <w:div w:id="1796290107">
      <w:bodyDiv w:val="1"/>
      <w:marLeft w:val="0"/>
      <w:marRight w:val="0"/>
      <w:marTop w:val="0"/>
      <w:marBottom w:val="0"/>
      <w:divBdr>
        <w:top w:val="none" w:sz="0" w:space="0" w:color="auto"/>
        <w:left w:val="none" w:sz="0" w:space="0" w:color="auto"/>
        <w:bottom w:val="none" w:sz="0" w:space="0" w:color="auto"/>
        <w:right w:val="none" w:sz="0" w:space="0" w:color="auto"/>
      </w:divBdr>
      <w:divsChild>
        <w:div w:id="2022925398">
          <w:marLeft w:val="0"/>
          <w:marRight w:val="0"/>
          <w:marTop w:val="0"/>
          <w:marBottom w:val="0"/>
          <w:divBdr>
            <w:top w:val="none" w:sz="0" w:space="0" w:color="auto"/>
            <w:left w:val="none" w:sz="0" w:space="0" w:color="auto"/>
            <w:bottom w:val="none" w:sz="0" w:space="0" w:color="auto"/>
            <w:right w:val="none" w:sz="0" w:space="0" w:color="auto"/>
          </w:divBdr>
          <w:divsChild>
            <w:div w:id="661928804">
              <w:marLeft w:val="0"/>
              <w:marRight w:val="0"/>
              <w:marTop w:val="0"/>
              <w:marBottom w:val="0"/>
              <w:divBdr>
                <w:top w:val="none" w:sz="0" w:space="0" w:color="auto"/>
                <w:left w:val="none" w:sz="0" w:space="0" w:color="auto"/>
                <w:bottom w:val="none" w:sz="0" w:space="0" w:color="auto"/>
                <w:right w:val="none" w:sz="0" w:space="0" w:color="auto"/>
              </w:divBdr>
              <w:divsChild>
                <w:div w:id="155264384">
                  <w:marLeft w:val="0"/>
                  <w:marRight w:val="0"/>
                  <w:marTop w:val="0"/>
                  <w:marBottom w:val="0"/>
                  <w:divBdr>
                    <w:top w:val="none" w:sz="0" w:space="0" w:color="auto"/>
                    <w:left w:val="none" w:sz="0" w:space="0" w:color="auto"/>
                    <w:bottom w:val="none" w:sz="0" w:space="0" w:color="auto"/>
                    <w:right w:val="none" w:sz="0" w:space="0" w:color="auto"/>
                  </w:divBdr>
                  <w:divsChild>
                    <w:div w:id="654649891">
                      <w:marLeft w:val="0"/>
                      <w:marRight w:val="0"/>
                      <w:marTop w:val="0"/>
                      <w:marBottom w:val="0"/>
                      <w:divBdr>
                        <w:top w:val="none" w:sz="0" w:space="0" w:color="auto"/>
                        <w:left w:val="none" w:sz="0" w:space="0" w:color="auto"/>
                        <w:bottom w:val="none" w:sz="0" w:space="0" w:color="auto"/>
                        <w:right w:val="none" w:sz="0" w:space="0" w:color="auto"/>
                      </w:divBdr>
                      <w:divsChild>
                        <w:div w:id="1122379099">
                          <w:marLeft w:val="0"/>
                          <w:marRight w:val="0"/>
                          <w:marTop w:val="0"/>
                          <w:marBottom w:val="0"/>
                          <w:divBdr>
                            <w:top w:val="none" w:sz="0" w:space="0" w:color="auto"/>
                            <w:left w:val="none" w:sz="0" w:space="0" w:color="auto"/>
                            <w:bottom w:val="none" w:sz="0" w:space="0" w:color="auto"/>
                            <w:right w:val="none" w:sz="0" w:space="0" w:color="auto"/>
                          </w:divBdr>
                          <w:divsChild>
                            <w:div w:id="1258639994">
                              <w:marLeft w:val="0"/>
                              <w:marRight w:val="0"/>
                              <w:marTop w:val="0"/>
                              <w:marBottom w:val="0"/>
                              <w:divBdr>
                                <w:top w:val="none" w:sz="0" w:space="0" w:color="auto"/>
                                <w:left w:val="none" w:sz="0" w:space="0" w:color="auto"/>
                                <w:bottom w:val="none" w:sz="0" w:space="0" w:color="auto"/>
                                <w:right w:val="none" w:sz="0" w:space="0" w:color="auto"/>
                              </w:divBdr>
                              <w:divsChild>
                                <w:div w:id="2045985432">
                                  <w:marLeft w:val="0"/>
                                  <w:marRight w:val="0"/>
                                  <w:marTop w:val="0"/>
                                  <w:marBottom w:val="0"/>
                                  <w:divBdr>
                                    <w:top w:val="none" w:sz="0" w:space="0" w:color="auto"/>
                                    <w:left w:val="none" w:sz="0" w:space="0" w:color="auto"/>
                                    <w:bottom w:val="none" w:sz="0" w:space="0" w:color="auto"/>
                                    <w:right w:val="none" w:sz="0" w:space="0" w:color="auto"/>
                                  </w:divBdr>
                                  <w:divsChild>
                                    <w:div w:id="18156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693684">
      <w:bodyDiv w:val="1"/>
      <w:marLeft w:val="0"/>
      <w:marRight w:val="0"/>
      <w:marTop w:val="0"/>
      <w:marBottom w:val="0"/>
      <w:divBdr>
        <w:top w:val="none" w:sz="0" w:space="0" w:color="auto"/>
        <w:left w:val="none" w:sz="0" w:space="0" w:color="auto"/>
        <w:bottom w:val="none" w:sz="0" w:space="0" w:color="auto"/>
        <w:right w:val="none" w:sz="0" w:space="0" w:color="auto"/>
      </w:divBdr>
    </w:div>
    <w:div w:id="1865053139">
      <w:bodyDiv w:val="1"/>
      <w:marLeft w:val="0"/>
      <w:marRight w:val="0"/>
      <w:marTop w:val="0"/>
      <w:marBottom w:val="0"/>
      <w:divBdr>
        <w:top w:val="none" w:sz="0" w:space="0" w:color="auto"/>
        <w:left w:val="none" w:sz="0" w:space="0" w:color="auto"/>
        <w:bottom w:val="none" w:sz="0" w:space="0" w:color="auto"/>
        <w:right w:val="none" w:sz="0" w:space="0" w:color="auto"/>
      </w:divBdr>
      <w:divsChild>
        <w:div w:id="1328290640">
          <w:marLeft w:val="0"/>
          <w:marRight w:val="0"/>
          <w:marTop w:val="0"/>
          <w:marBottom w:val="0"/>
          <w:divBdr>
            <w:top w:val="none" w:sz="0" w:space="0" w:color="auto"/>
            <w:left w:val="none" w:sz="0" w:space="0" w:color="auto"/>
            <w:bottom w:val="none" w:sz="0" w:space="0" w:color="auto"/>
            <w:right w:val="none" w:sz="0" w:space="0" w:color="auto"/>
          </w:divBdr>
          <w:divsChild>
            <w:div w:id="1685933857">
              <w:marLeft w:val="0"/>
              <w:marRight w:val="0"/>
              <w:marTop w:val="0"/>
              <w:marBottom w:val="0"/>
              <w:divBdr>
                <w:top w:val="none" w:sz="0" w:space="0" w:color="auto"/>
                <w:left w:val="none" w:sz="0" w:space="0" w:color="auto"/>
                <w:bottom w:val="none" w:sz="0" w:space="0" w:color="auto"/>
                <w:right w:val="none" w:sz="0" w:space="0" w:color="auto"/>
              </w:divBdr>
              <w:divsChild>
                <w:div w:id="253249720">
                  <w:marLeft w:val="0"/>
                  <w:marRight w:val="0"/>
                  <w:marTop w:val="0"/>
                  <w:marBottom w:val="0"/>
                  <w:divBdr>
                    <w:top w:val="none" w:sz="0" w:space="0" w:color="auto"/>
                    <w:left w:val="none" w:sz="0" w:space="0" w:color="auto"/>
                    <w:bottom w:val="none" w:sz="0" w:space="0" w:color="auto"/>
                    <w:right w:val="none" w:sz="0" w:space="0" w:color="auto"/>
                  </w:divBdr>
                  <w:divsChild>
                    <w:div w:id="1949896141">
                      <w:marLeft w:val="0"/>
                      <w:marRight w:val="0"/>
                      <w:marTop w:val="0"/>
                      <w:marBottom w:val="0"/>
                      <w:divBdr>
                        <w:top w:val="none" w:sz="0" w:space="0" w:color="auto"/>
                        <w:left w:val="none" w:sz="0" w:space="0" w:color="auto"/>
                        <w:bottom w:val="none" w:sz="0" w:space="0" w:color="auto"/>
                        <w:right w:val="none" w:sz="0" w:space="0" w:color="auto"/>
                      </w:divBdr>
                      <w:divsChild>
                        <w:div w:id="1248419219">
                          <w:marLeft w:val="0"/>
                          <w:marRight w:val="0"/>
                          <w:marTop w:val="0"/>
                          <w:marBottom w:val="0"/>
                          <w:divBdr>
                            <w:top w:val="none" w:sz="0" w:space="0" w:color="auto"/>
                            <w:left w:val="none" w:sz="0" w:space="0" w:color="auto"/>
                            <w:bottom w:val="none" w:sz="0" w:space="0" w:color="auto"/>
                            <w:right w:val="none" w:sz="0" w:space="0" w:color="auto"/>
                          </w:divBdr>
                          <w:divsChild>
                            <w:div w:id="404032568">
                              <w:marLeft w:val="0"/>
                              <w:marRight w:val="0"/>
                              <w:marTop w:val="0"/>
                              <w:marBottom w:val="0"/>
                              <w:divBdr>
                                <w:top w:val="none" w:sz="0" w:space="0" w:color="auto"/>
                                <w:left w:val="none" w:sz="0" w:space="0" w:color="auto"/>
                                <w:bottom w:val="none" w:sz="0" w:space="0" w:color="auto"/>
                                <w:right w:val="none" w:sz="0" w:space="0" w:color="auto"/>
                              </w:divBdr>
                              <w:divsChild>
                                <w:div w:id="1656494970">
                                  <w:marLeft w:val="0"/>
                                  <w:marRight w:val="0"/>
                                  <w:marTop w:val="0"/>
                                  <w:marBottom w:val="0"/>
                                  <w:divBdr>
                                    <w:top w:val="none" w:sz="0" w:space="0" w:color="auto"/>
                                    <w:left w:val="none" w:sz="0" w:space="0" w:color="auto"/>
                                    <w:bottom w:val="none" w:sz="0" w:space="0" w:color="auto"/>
                                    <w:right w:val="none" w:sz="0" w:space="0" w:color="auto"/>
                                  </w:divBdr>
                                  <w:divsChild>
                                    <w:div w:id="11822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10759">
      <w:bodyDiv w:val="1"/>
      <w:marLeft w:val="0"/>
      <w:marRight w:val="0"/>
      <w:marTop w:val="0"/>
      <w:marBottom w:val="0"/>
      <w:divBdr>
        <w:top w:val="none" w:sz="0" w:space="0" w:color="auto"/>
        <w:left w:val="none" w:sz="0" w:space="0" w:color="auto"/>
        <w:bottom w:val="none" w:sz="0" w:space="0" w:color="auto"/>
        <w:right w:val="none" w:sz="0" w:space="0" w:color="auto"/>
      </w:divBdr>
      <w:divsChild>
        <w:div w:id="1925843331">
          <w:marLeft w:val="0"/>
          <w:marRight w:val="0"/>
          <w:marTop w:val="0"/>
          <w:marBottom w:val="0"/>
          <w:divBdr>
            <w:top w:val="none" w:sz="0" w:space="0" w:color="auto"/>
            <w:left w:val="none" w:sz="0" w:space="0" w:color="auto"/>
            <w:bottom w:val="none" w:sz="0" w:space="0" w:color="auto"/>
            <w:right w:val="none" w:sz="0" w:space="0" w:color="auto"/>
          </w:divBdr>
          <w:divsChild>
            <w:div w:id="469904176">
              <w:marLeft w:val="0"/>
              <w:marRight w:val="0"/>
              <w:marTop w:val="0"/>
              <w:marBottom w:val="0"/>
              <w:divBdr>
                <w:top w:val="none" w:sz="0" w:space="0" w:color="auto"/>
                <w:left w:val="none" w:sz="0" w:space="0" w:color="auto"/>
                <w:bottom w:val="none" w:sz="0" w:space="0" w:color="auto"/>
                <w:right w:val="none" w:sz="0" w:space="0" w:color="auto"/>
              </w:divBdr>
              <w:divsChild>
                <w:div w:id="460536690">
                  <w:marLeft w:val="0"/>
                  <w:marRight w:val="0"/>
                  <w:marTop w:val="0"/>
                  <w:marBottom w:val="0"/>
                  <w:divBdr>
                    <w:top w:val="none" w:sz="0" w:space="0" w:color="auto"/>
                    <w:left w:val="none" w:sz="0" w:space="0" w:color="auto"/>
                    <w:bottom w:val="none" w:sz="0" w:space="0" w:color="auto"/>
                    <w:right w:val="none" w:sz="0" w:space="0" w:color="auto"/>
                  </w:divBdr>
                  <w:divsChild>
                    <w:div w:id="1781298962">
                      <w:marLeft w:val="0"/>
                      <w:marRight w:val="0"/>
                      <w:marTop w:val="0"/>
                      <w:marBottom w:val="0"/>
                      <w:divBdr>
                        <w:top w:val="none" w:sz="0" w:space="0" w:color="auto"/>
                        <w:left w:val="none" w:sz="0" w:space="0" w:color="auto"/>
                        <w:bottom w:val="none" w:sz="0" w:space="0" w:color="auto"/>
                        <w:right w:val="none" w:sz="0" w:space="0" w:color="auto"/>
                      </w:divBdr>
                      <w:divsChild>
                        <w:div w:id="709502468">
                          <w:marLeft w:val="0"/>
                          <w:marRight w:val="0"/>
                          <w:marTop w:val="0"/>
                          <w:marBottom w:val="0"/>
                          <w:divBdr>
                            <w:top w:val="none" w:sz="0" w:space="0" w:color="auto"/>
                            <w:left w:val="none" w:sz="0" w:space="0" w:color="auto"/>
                            <w:bottom w:val="none" w:sz="0" w:space="0" w:color="auto"/>
                            <w:right w:val="none" w:sz="0" w:space="0" w:color="auto"/>
                          </w:divBdr>
                          <w:divsChild>
                            <w:div w:id="1779597165">
                              <w:marLeft w:val="0"/>
                              <w:marRight w:val="0"/>
                              <w:marTop w:val="0"/>
                              <w:marBottom w:val="0"/>
                              <w:divBdr>
                                <w:top w:val="none" w:sz="0" w:space="0" w:color="auto"/>
                                <w:left w:val="none" w:sz="0" w:space="0" w:color="auto"/>
                                <w:bottom w:val="none" w:sz="0" w:space="0" w:color="auto"/>
                                <w:right w:val="none" w:sz="0" w:space="0" w:color="auto"/>
                              </w:divBdr>
                              <w:divsChild>
                                <w:div w:id="458842271">
                                  <w:marLeft w:val="0"/>
                                  <w:marRight w:val="0"/>
                                  <w:marTop w:val="0"/>
                                  <w:marBottom w:val="0"/>
                                  <w:divBdr>
                                    <w:top w:val="none" w:sz="0" w:space="0" w:color="auto"/>
                                    <w:left w:val="none" w:sz="0" w:space="0" w:color="auto"/>
                                    <w:bottom w:val="none" w:sz="0" w:space="0" w:color="auto"/>
                                    <w:right w:val="none" w:sz="0" w:space="0" w:color="auto"/>
                                  </w:divBdr>
                                  <w:divsChild>
                                    <w:div w:id="16976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00948">
      <w:bodyDiv w:val="1"/>
      <w:marLeft w:val="0"/>
      <w:marRight w:val="0"/>
      <w:marTop w:val="0"/>
      <w:marBottom w:val="0"/>
      <w:divBdr>
        <w:top w:val="none" w:sz="0" w:space="0" w:color="auto"/>
        <w:left w:val="none" w:sz="0" w:space="0" w:color="auto"/>
        <w:bottom w:val="none" w:sz="0" w:space="0" w:color="auto"/>
        <w:right w:val="none" w:sz="0" w:space="0" w:color="auto"/>
      </w:divBdr>
    </w:div>
    <w:div w:id="2064718265">
      <w:bodyDiv w:val="1"/>
      <w:marLeft w:val="0"/>
      <w:marRight w:val="0"/>
      <w:marTop w:val="0"/>
      <w:marBottom w:val="0"/>
      <w:divBdr>
        <w:top w:val="none" w:sz="0" w:space="0" w:color="auto"/>
        <w:left w:val="none" w:sz="0" w:space="0" w:color="auto"/>
        <w:bottom w:val="none" w:sz="0" w:space="0" w:color="auto"/>
        <w:right w:val="none" w:sz="0" w:space="0" w:color="auto"/>
      </w:divBdr>
      <w:divsChild>
        <w:div w:id="2124303091">
          <w:marLeft w:val="0"/>
          <w:marRight w:val="0"/>
          <w:marTop w:val="0"/>
          <w:marBottom w:val="0"/>
          <w:divBdr>
            <w:top w:val="none" w:sz="0" w:space="0" w:color="auto"/>
            <w:left w:val="none" w:sz="0" w:space="0" w:color="auto"/>
            <w:bottom w:val="none" w:sz="0" w:space="0" w:color="auto"/>
            <w:right w:val="none" w:sz="0" w:space="0" w:color="auto"/>
          </w:divBdr>
          <w:divsChild>
            <w:div w:id="844630914">
              <w:marLeft w:val="0"/>
              <w:marRight w:val="0"/>
              <w:marTop w:val="0"/>
              <w:marBottom w:val="0"/>
              <w:divBdr>
                <w:top w:val="none" w:sz="0" w:space="0" w:color="auto"/>
                <w:left w:val="none" w:sz="0" w:space="0" w:color="auto"/>
                <w:bottom w:val="none" w:sz="0" w:space="0" w:color="auto"/>
                <w:right w:val="none" w:sz="0" w:space="0" w:color="auto"/>
              </w:divBdr>
              <w:divsChild>
                <w:div w:id="91123277">
                  <w:marLeft w:val="0"/>
                  <w:marRight w:val="0"/>
                  <w:marTop w:val="0"/>
                  <w:marBottom w:val="0"/>
                  <w:divBdr>
                    <w:top w:val="none" w:sz="0" w:space="0" w:color="auto"/>
                    <w:left w:val="none" w:sz="0" w:space="0" w:color="auto"/>
                    <w:bottom w:val="none" w:sz="0" w:space="0" w:color="auto"/>
                    <w:right w:val="none" w:sz="0" w:space="0" w:color="auto"/>
                  </w:divBdr>
                  <w:divsChild>
                    <w:div w:id="882639849">
                      <w:marLeft w:val="0"/>
                      <w:marRight w:val="0"/>
                      <w:marTop w:val="0"/>
                      <w:marBottom w:val="0"/>
                      <w:divBdr>
                        <w:top w:val="none" w:sz="0" w:space="0" w:color="auto"/>
                        <w:left w:val="none" w:sz="0" w:space="0" w:color="auto"/>
                        <w:bottom w:val="none" w:sz="0" w:space="0" w:color="auto"/>
                        <w:right w:val="none" w:sz="0" w:space="0" w:color="auto"/>
                      </w:divBdr>
                      <w:divsChild>
                        <w:div w:id="557321662">
                          <w:marLeft w:val="0"/>
                          <w:marRight w:val="0"/>
                          <w:marTop w:val="0"/>
                          <w:marBottom w:val="0"/>
                          <w:divBdr>
                            <w:top w:val="none" w:sz="0" w:space="0" w:color="auto"/>
                            <w:left w:val="none" w:sz="0" w:space="0" w:color="auto"/>
                            <w:bottom w:val="none" w:sz="0" w:space="0" w:color="auto"/>
                            <w:right w:val="none" w:sz="0" w:space="0" w:color="auto"/>
                          </w:divBdr>
                          <w:divsChild>
                            <w:div w:id="1945720519">
                              <w:marLeft w:val="0"/>
                              <w:marRight w:val="0"/>
                              <w:marTop w:val="0"/>
                              <w:marBottom w:val="0"/>
                              <w:divBdr>
                                <w:top w:val="none" w:sz="0" w:space="0" w:color="auto"/>
                                <w:left w:val="none" w:sz="0" w:space="0" w:color="auto"/>
                                <w:bottom w:val="none" w:sz="0" w:space="0" w:color="auto"/>
                                <w:right w:val="none" w:sz="0" w:space="0" w:color="auto"/>
                              </w:divBdr>
                              <w:divsChild>
                                <w:div w:id="1018628673">
                                  <w:marLeft w:val="0"/>
                                  <w:marRight w:val="0"/>
                                  <w:marTop w:val="0"/>
                                  <w:marBottom w:val="0"/>
                                  <w:divBdr>
                                    <w:top w:val="none" w:sz="0" w:space="0" w:color="auto"/>
                                    <w:left w:val="none" w:sz="0" w:space="0" w:color="auto"/>
                                    <w:bottom w:val="none" w:sz="0" w:space="0" w:color="auto"/>
                                    <w:right w:val="none" w:sz="0" w:space="0" w:color="auto"/>
                                  </w:divBdr>
                                  <w:divsChild>
                                    <w:div w:id="6027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94660">
      <w:bodyDiv w:val="1"/>
      <w:marLeft w:val="0"/>
      <w:marRight w:val="0"/>
      <w:marTop w:val="0"/>
      <w:marBottom w:val="0"/>
      <w:divBdr>
        <w:top w:val="none" w:sz="0" w:space="0" w:color="auto"/>
        <w:left w:val="none" w:sz="0" w:space="0" w:color="auto"/>
        <w:bottom w:val="none" w:sz="0" w:space="0" w:color="auto"/>
        <w:right w:val="none" w:sz="0" w:space="0" w:color="auto"/>
      </w:divBdr>
    </w:div>
    <w:div w:id="2089764986">
      <w:bodyDiv w:val="1"/>
      <w:marLeft w:val="0"/>
      <w:marRight w:val="0"/>
      <w:marTop w:val="0"/>
      <w:marBottom w:val="0"/>
      <w:divBdr>
        <w:top w:val="none" w:sz="0" w:space="0" w:color="auto"/>
        <w:left w:val="none" w:sz="0" w:space="0" w:color="auto"/>
        <w:bottom w:val="none" w:sz="0" w:space="0" w:color="auto"/>
        <w:right w:val="none" w:sz="0" w:space="0" w:color="auto"/>
      </w:divBdr>
    </w:div>
    <w:div w:id="2109764142">
      <w:bodyDiv w:val="1"/>
      <w:marLeft w:val="0"/>
      <w:marRight w:val="0"/>
      <w:marTop w:val="0"/>
      <w:marBottom w:val="0"/>
      <w:divBdr>
        <w:top w:val="none" w:sz="0" w:space="0" w:color="auto"/>
        <w:left w:val="none" w:sz="0" w:space="0" w:color="auto"/>
        <w:bottom w:val="none" w:sz="0" w:space="0" w:color="auto"/>
        <w:right w:val="none" w:sz="0" w:space="0" w:color="auto"/>
      </w:divBdr>
      <w:divsChild>
        <w:div w:id="867790469">
          <w:marLeft w:val="0"/>
          <w:marRight w:val="0"/>
          <w:marTop w:val="0"/>
          <w:marBottom w:val="0"/>
          <w:divBdr>
            <w:top w:val="none" w:sz="0" w:space="0" w:color="auto"/>
            <w:left w:val="none" w:sz="0" w:space="0" w:color="auto"/>
            <w:bottom w:val="none" w:sz="0" w:space="0" w:color="auto"/>
            <w:right w:val="none" w:sz="0" w:space="0" w:color="auto"/>
          </w:divBdr>
          <w:divsChild>
            <w:div w:id="1244223325">
              <w:marLeft w:val="0"/>
              <w:marRight w:val="0"/>
              <w:marTop w:val="0"/>
              <w:marBottom w:val="0"/>
              <w:divBdr>
                <w:top w:val="none" w:sz="0" w:space="0" w:color="auto"/>
                <w:left w:val="none" w:sz="0" w:space="0" w:color="auto"/>
                <w:bottom w:val="none" w:sz="0" w:space="0" w:color="auto"/>
                <w:right w:val="none" w:sz="0" w:space="0" w:color="auto"/>
              </w:divBdr>
              <w:divsChild>
                <w:div w:id="453447519">
                  <w:marLeft w:val="0"/>
                  <w:marRight w:val="0"/>
                  <w:marTop w:val="0"/>
                  <w:marBottom w:val="0"/>
                  <w:divBdr>
                    <w:top w:val="none" w:sz="0" w:space="0" w:color="auto"/>
                    <w:left w:val="none" w:sz="0" w:space="0" w:color="auto"/>
                    <w:bottom w:val="none" w:sz="0" w:space="0" w:color="auto"/>
                    <w:right w:val="none" w:sz="0" w:space="0" w:color="auto"/>
                  </w:divBdr>
                  <w:divsChild>
                    <w:div w:id="358895746">
                      <w:marLeft w:val="0"/>
                      <w:marRight w:val="0"/>
                      <w:marTop w:val="0"/>
                      <w:marBottom w:val="0"/>
                      <w:divBdr>
                        <w:top w:val="none" w:sz="0" w:space="0" w:color="auto"/>
                        <w:left w:val="none" w:sz="0" w:space="0" w:color="auto"/>
                        <w:bottom w:val="none" w:sz="0" w:space="0" w:color="auto"/>
                        <w:right w:val="none" w:sz="0" w:space="0" w:color="auto"/>
                      </w:divBdr>
                      <w:divsChild>
                        <w:div w:id="899363227">
                          <w:marLeft w:val="0"/>
                          <w:marRight w:val="0"/>
                          <w:marTop w:val="0"/>
                          <w:marBottom w:val="0"/>
                          <w:divBdr>
                            <w:top w:val="none" w:sz="0" w:space="0" w:color="auto"/>
                            <w:left w:val="none" w:sz="0" w:space="0" w:color="auto"/>
                            <w:bottom w:val="none" w:sz="0" w:space="0" w:color="auto"/>
                            <w:right w:val="none" w:sz="0" w:space="0" w:color="auto"/>
                          </w:divBdr>
                          <w:divsChild>
                            <w:div w:id="359285526">
                              <w:marLeft w:val="0"/>
                              <w:marRight w:val="0"/>
                              <w:marTop w:val="0"/>
                              <w:marBottom w:val="0"/>
                              <w:divBdr>
                                <w:top w:val="none" w:sz="0" w:space="0" w:color="auto"/>
                                <w:left w:val="none" w:sz="0" w:space="0" w:color="auto"/>
                                <w:bottom w:val="none" w:sz="0" w:space="0" w:color="auto"/>
                                <w:right w:val="none" w:sz="0" w:space="0" w:color="auto"/>
                              </w:divBdr>
                              <w:divsChild>
                                <w:div w:id="1270549138">
                                  <w:marLeft w:val="0"/>
                                  <w:marRight w:val="0"/>
                                  <w:marTop w:val="0"/>
                                  <w:marBottom w:val="0"/>
                                  <w:divBdr>
                                    <w:top w:val="none" w:sz="0" w:space="0" w:color="auto"/>
                                    <w:left w:val="none" w:sz="0" w:space="0" w:color="auto"/>
                                    <w:bottom w:val="none" w:sz="0" w:space="0" w:color="auto"/>
                                    <w:right w:val="none" w:sz="0" w:space="0" w:color="auto"/>
                                  </w:divBdr>
                                  <w:divsChild>
                                    <w:div w:id="10967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nht.vereende.nl/kenniscentrum/voorbereiding-op-iets-waarvan-we-hopen-dat-het-nooit-gebeur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6145</ap:Words>
  <ap:Characters>33801</ap:Characters>
  <ap:DocSecurity>0</ap:DocSecurity>
  <ap:Lines>281</ap:Lines>
  <ap:Paragraphs>79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 document - Evaluatie NHT</vt:lpstr>
      <vt:lpstr>Blanco document - Evaluatie NHT</vt:lpstr>
    </vt:vector>
  </ap:TitlesOfParts>
  <ap:LinksUpToDate>false</ap:LinksUpToDate>
  <ap:CharactersWithSpaces>39867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2025-08-19T10:44:00.0000000Z</dcterms:created>
  <dcterms:modified xsi:type="dcterms:W3CDTF">2025-08-19T10:44:00.0000000Z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Evaluatie NHT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2025-0000147377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Evaluatie NHT</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2025-02-06T14:17:46Z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02e6e916-c2a6-4e19-8bd8-cc9357f5e734</vt:lpwstr>
  </property>
  <property fmtid="{D5CDD505-2E9C-101B-9397-08002B2CF9AE}" pid="37" name="MSIP_Label_6800fede-0e59-47ad-af95-4e63bbdb932d_ContentBits">
    <vt:lpwstr>0</vt:lpwstr>
  </property>
</Properties>
</file>