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2025Z15278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21 augustus 2025)</w:t>
        <w:br/>
      </w:r>
    </w:p>
    <w:p>
      <w:r>
        <w:t xml:space="preserve">
          Vragen van het lid Vermeer (BBB) aan de minister van Financiën over het artikel 'De transformatie van Volksbank naar ASN Bank is niet goedkoop'.
          <w:br/>
        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Het artikel beschrijft hoe de Volksbank een kostbare transitie doormaakt die gericht is op verkoop; is volgens u de huidige reorganisatie gericht op verkoop? [1]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Hoeveel middelen worden in totaal uitgegeven aan de reorganisatie?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Waarom worden deze middelen uitgegeven aan een reorganisatie die door de Kamer als ongewenst wordt gezien?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Is dat wat u betreft een verantwoordelijke omgang met belastinggeld?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Kunt u toelichten hoe wordt geborgd dat medewerkers, klanten en stakeholders tijdig en volledig worden geïnformeerd over de voortgang en impact van de reorganisatie en eventuele verkoopplannen?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CEO Roland Boekhout stelt dat verkoop van de Volksbank het uitgangspunt is, dit onderstreept hij met de uitspraak “[w]e willen een zo groot mogelijke opbrengst realiseren voor de Nederlandse belastingbetaler, als compensatie voor al die jaren dat de staat de bank heeft ondersteund”; deelt u deze visie?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Zo ja, hoe weegt u het signaal van de Kamer die in juni heeft aangegeven de Volksbank niet te willen verkopen?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Bent u zich ervan bewust dat de motie, die oproept het privatiseringstraject te stoppen, ook betrekking heeft op het reorganisatieproces en vraagt deze te stoppen?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Deelt u de mening dat het openhouden van beleidsopties door het voortzetten van de reorgansiatie niet past binnen de wens van de Kamer?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Welke invloed zou de Tweede Kamer normaal gesproken moeten hebben op het deelnemingenbeleid van de overheid?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Vindt u de wens van de Kamer als hoogste staatsrechtelijke orgaan doorslaggevend en bent u alsnog bereid de wens van de Kamer uit te voeren?</w:t>
      </w:r>
      <w:r>
        <w:br/>
      </w:r>
      <w:r>
        <w:t xml:space="preserve"> </w:t>
      </w:r>
      <w:r>
        <w:br/>
      </w:r>
    </w:p>
    <w:p>
      <w:pPr>
        <w:pStyle w:val="ListParagraph"/>
        <w:numPr>
          <w:ilvl w:val="0"/>
          <w:numId w:val="100484910"/>
        </w:numPr>
        <w:ind w:left="360"/>
      </w:pPr>
      <w:r>
        <w:t xml:space="preserve">Zo nee, waarom niet?</w:t>
      </w:r>
      <w:r>
        <w:br/>
      </w:r>
    </w:p>
    <w:p>
      <w:r>
        <w:t xml:space="preserve"> </w:t>
      </w:r>
      <w:r>
        <w:br/>
      </w:r>
    </w:p>
    <w:p>
      <w:r>
        <w:t xml:space="preserve">[1] FD.nl, 8 augustus 2025, fd.nl/bedrijfsleven/1565109/winstdaling-asn-bank-door-lagere-rentebaten-en-kosten-reorganisatie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849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84910">
    <w:abstractNumId w:val="10048491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