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2025Z15338</w:t>
        <w:br/>
      </w:r>
      <w:proofErr w:type="spellEnd"/>
    </w:p>
    <w:p>
      <w:pPr>
        <w:pStyle w:val="Normal"/>
        <w:rPr>
          <w:b w:val="1"/>
          <w:bCs w:val="1"/>
        </w:rPr>
      </w:pPr>
      <w:r w:rsidR="250AE766">
        <w:rPr>
          <w:b w:val="0"/>
          <w:bCs w:val="0"/>
        </w:rPr>
        <w:t>(ingezonden 22 augustus 2025)</w:t>
        <w:br/>
      </w:r>
    </w:p>
    <w:p>
      <w:r>
        <w:t xml:space="preserve">Vragen van het lid Vermeer (BBB) aan de minister van Buitenlandse Zaken over gezamenlijke verklaring humanitaire situatie Gaza </w:t>
      </w:r>
      <w:r>
        <w:br/>
      </w:r>
    </w:p>
    <w:p>
      <w:r>
        <w:t xml:space="preserve">Vraag 1: Kunt u uitleggen waarom het kabinet tegen deze nieuwe registratieplicht is, zeker gezien het feit dat NGO’s soms banden hebben met terreurorganisaties? 1)</w:t>
      </w:r>
      <w:r>
        <w:br/>
      </w:r>
    </w:p>
    <w:p>
      <w:r>
        <w:t xml:space="preserve">Vraag 2: Kunt u uitleggen waarom het controleren van terreurbanden van individuele medewerkers van dit soort NGO’s niet logisch is, gezien het feit dat er in het verleden onder hen wel degelijk medewerkers waren met dit soort banden?</w:t>
      </w:r>
      <w:r>
        <w:br/>
      </w:r>
    </w:p>
    <w:p>
      <w:r>
        <w:t xml:space="preserve">Vraag 3: Kunt u uitleggen waarom Nederland zich bemoeit met de interne aangelegenheden van Israël, met name als het gaat om haar eigen veiligheidsbeleid?</w:t>
      </w:r>
      <w:r>
        <w:br/>
      </w:r>
    </w:p>
    <w:p>
      <w:r>
        <w:t xml:space="preserve">Vraag 4: Kunt u aangeven waarom Nederland er niet voor gekozen heeft om namens de Europese Unie (EU) een verklaring af te geven, omdat er nu een rommelig beeld is ontstaan van landen die deze registratieplicht al dan niet volgen?</w:t>
      </w:r>
      <w:r>
        <w:br/>
      </w:r>
    </w:p>
    <w:p>
      <w:r>
        <w:t xml:space="preserve">Vraag 5: Kunt u aangeven waarom Nederland er niet voor gekozen heeft om met de hele EU gezamenlijk op te trekken, aangezien er dan een meer coherent, evenwichtig en sterk beleid ten aanzien van dit veiligheidsthema kan worden opgesteld?</w:t>
      </w:r>
      <w:r>
        <w:br/>
      </w:r>
    </w:p>
    <w:p>
      <w:r>
        <w:t xml:space="preserve">Vraag 6: Kunt u aangeven hoeveel en welke Nederlandse NGO’s hiermee te maken zullen krijgen en in welk opzicht dit hún werkzaamheden daadwerkelijk schaadt en beperkt ten opzichte van de huidige situatie?</w:t>
      </w:r>
      <w:r>
        <w:br/>
      </w:r>
    </w:p>
    <w:p>
      <w:r>
        <w:t xml:space="preserve">Vraag 7: Welke eisen stelt Nederland op het gebied van veiligheidsgaranties en controle op banden met terroristische organisaties bij het verlenen van subsidies of andere samenwerking aan/met NGO’s en haar individuele medewerkers?</w:t>
      </w:r>
      <w:r>
        <w:br/>
      </w:r>
    </w:p>
    <w:p>
      <w:r>
        <w:t xml:space="preserve">
          <w:br/>
          1) Ministry of Strategic Affairs and Public Diplomacy, february 2019, 'Terrorists in suits: the ties between NGO's promoting BDS and Terrorist Organizations (https://www.gov.il/BlobFolder/generalpage/terrorists_in_suits/en/De-Legitimization%20Brochure.pdf)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80">
    <w:abstractNumId w:val="100484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