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2025Z15448</w:t>
        <w:br/>
      </w:r>
      <w:proofErr w:type="spellEnd"/>
    </w:p>
    <w:p>
      <w:pPr>
        <w:pStyle w:val="Normal"/>
        <w:rPr>
          <w:b w:val="1"/>
          <w:bCs w:val="1"/>
        </w:rPr>
      </w:pPr>
      <w:r w:rsidR="250AE766">
        <w:rPr>
          <w:b w:val="0"/>
          <w:bCs w:val="0"/>
        </w:rPr>
        <w:t>(ingezonden 27 augustus 2025)</w:t>
        <w:br/>
      </w:r>
    </w:p>
    <w:p>
      <w:r>
        <w:t xml:space="preserve">Vragen van het lid Van Houwelingen (FVD) aan de minister van Binnenlandse Zaken en Koninkrijksrelaties over de AIVD</w:t>
      </w:r>
      <w:r>
        <w:br/>
      </w:r>
    </w:p>
    <w:p>
      <w:r>
        <w:t xml:space="preserve"> </w:t>
      </w:r>
      <w:r>
        <w:br/>
      </w:r>
    </w:p>
    <w:p>
      <w:pPr>
        <w:pStyle w:val="ListParagraph"/>
        <w:numPr>
          <w:ilvl w:val="0"/>
          <w:numId w:val="100485150"/>
        </w:numPr>
        <w:ind w:left="360"/>
      </w:pPr>
      <w:r>
        <w:t xml:space="preserve">Bent u ermee bekend dat op de website van de Algemene Inlichtingen- en Veiligheidsdienst (AIVD) de volgende bewering staat: “Wanneer personen of groepen bewust een narratief over een 'kwaadaardige elite' verspreiden, creëren ze daarmee een feitelijk onjuist wereldbeeld.”? [1]</w:t>
      </w:r>
      <w:r>
        <w:br/>
      </w:r>
    </w:p>
    <w:p>
      <w:pPr>
        <w:pStyle w:val="ListParagraph"/>
        <w:numPr>
          <w:ilvl w:val="0"/>
          <w:numId w:val="100485150"/>
        </w:numPr>
        <w:ind w:left="360"/>
      </w:pPr>
      <w:r>
        <w:t xml:space="preserve">Bent u bekend met de volgende uitspraak van de directeur-generaal van de AIVD, gedaan tijdens een rondetafelgesprek op 28 juni 2023 in de Tweede Kamer, in antwoord op de vraag sinds wanneer Nederland volgens de AIVD dan feitelijk een ‘goedaardige elite’ heeft: </w:t>
      </w:r>
      <w:r>
        <w:rPr>
          <w:i w:val="1"/>
          <w:iCs w:val="1"/>
        </w:rPr>
        <w:t xml:space="preserve">“</w:t>
      </w:r>
      <w:r>
        <w:rPr/>
        <w:t xml:space="preserve">Die vraag laat ik graag aan de historici over. Want wij doen geen onderzoek naar het verleden, wanneer dat moment heeft plaatsgevonden. [….]. Ik kan niet de vraag beantwoorden wanneer de elites goed zijn geworden.”</w:t>
      </w:r>
      <w:r>
        <w:br/>
      </w:r>
    </w:p>
    <w:p>
      <w:pPr>
        <w:pStyle w:val="ListParagraph"/>
        <w:numPr>
          <w:ilvl w:val="0"/>
          <w:numId w:val="100485150"/>
        </w:numPr>
        <w:ind w:left="360"/>
      </w:pPr>
      <w:r>
        <w:t xml:space="preserve">Bent u ermee bekend dat de AIVD sinds kort een ‘historisch adviseur’ in dienst heeft? [2]</w:t>
      </w:r>
      <w:r>
        <w:br/>
      </w:r>
    </w:p>
    <w:p>
      <w:pPr>
        <w:pStyle w:val="ListParagraph"/>
        <w:numPr>
          <w:ilvl w:val="0"/>
          <w:numId w:val="100485150"/>
        </w:numPr>
        <w:ind w:left="360"/>
      </w:pPr>
      <w:r>
        <w:t xml:space="preserve">Bent u bereid de directeur-generaal van de AIVD te vragen of hij misschien zou willen overwegen deze 'historisch adviseur' van de AIVD (of eventueel andere historici) te verzoeken of hij wellicht kan onderzoeken naar sinds wanneer precies de elite die Nederland bestuurt 'feitelijk goedaardig' is geworden, zoals de AIVD beweert?</w:t>
      </w:r>
      <w:r>
        <w:br/>
      </w:r>
    </w:p>
    <w:p>
      <w:pPr>
        <w:pStyle w:val="ListParagraph"/>
        <w:numPr>
          <w:ilvl w:val="0"/>
          <w:numId w:val="100485150"/>
        </w:numPr>
        <w:ind w:left="360"/>
      </w:pPr>
      <w:r>
        <w:t xml:space="preserve">Zo nee, waarom niet? Is het immers, voor een goed begrip van het ‘anti-institutioneel extremisme’, niet essentieel te weten sinds wanneer de elite in Nederland precies ‘goedaardig’ en kritiek op een ‘kwaadaardige elite’ dus ‘feitelijk onjuist’ is geworden?</w:t>
      </w:r>
      <w:r>
        <w:br/>
      </w:r>
    </w:p>
    <w:p>
      <w:pPr>
        <w:pStyle w:val="ListParagraph"/>
        <w:numPr>
          <w:ilvl w:val="0"/>
          <w:numId w:val="100485150"/>
        </w:numPr>
        <w:ind w:left="360"/>
      </w:pPr>
      <w:r>
        <w:t xml:space="preserve">Kunnen we er trouwens op vertrouwen dat de AIVD er melding van zal maken als de, volgens de AIVD, huidige goedaardige elite (onverhoopt weer) kwaadaardig wordt?</w:t>
      </w:r>
      <w:r>
        <w:br/>
      </w:r>
    </w:p>
    <w:p>
      <w:pPr>
        <w:pStyle w:val="ListParagraph"/>
        <w:numPr>
          <w:ilvl w:val="0"/>
          <w:numId w:val="100485150"/>
        </w:numPr>
        <w:ind w:left="360"/>
      </w:pPr>
      <w:r>
        <w:t xml:space="preserve">Zo ja, hoe constateert de AIVD, die immers naar eigen zeggen niet kan aangeven wanneer de elite feitelijk goedaardig is geworden, dat de elite (weer) kwaadaardig is geworden?</w:t>
      </w:r>
      <w:r>
        <w:br/>
      </w:r>
    </w:p>
    <w:p>
      <w:pPr>
        <w:pStyle w:val="ListParagraph"/>
        <w:numPr>
          <w:ilvl w:val="0"/>
          <w:numId w:val="100485150"/>
        </w:numPr>
        <w:ind w:left="360"/>
      </w:pPr>
      <w:r>
        <w:t xml:space="preserve">Zo nee, hoe kunnen we er dan op vertrouwen dat burgers die van mening zijn dat er een kwaadaardige elite is, door de AIVD niet onterecht worden gekwalificeerd als ‘anti-institutioneel extremisten’ voor een opvatting die in dat geval wellicht dus ‘feitelijk juist’ kan zijn?</w:t>
      </w:r>
      <w:r>
        <w:br/>
      </w:r>
    </w:p>
    <w:p>
      <w:pPr>
        <w:pStyle w:val="ListParagraph"/>
        <w:numPr>
          <w:ilvl w:val="0"/>
          <w:numId w:val="100485150"/>
        </w:numPr>
        <w:ind w:left="360"/>
      </w:pPr>
      <w:r>
        <w:t xml:space="preserve">Kunt u bovenstaande vragen afzonderlijk beantwoorden?</w:t>
      </w:r>
      <w:r>
        <w:br/>
      </w:r>
    </w:p>
    <w:p>
      <w:r>
        <w:t xml:space="preserve"> </w:t>
      </w:r>
      <w:r>
        <w:br/>
      </w:r>
    </w:p>
    <w:p>
      <w:r>
        <w:t xml:space="preserve"> </w:t>
      </w:r>
      <w:r>
        <w:br/>
      </w:r>
    </w:p>
    <w:p>
      <w:r>
        <w:t xml:space="preserve">[1] www.aivd.nl/onderwerpen/extremisme/anti-institutioneel-extremisme.</w:t>
      </w:r>
      <w:r>
        <w:br/>
      </w:r>
    </w:p>
    <w:p>
      <w:r>
        <w:t xml:space="preserve">[2] NRC, 22 juli 2025, 'AIVD-chef: ‘Historisch adviseur’ kan zowel de geheime dienst als de onderzoeksjournalistiek helpen' (www.nrc.nl/nieuws/2025/07/22/aivd-chef-historisch-adviseur-kan-zowel-de-geheime-dienst-als-de-onderzoeksjournalistiek-helpen-a4900946).</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51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5150">
    <w:abstractNumId w:val="1004851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