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2025Z15452</w:t>
        <w:br/>
      </w:r>
      <w:proofErr w:type="spellEnd"/>
    </w:p>
    <w:p>
      <w:pPr>
        <w:pStyle w:val="Normal"/>
        <w:rPr>
          <w:b w:val="1"/>
          <w:bCs w:val="1"/>
        </w:rPr>
      </w:pPr>
      <w:r w:rsidR="250AE766">
        <w:rPr>
          <w:b w:val="0"/>
          <w:bCs w:val="0"/>
        </w:rPr>
        <w:t>(ingezonden 27 augustus 2025)</w:t>
        <w:br/>
      </w:r>
    </w:p>
    <w:p>
      <w:r>
        <w:t xml:space="preserve">Vragen van het lid Van Houwelingen (FVD) aan de minister van Justitie en Veiligheid over Palantir.</w:t>
      </w:r>
      <w:r>
        <w:br/>
      </w:r>
    </w:p>
    <w:p>
      <w:r>
        <w:t xml:space="preserve"> </w:t>
      </w:r>
      <w:r>
        <w:br/>
      </w:r>
    </w:p>
    <w:p>
      <w:pPr>
        <w:pStyle w:val="ListParagraph"/>
        <w:numPr>
          <w:ilvl w:val="0"/>
          <w:numId w:val="100485190"/>
        </w:numPr>
        <w:ind w:left="360"/>
      </w:pPr>
      <w:r>
        <w:t xml:space="preserve">Kunt u, naar aanleiding van uw beantwoording van eerdere schriftelijke vragen (1), wellicht nog nader toelichten wat bedoeld wordt met “actief gebruik” in de zin “</w:t>
      </w:r>
      <w:r>
        <w:rPr>
          <w:i w:val="1"/>
          <w:iCs w:val="1"/>
        </w:rPr>
        <w:t xml:space="preserve">Er is in het heden of verleden geen actief gebruik van Palantir (licenties) bij het organisatieonderdeel NCTV </w:t>
      </w:r>
      <w:r>
        <w:rPr/>
        <w:t xml:space="preserve">(2)</w:t>
      </w:r>
      <w:r>
        <w:rPr>
          <w:i w:val="1"/>
          <w:iCs w:val="1"/>
        </w:rPr>
        <w:t xml:space="preserve">.</w:t>
      </w:r>
      <w:r>
        <w:rPr/>
        <w:t xml:space="preserve">”? Wordt er wellicht wel op een andere wijze (‘passief gebruik?’) door de NCTV gebruikgemaakt van Palantir? Of kan uit dit antwoord geconcludeerd worden dat er op geen enkele wijze gebruik is gemaakt van Palantir door de NCTV? En los van het (‘actief’ of ‘passief’) gebruik, heeft de NCTV wel of geen (al dan niet via ‘samenwerkingsverbanden’) toegang tot Palantir?</w:t>
      </w:r>
      <w:r>
        <w:br/>
      </w:r>
    </w:p>
    <w:p>
      <w:pPr>
        <w:pStyle w:val="ListParagraph"/>
        <w:numPr>
          <w:ilvl w:val="0"/>
          <w:numId w:val="100485190"/>
        </w:numPr>
        <w:ind w:left="360"/>
      </w:pPr>
      <w:r>
        <w:t xml:space="preserve">U schrijft dat de politie, in speciale gevallen, de ‘informatieproducten’ afkomstig uit de Raffinaderij deelt met ‘ketenpartners’: wie zijn die ‘ketenpartners’?</w:t>
      </w:r>
      <w:r>
        <w:br/>
      </w:r>
    </w:p>
    <w:p>
      <w:pPr>
        <w:pStyle w:val="ListParagraph"/>
        <w:numPr>
          <w:ilvl w:val="0"/>
          <w:numId w:val="100485190"/>
        </w:numPr>
        <w:ind w:left="360"/>
      </w:pPr>
      <w:r>
        <w:t xml:space="preserve">Welke datasets worden met die ketenpartners gedeeld?</w:t>
      </w:r>
      <w:r>
        <w:br/>
      </w:r>
    </w:p>
    <w:p>
      <w:pPr>
        <w:pStyle w:val="ListParagraph"/>
        <w:numPr>
          <w:ilvl w:val="0"/>
          <w:numId w:val="100485190"/>
        </w:numPr>
        <w:ind w:left="360"/>
      </w:pPr>
      <w:r>
        <w:t xml:space="preserve">Welke algoritmen worden door die ketenpartners of binnen de ‘samenwerkingsverbanden’ hiervoor gebruikt en/of ontwikkeld?</w:t>
      </w:r>
      <w:r>
        <w:br/>
      </w:r>
    </w:p>
    <w:p>
      <w:pPr>
        <w:pStyle w:val="ListParagraph"/>
        <w:numPr>
          <w:ilvl w:val="0"/>
          <w:numId w:val="100485190"/>
        </w:numPr>
        <w:ind w:left="360"/>
      </w:pPr>
      <w:r>
        <w:t xml:space="preserve">Worden deze algoritmen wellicht ook gepubliceerd op https://algoritmes.overheid.nl/nl/algoritme?</w:t>
      </w:r>
      <w:r>
        <w:br/>
      </w:r>
    </w:p>
    <w:p>
      <w:r>
        <w:t xml:space="preserve"> </w:t>
      </w:r>
      <w:r>
        <w:br/>
      </w:r>
    </w:p>
    <w:p>
      <w:r>
        <w:t xml:space="preserve">
          (1) Aanhangsel Handelingen II, vergaderjaar 2024-2025, nr. 2877.
          <w:br/>
          (2) Nationaal Coördinator Terrorismebestrijding en Veiligheid.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