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138" w:rsidP="00B91138" w:rsidRDefault="00B91138" w14:paraId="6EB9CFD5" w14:textId="77777777"/>
    <w:p w:rsidR="00B91138" w:rsidP="00B91138" w:rsidRDefault="00B91138" w14:paraId="32805DB9" w14:textId="272D3D99">
      <w:r w:rsidRPr="00B91138">
        <w:t xml:space="preserve">In antwoord op uw brief van </w:t>
      </w:r>
      <w:r>
        <w:t>30 mei 2025</w:t>
      </w:r>
      <w:r w:rsidRPr="00B91138">
        <w:t xml:space="preserve"> deel ik u</w:t>
      </w:r>
      <w:r w:rsidR="00034AC6">
        <w:t xml:space="preserve"> </w:t>
      </w:r>
      <w:r w:rsidRPr="00B91138">
        <w:t xml:space="preserve">mee dat de schriftelijke vragen van het lid </w:t>
      </w:r>
      <w:r>
        <w:t>Sneller</w:t>
      </w:r>
      <w:r w:rsidRPr="00B91138">
        <w:t xml:space="preserve"> (</w:t>
      </w:r>
      <w:r>
        <w:t>D66</w:t>
      </w:r>
      <w:r w:rsidRPr="00B91138">
        <w:t xml:space="preserve">) over het bericht ‘Haagse rechters, topambtenaren, bestuurders en </w:t>
      </w:r>
      <w:proofErr w:type="spellStart"/>
      <w:r w:rsidRPr="00B91138">
        <w:t>ceo's</w:t>
      </w:r>
      <w:proofErr w:type="spellEnd"/>
      <w:r w:rsidRPr="00B91138">
        <w:t xml:space="preserve"> zitten in dezelfde club, zonder dat iemand het weet’</w:t>
      </w:r>
      <w:r>
        <w:t xml:space="preserve"> </w:t>
      </w:r>
      <w:r w:rsidRPr="00B91138">
        <w:t xml:space="preserve">worden beantwoord zoals aangegeven in de bijlage bij deze brief. </w:t>
      </w:r>
    </w:p>
    <w:p w:rsidR="00B91138" w:rsidP="00B91138" w:rsidRDefault="00B91138" w14:paraId="4D076A6B" w14:textId="77777777"/>
    <w:p w:rsidR="00B91138" w:rsidP="00B91138" w:rsidRDefault="00B91138" w14:paraId="4A0F82B1" w14:textId="77777777"/>
    <w:p w:rsidR="00D44ED9" w:rsidP="00B91138" w:rsidRDefault="00B91138" w14:paraId="0EFEE950" w14:textId="5FE5D1C7">
      <w:r>
        <w:t>D</w:t>
      </w:r>
      <w:r w:rsidRPr="00B91138">
        <w:t xml:space="preserve">e </w:t>
      </w:r>
      <w:r w:rsidR="002A7E22">
        <w:t>Minister van Justitie en Veiligheid</w:t>
      </w:r>
      <w:r w:rsidRPr="00B91138">
        <w:t>,</w:t>
      </w:r>
    </w:p>
    <w:p w:rsidR="00B91138" w:rsidP="00B91138" w:rsidRDefault="00B91138" w14:paraId="06C91F15" w14:textId="77777777"/>
    <w:p w:rsidR="00B91138" w:rsidP="00B91138" w:rsidRDefault="00B91138" w14:paraId="3981D8BE" w14:textId="77777777"/>
    <w:p w:rsidR="00B91138" w:rsidP="00B91138" w:rsidRDefault="00B91138" w14:paraId="44D8E833" w14:textId="77777777"/>
    <w:p w:rsidR="00B91138" w:rsidP="00B91138" w:rsidRDefault="00B91138" w14:paraId="4882F70A" w14:textId="77777777"/>
    <w:p w:rsidR="00B91138" w:rsidP="00B91138" w:rsidRDefault="002A7E22" w14:paraId="13566216" w14:textId="27E36CC9">
      <w:pPr>
        <w:spacing w:line="240" w:lineRule="auto"/>
      </w:pPr>
      <w:r w:rsidRPr="002A7E22">
        <w:t>D.M. van Wee</w:t>
      </w:r>
      <w:r>
        <w:t>l</w:t>
      </w:r>
      <w:r w:rsidR="00B91138">
        <w:br w:type="page"/>
      </w:r>
    </w:p>
    <w:p w:rsidR="003C58B4" w:rsidP="00CB3803" w:rsidRDefault="00CB3803" w14:paraId="1AC27AE5" w14:textId="77777777">
      <w:pPr>
        <w:pBdr>
          <w:bottom w:val="single" w:color="auto" w:sz="6" w:space="1"/>
        </w:pBdr>
        <w:rPr>
          <w:b/>
          <w:bCs/>
          <w:sz w:val="20"/>
          <w:szCs w:val="20"/>
        </w:rPr>
      </w:pPr>
      <w:r w:rsidRPr="00B91138">
        <w:rPr>
          <w:b/>
          <w:bCs/>
          <w:sz w:val="20"/>
          <w:szCs w:val="20"/>
        </w:rPr>
        <w:lastRenderedPageBreak/>
        <w:t xml:space="preserve">Vragen van het lid Sneller (D66) aan de staatssecretaris van Justitie en Veiligheid en de minister van Binnenlandse Zaken en Koninkrijksrelaties over het bericht ‘Haagse rechters, topambtenaren, bestuurders en </w:t>
      </w:r>
      <w:proofErr w:type="spellStart"/>
      <w:r w:rsidRPr="00B91138">
        <w:rPr>
          <w:b/>
          <w:bCs/>
          <w:sz w:val="20"/>
          <w:szCs w:val="20"/>
        </w:rPr>
        <w:t>ceo's</w:t>
      </w:r>
      <w:proofErr w:type="spellEnd"/>
      <w:r w:rsidRPr="00B91138">
        <w:rPr>
          <w:b/>
          <w:bCs/>
          <w:sz w:val="20"/>
          <w:szCs w:val="20"/>
        </w:rPr>
        <w:t xml:space="preserve"> zitten in dezelfde club, zonder dat iemand het weet’ </w:t>
      </w:r>
    </w:p>
    <w:p w:rsidR="00CB3803" w:rsidP="00CB3803" w:rsidRDefault="00CB3803" w14:paraId="268FE4D2" w14:textId="6AEA3CC4">
      <w:pPr>
        <w:pBdr>
          <w:bottom w:val="single" w:color="auto" w:sz="6" w:space="1"/>
        </w:pBdr>
        <w:rPr>
          <w:b/>
          <w:bCs/>
          <w:sz w:val="20"/>
          <w:szCs w:val="20"/>
        </w:rPr>
      </w:pPr>
      <w:r w:rsidRPr="00B91138">
        <w:rPr>
          <w:b/>
          <w:bCs/>
          <w:sz w:val="20"/>
          <w:szCs w:val="20"/>
        </w:rPr>
        <w:t>(ingezonden 30 mei 2025, 2025Z10995</w:t>
      </w:r>
      <w:r w:rsidR="003C58B4">
        <w:rPr>
          <w:b/>
          <w:bCs/>
          <w:sz w:val="20"/>
          <w:szCs w:val="20"/>
        </w:rPr>
        <w:t>)</w:t>
      </w:r>
    </w:p>
    <w:p w:rsidR="00CB3803" w:rsidP="00CB3803" w:rsidRDefault="00CB3803" w14:paraId="794A1C89" w14:textId="77777777">
      <w:pPr>
        <w:rPr>
          <w:sz w:val="20"/>
          <w:szCs w:val="20"/>
        </w:rPr>
      </w:pPr>
    </w:p>
    <w:p w:rsidR="000839AC" w:rsidP="00CB3803" w:rsidRDefault="000839AC" w14:paraId="1A5F1B50" w14:textId="77777777">
      <w:pPr>
        <w:rPr>
          <w:sz w:val="20"/>
          <w:szCs w:val="20"/>
        </w:rPr>
      </w:pPr>
    </w:p>
    <w:p w:rsidRPr="00B91138" w:rsidR="00CB3803" w:rsidP="00CB3803" w:rsidRDefault="00CB3803" w14:paraId="2B35A237" w14:textId="77777777">
      <w:pPr>
        <w:rPr>
          <w:b/>
          <w:bCs/>
          <w:sz w:val="20"/>
          <w:szCs w:val="20"/>
        </w:rPr>
      </w:pPr>
      <w:r w:rsidRPr="00B91138">
        <w:rPr>
          <w:b/>
          <w:bCs/>
          <w:sz w:val="20"/>
          <w:szCs w:val="20"/>
        </w:rPr>
        <w:t>Vraag 1</w:t>
      </w:r>
    </w:p>
    <w:p w:rsidRPr="00B91138" w:rsidR="00CB3803" w:rsidP="00CB3803" w:rsidRDefault="00CB3803" w14:paraId="439CE7EE" w14:textId="77777777">
      <w:pPr>
        <w:rPr>
          <w:b/>
          <w:bCs/>
          <w:sz w:val="20"/>
          <w:szCs w:val="20"/>
        </w:rPr>
      </w:pPr>
      <w:r w:rsidRPr="00B91138">
        <w:rPr>
          <w:b/>
          <w:bCs/>
          <w:sz w:val="20"/>
          <w:szCs w:val="20"/>
        </w:rPr>
        <w:t xml:space="preserve">Wat is uw reactie op het bericht ‘Haagse rechters, topambtenaren, bestuurders en </w:t>
      </w:r>
      <w:proofErr w:type="spellStart"/>
      <w:r w:rsidRPr="00B91138">
        <w:rPr>
          <w:b/>
          <w:bCs/>
          <w:sz w:val="20"/>
          <w:szCs w:val="20"/>
        </w:rPr>
        <w:t>ceo's</w:t>
      </w:r>
      <w:proofErr w:type="spellEnd"/>
      <w:r w:rsidRPr="00B91138">
        <w:rPr>
          <w:b/>
          <w:bCs/>
          <w:sz w:val="20"/>
          <w:szCs w:val="20"/>
        </w:rPr>
        <w:t xml:space="preserve"> zitten in dezelfde club, zonder dat iemand het weet’?</w:t>
      </w:r>
      <w:r w:rsidRPr="00B91138">
        <w:rPr>
          <w:rStyle w:val="Voetnootmarkering"/>
          <w:b/>
          <w:bCs/>
          <w:sz w:val="20"/>
          <w:szCs w:val="20"/>
        </w:rPr>
        <w:footnoteReference w:id="1"/>
      </w:r>
    </w:p>
    <w:p w:rsidRPr="00B91138" w:rsidR="00CB3803" w:rsidP="00CB3803" w:rsidRDefault="00CB3803" w14:paraId="757A6807" w14:textId="77777777">
      <w:pPr>
        <w:spacing w:line="252" w:lineRule="auto"/>
        <w:rPr>
          <w:b/>
          <w:bCs/>
          <w:sz w:val="20"/>
          <w:szCs w:val="20"/>
        </w:rPr>
      </w:pPr>
    </w:p>
    <w:p w:rsidRPr="00B91138" w:rsidR="00CB3803" w:rsidP="00CB3803" w:rsidRDefault="00CB3803" w14:paraId="73F5DB30" w14:textId="77777777">
      <w:pPr>
        <w:spacing w:line="252" w:lineRule="auto"/>
        <w:rPr>
          <w:b/>
          <w:bCs/>
          <w:sz w:val="20"/>
          <w:szCs w:val="20"/>
        </w:rPr>
      </w:pPr>
      <w:r w:rsidRPr="00B91138">
        <w:rPr>
          <w:b/>
          <w:bCs/>
          <w:sz w:val="20"/>
          <w:szCs w:val="20"/>
        </w:rPr>
        <w:t>Antwoord op vraag 1</w:t>
      </w:r>
    </w:p>
    <w:p w:rsidRPr="00B91138" w:rsidR="00CB3803" w:rsidP="00CB3803" w:rsidRDefault="00CB3803" w14:paraId="39E6AA03" w14:textId="77777777">
      <w:pPr>
        <w:spacing w:line="252" w:lineRule="auto"/>
        <w:rPr>
          <w:sz w:val="20"/>
          <w:szCs w:val="20"/>
        </w:rPr>
      </w:pPr>
      <w:r w:rsidRPr="00B91138">
        <w:rPr>
          <w:sz w:val="20"/>
          <w:szCs w:val="20"/>
        </w:rPr>
        <w:t xml:space="preserve">Ik heb kennisgenomen van het artikel. </w:t>
      </w:r>
    </w:p>
    <w:p w:rsidRPr="00B91138" w:rsidR="00CB3803" w:rsidP="00CB3803" w:rsidRDefault="00CB3803" w14:paraId="61150C61" w14:textId="77777777">
      <w:pPr>
        <w:spacing w:line="252" w:lineRule="auto"/>
        <w:rPr>
          <w:sz w:val="20"/>
          <w:szCs w:val="20"/>
        </w:rPr>
      </w:pPr>
    </w:p>
    <w:p w:rsidRPr="00B91138" w:rsidR="00CB3803" w:rsidP="00CB3803" w:rsidRDefault="00CB3803" w14:paraId="7F88D687" w14:textId="77777777">
      <w:pPr>
        <w:spacing w:line="252" w:lineRule="auto"/>
        <w:rPr>
          <w:b/>
          <w:bCs/>
          <w:sz w:val="20"/>
          <w:szCs w:val="20"/>
        </w:rPr>
      </w:pPr>
      <w:r w:rsidRPr="00B91138">
        <w:rPr>
          <w:b/>
          <w:bCs/>
          <w:sz w:val="20"/>
          <w:szCs w:val="20"/>
        </w:rPr>
        <w:t>Vraag 2</w:t>
      </w:r>
    </w:p>
    <w:p w:rsidRPr="00B91138" w:rsidR="00CB3803" w:rsidP="00CB3803" w:rsidRDefault="00CB3803" w14:paraId="3F9AEB75" w14:textId="77777777">
      <w:pPr>
        <w:spacing w:line="252" w:lineRule="auto"/>
        <w:rPr>
          <w:b/>
          <w:bCs/>
          <w:sz w:val="20"/>
          <w:szCs w:val="20"/>
        </w:rPr>
      </w:pPr>
      <w:r w:rsidRPr="00B91138">
        <w:rPr>
          <w:b/>
          <w:bCs/>
          <w:sz w:val="20"/>
          <w:szCs w:val="20"/>
        </w:rPr>
        <w:t>Bent u van mening dat lidmaatschap van genootschappen, zoals beschreven in dit artikel, behoort te worden geregistreerd als nevenfunctie? Zo nee, waarom niet?</w:t>
      </w:r>
    </w:p>
    <w:p w:rsidRPr="00B91138" w:rsidR="00CB3803" w:rsidP="00CB3803" w:rsidRDefault="00CB3803" w14:paraId="3547CF6E" w14:textId="77777777">
      <w:pPr>
        <w:spacing w:line="252" w:lineRule="auto"/>
        <w:rPr>
          <w:b/>
          <w:bCs/>
          <w:sz w:val="20"/>
          <w:szCs w:val="20"/>
        </w:rPr>
      </w:pPr>
    </w:p>
    <w:p w:rsidR="00CB3803" w:rsidP="00CB3803" w:rsidRDefault="00CB3803" w14:paraId="1EED8654" w14:textId="77777777">
      <w:pPr>
        <w:spacing w:line="252" w:lineRule="auto"/>
        <w:rPr>
          <w:sz w:val="20"/>
          <w:szCs w:val="20"/>
        </w:rPr>
      </w:pPr>
      <w:r w:rsidRPr="00B91138">
        <w:rPr>
          <w:b/>
          <w:bCs/>
          <w:sz w:val="20"/>
          <w:szCs w:val="20"/>
        </w:rPr>
        <w:t>Antwoord op vraag 2</w:t>
      </w:r>
    </w:p>
    <w:p w:rsidR="00B924DE" w:rsidP="00B924DE" w:rsidRDefault="00B924DE" w14:paraId="2306D07E" w14:textId="0ED6F939">
      <w:pPr>
        <w:spacing w:line="252" w:lineRule="auto"/>
        <w:rPr>
          <w:sz w:val="20"/>
          <w:szCs w:val="20"/>
        </w:rPr>
      </w:pPr>
      <w:r>
        <w:rPr>
          <w:sz w:val="20"/>
          <w:szCs w:val="20"/>
        </w:rPr>
        <w:t>Van oudsher kunnen rechterlijke ambtenaren desgewenst betrekkingen vervullen naast hun werk. Het vervullen van een geoorloofde betrekking kan een nuttige aanvulling op het ambt zijn en is daarom toegestaan.</w:t>
      </w:r>
    </w:p>
    <w:p w:rsidR="00B924DE" w:rsidP="00B924DE" w:rsidRDefault="00B924DE" w14:paraId="577926BF" w14:textId="77777777">
      <w:pPr>
        <w:spacing w:line="252" w:lineRule="auto"/>
        <w:rPr>
          <w:sz w:val="20"/>
          <w:szCs w:val="20"/>
        </w:rPr>
      </w:pPr>
      <w:r>
        <w:rPr>
          <w:sz w:val="20"/>
          <w:szCs w:val="20"/>
        </w:rPr>
        <w:t>Echter, n</w:t>
      </w:r>
      <w:r w:rsidRPr="00707546">
        <w:rPr>
          <w:sz w:val="20"/>
          <w:szCs w:val="20"/>
        </w:rPr>
        <w:t xml:space="preserve">iet alle betrekkingen zijn geoorloofd. In de eerste 3 leden van artikel 44 </w:t>
      </w:r>
      <w:r w:rsidRPr="004A2D9D">
        <w:rPr>
          <w:sz w:val="20"/>
          <w:szCs w:val="20"/>
        </w:rPr>
        <w:t>Wet rechtspositie rechterlijke ambtenaren (</w:t>
      </w:r>
      <w:proofErr w:type="spellStart"/>
      <w:r w:rsidRPr="004A2D9D">
        <w:rPr>
          <w:sz w:val="20"/>
          <w:szCs w:val="20"/>
        </w:rPr>
        <w:t>Wrra</w:t>
      </w:r>
      <w:proofErr w:type="spellEnd"/>
      <w:r w:rsidRPr="004A2D9D">
        <w:rPr>
          <w:sz w:val="20"/>
          <w:szCs w:val="20"/>
        </w:rPr>
        <w:t xml:space="preserve">) </w:t>
      </w:r>
      <w:r w:rsidRPr="00707546">
        <w:rPr>
          <w:sz w:val="20"/>
          <w:szCs w:val="20"/>
        </w:rPr>
        <w:t>word</w:t>
      </w:r>
      <w:r>
        <w:rPr>
          <w:sz w:val="20"/>
          <w:szCs w:val="20"/>
        </w:rPr>
        <w:t>t</w:t>
      </w:r>
      <w:r w:rsidRPr="00707546">
        <w:rPr>
          <w:sz w:val="20"/>
          <w:szCs w:val="20"/>
        </w:rPr>
        <w:t xml:space="preserve"> een aantal betrekkingen </w:t>
      </w:r>
      <w:r>
        <w:rPr>
          <w:sz w:val="20"/>
          <w:szCs w:val="20"/>
        </w:rPr>
        <w:t>opg</w:t>
      </w:r>
      <w:r w:rsidRPr="0056550F">
        <w:rPr>
          <w:sz w:val="20"/>
          <w:szCs w:val="20"/>
        </w:rPr>
        <w:t>esomd die de rechterlijk ambtenaar niet mag vervullen buiten zijn ambt</w:t>
      </w:r>
      <w:r w:rsidRPr="00707546">
        <w:rPr>
          <w:sz w:val="20"/>
          <w:szCs w:val="20"/>
        </w:rPr>
        <w:t>.</w:t>
      </w:r>
      <w:r>
        <w:rPr>
          <w:sz w:val="20"/>
          <w:szCs w:val="20"/>
        </w:rPr>
        <w:t xml:space="preserve"> </w:t>
      </w:r>
    </w:p>
    <w:p w:rsidR="00B924DE" w:rsidP="00B924DE" w:rsidRDefault="00B924DE" w14:paraId="5DD05755" w14:textId="77777777">
      <w:pPr>
        <w:spacing w:line="252" w:lineRule="auto"/>
        <w:rPr>
          <w:sz w:val="20"/>
          <w:szCs w:val="20"/>
        </w:rPr>
      </w:pPr>
    </w:p>
    <w:p w:rsidR="00216383" w:rsidP="00216383" w:rsidRDefault="009C1E5B" w14:paraId="63A8BA3A" w14:textId="29B0E86C">
      <w:pPr>
        <w:spacing w:line="252" w:lineRule="auto"/>
        <w:rPr>
          <w:sz w:val="20"/>
          <w:szCs w:val="20"/>
        </w:rPr>
      </w:pPr>
      <w:r>
        <w:rPr>
          <w:sz w:val="20"/>
          <w:szCs w:val="20"/>
        </w:rPr>
        <w:t>A</w:t>
      </w:r>
      <w:r w:rsidRPr="001F6F5F">
        <w:rPr>
          <w:sz w:val="20"/>
          <w:szCs w:val="20"/>
        </w:rPr>
        <w:t xml:space="preserve">rtikel </w:t>
      </w:r>
      <w:r>
        <w:rPr>
          <w:sz w:val="20"/>
          <w:szCs w:val="20"/>
        </w:rPr>
        <w:t xml:space="preserve">44a, eerste lid van de </w:t>
      </w:r>
      <w:proofErr w:type="spellStart"/>
      <w:r>
        <w:rPr>
          <w:sz w:val="20"/>
          <w:szCs w:val="20"/>
        </w:rPr>
        <w:t>Wrra</w:t>
      </w:r>
      <w:proofErr w:type="spellEnd"/>
      <w:r>
        <w:rPr>
          <w:sz w:val="20"/>
          <w:szCs w:val="20"/>
        </w:rPr>
        <w:t xml:space="preserve"> definieert het begrip</w:t>
      </w:r>
      <w:r w:rsidRPr="001F6F5F">
        <w:rPr>
          <w:sz w:val="20"/>
          <w:szCs w:val="20"/>
        </w:rPr>
        <w:t xml:space="preserve"> nevenbetrekkingen</w:t>
      </w:r>
      <w:r>
        <w:rPr>
          <w:sz w:val="20"/>
          <w:szCs w:val="20"/>
        </w:rPr>
        <w:t xml:space="preserve"> als </w:t>
      </w:r>
      <w:r w:rsidRPr="001F6F5F">
        <w:rPr>
          <w:sz w:val="20"/>
          <w:szCs w:val="20"/>
        </w:rPr>
        <w:t>de betrekkingen die rechterlijke ambtenaren buiten hun ambt vervullen.</w:t>
      </w:r>
      <w:r>
        <w:rPr>
          <w:sz w:val="20"/>
          <w:szCs w:val="20"/>
        </w:rPr>
        <w:t xml:space="preserve"> </w:t>
      </w:r>
      <w:r w:rsidRPr="00AC2ECD" w:rsidR="00B924DE">
        <w:rPr>
          <w:sz w:val="20"/>
          <w:szCs w:val="20"/>
        </w:rPr>
        <w:t xml:space="preserve">De </w:t>
      </w:r>
      <w:proofErr w:type="spellStart"/>
      <w:r w:rsidRPr="00AC2ECD" w:rsidR="00B924DE">
        <w:rPr>
          <w:sz w:val="20"/>
          <w:szCs w:val="20"/>
        </w:rPr>
        <w:t>Wrra</w:t>
      </w:r>
      <w:proofErr w:type="spellEnd"/>
      <w:r w:rsidRPr="00AC2ECD" w:rsidR="00B924DE">
        <w:rPr>
          <w:sz w:val="20"/>
          <w:szCs w:val="20"/>
        </w:rPr>
        <w:t xml:space="preserve"> geeft geen nadere definitie of limitatieve opsomming van het begrip betrekking. In de memorie van toelichting bij de </w:t>
      </w:r>
      <w:proofErr w:type="spellStart"/>
      <w:r w:rsidRPr="00AC2ECD" w:rsidR="00B924DE">
        <w:rPr>
          <w:sz w:val="20"/>
          <w:szCs w:val="20"/>
        </w:rPr>
        <w:t>Wrra</w:t>
      </w:r>
      <w:proofErr w:type="spellEnd"/>
      <w:r w:rsidRPr="00AC2ECD" w:rsidR="00B924DE">
        <w:rPr>
          <w:sz w:val="20"/>
          <w:szCs w:val="20"/>
        </w:rPr>
        <w:t xml:space="preserve"> wordt een aantal betrekkingen genoemd die in ieder geval moeten worden gemeld.</w:t>
      </w:r>
      <w:r w:rsidR="008A2699">
        <w:rPr>
          <w:rStyle w:val="Voetnootmarkering"/>
          <w:sz w:val="20"/>
          <w:szCs w:val="20"/>
        </w:rPr>
        <w:footnoteReference w:id="2"/>
      </w:r>
      <w:r w:rsidRPr="00AC2ECD" w:rsidR="00B924DE">
        <w:rPr>
          <w:sz w:val="20"/>
          <w:szCs w:val="20"/>
        </w:rPr>
        <w:t xml:space="preserve"> </w:t>
      </w:r>
      <w:r w:rsidRPr="00FC0F8C" w:rsidR="00FC0F8C">
        <w:rPr>
          <w:sz w:val="20"/>
          <w:szCs w:val="20"/>
        </w:rPr>
        <w:t>Uit de memorie van toelichting blijkt dat een lidmaatschap van bijvoorbeeld politieke partij</w:t>
      </w:r>
      <w:r w:rsidR="00FC0F8C">
        <w:rPr>
          <w:sz w:val="20"/>
          <w:szCs w:val="20"/>
        </w:rPr>
        <w:t>,</w:t>
      </w:r>
      <w:r w:rsidRPr="00FC0F8C" w:rsidR="00FC0F8C">
        <w:rPr>
          <w:sz w:val="20"/>
          <w:szCs w:val="20"/>
        </w:rPr>
        <w:t xml:space="preserve"> kerkgenootschap</w:t>
      </w:r>
      <w:r w:rsidR="00FC0F8C">
        <w:rPr>
          <w:sz w:val="20"/>
          <w:szCs w:val="20"/>
        </w:rPr>
        <w:t>, of</w:t>
      </w:r>
      <w:r w:rsidRPr="00FC0F8C" w:rsidR="00FC0F8C">
        <w:rPr>
          <w:sz w:val="20"/>
          <w:szCs w:val="20"/>
        </w:rPr>
        <w:t xml:space="preserve"> voetbal- of patiëntenvereniging niet h</w:t>
      </w:r>
      <w:r w:rsidR="00FC0F8C">
        <w:rPr>
          <w:sz w:val="20"/>
          <w:szCs w:val="20"/>
        </w:rPr>
        <w:t>o</w:t>
      </w:r>
      <w:r w:rsidRPr="00FC0F8C" w:rsidR="00FC0F8C">
        <w:rPr>
          <w:sz w:val="20"/>
          <w:szCs w:val="20"/>
        </w:rPr>
        <w:t xml:space="preserve">eft te worden </w:t>
      </w:r>
      <w:r w:rsidR="00FC0F8C">
        <w:rPr>
          <w:sz w:val="20"/>
          <w:szCs w:val="20"/>
        </w:rPr>
        <w:t>aan</w:t>
      </w:r>
      <w:r w:rsidRPr="00FC0F8C" w:rsidR="00FC0F8C">
        <w:rPr>
          <w:sz w:val="20"/>
          <w:szCs w:val="20"/>
        </w:rPr>
        <w:t xml:space="preserve">gemerkt </w:t>
      </w:r>
      <w:r w:rsidR="00FC0F8C">
        <w:rPr>
          <w:sz w:val="20"/>
          <w:szCs w:val="20"/>
        </w:rPr>
        <w:t>als</w:t>
      </w:r>
      <w:r w:rsidRPr="00FC0F8C" w:rsidR="00FC0F8C">
        <w:rPr>
          <w:sz w:val="20"/>
          <w:szCs w:val="20"/>
        </w:rPr>
        <w:t xml:space="preserve"> een betrekking. </w:t>
      </w:r>
      <w:r w:rsidRPr="00216383" w:rsidR="00216383">
        <w:rPr>
          <w:sz w:val="20"/>
          <w:szCs w:val="20"/>
        </w:rPr>
        <w:t>Benadrukt wordt dat deze opsomming niet limitatief is. Het kan</w:t>
      </w:r>
      <w:r w:rsidRPr="00AC2ECD" w:rsidR="00216383">
        <w:rPr>
          <w:sz w:val="20"/>
          <w:szCs w:val="20"/>
        </w:rPr>
        <w:t xml:space="preserve"> van verschillende omstandigheden afhangen of een nevenactiviteit tevens een betrekking is die verenigbaar is met het ambt van de rechterlijk ambtenaar</w:t>
      </w:r>
      <w:r w:rsidR="00216383">
        <w:rPr>
          <w:sz w:val="20"/>
          <w:szCs w:val="20"/>
        </w:rPr>
        <w:t>.</w:t>
      </w:r>
      <w:r w:rsidRPr="00216383" w:rsidR="00216383">
        <w:rPr>
          <w:sz w:val="20"/>
          <w:szCs w:val="20"/>
        </w:rPr>
        <w:t xml:space="preserve"> Om niet bij</w:t>
      </w:r>
      <w:r w:rsidR="00216383">
        <w:rPr>
          <w:sz w:val="20"/>
          <w:szCs w:val="20"/>
        </w:rPr>
        <w:t xml:space="preserve"> </w:t>
      </w:r>
      <w:r w:rsidRPr="00216383" w:rsidR="00216383">
        <w:rPr>
          <w:sz w:val="20"/>
          <w:szCs w:val="20"/>
        </w:rPr>
        <w:t xml:space="preserve">voorbaat bepaalde categorieën </w:t>
      </w:r>
      <w:r w:rsidR="00216383">
        <w:rPr>
          <w:sz w:val="20"/>
          <w:szCs w:val="20"/>
        </w:rPr>
        <w:lastRenderedPageBreak/>
        <w:t xml:space="preserve">betrekkingen </w:t>
      </w:r>
      <w:r w:rsidRPr="00216383" w:rsidR="00216383">
        <w:rPr>
          <w:sz w:val="20"/>
          <w:szCs w:val="20"/>
        </w:rPr>
        <w:t>uit te sluiten van de meldings- en registratieplicht wordt dan</w:t>
      </w:r>
      <w:r w:rsidR="00216383">
        <w:rPr>
          <w:sz w:val="20"/>
          <w:szCs w:val="20"/>
        </w:rPr>
        <w:t xml:space="preserve"> </w:t>
      </w:r>
      <w:r w:rsidRPr="00216383" w:rsidR="00216383">
        <w:rPr>
          <w:sz w:val="20"/>
          <w:szCs w:val="20"/>
        </w:rPr>
        <w:t xml:space="preserve">ook geen nadere definitie in de wet opgenomen. </w:t>
      </w:r>
    </w:p>
    <w:p w:rsidRPr="00AC2ECD" w:rsidR="00B924DE" w:rsidP="00216383" w:rsidRDefault="00B924DE" w14:paraId="1CB351F1" w14:textId="5AFD20A8">
      <w:pPr>
        <w:spacing w:line="252" w:lineRule="auto"/>
        <w:rPr>
          <w:sz w:val="20"/>
          <w:szCs w:val="20"/>
        </w:rPr>
      </w:pPr>
    </w:p>
    <w:p w:rsidR="00B924DE" w:rsidP="00B924DE" w:rsidRDefault="00B924DE" w14:paraId="265B39E8" w14:textId="77777777">
      <w:pPr>
        <w:spacing w:line="252" w:lineRule="auto"/>
        <w:rPr>
          <w:sz w:val="20"/>
          <w:szCs w:val="20"/>
        </w:rPr>
      </w:pPr>
    </w:p>
    <w:p w:rsidR="00B924DE" w:rsidP="00B924DE" w:rsidRDefault="00B924DE" w14:paraId="14C94B55" w14:textId="6C8DFBD3">
      <w:pPr>
        <w:spacing w:line="252" w:lineRule="auto"/>
        <w:rPr>
          <w:sz w:val="20"/>
          <w:szCs w:val="20"/>
        </w:rPr>
      </w:pPr>
      <w:r>
        <w:rPr>
          <w:sz w:val="20"/>
          <w:szCs w:val="20"/>
        </w:rPr>
        <w:t xml:space="preserve">Artikel 44, </w:t>
      </w:r>
      <w:r w:rsidR="00216383">
        <w:rPr>
          <w:sz w:val="20"/>
          <w:szCs w:val="20"/>
        </w:rPr>
        <w:t>vierde</w:t>
      </w:r>
      <w:r>
        <w:rPr>
          <w:sz w:val="20"/>
          <w:szCs w:val="20"/>
        </w:rPr>
        <w:t xml:space="preserve"> lid geeft als algemene toetsingsnorm, dat rechterlijke ambtenaren “geen betrekkingen vervullen waarvan de uitoefening ongewenst is met het oog op een goede vervulling van hun ambt of op de handhaving van hun onpartijdigheid en onafhankelijkheid of van het vertrouwen daarin”.</w:t>
      </w:r>
    </w:p>
    <w:p w:rsidR="00B924DE" w:rsidP="00B924DE" w:rsidRDefault="00B924DE" w14:paraId="095BAB63" w14:textId="77777777">
      <w:pPr>
        <w:spacing w:line="252" w:lineRule="auto"/>
        <w:rPr>
          <w:sz w:val="20"/>
          <w:szCs w:val="20"/>
        </w:rPr>
      </w:pPr>
    </w:p>
    <w:p w:rsidR="00B924DE" w:rsidP="00B924DE" w:rsidRDefault="00AE414F" w14:paraId="1CCAAE96" w14:textId="50A72B69">
      <w:pPr>
        <w:spacing w:line="252" w:lineRule="auto"/>
        <w:rPr>
          <w:sz w:val="20"/>
          <w:szCs w:val="20"/>
        </w:rPr>
      </w:pPr>
      <w:r>
        <w:rPr>
          <w:sz w:val="20"/>
          <w:szCs w:val="20"/>
        </w:rPr>
        <w:t>D</w:t>
      </w:r>
      <w:r w:rsidR="00B924DE">
        <w:rPr>
          <w:sz w:val="20"/>
          <w:szCs w:val="20"/>
        </w:rPr>
        <w:t>e primaire toets of er sprake is van een betrekking die verenigbaar is met deze algemene norm en daarom o</w:t>
      </w:r>
      <w:r w:rsidRPr="00B137A0" w:rsidR="00B924DE">
        <w:rPr>
          <w:sz w:val="20"/>
          <w:szCs w:val="20"/>
        </w:rPr>
        <w:t xml:space="preserve">p grond van artikel 44a </w:t>
      </w:r>
      <w:proofErr w:type="spellStart"/>
      <w:r w:rsidRPr="00B137A0" w:rsidR="00B924DE">
        <w:rPr>
          <w:sz w:val="20"/>
          <w:szCs w:val="20"/>
        </w:rPr>
        <w:t>Wrra</w:t>
      </w:r>
      <w:proofErr w:type="spellEnd"/>
      <w:r w:rsidRPr="00B137A0" w:rsidR="00B924DE">
        <w:rPr>
          <w:sz w:val="20"/>
          <w:szCs w:val="20"/>
        </w:rPr>
        <w:t xml:space="preserve"> </w:t>
      </w:r>
      <w:r w:rsidRPr="00013BE8" w:rsidR="00B924DE">
        <w:rPr>
          <w:sz w:val="20"/>
          <w:szCs w:val="20"/>
        </w:rPr>
        <w:t>moet worden</w:t>
      </w:r>
      <w:r w:rsidR="00B924DE">
        <w:rPr>
          <w:sz w:val="20"/>
          <w:szCs w:val="20"/>
        </w:rPr>
        <w:t xml:space="preserve"> gemeld en gereg</w:t>
      </w:r>
      <w:r w:rsidRPr="00013BE8" w:rsidR="00B924DE">
        <w:rPr>
          <w:sz w:val="20"/>
          <w:szCs w:val="20"/>
        </w:rPr>
        <w:t xml:space="preserve">istreerd, </w:t>
      </w:r>
      <w:r>
        <w:rPr>
          <w:sz w:val="20"/>
          <w:szCs w:val="20"/>
        </w:rPr>
        <w:t xml:space="preserve">ligt </w:t>
      </w:r>
      <w:r w:rsidRPr="00013BE8" w:rsidR="00B924DE">
        <w:rPr>
          <w:sz w:val="20"/>
          <w:szCs w:val="20"/>
        </w:rPr>
        <w:t>bij de rechterlijke ambtenaar zelf. D</w:t>
      </w:r>
      <w:r w:rsidRPr="00987DB7" w:rsidR="00B924DE">
        <w:rPr>
          <w:rStyle w:val="Verwijzingopmerking"/>
          <w:sz w:val="20"/>
          <w:szCs w:val="20"/>
        </w:rPr>
        <w:t>e</w:t>
      </w:r>
      <w:r w:rsidR="00B924DE">
        <w:rPr>
          <w:rStyle w:val="Verwijzingopmerking"/>
        </w:rPr>
        <w:t xml:space="preserve"> </w:t>
      </w:r>
      <w:r w:rsidRPr="002B4554" w:rsidR="00B924DE">
        <w:rPr>
          <w:sz w:val="20"/>
          <w:szCs w:val="20"/>
        </w:rPr>
        <w:t>functionele autoriteit</w:t>
      </w:r>
      <w:r w:rsidR="00B924DE">
        <w:rPr>
          <w:sz w:val="20"/>
          <w:szCs w:val="20"/>
        </w:rPr>
        <w:t xml:space="preserve"> van de rechterlijk ambtenaar</w:t>
      </w:r>
      <w:r w:rsidRPr="002B4554" w:rsidR="00B924DE">
        <w:rPr>
          <w:rStyle w:val="Voetnootmarkering"/>
          <w:sz w:val="20"/>
          <w:szCs w:val="20"/>
        </w:rPr>
        <w:footnoteReference w:id="3"/>
      </w:r>
      <w:r w:rsidRPr="002B4554" w:rsidR="00B924DE">
        <w:rPr>
          <w:sz w:val="20"/>
          <w:szCs w:val="20"/>
        </w:rPr>
        <w:t xml:space="preserve"> toetst </w:t>
      </w:r>
      <w:r w:rsidR="00B924DE">
        <w:rPr>
          <w:sz w:val="20"/>
          <w:szCs w:val="20"/>
        </w:rPr>
        <w:t xml:space="preserve">vervolgens </w:t>
      </w:r>
      <w:r w:rsidRPr="002B4554" w:rsidR="00B924DE">
        <w:rPr>
          <w:sz w:val="20"/>
          <w:szCs w:val="20"/>
        </w:rPr>
        <w:t>de</w:t>
      </w:r>
      <w:r w:rsidR="00B924DE">
        <w:rPr>
          <w:sz w:val="20"/>
          <w:szCs w:val="20"/>
        </w:rPr>
        <w:t xml:space="preserve"> door </w:t>
      </w:r>
      <w:r w:rsidRPr="002B4554" w:rsidR="00B924DE">
        <w:rPr>
          <w:sz w:val="20"/>
          <w:szCs w:val="20"/>
        </w:rPr>
        <w:t>de rechterlijk ambtenaar</w:t>
      </w:r>
      <w:r w:rsidR="00B924DE">
        <w:rPr>
          <w:sz w:val="20"/>
          <w:szCs w:val="20"/>
        </w:rPr>
        <w:t xml:space="preserve"> gemaakte afweging.</w:t>
      </w:r>
      <w:r w:rsidR="00B924DE">
        <w:rPr>
          <w:rStyle w:val="Voetnootmarkering"/>
          <w:sz w:val="20"/>
          <w:szCs w:val="20"/>
        </w:rPr>
        <w:footnoteReference w:id="4"/>
      </w:r>
      <w:r w:rsidRPr="000A7F94" w:rsidR="00B924DE">
        <w:rPr>
          <w:rFonts w:ascii="Segoe UI" w:hAnsi="Segoe UI" w:cs="Segoe UI"/>
        </w:rPr>
        <w:t xml:space="preserve"> </w:t>
      </w:r>
      <w:r w:rsidR="00B924DE">
        <w:rPr>
          <w:sz w:val="20"/>
          <w:szCs w:val="20"/>
        </w:rPr>
        <w:t>Bij</w:t>
      </w:r>
      <w:r w:rsidRPr="000A7F94" w:rsidR="00B924DE">
        <w:rPr>
          <w:sz w:val="20"/>
          <w:szCs w:val="20"/>
        </w:rPr>
        <w:t xml:space="preserve"> twijfel over het antwoord op de vraag of een plicht tot </w:t>
      </w:r>
      <w:r w:rsidR="00B924DE">
        <w:rPr>
          <w:sz w:val="20"/>
          <w:szCs w:val="20"/>
        </w:rPr>
        <w:t>melding</w:t>
      </w:r>
      <w:r w:rsidR="00D76205">
        <w:rPr>
          <w:sz w:val="20"/>
          <w:szCs w:val="20"/>
        </w:rPr>
        <w:t xml:space="preserve"> en</w:t>
      </w:r>
      <w:r w:rsidR="00B924DE">
        <w:rPr>
          <w:sz w:val="20"/>
          <w:szCs w:val="20"/>
        </w:rPr>
        <w:t xml:space="preserve"> registratie</w:t>
      </w:r>
      <w:r w:rsidRPr="000A7F94" w:rsidR="00B924DE">
        <w:rPr>
          <w:sz w:val="20"/>
          <w:szCs w:val="20"/>
        </w:rPr>
        <w:t xml:space="preserve"> bestaat, </w:t>
      </w:r>
      <w:r w:rsidR="00B924DE">
        <w:rPr>
          <w:sz w:val="20"/>
          <w:szCs w:val="20"/>
        </w:rPr>
        <w:t xml:space="preserve">beveelt de Rechtspraak overleg aan tussen de </w:t>
      </w:r>
      <w:r w:rsidRPr="000A7F94" w:rsidR="00B924DE">
        <w:rPr>
          <w:sz w:val="20"/>
          <w:szCs w:val="20"/>
        </w:rPr>
        <w:t xml:space="preserve">betrokkene </w:t>
      </w:r>
      <w:r w:rsidR="00B924DE">
        <w:rPr>
          <w:sz w:val="20"/>
          <w:szCs w:val="20"/>
        </w:rPr>
        <w:t>en de functionele autoriteit.</w:t>
      </w:r>
      <w:r w:rsidRPr="00B137A0" w:rsidR="00B924DE">
        <w:rPr>
          <w:sz w:val="20"/>
          <w:szCs w:val="20"/>
        </w:rPr>
        <w:t xml:space="preserve"> </w:t>
      </w:r>
    </w:p>
    <w:p w:rsidR="00B924DE" w:rsidP="00B924DE" w:rsidRDefault="00B924DE" w14:paraId="694F7E6F" w14:textId="77777777">
      <w:pPr>
        <w:spacing w:line="252" w:lineRule="auto"/>
        <w:rPr>
          <w:sz w:val="20"/>
          <w:szCs w:val="20"/>
          <w:highlight w:val="yellow"/>
        </w:rPr>
      </w:pPr>
    </w:p>
    <w:p w:rsidRPr="0092788B" w:rsidR="00B924DE" w:rsidP="00B924DE" w:rsidRDefault="00B924DE" w14:paraId="29B24636" w14:textId="337777A6">
      <w:r w:rsidRPr="000D21A0">
        <w:rPr>
          <w:sz w:val="20"/>
          <w:szCs w:val="20"/>
        </w:rPr>
        <w:t>Bij deze wetssystematiek</w:t>
      </w:r>
      <w:r w:rsidRPr="000D21A0" w:rsidR="00AE414F">
        <w:rPr>
          <w:sz w:val="20"/>
          <w:szCs w:val="20"/>
        </w:rPr>
        <w:t>,</w:t>
      </w:r>
      <w:r w:rsidRPr="000D21A0">
        <w:rPr>
          <w:sz w:val="20"/>
          <w:szCs w:val="20"/>
        </w:rPr>
        <w:t xml:space="preserve"> </w:t>
      </w:r>
      <w:r w:rsidRPr="000D21A0" w:rsidR="00AE414F">
        <w:rPr>
          <w:sz w:val="20"/>
          <w:szCs w:val="20"/>
        </w:rPr>
        <w:t xml:space="preserve">die een toetsing van geval tot geval vergt, </w:t>
      </w:r>
      <w:r w:rsidRPr="000D21A0">
        <w:rPr>
          <w:sz w:val="20"/>
          <w:szCs w:val="20"/>
        </w:rPr>
        <w:t>past het mij niet om een oordeel te hebben over de vraag of het lidmaatschap van genootschappen - zoals beschreven in het artikel - behoort te worden geregistreerd als betrekking</w:t>
      </w:r>
      <w:r w:rsidRPr="000D21A0">
        <w:t>.</w:t>
      </w:r>
    </w:p>
    <w:p w:rsidRPr="00B91138" w:rsidR="00CB3803" w:rsidP="00CB3803" w:rsidRDefault="00CB3803" w14:paraId="73D1B8E9" w14:textId="77777777">
      <w:pPr>
        <w:pStyle w:val="Geenafstand"/>
        <w:rPr>
          <w:rFonts w:ascii="Verdana" w:hAnsi="Verdana"/>
        </w:rPr>
      </w:pPr>
    </w:p>
    <w:p w:rsidR="003C58B4" w:rsidP="00CB3803" w:rsidRDefault="003C58B4" w14:paraId="15553DCE" w14:textId="77777777">
      <w:pPr>
        <w:pStyle w:val="Geenafstand"/>
        <w:rPr>
          <w:rFonts w:ascii="Verdana" w:hAnsi="Verdana"/>
          <w:b/>
          <w:bCs/>
        </w:rPr>
      </w:pPr>
    </w:p>
    <w:p w:rsidR="003C58B4" w:rsidP="00CB3803" w:rsidRDefault="003C58B4" w14:paraId="2346B576" w14:textId="77777777">
      <w:pPr>
        <w:pStyle w:val="Geenafstand"/>
        <w:rPr>
          <w:rFonts w:ascii="Verdana" w:hAnsi="Verdana"/>
          <w:b/>
          <w:bCs/>
        </w:rPr>
      </w:pPr>
    </w:p>
    <w:p w:rsidR="003C58B4" w:rsidP="00CB3803" w:rsidRDefault="003C58B4" w14:paraId="697B8824" w14:textId="77777777">
      <w:pPr>
        <w:pStyle w:val="Geenafstand"/>
        <w:rPr>
          <w:rFonts w:ascii="Verdana" w:hAnsi="Verdana"/>
          <w:b/>
          <w:bCs/>
        </w:rPr>
      </w:pPr>
    </w:p>
    <w:p w:rsidR="003C58B4" w:rsidP="00CB3803" w:rsidRDefault="003C58B4" w14:paraId="2669D484" w14:textId="77777777">
      <w:pPr>
        <w:pStyle w:val="Geenafstand"/>
        <w:rPr>
          <w:rFonts w:ascii="Verdana" w:hAnsi="Verdana"/>
          <w:b/>
          <w:bCs/>
        </w:rPr>
      </w:pPr>
    </w:p>
    <w:p w:rsidR="003C58B4" w:rsidP="00CB3803" w:rsidRDefault="003C58B4" w14:paraId="408ABC54" w14:textId="77777777">
      <w:pPr>
        <w:pStyle w:val="Geenafstand"/>
        <w:rPr>
          <w:rFonts w:ascii="Verdana" w:hAnsi="Verdana"/>
          <w:b/>
          <w:bCs/>
        </w:rPr>
      </w:pPr>
    </w:p>
    <w:p w:rsidR="003C58B4" w:rsidP="00CB3803" w:rsidRDefault="003C58B4" w14:paraId="1866D896" w14:textId="77777777">
      <w:pPr>
        <w:pStyle w:val="Geenafstand"/>
        <w:rPr>
          <w:rFonts w:ascii="Verdana" w:hAnsi="Verdana"/>
          <w:b/>
          <w:bCs/>
        </w:rPr>
      </w:pPr>
    </w:p>
    <w:p w:rsidR="003C58B4" w:rsidP="00CB3803" w:rsidRDefault="003C58B4" w14:paraId="6F23BE26" w14:textId="77777777">
      <w:pPr>
        <w:pStyle w:val="Geenafstand"/>
        <w:rPr>
          <w:rFonts w:ascii="Verdana" w:hAnsi="Verdana"/>
          <w:b/>
          <w:bCs/>
        </w:rPr>
      </w:pPr>
    </w:p>
    <w:p w:rsidR="003C58B4" w:rsidP="00CB3803" w:rsidRDefault="003C58B4" w14:paraId="1EBCA082" w14:textId="77777777">
      <w:pPr>
        <w:pStyle w:val="Geenafstand"/>
        <w:rPr>
          <w:rFonts w:ascii="Verdana" w:hAnsi="Verdana"/>
          <w:b/>
          <w:bCs/>
        </w:rPr>
      </w:pPr>
    </w:p>
    <w:p w:rsidR="003C58B4" w:rsidP="00CB3803" w:rsidRDefault="003C58B4" w14:paraId="047B17D0" w14:textId="77777777">
      <w:pPr>
        <w:pStyle w:val="Geenafstand"/>
        <w:rPr>
          <w:rFonts w:ascii="Verdana" w:hAnsi="Verdana"/>
          <w:b/>
          <w:bCs/>
        </w:rPr>
      </w:pPr>
    </w:p>
    <w:p w:rsidR="003C58B4" w:rsidP="00CB3803" w:rsidRDefault="003C58B4" w14:paraId="091D55CD" w14:textId="77777777">
      <w:pPr>
        <w:pStyle w:val="Geenafstand"/>
        <w:rPr>
          <w:rFonts w:ascii="Verdana" w:hAnsi="Verdana"/>
          <w:b/>
          <w:bCs/>
        </w:rPr>
      </w:pPr>
    </w:p>
    <w:p w:rsidR="003C58B4" w:rsidP="00CB3803" w:rsidRDefault="003C58B4" w14:paraId="28A46C4E" w14:textId="77777777">
      <w:pPr>
        <w:pStyle w:val="Geenafstand"/>
        <w:rPr>
          <w:rFonts w:ascii="Verdana" w:hAnsi="Verdana"/>
          <w:b/>
          <w:bCs/>
        </w:rPr>
      </w:pPr>
    </w:p>
    <w:p w:rsidR="003C58B4" w:rsidP="00CB3803" w:rsidRDefault="003C58B4" w14:paraId="736096CA" w14:textId="77777777">
      <w:pPr>
        <w:pStyle w:val="Geenafstand"/>
        <w:rPr>
          <w:rFonts w:ascii="Verdana" w:hAnsi="Verdana"/>
          <w:b/>
          <w:bCs/>
        </w:rPr>
      </w:pPr>
    </w:p>
    <w:p w:rsidR="003C58B4" w:rsidP="00CB3803" w:rsidRDefault="003C58B4" w14:paraId="3684B99E" w14:textId="77777777">
      <w:pPr>
        <w:pStyle w:val="Geenafstand"/>
        <w:rPr>
          <w:rFonts w:ascii="Verdana" w:hAnsi="Verdana"/>
          <w:b/>
          <w:bCs/>
        </w:rPr>
      </w:pPr>
    </w:p>
    <w:p w:rsidR="003C58B4" w:rsidP="00CB3803" w:rsidRDefault="003C58B4" w14:paraId="31219085" w14:textId="77777777">
      <w:pPr>
        <w:pStyle w:val="Geenafstand"/>
        <w:rPr>
          <w:rFonts w:ascii="Verdana" w:hAnsi="Verdana"/>
          <w:b/>
          <w:bCs/>
        </w:rPr>
      </w:pPr>
    </w:p>
    <w:p w:rsidR="003C58B4" w:rsidP="00CB3803" w:rsidRDefault="003C58B4" w14:paraId="1CFF7798" w14:textId="77777777">
      <w:pPr>
        <w:pStyle w:val="Geenafstand"/>
        <w:rPr>
          <w:rFonts w:ascii="Verdana" w:hAnsi="Verdana"/>
          <w:b/>
          <w:bCs/>
        </w:rPr>
      </w:pPr>
    </w:p>
    <w:p w:rsidR="003C58B4" w:rsidP="00CB3803" w:rsidRDefault="003C58B4" w14:paraId="591D61D1" w14:textId="77777777">
      <w:pPr>
        <w:pStyle w:val="Geenafstand"/>
        <w:rPr>
          <w:rFonts w:ascii="Verdana" w:hAnsi="Verdana"/>
          <w:b/>
          <w:bCs/>
        </w:rPr>
      </w:pPr>
    </w:p>
    <w:p w:rsidRPr="00B91138" w:rsidR="00CB3803" w:rsidP="00CB3803" w:rsidRDefault="00CB3803" w14:paraId="4FAFB5E2" w14:textId="049B6925">
      <w:pPr>
        <w:pStyle w:val="Geenafstand"/>
        <w:rPr>
          <w:rFonts w:ascii="Verdana" w:hAnsi="Verdana"/>
          <w:b/>
          <w:bCs/>
        </w:rPr>
      </w:pPr>
      <w:r w:rsidRPr="00B91138">
        <w:rPr>
          <w:rFonts w:ascii="Verdana" w:hAnsi="Verdana"/>
          <w:b/>
          <w:bCs/>
        </w:rPr>
        <w:lastRenderedPageBreak/>
        <w:t>Vraag 3</w:t>
      </w:r>
    </w:p>
    <w:p w:rsidRPr="00B91138" w:rsidR="00CB3803" w:rsidP="00CB3803" w:rsidRDefault="00CB3803" w14:paraId="22E18707" w14:textId="77777777">
      <w:pPr>
        <w:pStyle w:val="Geenafstand"/>
        <w:rPr>
          <w:rFonts w:ascii="Verdana" w:hAnsi="Verdana"/>
          <w:b/>
          <w:bCs/>
        </w:rPr>
      </w:pPr>
      <w:r w:rsidRPr="00B91138">
        <w:rPr>
          <w:rFonts w:ascii="Verdana" w:hAnsi="Verdana"/>
          <w:b/>
          <w:bCs/>
        </w:rPr>
        <w:t>Bent u van mening dat lidmaatschap zou moeten worden opgenomen in de Leidraad onpartijdigheid en nevenfuncties in de rechtspraak? Zo nee, waarom niet?</w:t>
      </w:r>
    </w:p>
    <w:p w:rsidRPr="00B91138" w:rsidR="00CB3803" w:rsidP="00CB3803" w:rsidRDefault="00CB3803" w14:paraId="4105EEE9" w14:textId="77777777">
      <w:pPr>
        <w:pStyle w:val="Geenafstand"/>
        <w:rPr>
          <w:rFonts w:ascii="Verdana" w:hAnsi="Verdana"/>
          <w:b/>
          <w:bCs/>
        </w:rPr>
      </w:pPr>
    </w:p>
    <w:p w:rsidRPr="00B91138" w:rsidR="00CB3803" w:rsidP="00CB3803" w:rsidRDefault="00CB3803" w14:paraId="1BAB328B" w14:textId="77777777">
      <w:pPr>
        <w:pStyle w:val="Geenafstand"/>
        <w:rPr>
          <w:rFonts w:ascii="Verdana" w:hAnsi="Verdana"/>
          <w:b/>
          <w:bCs/>
        </w:rPr>
      </w:pPr>
      <w:r w:rsidRPr="00B91138">
        <w:rPr>
          <w:rFonts w:ascii="Verdana" w:hAnsi="Verdana"/>
          <w:b/>
          <w:bCs/>
        </w:rPr>
        <w:t xml:space="preserve">Antwoord op vraag 3  </w:t>
      </w:r>
    </w:p>
    <w:p w:rsidR="00B924DE" w:rsidP="00B924DE" w:rsidRDefault="00B924DE" w14:paraId="7FA30906" w14:textId="33016BEA">
      <w:pPr>
        <w:pStyle w:val="Geenafstand"/>
        <w:rPr>
          <w:rFonts w:ascii="Verdana" w:hAnsi="Verdana"/>
        </w:rPr>
      </w:pPr>
      <w:bookmarkStart w:name="_Hlk199920384" w:id="0"/>
      <w:r w:rsidRPr="00B91138">
        <w:rPr>
          <w:rFonts w:ascii="Verdana" w:hAnsi="Verdana"/>
        </w:rPr>
        <w:t xml:space="preserve">De </w:t>
      </w:r>
      <w:r>
        <w:rPr>
          <w:rFonts w:ascii="Verdana" w:hAnsi="Verdana"/>
        </w:rPr>
        <w:t>‘</w:t>
      </w:r>
      <w:r w:rsidRPr="00B91138">
        <w:rPr>
          <w:rFonts w:ascii="Verdana" w:hAnsi="Verdana"/>
        </w:rPr>
        <w:t>Leidraad onpartijdigheid en nevenfuncties</w:t>
      </w:r>
      <w:r>
        <w:rPr>
          <w:rFonts w:ascii="Verdana" w:hAnsi="Verdana"/>
        </w:rPr>
        <w:t>’ in</w:t>
      </w:r>
      <w:r w:rsidRPr="00B91138">
        <w:rPr>
          <w:rFonts w:ascii="Verdana" w:hAnsi="Verdana"/>
        </w:rPr>
        <w:t xml:space="preserve"> de rechtspraak is </w:t>
      </w:r>
      <w:r w:rsidRPr="00B00660">
        <w:rPr>
          <w:rFonts w:ascii="Verdana" w:hAnsi="Verdana"/>
        </w:rPr>
        <w:t xml:space="preserve">bedoeld als </w:t>
      </w:r>
      <w:r>
        <w:rPr>
          <w:rFonts w:ascii="Verdana" w:hAnsi="Verdana"/>
        </w:rPr>
        <w:t xml:space="preserve">richtlijn die rechters helpt bij het bewaken en bevorderen van hun </w:t>
      </w:r>
      <w:r w:rsidRPr="00B00660">
        <w:rPr>
          <w:rFonts w:ascii="Verdana" w:hAnsi="Verdana"/>
        </w:rPr>
        <w:t>onpartijdigheid.</w:t>
      </w:r>
      <w:r w:rsidRPr="002B4554">
        <w:rPr>
          <w:rFonts w:ascii="Verdana" w:hAnsi="Verdana"/>
        </w:rPr>
        <w:t xml:space="preserve"> </w:t>
      </w:r>
      <w:r>
        <w:rPr>
          <w:rFonts w:ascii="Verdana" w:hAnsi="Verdana"/>
        </w:rPr>
        <w:t xml:space="preserve">In deze leidraad </w:t>
      </w:r>
      <w:r w:rsidRPr="00B91138">
        <w:rPr>
          <w:rFonts w:ascii="Verdana" w:hAnsi="Verdana"/>
        </w:rPr>
        <w:t xml:space="preserve">staan geen harde regels voor alle denkbare situaties. </w:t>
      </w:r>
    </w:p>
    <w:p w:rsidR="00B924DE" w:rsidP="00B924DE" w:rsidRDefault="00B924DE" w14:paraId="2C9E2A69" w14:textId="77777777">
      <w:pPr>
        <w:pStyle w:val="Geenafstand"/>
        <w:rPr>
          <w:rFonts w:ascii="Verdana" w:hAnsi="Verdana"/>
        </w:rPr>
      </w:pPr>
    </w:p>
    <w:p w:rsidR="00B924DE" w:rsidP="00B924DE" w:rsidRDefault="00B924DE" w14:paraId="4ACDC21B" w14:textId="77777777">
      <w:pPr>
        <w:pStyle w:val="Geenafstand"/>
        <w:rPr>
          <w:rFonts w:ascii="Verdana" w:hAnsi="Verdana"/>
        </w:rPr>
      </w:pPr>
      <w:r>
        <w:rPr>
          <w:rFonts w:ascii="Verdana" w:hAnsi="Verdana"/>
        </w:rPr>
        <w:t>D</w:t>
      </w:r>
      <w:r w:rsidRPr="00B91138">
        <w:rPr>
          <w:rFonts w:ascii="Verdana" w:hAnsi="Verdana"/>
        </w:rPr>
        <w:t xml:space="preserve">e </w:t>
      </w:r>
      <w:r>
        <w:rPr>
          <w:rFonts w:ascii="Verdana" w:hAnsi="Verdana"/>
        </w:rPr>
        <w:t>G</w:t>
      </w:r>
      <w:r w:rsidRPr="00B91138">
        <w:rPr>
          <w:rFonts w:ascii="Verdana" w:hAnsi="Verdana"/>
        </w:rPr>
        <w:t xml:space="preserve">edragscode </w:t>
      </w:r>
      <w:r>
        <w:rPr>
          <w:rFonts w:ascii="Verdana" w:hAnsi="Verdana"/>
        </w:rPr>
        <w:t>R</w:t>
      </w:r>
      <w:r w:rsidRPr="00B91138">
        <w:rPr>
          <w:rFonts w:ascii="Verdana" w:hAnsi="Verdana"/>
        </w:rPr>
        <w:t xml:space="preserve">echtspraak, die sinds 1 oktober 2024 van kracht is, is </w:t>
      </w:r>
      <w:r>
        <w:rPr>
          <w:rFonts w:ascii="Verdana" w:hAnsi="Verdana"/>
        </w:rPr>
        <w:t xml:space="preserve">een ander </w:t>
      </w:r>
      <w:r w:rsidRPr="00B91138">
        <w:rPr>
          <w:rFonts w:ascii="Verdana" w:hAnsi="Verdana"/>
        </w:rPr>
        <w:t>hulpmiddel</w:t>
      </w:r>
      <w:r>
        <w:rPr>
          <w:rFonts w:ascii="Verdana" w:hAnsi="Verdana"/>
        </w:rPr>
        <w:t xml:space="preserve"> </w:t>
      </w:r>
      <w:r w:rsidRPr="00B91138">
        <w:rPr>
          <w:rFonts w:ascii="Verdana" w:hAnsi="Verdana"/>
        </w:rPr>
        <w:t xml:space="preserve">voor iedereen die in de </w:t>
      </w:r>
      <w:r>
        <w:rPr>
          <w:rFonts w:ascii="Verdana" w:hAnsi="Verdana"/>
        </w:rPr>
        <w:t>r</w:t>
      </w:r>
      <w:r w:rsidRPr="00B91138">
        <w:rPr>
          <w:rFonts w:ascii="Verdana" w:hAnsi="Verdana"/>
        </w:rPr>
        <w:t xml:space="preserve">echtspraak werkzaam is om integriteitskwesties te herkennen en handvatten te bieden hoe daarmee om te gaan. In deze </w:t>
      </w:r>
      <w:r>
        <w:rPr>
          <w:rFonts w:ascii="Verdana" w:hAnsi="Verdana"/>
        </w:rPr>
        <w:t>Gedrags</w:t>
      </w:r>
      <w:r w:rsidRPr="00B91138">
        <w:rPr>
          <w:rFonts w:ascii="Verdana" w:hAnsi="Verdana"/>
        </w:rPr>
        <w:t xml:space="preserve">code </w:t>
      </w:r>
      <w:r>
        <w:rPr>
          <w:rFonts w:ascii="Verdana" w:hAnsi="Verdana"/>
        </w:rPr>
        <w:t xml:space="preserve">Rechtspraak </w:t>
      </w:r>
      <w:r w:rsidRPr="00B91138">
        <w:rPr>
          <w:rFonts w:ascii="Verdana" w:hAnsi="Verdana"/>
        </w:rPr>
        <w:t>wordt overigens regelmatig naar de Leidraad verwezen.</w:t>
      </w:r>
      <w:r>
        <w:rPr>
          <w:rFonts w:ascii="Verdana" w:hAnsi="Verdana"/>
        </w:rPr>
        <w:t xml:space="preserve"> </w:t>
      </w:r>
    </w:p>
    <w:p w:rsidR="00B924DE" w:rsidP="00B924DE" w:rsidRDefault="00B924DE" w14:paraId="529C55FB" w14:textId="77777777">
      <w:pPr>
        <w:pStyle w:val="Geenafstand"/>
        <w:rPr>
          <w:rFonts w:ascii="Verdana" w:hAnsi="Verdana"/>
        </w:rPr>
      </w:pPr>
    </w:p>
    <w:p w:rsidRPr="00B91138" w:rsidR="00B924DE" w:rsidP="00B924DE" w:rsidRDefault="00B924DE" w14:paraId="529B65A9" w14:textId="5D7CE8B8">
      <w:pPr>
        <w:pStyle w:val="Geenafstand"/>
        <w:rPr>
          <w:rFonts w:ascii="Verdana" w:hAnsi="Verdana"/>
        </w:rPr>
      </w:pPr>
      <w:r w:rsidRPr="002B4554">
        <w:rPr>
          <w:rFonts w:ascii="Verdana" w:hAnsi="Verdana"/>
        </w:rPr>
        <w:t xml:space="preserve">De Leidraad </w:t>
      </w:r>
      <w:r>
        <w:rPr>
          <w:rFonts w:ascii="Verdana" w:hAnsi="Verdana"/>
        </w:rPr>
        <w:t xml:space="preserve">en de </w:t>
      </w:r>
      <w:r w:rsidR="00004F60">
        <w:rPr>
          <w:rFonts w:ascii="Verdana" w:hAnsi="Verdana"/>
        </w:rPr>
        <w:t>gedrags</w:t>
      </w:r>
      <w:r>
        <w:rPr>
          <w:rFonts w:ascii="Verdana" w:hAnsi="Verdana"/>
        </w:rPr>
        <w:t xml:space="preserve">code zijn opgesteld door verschillende geledingen binnen de Rechtspraak. </w:t>
      </w:r>
      <w:r w:rsidRPr="006342BD" w:rsidR="006342BD">
        <w:rPr>
          <w:rFonts w:ascii="Verdana" w:hAnsi="Verdana"/>
        </w:rPr>
        <w:t>De Leidraad is opgesteld door de Nederlandse Vereniging voor Rechtspraak en door de presidenten van de rechtbanken en de gerechtshoven. De gedragscode is vastgesteld in het Presidenten-Raad Overleg.</w:t>
      </w:r>
      <w:r w:rsidR="006342BD">
        <w:rPr>
          <w:rFonts w:ascii="Verdana" w:hAnsi="Verdana"/>
        </w:rPr>
        <w:t xml:space="preserve"> </w:t>
      </w:r>
      <w:r>
        <w:rPr>
          <w:rFonts w:ascii="Verdana" w:hAnsi="Verdana"/>
        </w:rPr>
        <w:t xml:space="preserve">Het is aan deze geledingen binnen de Rechtspraak wat in de leidraad of de code moet worden opgenomen. </w:t>
      </w:r>
    </w:p>
    <w:p w:rsidR="00CB3803" w:rsidP="00CB3803" w:rsidRDefault="00CB3803" w14:paraId="5ECF2BD2" w14:textId="77777777">
      <w:pPr>
        <w:autoSpaceDN/>
        <w:spacing w:line="252" w:lineRule="auto"/>
        <w:textAlignment w:val="auto"/>
        <w:rPr>
          <w:sz w:val="20"/>
          <w:szCs w:val="20"/>
        </w:rPr>
      </w:pPr>
    </w:p>
    <w:p w:rsidRPr="00B91138" w:rsidR="00CB3803" w:rsidP="00CB3803" w:rsidRDefault="00CB3803" w14:paraId="4CD10A87" w14:textId="77777777">
      <w:pPr>
        <w:autoSpaceDN/>
        <w:spacing w:line="252" w:lineRule="auto"/>
        <w:textAlignment w:val="auto"/>
        <w:rPr>
          <w:b/>
          <w:bCs/>
          <w:sz w:val="20"/>
          <w:szCs w:val="20"/>
        </w:rPr>
      </w:pPr>
      <w:r w:rsidRPr="00B91138">
        <w:rPr>
          <w:b/>
          <w:bCs/>
          <w:sz w:val="20"/>
          <w:szCs w:val="20"/>
        </w:rPr>
        <w:t>Vraag 4</w:t>
      </w:r>
    </w:p>
    <w:p w:rsidRPr="00B91138" w:rsidR="00CB3803" w:rsidP="00CB3803" w:rsidRDefault="00CB3803" w14:paraId="0A8DC4D2" w14:textId="77777777">
      <w:pPr>
        <w:autoSpaceDN/>
        <w:spacing w:line="252" w:lineRule="auto"/>
        <w:textAlignment w:val="auto"/>
        <w:rPr>
          <w:b/>
          <w:bCs/>
          <w:sz w:val="20"/>
          <w:szCs w:val="20"/>
        </w:rPr>
      </w:pPr>
      <w:r w:rsidRPr="00B91138">
        <w:rPr>
          <w:b/>
          <w:bCs/>
          <w:sz w:val="20"/>
          <w:szCs w:val="20"/>
        </w:rPr>
        <w:t>Bent u van mening dat, ook indien het lidmaatschap niet als nevenfunctie kan worden aangemerkt, het vermelden van lidmaatschap van dergelijke genootschappen de transparantie binnen de rechtspraak zou bevorderen? Zo nee, waarom niet? Zo ja, op welke wijze zou u transparantie hierover willen bevorderen?</w:t>
      </w:r>
    </w:p>
    <w:p w:rsidRPr="00B91138" w:rsidR="00CB3803" w:rsidP="00CB3803" w:rsidRDefault="00CB3803" w14:paraId="7BC475B7" w14:textId="77777777">
      <w:pPr>
        <w:autoSpaceDN/>
        <w:spacing w:line="252" w:lineRule="auto"/>
        <w:textAlignment w:val="auto"/>
        <w:rPr>
          <w:b/>
          <w:bCs/>
          <w:sz w:val="20"/>
          <w:szCs w:val="20"/>
        </w:rPr>
      </w:pPr>
    </w:p>
    <w:p w:rsidR="003C58B4" w:rsidP="00CB3803" w:rsidRDefault="003C58B4" w14:paraId="144DEA73" w14:textId="77777777">
      <w:pPr>
        <w:pStyle w:val="Geenafstand"/>
        <w:rPr>
          <w:rFonts w:ascii="Verdana" w:hAnsi="Verdana"/>
          <w:b/>
          <w:bCs/>
        </w:rPr>
      </w:pPr>
    </w:p>
    <w:p w:rsidR="003C58B4" w:rsidP="00CB3803" w:rsidRDefault="003C58B4" w14:paraId="75CEE038" w14:textId="77777777">
      <w:pPr>
        <w:pStyle w:val="Geenafstand"/>
        <w:rPr>
          <w:rFonts w:ascii="Verdana" w:hAnsi="Verdana"/>
          <w:b/>
          <w:bCs/>
        </w:rPr>
      </w:pPr>
    </w:p>
    <w:p w:rsidR="003C58B4" w:rsidP="00CB3803" w:rsidRDefault="003C58B4" w14:paraId="77B2B604" w14:textId="77777777">
      <w:pPr>
        <w:pStyle w:val="Geenafstand"/>
        <w:rPr>
          <w:rFonts w:ascii="Verdana" w:hAnsi="Verdana"/>
          <w:b/>
          <w:bCs/>
        </w:rPr>
      </w:pPr>
    </w:p>
    <w:p w:rsidR="003C58B4" w:rsidP="00CB3803" w:rsidRDefault="003C58B4" w14:paraId="29EB94D0" w14:textId="77777777">
      <w:pPr>
        <w:pStyle w:val="Geenafstand"/>
        <w:rPr>
          <w:rFonts w:ascii="Verdana" w:hAnsi="Verdana"/>
          <w:b/>
          <w:bCs/>
        </w:rPr>
      </w:pPr>
    </w:p>
    <w:p w:rsidR="003C58B4" w:rsidP="00CB3803" w:rsidRDefault="003C58B4" w14:paraId="40421D92" w14:textId="77777777">
      <w:pPr>
        <w:pStyle w:val="Geenafstand"/>
        <w:rPr>
          <w:rFonts w:ascii="Verdana" w:hAnsi="Verdana"/>
          <w:b/>
          <w:bCs/>
        </w:rPr>
      </w:pPr>
    </w:p>
    <w:p w:rsidR="003C58B4" w:rsidP="00CB3803" w:rsidRDefault="003C58B4" w14:paraId="05243BA1" w14:textId="77777777">
      <w:pPr>
        <w:pStyle w:val="Geenafstand"/>
        <w:rPr>
          <w:rFonts w:ascii="Verdana" w:hAnsi="Verdana"/>
          <w:b/>
          <w:bCs/>
        </w:rPr>
      </w:pPr>
    </w:p>
    <w:p w:rsidR="003C58B4" w:rsidP="00CB3803" w:rsidRDefault="003C58B4" w14:paraId="3CF9EE7F" w14:textId="77777777">
      <w:pPr>
        <w:pStyle w:val="Geenafstand"/>
        <w:rPr>
          <w:rFonts w:ascii="Verdana" w:hAnsi="Verdana"/>
          <w:b/>
          <w:bCs/>
        </w:rPr>
      </w:pPr>
    </w:p>
    <w:p w:rsidR="003C58B4" w:rsidP="00CB3803" w:rsidRDefault="003C58B4" w14:paraId="297AB3D8" w14:textId="77777777">
      <w:pPr>
        <w:pStyle w:val="Geenafstand"/>
        <w:rPr>
          <w:rFonts w:ascii="Verdana" w:hAnsi="Verdana"/>
          <w:b/>
          <w:bCs/>
        </w:rPr>
      </w:pPr>
    </w:p>
    <w:p w:rsidR="003C58B4" w:rsidP="00CB3803" w:rsidRDefault="003C58B4" w14:paraId="65452C04" w14:textId="77777777">
      <w:pPr>
        <w:pStyle w:val="Geenafstand"/>
        <w:rPr>
          <w:rFonts w:ascii="Verdana" w:hAnsi="Verdana"/>
          <w:b/>
          <w:bCs/>
        </w:rPr>
      </w:pPr>
    </w:p>
    <w:p w:rsidR="003C58B4" w:rsidP="00CB3803" w:rsidRDefault="003C58B4" w14:paraId="59DD9F21" w14:textId="77777777">
      <w:pPr>
        <w:pStyle w:val="Geenafstand"/>
        <w:rPr>
          <w:rFonts w:ascii="Verdana" w:hAnsi="Verdana"/>
          <w:b/>
          <w:bCs/>
        </w:rPr>
      </w:pPr>
    </w:p>
    <w:p w:rsidR="003C58B4" w:rsidP="00CB3803" w:rsidRDefault="003C58B4" w14:paraId="63B1469B" w14:textId="77777777">
      <w:pPr>
        <w:pStyle w:val="Geenafstand"/>
        <w:rPr>
          <w:rFonts w:ascii="Verdana" w:hAnsi="Verdana"/>
          <w:b/>
          <w:bCs/>
        </w:rPr>
      </w:pPr>
    </w:p>
    <w:p w:rsidR="003C58B4" w:rsidP="00CB3803" w:rsidRDefault="003C58B4" w14:paraId="386A5F46" w14:textId="77777777">
      <w:pPr>
        <w:pStyle w:val="Geenafstand"/>
        <w:rPr>
          <w:rFonts w:ascii="Verdana" w:hAnsi="Verdana"/>
          <w:b/>
          <w:bCs/>
        </w:rPr>
      </w:pPr>
    </w:p>
    <w:p w:rsidR="003C58B4" w:rsidP="00CB3803" w:rsidRDefault="003C58B4" w14:paraId="1A3827E0" w14:textId="77777777">
      <w:pPr>
        <w:pStyle w:val="Geenafstand"/>
        <w:rPr>
          <w:rFonts w:ascii="Verdana" w:hAnsi="Verdana"/>
          <w:b/>
          <w:bCs/>
        </w:rPr>
      </w:pPr>
    </w:p>
    <w:p w:rsidR="003C58B4" w:rsidP="00CB3803" w:rsidRDefault="003C58B4" w14:paraId="7FB6102E" w14:textId="77777777">
      <w:pPr>
        <w:pStyle w:val="Geenafstand"/>
        <w:rPr>
          <w:rFonts w:ascii="Verdana" w:hAnsi="Verdana"/>
          <w:b/>
          <w:bCs/>
        </w:rPr>
      </w:pPr>
    </w:p>
    <w:p w:rsidR="003C58B4" w:rsidP="00CB3803" w:rsidRDefault="003C58B4" w14:paraId="03215C7C" w14:textId="77777777">
      <w:pPr>
        <w:pStyle w:val="Geenafstand"/>
        <w:rPr>
          <w:rFonts w:ascii="Verdana" w:hAnsi="Verdana"/>
          <w:b/>
          <w:bCs/>
        </w:rPr>
      </w:pPr>
    </w:p>
    <w:p w:rsidR="003C58B4" w:rsidP="00CB3803" w:rsidRDefault="003C58B4" w14:paraId="558A5BFF" w14:textId="77777777">
      <w:pPr>
        <w:pStyle w:val="Geenafstand"/>
        <w:rPr>
          <w:rFonts w:ascii="Verdana" w:hAnsi="Verdana"/>
          <w:b/>
          <w:bCs/>
        </w:rPr>
      </w:pPr>
    </w:p>
    <w:p w:rsidR="003C58B4" w:rsidP="00CB3803" w:rsidRDefault="003C58B4" w14:paraId="48ADB105" w14:textId="77777777">
      <w:pPr>
        <w:pStyle w:val="Geenafstand"/>
        <w:rPr>
          <w:rFonts w:ascii="Verdana" w:hAnsi="Verdana"/>
          <w:b/>
          <w:bCs/>
        </w:rPr>
      </w:pPr>
    </w:p>
    <w:p w:rsidRPr="00B91138" w:rsidR="00CB3803" w:rsidP="00CB3803" w:rsidRDefault="00CB3803" w14:paraId="3AE4EDFC" w14:textId="37F838F4">
      <w:pPr>
        <w:pStyle w:val="Geenafstand"/>
        <w:rPr>
          <w:rFonts w:ascii="Verdana" w:hAnsi="Verdana"/>
          <w:b/>
          <w:bCs/>
        </w:rPr>
      </w:pPr>
      <w:r w:rsidRPr="00B91138">
        <w:rPr>
          <w:rFonts w:ascii="Verdana" w:hAnsi="Verdana"/>
          <w:b/>
          <w:bCs/>
        </w:rPr>
        <w:lastRenderedPageBreak/>
        <w:t xml:space="preserve">Antwoord op vraag 4 </w:t>
      </w:r>
    </w:p>
    <w:p w:rsidRPr="003E002E" w:rsidR="00CB3803" w:rsidP="00CB3803" w:rsidRDefault="00CB3803" w14:paraId="6D0B42DE" w14:textId="08CAC962">
      <w:pPr>
        <w:pStyle w:val="Geenafstand"/>
        <w:rPr>
          <w:rFonts w:ascii="Verdana" w:hAnsi="Verdana"/>
        </w:rPr>
      </w:pPr>
      <w:r w:rsidRPr="002938FD">
        <w:rPr>
          <w:rFonts w:ascii="Verdana" w:hAnsi="Verdana"/>
        </w:rPr>
        <w:t xml:space="preserve">Transparantie </w:t>
      </w:r>
      <w:r w:rsidR="00AE414F">
        <w:rPr>
          <w:rFonts w:ascii="Verdana" w:hAnsi="Verdana"/>
        </w:rPr>
        <w:t>is belangrijk voor</w:t>
      </w:r>
      <w:r w:rsidRPr="002938FD">
        <w:rPr>
          <w:rFonts w:ascii="Verdana" w:hAnsi="Verdana"/>
        </w:rPr>
        <w:t xml:space="preserve"> het vertrouwen in de onafhankelijkheid en onpartijdigheid van</w:t>
      </w:r>
      <w:r w:rsidR="00AE414F">
        <w:rPr>
          <w:rFonts w:ascii="Verdana" w:hAnsi="Verdana"/>
        </w:rPr>
        <w:t xml:space="preserve"> een</w:t>
      </w:r>
      <w:r w:rsidRPr="002938FD">
        <w:rPr>
          <w:rFonts w:ascii="Verdana" w:hAnsi="Verdana"/>
        </w:rPr>
        <w:t xml:space="preserve"> </w:t>
      </w:r>
      <w:r w:rsidRPr="00EE172F">
        <w:rPr>
          <w:rFonts w:ascii="Verdana" w:hAnsi="Verdana"/>
        </w:rPr>
        <w:t>rechterlijk ambtenaar</w:t>
      </w:r>
      <w:r w:rsidRPr="002938FD">
        <w:rPr>
          <w:rFonts w:ascii="Verdana" w:hAnsi="Verdana"/>
        </w:rPr>
        <w:t>. Dat belang moet afgewogen worden tegen andere belangen</w:t>
      </w:r>
      <w:r w:rsidR="0012551A">
        <w:rPr>
          <w:rFonts w:ascii="Verdana" w:hAnsi="Verdana"/>
        </w:rPr>
        <w:t>,</w:t>
      </w:r>
      <w:r w:rsidRPr="002938FD">
        <w:rPr>
          <w:rFonts w:ascii="Verdana" w:hAnsi="Verdana"/>
        </w:rPr>
        <w:t xml:space="preserve"> </w:t>
      </w:r>
      <w:r w:rsidR="0012551A">
        <w:rPr>
          <w:rFonts w:ascii="Verdana" w:hAnsi="Verdana"/>
        </w:rPr>
        <w:t xml:space="preserve">zoals de vrijheid van </w:t>
      </w:r>
      <w:r w:rsidRPr="000D21A0" w:rsidR="0012551A">
        <w:rPr>
          <w:rFonts w:ascii="Verdana" w:hAnsi="Verdana"/>
        </w:rPr>
        <w:t xml:space="preserve">vereniging </w:t>
      </w:r>
      <w:r w:rsidRPr="000D21A0" w:rsidR="00AE414F">
        <w:rPr>
          <w:rFonts w:ascii="Verdana" w:hAnsi="Verdana"/>
        </w:rPr>
        <w:t xml:space="preserve">(waar het lidmaatschap van een genootschap als de Haagse Schouw onder valt) </w:t>
      </w:r>
      <w:r w:rsidRPr="000D21A0" w:rsidR="0012551A">
        <w:rPr>
          <w:rFonts w:ascii="Verdana" w:hAnsi="Verdana"/>
        </w:rPr>
        <w:t xml:space="preserve">en de eerbiediging van de persoonlijke levenssfeer. </w:t>
      </w:r>
      <w:r w:rsidRPr="000D21A0" w:rsidR="00AE414F">
        <w:rPr>
          <w:rFonts w:ascii="Verdana" w:hAnsi="Verdana"/>
        </w:rPr>
        <w:t xml:space="preserve">Dit zijn </w:t>
      </w:r>
      <w:r w:rsidRPr="000D21A0">
        <w:rPr>
          <w:rFonts w:ascii="Verdana" w:hAnsi="Verdana"/>
        </w:rPr>
        <w:t>grondrecht</w:t>
      </w:r>
      <w:r w:rsidRPr="000D21A0" w:rsidR="00AE414F">
        <w:rPr>
          <w:rFonts w:ascii="Verdana" w:hAnsi="Verdana"/>
        </w:rPr>
        <w:t>en</w:t>
      </w:r>
      <w:r w:rsidRPr="000D21A0">
        <w:rPr>
          <w:rFonts w:ascii="Verdana" w:hAnsi="Verdana"/>
        </w:rPr>
        <w:t xml:space="preserve"> </w:t>
      </w:r>
      <w:r w:rsidRPr="000D21A0" w:rsidR="00AE414F">
        <w:rPr>
          <w:rFonts w:ascii="Verdana" w:hAnsi="Verdana"/>
        </w:rPr>
        <w:t xml:space="preserve">die </w:t>
      </w:r>
      <w:r w:rsidRPr="000D21A0">
        <w:rPr>
          <w:rFonts w:ascii="Verdana" w:hAnsi="Verdana"/>
        </w:rPr>
        <w:t>geborgd word</w:t>
      </w:r>
      <w:r w:rsidRPr="000D21A0" w:rsidR="00AE414F">
        <w:rPr>
          <w:rFonts w:ascii="Verdana" w:hAnsi="Verdana"/>
        </w:rPr>
        <w:t>en</w:t>
      </w:r>
      <w:r w:rsidRPr="000D21A0">
        <w:rPr>
          <w:rFonts w:ascii="Verdana" w:hAnsi="Verdana"/>
        </w:rPr>
        <w:t xml:space="preserve"> in artikel 8 </w:t>
      </w:r>
      <w:r w:rsidRPr="000D21A0" w:rsidR="00AE414F">
        <w:rPr>
          <w:rFonts w:ascii="Verdana" w:hAnsi="Verdana"/>
        </w:rPr>
        <w:t xml:space="preserve">en 10 </w:t>
      </w:r>
      <w:r w:rsidRPr="000D21A0">
        <w:rPr>
          <w:rFonts w:ascii="Verdana" w:hAnsi="Verdana"/>
        </w:rPr>
        <w:t xml:space="preserve">van de Grondwet. </w:t>
      </w:r>
      <w:r w:rsidRPr="000D21A0" w:rsidR="00AE414F">
        <w:rPr>
          <w:rFonts w:ascii="Verdana" w:hAnsi="Verdana"/>
        </w:rPr>
        <w:t>Deze rechten</w:t>
      </w:r>
      <w:r w:rsidRPr="000D21A0">
        <w:rPr>
          <w:rFonts w:ascii="Verdana" w:hAnsi="Verdana"/>
        </w:rPr>
        <w:t xml:space="preserve"> geld</w:t>
      </w:r>
      <w:r w:rsidRPr="000D21A0" w:rsidR="00AE414F">
        <w:rPr>
          <w:rFonts w:ascii="Verdana" w:hAnsi="Verdana"/>
        </w:rPr>
        <w:t>en</w:t>
      </w:r>
      <w:r w:rsidRPr="000D21A0">
        <w:rPr>
          <w:rFonts w:ascii="Verdana" w:hAnsi="Verdana"/>
        </w:rPr>
        <w:t xml:space="preserve"> ook voor rechterlijk</w:t>
      </w:r>
      <w:r w:rsidRPr="000D21A0" w:rsidR="00BA6777">
        <w:rPr>
          <w:rFonts w:ascii="Verdana" w:hAnsi="Verdana"/>
        </w:rPr>
        <w:t>e</w:t>
      </w:r>
      <w:r w:rsidRPr="000D21A0">
        <w:rPr>
          <w:rFonts w:ascii="Verdana" w:hAnsi="Verdana"/>
        </w:rPr>
        <w:t xml:space="preserve"> ambtenaren.</w:t>
      </w:r>
      <w:bookmarkEnd w:id="0"/>
      <w:r w:rsidRPr="000D21A0" w:rsidR="006342BD">
        <w:t xml:space="preserve"> </w:t>
      </w:r>
      <w:r w:rsidRPr="000D21A0" w:rsidDel="005F70C0">
        <w:rPr>
          <w:rFonts w:ascii="Verdana" w:hAnsi="Verdana"/>
        </w:rPr>
        <w:t xml:space="preserve"> </w:t>
      </w:r>
      <w:r w:rsidRPr="000D21A0" w:rsidR="006342BD">
        <w:rPr>
          <w:rFonts w:ascii="Verdana" w:hAnsi="Verdana"/>
        </w:rPr>
        <w:t xml:space="preserve">Hoewel transparantie past bij de bijzondere positie van rechterlijk ambtenaren, </w:t>
      </w:r>
      <w:r w:rsidRPr="000D21A0" w:rsidR="001D0AFA">
        <w:rPr>
          <w:rFonts w:ascii="Verdana" w:hAnsi="Verdana"/>
        </w:rPr>
        <w:t xml:space="preserve">moet </w:t>
      </w:r>
      <w:r w:rsidRPr="000D21A0" w:rsidR="006342BD">
        <w:rPr>
          <w:rFonts w:ascii="Verdana" w:hAnsi="Verdana"/>
        </w:rPr>
        <w:t>een algemene verplichting</w:t>
      </w:r>
      <w:r w:rsidRPr="000D21A0" w:rsidR="001D0AFA">
        <w:rPr>
          <w:rFonts w:ascii="Verdana" w:hAnsi="Verdana"/>
        </w:rPr>
        <w:t xml:space="preserve"> tot transparantie </w:t>
      </w:r>
      <w:r w:rsidRPr="000D21A0" w:rsidR="006342BD">
        <w:rPr>
          <w:rFonts w:ascii="Verdana" w:hAnsi="Verdana"/>
        </w:rPr>
        <w:t xml:space="preserve">– zoals een meldings- of registratieplicht van het lidmaatschap van een vereniging als de Haagse Schouw – </w:t>
      </w:r>
      <w:r w:rsidRPr="000D21A0" w:rsidR="001D0AFA">
        <w:rPr>
          <w:rFonts w:ascii="Verdana" w:hAnsi="Verdana"/>
        </w:rPr>
        <w:t xml:space="preserve">afgewogen worden tegen andere </w:t>
      </w:r>
      <w:r w:rsidRPr="000D21A0" w:rsidR="006342BD">
        <w:rPr>
          <w:rFonts w:ascii="Verdana" w:hAnsi="Verdana"/>
        </w:rPr>
        <w:t xml:space="preserve">grondrechten, zoals de vrijheid van vereniging en de eerbiediging van de persoonlijke levenssfeer, én de rechterlijke onafhankelijkheid. </w:t>
      </w:r>
      <w:r w:rsidRPr="000D21A0" w:rsidR="001D0AFA">
        <w:rPr>
          <w:rFonts w:ascii="Verdana" w:hAnsi="Verdana"/>
        </w:rPr>
        <w:t xml:space="preserve">Die afweging brengt niet automatisch een verplichting tot transparantie met zich mee. </w:t>
      </w:r>
      <w:r w:rsidRPr="000D21A0">
        <w:rPr>
          <w:rFonts w:ascii="Verdana" w:hAnsi="Verdana"/>
        </w:rPr>
        <w:t>Dat laat uiteraard onverlet, dat er situaties kunnen ontstaan waarin het lidmaatschap van een vereniging of genootschap niet te verenigen blijkt met een optreden als rechter in een bepaalde zaak of met een bepaalde functie binnen de Rechtspraak. Of waarin - door dat lidmaatschap - de schijn van een gebrek aan onafhankelijkheid of onpartijdigheid kan worden gewekt. De</w:t>
      </w:r>
      <w:r w:rsidRPr="000D21A0" w:rsidR="00216383">
        <w:rPr>
          <w:rFonts w:ascii="Verdana" w:hAnsi="Verdana"/>
        </w:rPr>
        <w:t xml:space="preserve"> voornoemde</w:t>
      </w:r>
      <w:r w:rsidRPr="000D21A0">
        <w:rPr>
          <w:rFonts w:ascii="Verdana" w:hAnsi="Verdana"/>
        </w:rPr>
        <w:t xml:space="preserve"> Leidraad en de gedragscode bieden handvatten voor het maken van afwegingen in deze concrete situaties.</w:t>
      </w:r>
    </w:p>
    <w:p w:rsidRPr="003E002E" w:rsidR="003E002E" w:rsidP="00CB3803" w:rsidRDefault="003E002E" w14:paraId="7FC23656" w14:textId="6D385E8B">
      <w:pPr>
        <w:pStyle w:val="Geenafstand"/>
        <w:rPr>
          <w:rFonts w:ascii="Verdana" w:hAnsi="Verdana"/>
        </w:rPr>
      </w:pPr>
    </w:p>
    <w:sectPr w:rsidRPr="003E002E" w:rsidR="003E002E">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7607C" w14:textId="77777777" w:rsidR="00642CD4" w:rsidRDefault="00642CD4">
      <w:pPr>
        <w:spacing w:line="240" w:lineRule="auto"/>
      </w:pPr>
      <w:r>
        <w:separator/>
      </w:r>
    </w:p>
  </w:endnote>
  <w:endnote w:type="continuationSeparator" w:id="0">
    <w:p w14:paraId="36FB8E8A" w14:textId="77777777" w:rsidR="00642CD4" w:rsidRDefault="00642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E8788" w14:textId="77777777" w:rsidR="00642CD4" w:rsidRDefault="00642CD4">
      <w:pPr>
        <w:spacing w:line="240" w:lineRule="auto"/>
      </w:pPr>
      <w:r>
        <w:separator/>
      </w:r>
    </w:p>
  </w:footnote>
  <w:footnote w:type="continuationSeparator" w:id="0">
    <w:p w14:paraId="37C3F102" w14:textId="77777777" w:rsidR="00642CD4" w:rsidRDefault="00642CD4">
      <w:pPr>
        <w:spacing w:line="240" w:lineRule="auto"/>
      </w:pPr>
      <w:r>
        <w:continuationSeparator/>
      </w:r>
    </w:p>
  </w:footnote>
  <w:footnote w:id="1">
    <w:p w14:paraId="641130FD" w14:textId="77777777" w:rsidR="00CB3803" w:rsidRDefault="00CB3803" w:rsidP="00CB3803">
      <w:pPr>
        <w:spacing w:line="240" w:lineRule="auto"/>
        <w:contextualSpacing/>
      </w:pPr>
      <w:r>
        <w:rPr>
          <w:rStyle w:val="Voetnootmarkering"/>
        </w:rPr>
        <w:footnoteRef/>
      </w:r>
      <w:r>
        <w:t xml:space="preserve"> </w:t>
      </w:r>
      <w:r w:rsidRPr="00B91138">
        <w:rPr>
          <w:sz w:val="16"/>
          <w:szCs w:val="16"/>
        </w:rPr>
        <w:t xml:space="preserve">Follow the Money, 13 mei 2025, ‘Haagse rechters, topambtenaren, bestuurders en </w:t>
      </w:r>
      <w:proofErr w:type="spellStart"/>
      <w:r w:rsidRPr="00B91138">
        <w:rPr>
          <w:sz w:val="16"/>
          <w:szCs w:val="16"/>
        </w:rPr>
        <w:t>ceo's</w:t>
      </w:r>
      <w:proofErr w:type="spellEnd"/>
      <w:r w:rsidRPr="00B91138">
        <w:rPr>
          <w:sz w:val="16"/>
          <w:szCs w:val="16"/>
        </w:rPr>
        <w:t xml:space="preserve"> zitten in dezelfde club, zonder dat iemand het weet’ (Haagse rechters, topambtenaren, bestuurders en </w:t>
      </w:r>
      <w:proofErr w:type="spellStart"/>
      <w:r w:rsidRPr="00B91138">
        <w:rPr>
          <w:sz w:val="16"/>
          <w:szCs w:val="16"/>
        </w:rPr>
        <w:t>ceo’s</w:t>
      </w:r>
      <w:proofErr w:type="spellEnd"/>
      <w:r w:rsidRPr="00B91138">
        <w:rPr>
          <w:sz w:val="16"/>
          <w:szCs w:val="16"/>
        </w:rPr>
        <w:t xml:space="preserve"> zitten in dezelfde club, zonder dat iemand het weet - Follow the Money - Platform voor onderzoeksjournalistiek).</w:t>
      </w:r>
    </w:p>
  </w:footnote>
  <w:footnote w:id="2">
    <w:p w14:paraId="02D14158" w14:textId="3097E78D" w:rsidR="008A2699" w:rsidRDefault="008A2699">
      <w:pPr>
        <w:pStyle w:val="Voetnoottekst"/>
      </w:pPr>
      <w:r w:rsidRPr="008A2699">
        <w:rPr>
          <w:sz w:val="16"/>
          <w:szCs w:val="16"/>
        </w:rPr>
        <w:footnoteRef/>
      </w:r>
      <w:r w:rsidRPr="008A2699">
        <w:rPr>
          <w:sz w:val="16"/>
          <w:szCs w:val="16"/>
        </w:rPr>
        <w:t xml:space="preserve"> Kamerstukken II, 2004/05, 29937 nr. 3.</w:t>
      </w:r>
    </w:p>
  </w:footnote>
  <w:footnote w:id="3">
    <w:p w14:paraId="1FD3D7F3" w14:textId="77777777" w:rsidR="00B924DE" w:rsidRPr="002B4554" w:rsidRDefault="00B924DE" w:rsidP="00B924DE">
      <w:pPr>
        <w:pStyle w:val="Voetnoottekst"/>
        <w:rPr>
          <w:sz w:val="16"/>
          <w:szCs w:val="16"/>
        </w:rPr>
      </w:pPr>
      <w:r>
        <w:rPr>
          <w:rStyle w:val="Voetnootmarkering"/>
        </w:rPr>
        <w:footnoteRef/>
      </w:r>
      <w:r>
        <w:t xml:space="preserve"> </w:t>
      </w:r>
      <w:r w:rsidRPr="003D4C85">
        <w:rPr>
          <w:rFonts w:cs="Arial"/>
          <w:color w:val="333333"/>
          <w:sz w:val="16"/>
          <w:szCs w:val="16"/>
          <w:shd w:val="clear" w:color="auto" w:fill="FFFFFF"/>
        </w:rPr>
        <w:t>Ten aanzien van de met rechtspraak belaste rechterlijke ambtenaren</w:t>
      </w:r>
      <w:r>
        <w:rPr>
          <w:rFonts w:cs="Arial"/>
          <w:color w:val="333333"/>
          <w:sz w:val="16"/>
          <w:szCs w:val="16"/>
          <w:shd w:val="clear" w:color="auto" w:fill="FFFFFF"/>
        </w:rPr>
        <w:t xml:space="preserve"> </w:t>
      </w:r>
      <w:r w:rsidRPr="003D4C85">
        <w:rPr>
          <w:rFonts w:cs="Arial"/>
          <w:color w:val="333333"/>
          <w:sz w:val="16"/>
          <w:szCs w:val="16"/>
          <w:shd w:val="clear" w:color="auto" w:fill="FFFFFF"/>
        </w:rPr>
        <w:t>wordt deze bevoegdheid uitgeoefend door de president van het gerecht waar betrokkene werkzaam is. Ten aanzien van president</w:t>
      </w:r>
      <w:r>
        <w:rPr>
          <w:rFonts w:cs="Arial"/>
          <w:color w:val="333333"/>
          <w:sz w:val="16"/>
          <w:szCs w:val="16"/>
          <w:shd w:val="clear" w:color="auto" w:fill="FFFFFF"/>
        </w:rPr>
        <w:t>en</w:t>
      </w:r>
      <w:r w:rsidRPr="003D4C85">
        <w:rPr>
          <w:rFonts w:cs="Arial"/>
          <w:color w:val="333333"/>
          <w:sz w:val="16"/>
          <w:szCs w:val="16"/>
          <w:shd w:val="clear" w:color="auto" w:fill="FFFFFF"/>
        </w:rPr>
        <w:t xml:space="preserve"> van een rechtbank wordt deze bevoegdheid uitgeoefend door de president van dat gerechtshof</w:t>
      </w:r>
      <w:r>
        <w:rPr>
          <w:rFonts w:cs="Arial"/>
          <w:color w:val="333333"/>
          <w:sz w:val="16"/>
          <w:szCs w:val="16"/>
          <w:shd w:val="clear" w:color="auto" w:fill="FFFFFF"/>
        </w:rPr>
        <w:t xml:space="preserve"> </w:t>
      </w:r>
      <w:r w:rsidRPr="00B137A0">
        <w:rPr>
          <w:rFonts w:cs="Arial"/>
          <w:color w:val="333333"/>
          <w:sz w:val="16"/>
          <w:szCs w:val="16"/>
          <w:shd w:val="clear" w:color="auto" w:fill="FFFFFF"/>
        </w:rPr>
        <w:t xml:space="preserve">van het ressort waartoe de rechtbank behoort (artikel 44, zesde lid van de </w:t>
      </w:r>
      <w:proofErr w:type="spellStart"/>
      <w:r w:rsidRPr="00B137A0">
        <w:rPr>
          <w:rFonts w:cs="Arial"/>
          <w:color w:val="333333"/>
          <w:sz w:val="16"/>
          <w:szCs w:val="16"/>
          <w:shd w:val="clear" w:color="auto" w:fill="FFFFFF"/>
        </w:rPr>
        <w:t>Wrra</w:t>
      </w:r>
      <w:proofErr w:type="spellEnd"/>
      <w:r w:rsidRPr="00B137A0">
        <w:rPr>
          <w:rFonts w:cs="Arial"/>
          <w:color w:val="333333"/>
          <w:sz w:val="16"/>
          <w:szCs w:val="16"/>
          <w:shd w:val="clear" w:color="auto" w:fill="FFFFFF"/>
        </w:rPr>
        <w:t>)</w:t>
      </w:r>
      <w:r w:rsidRPr="003D4C85">
        <w:rPr>
          <w:rFonts w:cs="Arial"/>
          <w:color w:val="333333"/>
          <w:sz w:val="16"/>
          <w:szCs w:val="16"/>
          <w:shd w:val="clear" w:color="auto" w:fill="FFFFFF"/>
        </w:rPr>
        <w:t xml:space="preserve">. Ten aanzien van de rechterlijke ambtenaren die tevens president zijn </w:t>
      </w:r>
      <w:r>
        <w:rPr>
          <w:rFonts w:ascii="Arial" w:hAnsi="Arial" w:cs="Arial"/>
          <w:color w:val="333333"/>
          <w:shd w:val="clear" w:color="auto" w:fill="FFFFFF"/>
        </w:rPr>
        <w:t>v</w:t>
      </w:r>
      <w:r w:rsidRPr="003D4C85">
        <w:rPr>
          <w:rFonts w:cs="Arial"/>
          <w:color w:val="333333"/>
          <w:sz w:val="16"/>
          <w:szCs w:val="16"/>
          <w:shd w:val="clear" w:color="auto" w:fill="FFFFFF"/>
        </w:rPr>
        <w:t>an een gerechtshof, wordt deze bevoegdheid uitgeoefend door de president van de Hoge Raad.</w:t>
      </w:r>
    </w:p>
  </w:footnote>
  <w:footnote w:id="4">
    <w:p w14:paraId="1D10415F" w14:textId="77777777" w:rsidR="00B924DE" w:rsidRPr="0092788B" w:rsidRDefault="00B924DE" w:rsidP="00B924DE">
      <w:pPr>
        <w:pStyle w:val="Voetnoottekst"/>
        <w:rPr>
          <w:sz w:val="16"/>
          <w:szCs w:val="16"/>
        </w:rPr>
      </w:pPr>
      <w:r w:rsidRPr="0092788B">
        <w:rPr>
          <w:rStyle w:val="Voetnootmarkering"/>
          <w:sz w:val="16"/>
          <w:szCs w:val="16"/>
        </w:rPr>
        <w:footnoteRef/>
      </w:r>
      <w:r w:rsidRPr="0092788B">
        <w:rPr>
          <w:sz w:val="16"/>
          <w:szCs w:val="16"/>
        </w:rPr>
        <w:t xml:space="preserve"> Zie artikel 44, vijfde en zesde lid, </w:t>
      </w:r>
      <w:proofErr w:type="spellStart"/>
      <w:r w:rsidRPr="0092788B">
        <w:rPr>
          <w:sz w:val="16"/>
          <w:szCs w:val="16"/>
        </w:rPr>
        <w:t>Wrra</w:t>
      </w:r>
      <w:proofErr w:type="spellEnd"/>
      <w:r w:rsidRPr="0092788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990F" w14:textId="77777777" w:rsidR="00D44ED9" w:rsidRDefault="00097BD3">
    <w:r>
      <w:rPr>
        <w:noProof/>
      </w:rPr>
      <mc:AlternateContent>
        <mc:Choice Requires="wps">
          <w:drawing>
            <wp:anchor distT="0" distB="0" distL="0" distR="0" simplePos="0" relativeHeight="251652096" behindDoc="0" locked="1" layoutInCell="1" allowOverlap="1" wp14:anchorId="2F1DF4A4" wp14:editId="2B3EF52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EFA1C3C" w14:textId="77777777" w:rsidR="00936B21" w:rsidRDefault="00936B21"/>
                      </w:txbxContent>
                    </wps:txbx>
                    <wps:bodyPr vert="horz" wrap="square" lIns="0" tIns="0" rIns="0" bIns="0" anchor="t" anchorCtr="0"/>
                  </wps:wsp>
                </a:graphicData>
              </a:graphic>
            </wp:anchor>
          </w:drawing>
        </mc:Choice>
        <mc:Fallback>
          <w:pict>
            <v:shapetype w14:anchorId="2F1DF4A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EFA1C3C" w14:textId="77777777" w:rsidR="00936B21" w:rsidRDefault="00936B2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950584D" wp14:editId="0A58481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8DE1E6" w14:textId="77777777" w:rsidR="00D44ED9" w:rsidRDefault="00097BD3">
                          <w:pPr>
                            <w:pStyle w:val="Referentiegegevensbold"/>
                          </w:pPr>
                          <w:r>
                            <w:t>Directoraat-Generaal Rechtspleging en Rechtshandhaving</w:t>
                          </w:r>
                        </w:p>
                        <w:p w14:paraId="4B2006E7" w14:textId="77777777" w:rsidR="00D44ED9" w:rsidRDefault="00097BD3">
                          <w:pPr>
                            <w:pStyle w:val="Referentiegegevens"/>
                          </w:pPr>
                          <w:r>
                            <w:t>Directie Rechtsbestel</w:t>
                          </w:r>
                        </w:p>
                        <w:p w14:paraId="26B5974C" w14:textId="77777777" w:rsidR="00D44ED9" w:rsidRDefault="00097BD3">
                          <w:pPr>
                            <w:pStyle w:val="Referentiegegevens"/>
                          </w:pPr>
                          <w:r>
                            <w:t>Rechtspraak en Geschilopl.</w:t>
                          </w:r>
                        </w:p>
                        <w:p w14:paraId="1F7A0E1C" w14:textId="77777777" w:rsidR="00D44ED9" w:rsidRDefault="00D44ED9">
                          <w:pPr>
                            <w:pStyle w:val="WitregelW2"/>
                          </w:pPr>
                        </w:p>
                        <w:p w14:paraId="287C174C" w14:textId="77777777" w:rsidR="00D44ED9" w:rsidRDefault="00097BD3">
                          <w:pPr>
                            <w:pStyle w:val="Referentiegegevensbold"/>
                          </w:pPr>
                          <w:r>
                            <w:t>Datum</w:t>
                          </w:r>
                        </w:p>
                        <w:p w14:paraId="3B969142" w14:textId="3806E292" w:rsidR="00D44ED9" w:rsidRDefault="00A71BC2">
                          <w:pPr>
                            <w:pStyle w:val="Referentiegegevens"/>
                          </w:pPr>
                          <w:sdt>
                            <w:sdtPr>
                              <w:id w:val="-1749498929"/>
                              <w:date w:fullDate="2025-08-28T00:00:00Z">
                                <w:dateFormat w:val="d MMMM yyyy"/>
                                <w:lid w:val="nl"/>
                                <w:storeMappedDataAs w:val="dateTime"/>
                                <w:calendar w:val="gregorian"/>
                              </w:date>
                            </w:sdtPr>
                            <w:sdtEndPr/>
                            <w:sdtContent>
                              <w:r w:rsidR="003C58B4">
                                <w:rPr>
                                  <w:lang w:val="nl"/>
                                </w:rPr>
                                <w:t>28 augustus 2025</w:t>
                              </w:r>
                            </w:sdtContent>
                          </w:sdt>
                        </w:p>
                        <w:p w14:paraId="1A4F51DE" w14:textId="77777777" w:rsidR="00D44ED9" w:rsidRDefault="00D44ED9">
                          <w:pPr>
                            <w:pStyle w:val="WitregelW1"/>
                          </w:pPr>
                        </w:p>
                        <w:p w14:paraId="700470A9" w14:textId="77777777" w:rsidR="00D44ED9" w:rsidRDefault="00097BD3">
                          <w:pPr>
                            <w:pStyle w:val="Referentiegegevensbold"/>
                          </w:pPr>
                          <w:r>
                            <w:t>Onze referentie</w:t>
                          </w:r>
                        </w:p>
                        <w:p w14:paraId="7562FA61" w14:textId="77777777" w:rsidR="00D44ED9" w:rsidRDefault="00097BD3">
                          <w:pPr>
                            <w:pStyle w:val="Referentiegegevens"/>
                          </w:pPr>
                          <w:r>
                            <w:t>6445309</w:t>
                          </w:r>
                        </w:p>
                      </w:txbxContent>
                    </wps:txbx>
                    <wps:bodyPr vert="horz" wrap="square" lIns="0" tIns="0" rIns="0" bIns="0" anchor="t" anchorCtr="0"/>
                  </wps:wsp>
                </a:graphicData>
              </a:graphic>
            </wp:anchor>
          </w:drawing>
        </mc:Choice>
        <mc:Fallback>
          <w:pict>
            <v:shape w14:anchorId="2950584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18DE1E6" w14:textId="77777777" w:rsidR="00D44ED9" w:rsidRDefault="00097BD3">
                    <w:pPr>
                      <w:pStyle w:val="Referentiegegevensbold"/>
                    </w:pPr>
                    <w:r>
                      <w:t>Directoraat-Generaal Rechtspleging en Rechtshandhaving</w:t>
                    </w:r>
                  </w:p>
                  <w:p w14:paraId="4B2006E7" w14:textId="77777777" w:rsidR="00D44ED9" w:rsidRDefault="00097BD3">
                    <w:pPr>
                      <w:pStyle w:val="Referentiegegevens"/>
                    </w:pPr>
                    <w:r>
                      <w:t>Directie Rechtsbestel</w:t>
                    </w:r>
                  </w:p>
                  <w:p w14:paraId="26B5974C" w14:textId="77777777" w:rsidR="00D44ED9" w:rsidRDefault="00097BD3">
                    <w:pPr>
                      <w:pStyle w:val="Referentiegegevens"/>
                    </w:pPr>
                    <w:r>
                      <w:t>Rechtspraak en Geschilopl.</w:t>
                    </w:r>
                  </w:p>
                  <w:p w14:paraId="1F7A0E1C" w14:textId="77777777" w:rsidR="00D44ED9" w:rsidRDefault="00D44ED9">
                    <w:pPr>
                      <w:pStyle w:val="WitregelW2"/>
                    </w:pPr>
                  </w:p>
                  <w:p w14:paraId="287C174C" w14:textId="77777777" w:rsidR="00D44ED9" w:rsidRDefault="00097BD3">
                    <w:pPr>
                      <w:pStyle w:val="Referentiegegevensbold"/>
                    </w:pPr>
                    <w:r>
                      <w:t>Datum</w:t>
                    </w:r>
                  </w:p>
                  <w:p w14:paraId="3B969142" w14:textId="3806E292" w:rsidR="00D44ED9" w:rsidRDefault="00A71BC2">
                    <w:pPr>
                      <w:pStyle w:val="Referentiegegevens"/>
                    </w:pPr>
                    <w:sdt>
                      <w:sdtPr>
                        <w:id w:val="-1749498929"/>
                        <w:date w:fullDate="2025-08-28T00:00:00Z">
                          <w:dateFormat w:val="d MMMM yyyy"/>
                          <w:lid w:val="nl"/>
                          <w:storeMappedDataAs w:val="dateTime"/>
                          <w:calendar w:val="gregorian"/>
                        </w:date>
                      </w:sdtPr>
                      <w:sdtEndPr/>
                      <w:sdtContent>
                        <w:r w:rsidR="003C58B4">
                          <w:rPr>
                            <w:lang w:val="nl"/>
                          </w:rPr>
                          <w:t>28 augustus 2025</w:t>
                        </w:r>
                      </w:sdtContent>
                    </w:sdt>
                  </w:p>
                  <w:p w14:paraId="1A4F51DE" w14:textId="77777777" w:rsidR="00D44ED9" w:rsidRDefault="00D44ED9">
                    <w:pPr>
                      <w:pStyle w:val="WitregelW1"/>
                    </w:pPr>
                  </w:p>
                  <w:p w14:paraId="700470A9" w14:textId="77777777" w:rsidR="00D44ED9" w:rsidRDefault="00097BD3">
                    <w:pPr>
                      <w:pStyle w:val="Referentiegegevensbold"/>
                    </w:pPr>
                    <w:r>
                      <w:t>Onze referentie</w:t>
                    </w:r>
                  </w:p>
                  <w:p w14:paraId="7562FA61" w14:textId="77777777" w:rsidR="00D44ED9" w:rsidRDefault="00097BD3">
                    <w:pPr>
                      <w:pStyle w:val="Referentiegegevens"/>
                    </w:pPr>
                    <w:r>
                      <w:t>6445309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7D30E3E" wp14:editId="76D669F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8C7487" w14:textId="77777777" w:rsidR="00936B21" w:rsidRDefault="00936B21"/>
                      </w:txbxContent>
                    </wps:txbx>
                    <wps:bodyPr vert="horz" wrap="square" lIns="0" tIns="0" rIns="0" bIns="0" anchor="t" anchorCtr="0"/>
                  </wps:wsp>
                </a:graphicData>
              </a:graphic>
            </wp:anchor>
          </w:drawing>
        </mc:Choice>
        <mc:Fallback>
          <w:pict>
            <v:shape w14:anchorId="77D30E3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A8C7487" w14:textId="77777777" w:rsidR="00936B21" w:rsidRDefault="00936B2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AB217D" wp14:editId="3230714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33E9CFC" w14:textId="73FD9784" w:rsidR="00D44ED9" w:rsidRDefault="00097BD3">
                          <w:pPr>
                            <w:pStyle w:val="Referentiegegevens"/>
                          </w:pPr>
                          <w:r>
                            <w:t xml:space="preserve">Pagina </w:t>
                          </w:r>
                          <w:r>
                            <w:fldChar w:fldCharType="begin"/>
                          </w:r>
                          <w:r>
                            <w:instrText>PAGE</w:instrText>
                          </w:r>
                          <w:r>
                            <w:fldChar w:fldCharType="separate"/>
                          </w:r>
                          <w:r w:rsidR="00B91138">
                            <w:rPr>
                              <w:noProof/>
                            </w:rPr>
                            <w:t>2</w:t>
                          </w:r>
                          <w:r>
                            <w:fldChar w:fldCharType="end"/>
                          </w:r>
                          <w:r>
                            <w:t xml:space="preserve"> van </w:t>
                          </w:r>
                          <w:r>
                            <w:fldChar w:fldCharType="begin"/>
                          </w:r>
                          <w:r>
                            <w:instrText>NUMPAGES</w:instrText>
                          </w:r>
                          <w:r>
                            <w:fldChar w:fldCharType="separate"/>
                          </w:r>
                          <w:r w:rsidR="00B91138">
                            <w:rPr>
                              <w:noProof/>
                            </w:rPr>
                            <w:t>1</w:t>
                          </w:r>
                          <w:r>
                            <w:fldChar w:fldCharType="end"/>
                          </w:r>
                        </w:p>
                      </w:txbxContent>
                    </wps:txbx>
                    <wps:bodyPr vert="horz" wrap="square" lIns="0" tIns="0" rIns="0" bIns="0" anchor="t" anchorCtr="0"/>
                  </wps:wsp>
                </a:graphicData>
              </a:graphic>
            </wp:anchor>
          </w:drawing>
        </mc:Choice>
        <mc:Fallback>
          <w:pict>
            <v:shape w14:anchorId="1AAB217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33E9CFC" w14:textId="73FD9784" w:rsidR="00D44ED9" w:rsidRDefault="00097BD3">
                    <w:pPr>
                      <w:pStyle w:val="Referentiegegevens"/>
                    </w:pPr>
                    <w:r>
                      <w:t xml:space="preserve">Pagina </w:t>
                    </w:r>
                    <w:r>
                      <w:fldChar w:fldCharType="begin"/>
                    </w:r>
                    <w:r>
                      <w:instrText>PAGE</w:instrText>
                    </w:r>
                    <w:r>
                      <w:fldChar w:fldCharType="separate"/>
                    </w:r>
                    <w:r w:rsidR="00B91138">
                      <w:rPr>
                        <w:noProof/>
                      </w:rPr>
                      <w:t>2</w:t>
                    </w:r>
                    <w:r>
                      <w:fldChar w:fldCharType="end"/>
                    </w:r>
                    <w:r>
                      <w:t xml:space="preserve"> van </w:t>
                    </w:r>
                    <w:r>
                      <w:fldChar w:fldCharType="begin"/>
                    </w:r>
                    <w:r>
                      <w:instrText>NUMPAGES</w:instrText>
                    </w:r>
                    <w:r>
                      <w:fldChar w:fldCharType="separate"/>
                    </w:r>
                    <w:r w:rsidR="00B9113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7A7D" w14:textId="77777777" w:rsidR="00D44ED9" w:rsidRDefault="00097BD3">
    <w:pPr>
      <w:spacing w:after="6377" w:line="14" w:lineRule="exact"/>
    </w:pPr>
    <w:r>
      <w:rPr>
        <w:noProof/>
      </w:rPr>
      <mc:AlternateContent>
        <mc:Choice Requires="wps">
          <w:drawing>
            <wp:anchor distT="0" distB="0" distL="0" distR="0" simplePos="0" relativeHeight="251656192" behindDoc="0" locked="1" layoutInCell="1" allowOverlap="1" wp14:anchorId="0776ABD4" wp14:editId="6EAAA13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DC86C3" w14:textId="77777777" w:rsidR="00D44ED9" w:rsidRDefault="00097BD3">
                          <w:pPr>
                            <w:spacing w:line="240" w:lineRule="auto"/>
                          </w:pPr>
                          <w:r>
                            <w:rPr>
                              <w:noProof/>
                            </w:rPr>
                            <w:drawing>
                              <wp:inline distT="0" distB="0" distL="0" distR="0" wp14:anchorId="670FD672" wp14:editId="65A2CD8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776ABD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6DC86C3" w14:textId="77777777" w:rsidR="00D44ED9" w:rsidRDefault="00097BD3">
                    <w:pPr>
                      <w:spacing w:line="240" w:lineRule="auto"/>
                    </w:pPr>
                    <w:r>
                      <w:rPr>
                        <w:noProof/>
                      </w:rPr>
                      <w:drawing>
                        <wp:inline distT="0" distB="0" distL="0" distR="0" wp14:anchorId="670FD672" wp14:editId="65A2CD8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2F83DA3" wp14:editId="28614A9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62B994" w14:textId="77777777" w:rsidR="00D44ED9" w:rsidRDefault="00097BD3">
                          <w:pPr>
                            <w:spacing w:line="240" w:lineRule="auto"/>
                          </w:pPr>
                          <w:r>
                            <w:rPr>
                              <w:noProof/>
                            </w:rPr>
                            <w:drawing>
                              <wp:inline distT="0" distB="0" distL="0" distR="0" wp14:anchorId="31B4508C" wp14:editId="6D82D8C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F83DA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262B994" w14:textId="77777777" w:rsidR="00D44ED9" w:rsidRDefault="00097BD3">
                    <w:pPr>
                      <w:spacing w:line="240" w:lineRule="auto"/>
                    </w:pPr>
                    <w:r>
                      <w:rPr>
                        <w:noProof/>
                      </w:rPr>
                      <w:drawing>
                        <wp:inline distT="0" distB="0" distL="0" distR="0" wp14:anchorId="31B4508C" wp14:editId="6D82D8C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7775B6C" wp14:editId="78FB0C8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42CE8F" w14:textId="77777777" w:rsidR="00D44ED9" w:rsidRDefault="00097BD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7775B6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E42CE8F" w14:textId="77777777" w:rsidR="00D44ED9" w:rsidRDefault="00097BD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21CB67D" wp14:editId="3291C7A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BF1E0A" w14:textId="77777777" w:rsidR="003C58B4" w:rsidRDefault="00097BD3">
                          <w:r>
                            <w:t xml:space="preserve">Aan de Voorzitter van de Tweede Kamer </w:t>
                          </w:r>
                        </w:p>
                        <w:p w14:paraId="3FCA4D0F" w14:textId="7A8086C5" w:rsidR="00D44ED9" w:rsidRDefault="00097BD3">
                          <w:r>
                            <w:t>der Staten-Generaal</w:t>
                          </w:r>
                        </w:p>
                        <w:p w14:paraId="4EFB2086" w14:textId="77777777" w:rsidR="00D44ED9" w:rsidRDefault="00097BD3">
                          <w:r>
                            <w:t xml:space="preserve">Postbus 20018 </w:t>
                          </w:r>
                        </w:p>
                        <w:p w14:paraId="131B99FC" w14:textId="77777777" w:rsidR="00D44ED9" w:rsidRDefault="00097BD3">
                          <w:r>
                            <w:t>2500 EA  DEN HAAG</w:t>
                          </w:r>
                        </w:p>
                      </w:txbxContent>
                    </wps:txbx>
                    <wps:bodyPr vert="horz" wrap="square" lIns="0" tIns="0" rIns="0" bIns="0" anchor="t" anchorCtr="0"/>
                  </wps:wsp>
                </a:graphicData>
              </a:graphic>
            </wp:anchor>
          </w:drawing>
        </mc:Choice>
        <mc:Fallback>
          <w:pict>
            <v:shape w14:anchorId="521CB67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FBF1E0A" w14:textId="77777777" w:rsidR="003C58B4" w:rsidRDefault="00097BD3">
                    <w:r>
                      <w:t xml:space="preserve">Aan de Voorzitter van de Tweede Kamer </w:t>
                    </w:r>
                  </w:p>
                  <w:p w14:paraId="3FCA4D0F" w14:textId="7A8086C5" w:rsidR="00D44ED9" w:rsidRDefault="00097BD3">
                    <w:r>
                      <w:t>der Staten-Generaal</w:t>
                    </w:r>
                  </w:p>
                  <w:p w14:paraId="4EFB2086" w14:textId="77777777" w:rsidR="00D44ED9" w:rsidRDefault="00097BD3">
                    <w:r>
                      <w:t xml:space="preserve">Postbus 20018 </w:t>
                    </w:r>
                  </w:p>
                  <w:p w14:paraId="131B99FC" w14:textId="77777777" w:rsidR="00D44ED9" w:rsidRDefault="00097BD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DA44CBF" wp14:editId="43210C6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44ED9" w14:paraId="516BE3BC" w14:textId="77777777">
                            <w:trPr>
                              <w:trHeight w:val="240"/>
                            </w:trPr>
                            <w:tc>
                              <w:tcPr>
                                <w:tcW w:w="1140" w:type="dxa"/>
                              </w:tcPr>
                              <w:p w14:paraId="04FFED93" w14:textId="77777777" w:rsidR="00D44ED9" w:rsidRDefault="00097BD3">
                                <w:r>
                                  <w:t>Datum</w:t>
                                </w:r>
                              </w:p>
                            </w:tc>
                            <w:tc>
                              <w:tcPr>
                                <w:tcW w:w="5918" w:type="dxa"/>
                              </w:tcPr>
                              <w:p w14:paraId="6949DB38" w14:textId="09668F22" w:rsidR="00D44ED9" w:rsidRDefault="00A71BC2">
                                <w:sdt>
                                  <w:sdtPr>
                                    <w:id w:val="651410078"/>
                                    <w:date w:fullDate="2025-08-28T00:00:00Z">
                                      <w:dateFormat w:val="d MMMM yyyy"/>
                                      <w:lid w:val="nl"/>
                                      <w:storeMappedDataAs w:val="dateTime"/>
                                      <w:calendar w:val="gregorian"/>
                                    </w:date>
                                  </w:sdtPr>
                                  <w:sdtEndPr/>
                                  <w:sdtContent>
                                    <w:r w:rsidR="003C58B4">
                                      <w:rPr>
                                        <w:lang w:val="nl"/>
                                      </w:rPr>
                                      <w:t>28 augustus 2025</w:t>
                                    </w:r>
                                  </w:sdtContent>
                                </w:sdt>
                              </w:p>
                            </w:tc>
                          </w:tr>
                          <w:tr w:rsidR="00D44ED9" w14:paraId="580C428D" w14:textId="77777777">
                            <w:trPr>
                              <w:trHeight w:val="240"/>
                            </w:trPr>
                            <w:tc>
                              <w:tcPr>
                                <w:tcW w:w="1140" w:type="dxa"/>
                              </w:tcPr>
                              <w:p w14:paraId="330C8ED2" w14:textId="77777777" w:rsidR="00D44ED9" w:rsidRDefault="00097BD3">
                                <w:r>
                                  <w:t>Betreft</w:t>
                                </w:r>
                              </w:p>
                            </w:tc>
                            <w:tc>
                              <w:tcPr>
                                <w:tcW w:w="5918" w:type="dxa"/>
                              </w:tcPr>
                              <w:p w14:paraId="03CFDADF" w14:textId="2DF21B8E" w:rsidR="00D44ED9" w:rsidRDefault="00097BD3">
                                <w:r>
                                  <w:t xml:space="preserve">Antwoorden </w:t>
                                </w:r>
                                <w:r w:rsidR="00D44596">
                                  <w:t>Kamervragen</w:t>
                                </w:r>
                                <w:r>
                                  <w:t xml:space="preserve"> over het bericht ‘Haagse rechters, topambtenaren, bestuurders en </w:t>
                                </w:r>
                                <w:proofErr w:type="spellStart"/>
                                <w:r>
                                  <w:t>ceo's</w:t>
                                </w:r>
                                <w:proofErr w:type="spellEnd"/>
                                <w:r>
                                  <w:t xml:space="preserve"> zitten in dezelfde club, zonder dat iemand het weet’.</w:t>
                                </w:r>
                              </w:p>
                            </w:tc>
                          </w:tr>
                        </w:tbl>
                        <w:p w14:paraId="6961F522" w14:textId="77777777" w:rsidR="00936B21" w:rsidRDefault="00936B21"/>
                      </w:txbxContent>
                    </wps:txbx>
                    <wps:bodyPr vert="horz" wrap="square" lIns="0" tIns="0" rIns="0" bIns="0" anchor="t" anchorCtr="0"/>
                  </wps:wsp>
                </a:graphicData>
              </a:graphic>
            </wp:anchor>
          </w:drawing>
        </mc:Choice>
        <mc:Fallback>
          <w:pict>
            <v:shape w14:anchorId="1DA44CB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44ED9" w14:paraId="516BE3BC" w14:textId="77777777">
                      <w:trPr>
                        <w:trHeight w:val="240"/>
                      </w:trPr>
                      <w:tc>
                        <w:tcPr>
                          <w:tcW w:w="1140" w:type="dxa"/>
                        </w:tcPr>
                        <w:p w14:paraId="04FFED93" w14:textId="77777777" w:rsidR="00D44ED9" w:rsidRDefault="00097BD3">
                          <w:r>
                            <w:t>Datum</w:t>
                          </w:r>
                        </w:p>
                      </w:tc>
                      <w:tc>
                        <w:tcPr>
                          <w:tcW w:w="5918" w:type="dxa"/>
                        </w:tcPr>
                        <w:p w14:paraId="6949DB38" w14:textId="09668F22" w:rsidR="00D44ED9" w:rsidRDefault="00A71BC2">
                          <w:sdt>
                            <w:sdtPr>
                              <w:id w:val="651410078"/>
                              <w:date w:fullDate="2025-08-28T00:00:00Z">
                                <w:dateFormat w:val="d MMMM yyyy"/>
                                <w:lid w:val="nl"/>
                                <w:storeMappedDataAs w:val="dateTime"/>
                                <w:calendar w:val="gregorian"/>
                              </w:date>
                            </w:sdtPr>
                            <w:sdtEndPr/>
                            <w:sdtContent>
                              <w:r w:rsidR="003C58B4">
                                <w:rPr>
                                  <w:lang w:val="nl"/>
                                </w:rPr>
                                <w:t>28 augustus 2025</w:t>
                              </w:r>
                            </w:sdtContent>
                          </w:sdt>
                        </w:p>
                      </w:tc>
                    </w:tr>
                    <w:tr w:rsidR="00D44ED9" w14:paraId="580C428D" w14:textId="77777777">
                      <w:trPr>
                        <w:trHeight w:val="240"/>
                      </w:trPr>
                      <w:tc>
                        <w:tcPr>
                          <w:tcW w:w="1140" w:type="dxa"/>
                        </w:tcPr>
                        <w:p w14:paraId="330C8ED2" w14:textId="77777777" w:rsidR="00D44ED9" w:rsidRDefault="00097BD3">
                          <w:r>
                            <w:t>Betreft</w:t>
                          </w:r>
                        </w:p>
                      </w:tc>
                      <w:tc>
                        <w:tcPr>
                          <w:tcW w:w="5918" w:type="dxa"/>
                        </w:tcPr>
                        <w:p w14:paraId="03CFDADF" w14:textId="2DF21B8E" w:rsidR="00D44ED9" w:rsidRDefault="00097BD3">
                          <w:r>
                            <w:t xml:space="preserve">Antwoorden </w:t>
                          </w:r>
                          <w:r w:rsidR="00D44596">
                            <w:t>Kamervragen</w:t>
                          </w:r>
                          <w:r>
                            <w:t xml:space="preserve"> over het bericht ‘Haagse rechters, topambtenaren, bestuurders en </w:t>
                          </w:r>
                          <w:proofErr w:type="spellStart"/>
                          <w:r>
                            <w:t>ceo's</w:t>
                          </w:r>
                          <w:proofErr w:type="spellEnd"/>
                          <w:r>
                            <w:t xml:space="preserve"> zitten in dezelfde club, zonder dat iemand het weet’.</w:t>
                          </w:r>
                        </w:p>
                      </w:tc>
                    </w:tr>
                  </w:tbl>
                  <w:p w14:paraId="6961F522" w14:textId="77777777" w:rsidR="00936B21" w:rsidRDefault="00936B2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5E4F300" wp14:editId="1B4B3A5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E13053" w14:textId="77777777" w:rsidR="00D44ED9" w:rsidRDefault="00097BD3">
                          <w:pPr>
                            <w:pStyle w:val="Referentiegegevensbold"/>
                          </w:pPr>
                          <w:r>
                            <w:t>Directoraat-Generaal Rechtspleging en Rechtshandhaving</w:t>
                          </w:r>
                        </w:p>
                        <w:p w14:paraId="2C07D544" w14:textId="77777777" w:rsidR="00D44ED9" w:rsidRDefault="00097BD3">
                          <w:pPr>
                            <w:pStyle w:val="Referentiegegevens"/>
                          </w:pPr>
                          <w:r>
                            <w:t>Directie Rechtsbestel</w:t>
                          </w:r>
                        </w:p>
                        <w:p w14:paraId="438D67F2" w14:textId="77777777" w:rsidR="00D44ED9" w:rsidRDefault="00097BD3">
                          <w:pPr>
                            <w:pStyle w:val="Referentiegegevens"/>
                          </w:pPr>
                          <w:r>
                            <w:t>Rechtspraak en Geschilopl.</w:t>
                          </w:r>
                        </w:p>
                        <w:p w14:paraId="22D98B61" w14:textId="77777777" w:rsidR="00D44ED9" w:rsidRDefault="00D44ED9">
                          <w:pPr>
                            <w:pStyle w:val="WitregelW1"/>
                          </w:pPr>
                        </w:p>
                        <w:p w14:paraId="0EC4C143" w14:textId="77777777" w:rsidR="00D44ED9" w:rsidRDefault="00097BD3">
                          <w:pPr>
                            <w:pStyle w:val="Referentiegegevens"/>
                          </w:pPr>
                          <w:r>
                            <w:t>Turfmarkt 147</w:t>
                          </w:r>
                        </w:p>
                        <w:p w14:paraId="2D36E395" w14:textId="77777777" w:rsidR="00D44ED9" w:rsidRDefault="00097BD3">
                          <w:pPr>
                            <w:pStyle w:val="Referentiegegevens"/>
                          </w:pPr>
                          <w:r>
                            <w:t>2511 DP   Den Haag</w:t>
                          </w:r>
                        </w:p>
                        <w:p w14:paraId="2DC5A678" w14:textId="77777777" w:rsidR="00D44ED9" w:rsidRPr="00B91138" w:rsidRDefault="00097BD3">
                          <w:pPr>
                            <w:pStyle w:val="Referentiegegevens"/>
                            <w:rPr>
                              <w:lang w:val="de-DE"/>
                            </w:rPr>
                          </w:pPr>
                          <w:r w:rsidRPr="00B91138">
                            <w:rPr>
                              <w:lang w:val="de-DE"/>
                            </w:rPr>
                            <w:t>Postbus 20301</w:t>
                          </w:r>
                        </w:p>
                        <w:p w14:paraId="12900D2F" w14:textId="77777777" w:rsidR="00D44ED9" w:rsidRPr="00B91138" w:rsidRDefault="00097BD3">
                          <w:pPr>
                            <w:pStyle w:val="Referentiegegevens"/>
                            <w:rPr>
                              <w:lang w:val="de-DE"/>
                            </w:rPr>
                          </w:pPr>
                          <w:r w:rsidRPr="00B91138">
                            <w:rPr>
                              <w:lang w:val="de-DE"/>
                            </w:rPr>
                            <w:t>2500 EH   Den Haag</w:t>
                          </w:r>
                        </w:p>
                        <w:p w14:paraId="3B567168" w14:textId="77777777" w:rsidR="00D44ED9" w:rsidRPr="00B91138" w:rsidRDefault="00097BD3">
                          <w:pPr>
                            <w:pStyle w:val="Referentiegegevens"/>
                            <w:rPr>
                              <w:lang w:val="de-DE"/>
                            </w:rPr>
                          </w:pPr>
                          <w:r w:rsidRPr="00B91138">
                            <w:rPr>
                              <w:lang w:val="de-DE"/>
                            </w:rPr>
                            <w:t>www.rijksoverheid.nl/jenv</w:t>
                          </w:r>
                        </w:p>
                        <w:p w14:paraId="3E07F2A6" w14:textId="77777777" w:rsidR="00D44ED9" w:rsidRDefault="00D44ED9">
                          <w:pPr>
                            <w:pStyle w:val="WitregelW2"/>
                          </w:pPr>
                        </w:p>
                        <w:p w14:paraId="51F49395" w14:textId="77777777" w:rsidR="00D44ED9" w:rsidRDefault="00097BD3">
                          <w:pPr>
                            <w:pStyle w:val="Referentiegegevensbold"/>
                          </w:pPr>
                          <w:r>
                            <w:t>Onze referentie</w:t>
                          </w:r>
                        </w:p>
                        <w:p w14:paraId="2ECEADB2" w14:textId="77777777" w:rsidR="00D44ED9" w:rsidRDefault="00097BD3">
                          <w:pPr>
                            <w:pStyle w:val="Referentiegegevens"/>
                          </w:pPr>
                          <w:r>
                            <w:t>6445309</w:t>
                          </w:r>
                        </w:p>
                      </w:txbxContent>
                    </wps:txbx>
                    <wps:bodyPr vert="horz" wrap="square" lIns="0" tIns="0" rIns="0" bIns="0" anchor="t" anchorCtr="0"/>
                  </wps:wsp>
                </a:graphicData>
              </a:graphic>
            </wp:anchor>
          </w:drawing>
        </mc:Choice>
        <mc:Fallback>
          <w:pict>
            <v:shape w14:anchorId="65E4F30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AE13053" w14:textId="77777777" w:rsidR="00D44ED9" w:rsidRDefault="00097BD3">
                    <w:pPr>
                      <w:pStyle w:val="Referentiegegevensbold"/>
                    </w:pPr>
                    <w:r>
                      <w:t>Directoraat-Generaal Rechtspleging en Rechtshandhaving</w:t>
                    </w:r>
                  </w:p>
                  <w:p w14:paraId="2C07D544" w14:textId="77777777" w:rsidR="00D44ED9" w:rsidRDefault="00097BD3">
                    <w:pPr>
                      <w:pStyle w:val="Referentiegegevens"/>
                    </w:pPr>
                    <w:r>
                      <w:t>Directie Rechtsbestel</w:t>
                    </w:r>
                  </w:p>
                  <w:p w14:paraId="438D67F2" w14:textId="77777777" w:rsidR="00D44ED9" w:rsidRDefault="00097BD3">
                    <w:pPr>
                      <w:pStyle w:val="Referentiegegevens"/>
                    </w:pPr>
                    <w:r>
                      <w:t>Rechtspraak en Geschilopl.</w:t>
                    </w:r>
                  </w:p>
                  <w:p w14:paraId="22D98B61" w14:textId="77777777" w:rsidR="00D44ED9" w:rsidRDefault="00D44ED9">
                    <w:pPr>
                      <w:pStyle w:val="WitregelW1"/>
                    </w:pPr>
                  </w:p>
                  <w:p w14:paraId="0EC4C143" w14:textId="77777777" w:rsidR="00D44ED9" w:rsidRDefault="00097BD3">
                    <w:pPr>
                      <w:pStyle w:val="Referentiegegevens"/>
                    </w:pPr>
                    <w:r>
                      <w:t>Turfmarkt 147</w:t>
                    </w:r>
                  </w:p>
                  <w:p w14:paraId="2D36E395" w14:textId="77777777" w:rsidR="00D44ED9" w:rsidRDefault="00097BD3">
                    <w:pPr>
                      <w:pStyle w:val="Referentiegegevens"/>
                    </w:pPr>
                    <w:r>
                      <w:t>2511 DP   Den Haag</w:t>
                    </w:r>
                  </w:p>
                  <w:p w14:paraId="2DC5A678" w14:textId="77777777" w:rsidR="00D44ED9" w:rsidRPr="00B91138" w:rsidRDefault="00097BD3">
                    <w:pPr>
                      <w:pStyle w:val="Referentiegegevens"/>
                      <w:rPr>
                        <w:lang w:val="de-DE"/>
                      </w:rPr>
                    </w:pPr>
                    <w:r w:rsidRPr="00B91138">
                      <w:rPr>
                        <w:lang w:val="de-DE"/>
                      </w:rPr>
                      <w:t>Postbus 20301</w:t>
                    </w:r>
                  </w:p>
                  <w:p w14:paraId="12900D2F" w14:textId="77777777" w:rsidR="00D44ED9" w:rsidRPr="00B91138" w:rsidRDefault="00097BD3">
                    <w:pPr>
                      <w:pStyle w:val="Referentiegegevens"/>
                      <w:rPr>
                        <w:lang w:val="de-DE"/>
                      </w:rPr>
                    </w:pPr>
                    <w:r w:rsidRPr="00B91138">
                      <w:rPr>
                        <w:lang w:val="de-DE"/>
                      </w:rPr>
                      <w:t>2500 EH   Den Haag</w:t>
                    </w:r>
                  </w:p>
                  <w:p w14:paraId="3B567168" w14:textId="77777777" w:rsidR="00D44ED9" w:rsidRPr="00B91138" w:rsidRDefault="00097BD3">
                    <w:pPr>
                      <w:pStyle w:val="Referentiegegevens"/>
                      <w:rPr>
                        <w:lang w:val="de-DE"/>
                      </w:rPr>
                    </w:pPr>
                    <w:r w:rsidRPr="00B91138">
                      <w:rPr>
                        <w:lang w:val="de-DE"/>
                      </w:rPr>
                      <w:t>www.rijksoverheid.nl/jenv</w:t>
                    </w:r>
                  </w:p>
                  <w:p w14:paraId="3E07F2A6" w14:textId="77777777" w:rsidR="00D44ED9" w:rsidRDefault="00D44ED9">
                    <w:pPr>
                      <w:pStyle w:val="WitregelW2"/>
                    </w:pPr>
                  </w:p>
                  <w:p w14:paraId="51F49395" w14:textId="77777777" w:rsidR="00D44ED9" w:rsidRDefault="00097BD3">
                    <w:pPr>
                      <w:pStyle w:val="Referentiegegevensbold"/>
                    </w:pPr>
                    <w:r>
                      <w:t>Onze referentie</w:t>
                    </w:r>
                  </w:p>
                  <w:p w14:paraId="2ECEADB2" w14:textId="77777777" w:rsidR="00D44ED9" w:rsidRDefault="00097BD3">
                    <w:pPr>
                      <w:pStyle w:val="Referentiegegevens"/>
                    </w:pPr>
                    <w:r>
                      <w:t>6445309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008FDCF" wp14:editId="63FDB38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DCF1B83" w14:textId="77777777" w:rsidR="00D44ED9" w:rsidRDefault="00097BD3">
                          <w:pPr>
                            <w:pStyle w:val="Referentiegegevens"/>
                          </w:pPr>
                          <w:r>
                            <w:t xml:space="preserve">Pagina </w:t>
                          </w:r>
                          <w:r>
                            <w:fldChar w:fldCharType="begin"/>
                          </w:r>
                          <w:r>
                            <w:instrText>PAGE</w:instrText>
                          </w:r>
                          <w:r>
                            <w:fldChar w:fldCharType="separate"/>
                          </w:r>
                          <w:r w:rsidR="00B91138">
                            <w:rPr>
                              <w:noProof/>
                            </w:rPr>
                            <w:t>1</w:t>
                          </w:r>
                          <w:r>
                            <w:fldChar w:fldCharType="end"/>
                          </w:r>
                          <w:r>
                            <w:t xml:space="preserve"> van </w:t>
                          </w:r>
                          <w:r>
                            <w:fldChar w:fldCharType="begin"/>
                          </w:r>
                          <w:r>
                            <w:instrText>NUMPAGES</w:instrText>
                          </w:r>
                          <w:r>
                            <w:fldChar w:fldCharType="separate"/>
                          </w:r>
                          <w:r w:rsidR="00B91138">
                            <w:rPr>
                              <w:noProof/>
                            </w:rPr>
                            <w:t>1</w:t>
                          </w:r>
                          <w:r>
                            <w:fldChar w:fldCharType="end"/>
                          </w:r>
                        </w:p>
                      </w:txbxContent>
                    </wps:txbx>
                    <wps:bodyPr vert="horz" wrap="square" lIns="0" tIns="0" rIns="0" bIns="0" anchor="t" anchorCtr="0"/>
                  </wps:wsp>
                </a:graphicData>
              </a:graphic>
            </wp:anchor>
          </w:drawing>
        </mc:Choice>
        <mc:Fallback>
          <w:pict>
            <v:shape w14:anchorId="3008FDC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DCF1B83" w14:textId="77777777" w:rsidR="00D44ED9" w:rsidRDefault="00097BD3">
                    <w:pPr>
                      <w:pStyle w:val="Referentiegegevens"/>
                    </w:pPr>
                    <w:r>
                      <w:t xml:space="preserve">Pagina </w:t>
                    </w:r>
                    <w:r>
                      <w:fldChar w:fldCharType="begin"/>
                    </w:r>
                    <w:r>
                      <w:instrText>PAGE</w:instrText>
                    </w:r>
                    <w:r>
                      <w:fldChar w:fldCharType="separate"/>
                    </w:r>
                    <w:r w:rsidR="00B91138">
                      <w:rPr>
                        <w:noProof/>
                      </w:rPr>
                      <w:t>1</w:t>
                    </w:r>
                    <w:r>
                      <w:fldChar w:fldCharType="end"/>
                    </w:r>
                    <w:r>
                      <w:t xml:space="preserve"> van </w:t>
                    </w:r>
                    <w:r>
                      <w:fldChar w:fldCharType="begin"/>
                    </w:r>
                    <w:r>
                      <w:instrText>NUMPAGES</w:instrText>
                    </w:r>
                    <w:r>
                      <w:fldChar w:fldCharType="separate"/>
                    </w:r>
                    <w:r w:rsidR="00B9113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6DC5CBE" wp14:editId="1EDEA8B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4154EF" w14:textId="77777777" w:rsidR="00936B21" w:rsidRDefault="00936B21"/>
                      </w:txbxContent>
                    </wps:txbx>
                    <wps:bodyPr vert="horz" wrap="square" lIns="0" tIns="0" rIns="0" bIns="0" anchor="t" anchorCtr="0"/>
                  </wps:wsp>
                </a:graphicData>
              </a:graphic>
            </wp:anchor>
          </w:drawing>
        </mc:Choice>
        <mc:Fallback>
          <w:pict>
            <v:shape w14:anchorId="16DC5CB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B4154EF" w14:textId="77777777" w:rsidR="00936B21" w:rsidRDefault="00936B2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494A71"/>
    <w:multiLevelType w:val="multilevel"/>
    <w:tmpl w:val="3A976CC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F25422A"/>
    <w:multiLevelType w:val="multilevel"/>
    <w:tmpl w:val="2C5C6E5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144D659"/>
    <w:multiLevelType w:val="multilevel"/>
    <w:tmpl w:val="AB4A93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2F16269"/>
    <w:multiLevelType w:val="hybridMultilevel"/>
    <w:tmpl w:val="2B8849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4A2F15"/>
    <w:multiLevelType w:val="multilevel"/>
    <w:tmpl w:val="52BD59B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ED0FC71"/>
    <w:multiLevelType w:val="multilevel"/>
    <w:tmpl w:val="B0731A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49B4679"/>
    <w:multiLevelType w:val="multilevel"/>
    <w:tmpl w:val="A0611A3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4889326">
    <w:abstractNumId w:val="1"/>
  </w:num>
  <w:num w:numId="2" w16cid:durableId="163667799">
    <w:abstractNumId w:val="4"/>
  </w:num>
  <w:num w:numId="3" w16cid:durableId="1325622251">
    <w:abstractNumId w:val="6"/>
  </w:num>
  <w:num w:numId="4" w16cid:durableId="602106012">
    <w:abstractNumId w:val="2"/>
  </w:num>
  <w:num w:numId="5" w16cid:durableId="1080322746">
    <w:abstractNumId w:val="0"/>
  </w:num>
  <w:num w:numId="6" w16cid:durableId="1260942953">
    <w:abstractNumId w:val="5"/>
  </w:num>
  <w:num w:numId="7" w16cid:durableId="538974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38"/>
    <w:rsid w:val="00004F60"/>
    <w:rsid w:val="00012174"/>
    <w:rsid w:val="00034AC6"/>
    <w:rsid w:val="000470AF"/>
    <w:rsid w:val="00052477"/>
    <w:rsid w:val="0007234A"/>
    <w:rsid w:val="000839AC"/>
    <w:rsid w:val="00097BD3"/>
    <w:rsid w:val="000A23EA"/>
    <w:rsid w:val="000C740D"/>
    <w:rsid w:val="000D21A0"/>
    <w:rsid w:val="00115AF3"/>
    <w:rsid w:val="001205E7"/>
    <w:rsid w:val="0012551A"/>
    <w:rsid w:val="00137E83"/>
    <w:rsid w:val="001B2F83"/>
    <w:rsid w:val="001D0AFA"/>
    <w:rsid w:val="001E6CD7"/>
    <w:rsid w:val="00216383"/>
    <w:rsid w:val="00251EE8"/>
    <w:rsid w:val="002555AC"/>
    <w:rsid w:val="002938FD"/>
    <w:rsid w:val="00293F45"/>
    <w:rsid w:val="002A7E22"/>
    <w:rsid w:val="002C31CB"/>
    <w:rsid w:val="003133E7"/>
    <w:rsid w:val="00393453"/>
    <w:rsid w:val="003C3407"/>
    <w:rsid w:val="003C58B4"/>
    <w:rsid w:val="003E002E"/>
    <w:rsid w:val="00431690"/>
    <w:rsid w:val="0046790A"/>
    <w:rsid w:val="0048200D"/>
    <w:rsid w:val="004D0539"/>
    <w:rsid w:val="004D1A40"/>
    <w:rsid w:val="004D5F2B"/>
    <w:rsid w:val="004D6C09"/>
    <w:rsid w:val="004F433D"/>
    <w:rsid w:val="004F5DF2"/>
    <w:rsid w:val="0050416A"/>
    <w:rsid w:val="0052074A"/>
    <w:rsid w:val="00525947"/>
    <w:rsid w:val="00540B07"/>
    <w:rsid w:val="00541EC1"/>
    <w:rsid w:val="005E61DD"/>
    <w:rsid w:val="005F76C5"/>
    <w:rsid w:val="00613696"/>
    <w:rsid w:val="00614D40"/>
    <w:rsid w:val="006342BD"/>
    <w:rsid w:val="00642CD4"/>
    <w:rsid w:val="00695D4D"/>
    <w:rsid w:val="006A0D33"/>
    <w:rsid w:val="006A2631"/>
    <w:rsid w:val="006C375C"/>
    <w:rsid w:val="00700071"/>
    <w:rsid w:val="00713289"/>
    <w:rsid w:val="0078774F"/>
    <w:rsid w:val="007B345C"/>
    <w:rsid w:val="007C44EE"/>
    <w:rsid w:val="008001D3"/>
    <w:rsid w:val="00813D6C"/>
    <w:rsid w:val="008829F4"/>
    <w:rsid w:val="008A2699"/>
    <w:rsid w:val="008C18CA"/>
    <w:rsid w:val="008D0223"/>
    <w:rsid w:val="008E609B"/>
    <w:rsid w:val="0091028C"/>
    <w:rsid w:val="00936B21"/>
    <w:rsid w:val="00943B96"/>
    <w:rsid w:val="0095656F"/>
    <w:rsid w:val="00975E62"/>
    <w:rsid w:val="0098284C"/>
    <w:rsid w:val="009A7B58"/>
    <w:rsid w:val="009C1E5B"/>
    <w:rsid w:val="00A069ED"/>
    <w:rsid w:val="00A215E5"/>
    <w:rsid w:val="00A325C2"/>
    <w:rsid w:val="00A47A2F"/>
    <w:rsid w:val="00A71BC2"/>
    <w:rsid w:val="00A73CBD"/>
    <w:rsid w:val="00AB48E8"/>
    <w:rsid w:val="00AE414F"/>
    <w:rsid w:val="00B22B5A"/>
    <w:rsid w:val="00B247BD"/>
    <w:rsid w:val="00B36FD0"/>
    <w:rsid w:val="00B91138"/>
    <w:rsid w:val="00B924DE"/>
    <w:rsid w:val="00BA13EB"/>
    <w:rsid w:val="00BA6777"/>
    <w:rsid w:val="00BB0BD8"/>
    <w:rsid w:val="00BC1169"/>
    <w:rsid w:val="00C06122"/>
    <w:rsid w:val="00C13511"/>
    <w:rsid w:val="00C14871"/>
    <w:rsid w:val="00C360C2"/>
    <w:rsid w:val="00C939A1"/>
    <w:rsid w:val="00CB3803"/>
    <w:rsid w:val="00CF67BA"/>
    <w:rsid w:val="00D00160"/>
    <w:rsid w:val="00D21249"/>
    <w:rsid w:val="00D44596"/>
    <w:rsid w:val="00D44ED9"/>
    <w:rsid w:val="00D54776"/>
    <w:rsid w:val="00D61B18"/>
    <w:rsid w:val="00D76205"/>
    <w:rsid w:val="00D918E9"/>
    <w:rsid w:val="00D9251B"/>
    <w:rsid w:val="00DC04B2"/>
    <w:rsid w:val="00DF2EC0"/>
    <w:rsid w:val="00DF35D9"/>
    <w:rsid w:val="00F1780B"/>
    <w:rsid w:val="00F30417"/>
    <w:rsid w:val="00F664BE"/>
    <w:rsid w:val="00F80CE3"/>
    <w:rsid w:val="00FA7DAC"/>
    <w:rsid w:val="00FC0F8C"/>
    <w:rsid w:val="00FE31D8"/>
    <w:rsid w:val="00FF5DC7"/>
    <w:rsid w:val="00FF69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37FE1"/>
  <w15:docId w15:val="{3D0D4C4B-95AD-44CB-AEF1-8B03E8AF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ind w:left="1440" w:hanging="360"/>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B91138"/>
    <w:pPr>
      <w:autoSpaceDN/>
      <w:spacing w:line="240" w:lineRule="auto"/>
      <w:ind w:left="720"/>
      <w:contextualSpacing/>
      <w:textAlignment w:val="auto"/>
    </w:pPr>
    <w:rPr>
      <w:rFonts w:ascii="Aptos" w:eastAsiaTheme="minorHAnsi" w:hAnsi="Aptos" w:cs="Aptos"/>
      <w:color w:val="auto"/>
      <w:sz w:val="24"/>
      <w:szCs w:val="24"/>
    </w:rPr>
  </w:style>
  <w:style w:type="character" w:customStyle="1" w:styleId="GeenafstandChar">
    <w:name w:val="Geen afstand Char"/>
    <w:basedOn w:val="Standaardalinea-lettertype"/>
    <w:link w:val="Geenafstand"/>
    <w:uiPriority w:val="1"/>
    <w:locked/>
    <w:rsid w:val="00B91138"/>
  </w:style>
  <w:style w:type="paragraph" w:styleId="Geenafstand">
    <w:name w:val="No Spacing"/>
    <w:basedOn w:val="Standaard"/>
    <w:link w:val="GeenafstandChar"/>
    <w:uiPriority w:val="1"/>
    <w:qFormat/>
    <w:rsid w:val="00B91138"/>
    <w:pPr>
      <w:autoSpaceDN/>
      <w:textAlignment w:val="auto"/>
    </w:pPr>
    <w:rPr>
      <w:rFonts w:ascii="Times New Roman" w:hAnsi="Times New Roman"/>
      <w:color w:val="auto"/>
      <w:sz w:val="20"/>
      <w:szCs w:val="20"/>
    </w:rPr>
  </w:style>
  <w:style w:type="paragraph" w:styleId="Voetnoottekst">
    <w:name w:val="footnote text"/>
    <w:basedOn w:val="Standaard"/>
    <w:link w:val="VoetnoottekstChar"/>
    <w:uiPriority w:val="99"/>
    <w:semiHidden/>
    <w:unhideWhenUsed/>
    <w:rsid w:val="00B9113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91138"/>
    <w:rPr>
      <w:rFonts w:ascii="Verdana" w:hAnsi="Verdana"/>
      <w:color w:val="00000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B91138"/>
    <w:rPr>
      <w:vertAlign w:val="superscript"/>
    </w:rPr>
  </w:style>
  <w:style w:type="character" w:styleId="Verwijzingopmerking">
    <w:name w:val="annotation reference"/>
    <w:basedOn w:val="Standaardalinea-lettertype"/>
    <w:uiPriority w:val="99"/>
    <w:semiHidden/>
    <w:unhideWhenUsed/>
    <w:rsid w:val="002938FD"/>
    <w:rPr>
      <w:sz w:val="16"/>
      <w:szCs w:val="16"/>
    </w:rPr>
  </w:style>
  <w:style w:type="paragraph" w:styleId="Tekstopmerking">
    <w:name w:val="annotation text"/>
    <w:basedOn w:val="Standaard"/>
    <w:link w:val="TekstopmerkingChar"/>
    <w:uiPriority w:val="99"/>
    <w:unhideWhenUsed/>
    <w:rsid w:val="002938FD"/>
    <w:pPr>
      <w:spacing w:line="240" w:lineRule="auto"/>
    </w:pPr>
    <w:rPr>
      <w:sz w:val="20"/>
      <w:szCs w:val="20"/>
    </w:rPr>
  </w:style>
  <w:style w:type="character" w:customStyle="1" w:styleId="TekstopmerkingChar">
    <w:name w:val="Tekst opmerking Char"/>
    <w:basedOn w:val="Standaardalinea-lettertype"/>
    <w:link w:val="Tekstopmerking"/>
    <w:uiPriority w:val="99"/>
    <w:rsid w:val="002938F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938FD"/>
    <w:rPr>
      <w:b/>
      <w:bCs/>
    </w:rPr>
  </w:style>
  <w:style w:type="character" w:customStyle="1" w:styleId="OnderwerpvanopmerkingChar">
    <w:name w:val="Onderwerp van opmerking Char"/>
    <w:basedOn w:val="TekstopmerkingChar"/>
    <w:link w:val="Onderwerpvanopmerking"/>
    <w:uiPriority w:val="99"/>
    <w:semiHidden/>
    <w:rsid w:val="002938FD"/>
    <w:rPr>
      <w:rFonts w:ascii="Verdana" w:hAnsi="Verdana"/>
      <w:b/>
      <w:bCs/>
      <w:color w:val="000000"/>
    </w:rPr>
  </w:style>
  <w:style w:type="paragraph" w:styleId="Revisie">
    <w:name w:val="Revision"/>
    <w:hidden/>
    <w:uiPriority w:val="99"/>
    <w:semiHidden/>
    <w:rsid w:val="00975E62"/>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3C58B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C58B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994</ap:Words>
  <ap:Characters>5473</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 Antwoorden kamervragen over het bericht ‘Haagse rechters, topambtenaren, bestuurders en ceo's zitten in dezelfde club, zonder dat iemand het weet’.</vt:lpstr>
    </vt:vector>
  </ap:TitlesOfParts>
  <ap:LinksUpToDate>false</ap:LinksUpToDate>
  <ap:CharactersWithSpaces>6455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2025-08-28T12:15:00.0000000Z</dcterms:created>
  <dcterms:modified xsi:type="dcterms:W3CDTF">2025-08-28T12:25:00.0000000Z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over het bericht ‘Haagse rechters, topambtenaren, bestuurders en ceo's zitten in dezelfde club, zonder dat iemand het weet’.</vt:lpwstr>
  </property>
  <property fmtid="{D5CDD505-2E9C-101B-9397-08002B2CF9AE}" pid="5" name="Publicatiedatum">
    <vt:lpwstr/>
  </property>
  <property fmtid="{D5CDD505-2E9C-101B-9397-08002B2CF9AE}" pid="6" name="Verantwoordelijke organisatie">
    <vt:lpwstr>Directie Rechtsbestel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juni 2025</vt:lpwstr>
  </property>
  <property fmtid="{D5CDD505-2E9C-101B-9397-08002B2CF9AE}" pid="13" name="Opgesteld door, Naam">
    <vt:lpwstr>Teresa van der Lubbe</vt:lpwstr>
  </property>
  <property fmtid="{D5CDD505-2E9C-101B-9397-08002B2CF9AE}" pid="14" name="Opgesteld door, Telefoonnummer">
    <vt:lpwstr/>
  </property>
  <property fmtid="{D5CDD505-2E9C-101B-9397-08002B2CF9AE}" pid="15" name="Kenmerk">
    <vt:lpwstr>6445309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