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66AC" w:rsidP="00FE66AC" w:rsidRDefault="00FE66AC" w14:paraId="62AB0CD7" w14:textId="77777777">
      <w:pPr>
        <w:spacing w:line="276" w:lineRule="auto"/>
      </w:pPr>
      <w:r>
        <w:t>Geachte voorzitter,</w:t>
      </w:r>
    </w:p>
    <w:p w:rsidR="00FE66AC" w:rsidP="00FE66AC" w:rsidRDefault="00FE66AC" w14:paraId="5718876B" w14:textId="77777777">
      <w:pPr>
        <w:spacing w:line="276" w:lineRule="auto"/>
      </w:pPr>
    </w:p>
    <w:p w:rsidRPr="001548D7" w:rsidR="00FE66AC" w:rsidP="00FE66AC" w:rsidRDefault="00FE66AC" w14:paraId="6310029D" w14:textId="26F97A27">
      <w:pPr>
        <w:spacing w:line="276" w:lineRule="auto"/>
      </w:pPr>
      <w:r w:rsidRPr="001548D7">
        <w:t>Hierbij bied</w:t>
      </w:r>
      <w:r w:rsidR="00885F0F">
        <w:t xml:space="preserve"> ik u</w:t>
      </w:r>
      <w:r w:rsidRPr="001548D7">
        <w:t>, mede namens de minister van Justitie en Veiligheid, de antwoorden aan op de schriftelijke vragen gesteld door het lid Van Baarle (DENK) over het bericht ‘Nederlandse zakenmannen verkopen voor tientallen miljarden aan Israëlische wapenindustrie’. Deze vragen werden ingezonden op 22 mei 2025 met kenmerk 2025Z10389.</w:t>
      </w:r>
    </w:p>
    <w:p w:rsidRPr="001548D7" w:rsidR="00FE66AC" w:rsidP="00FE66AC" w:rsidRDefault="00FE66AC" w14:paraId="78412CB4" w14:textId="77777777">
      <w:pPr>
        <w:spacing w:line="276" w:lineRule="auto"/>
      </w:pPr>
    </w:p>
    <w:p w:rsidRPr="001548D7" w:rsidR="00FE66AC" w:rsidP="00FE66AC" w:rsidRDefault="00FE66AC" w14:paraId="775CF644" w14:textId="77777777">
      <w:pPr>
        <w:spacing w:line="276" w:lineRule="auto"/>
      </w:pPr>
    </w:p>
    <w:p w:rsidRPr="00BA254A" w:rsidR="00FE66AC" w:rsidP="00FE66AC" w:rsidRDefault="00FE66AC" w14:paraId="446078BA" w14:textId="591C8CC2">
      <w:pPr>
        <w:spacing w:line="276" w:lineRule="auto"/>
        <w:ind w:left="4248" w:hanging="4248"/>
      </w:pPr>
      <w:r w:rsidRPr="001548D7">
        <w:t xml:space="preserve">De minister van Buitenlandse Zaken, </w:t>
      </w:r>
      <w:r w:rsidRPr="001548D7">
        <w:tab/>
      </w:r>
    </w:p>
    <w:p w:rsidR="00FE66AC" w:rsidP="00FE66AC" w:rsidRDefault="00FE66AC" w14:paraId="4404524F" w14:textId="4A5A4AFC">
      <w:pPr>
        <w:spacing w:line="276" w:lineRule="auto"/>
      </w:pPr>
      <w:r w:rsidRPr="00BA254A">
        <w:br/>
      </w:r>
      <w:r w:rsidRPr="00BA254A">
        <w:br/>
      </w:r>
      <w:r w:rsidRPr="00BA254A">
        <w:br/>
      </w:r>
      <w:r w:rsidRPr="00BA254A">
        <w:br/>
      </w:r>
      <w:r w:rsidRPr="00BA254A">
        <w:br/>
      </w:r>
      <w:r w:rsidR="00885F0F">
        <w:t>Ruben Brekelmans</w:t>
      </w:r>
      <w:r w:rsidRPr="00BA254A">
        <w:t xml:space="preserve"> </w:t>
      </w:r>
      <w:r w:rsidRPr="00BA254A">
        <w:tab/>
      </w:r>
      <w:r w:rsidRPr="00BA254A">
        <w:tab/>
      </w:r>
      <w:r w:rsidRPr="00BA254A">
        <w:tab/>
      </w:r>
      <w:r w:rsidRPr="00BA254A">
        <w:tab/>
      </w:r>
      <w:r w:rsidRPr="007940BB">
        <w:t xml:space="preserve"> </w:t>
      </w:r>
    </w:p>
    <w:p w:rsidR="00FE66AC" w:rsidP="00FE66AC" w:rsidRDefault="00FE66AC" w14:paraId="74D67943" w14:textId="77777777">
      <w:pPr>
        <w:pStyle w:val="WitregelW1bodytekst"/>
        <w:spacing w:line="276" w:lineRule="auto"/>
      </w:pPr>
      <w:r>
        <w:br w:type="page"/>
      </w:r>
    </w:p>
    <w:p w:rsidR="00FE66AC" w:rsidP="00FE66AC" w:rsidRDefault="00FE66AC" w14:paraId="62F6F400" w14:textId="2925B706">
      <w:pPr>
        <w:spacing w:line="276" w:lineRule="auto"/>
      </w:pPr>
      <w:r>
        <w:rPr>
          <w:b/>
        </w:rPr>
        <w:lastRenderedPageBreak/>
        <w:t xml:space="preserve">Antwoorden van de </w:t>
      </w:r>
      <w:r w:rsidRPr="005865BD">
        <w:rPr>
          <w:b/>
        </w:rPr>
        <w:t>minister</w:t>
      </w:r>
      <w:r>
        <w:rPr>
          <w:b/>
        </w:rPr>
        <w:t xml:space="preserve"> van Buitenlandse Zaken</w:t>
      </w:r>
      <w:r w:rsidR="00885F0F">
        <w:rPr>
          <w:b/>
        </w:rPr>
        <w:t xml:space="preserve">, </w:t>
      </w:r>
      <w:r w:rsidRPr="00BA254A">
        <w:rPr>
          <w:b/>
        </w:rPr>
        <w:t>mede</w:t>
      </w:r>
      <w:r>
        <w:rPr>
          <w:b/>
        </w:rPr>
        <w:t xml:space="preserve"> namens de </w:t>
      </w:r>
      <w:r w:rsidRPr="005865BD">
        <w:rPr>
          <w:b/>
        </w:rPr>
        <w:t>de minister</w:t>
      </w:r>
      <w:r>
        <w:rPr>
          <w:b/>
        </w:rPr>
        <w:t xml:space="preserve"> van Justitie en Veiligheid</w:t>
      </w:r>
      <w:r w:rsidR="00885F0F">
        <w:rPr>
          <w:b/>
        </w:rPr>
        <w:t>,</w:t>
      </w:r>
      <w:r>
        <w:rPr>
          <w:b/>
        </w:rPr>
        <w:t xml:space="preserve"> op </w:t>
      </w:r>
      <w:r w:rsidRPr="007E00B9">
        <w:rPr>
          <w:b/>
          <w:bCs/>
        </w:rPr>
        <w:t xml:space="preserve">vragen </w:t>
      </w:r>
      <w:r>
        <w:rPr>
          <w:b/>
          <w:bCs/>
        </w:rPr>
        <w:t xml:space="preserve">van </w:t>
      </w:r>
      <w:r w:rsidRPr="007E00B9">
        <w:rPr>
          <w:b/>
          <w:bCs/>
        </w:rPr>
        <w:t>het lid Van Baarle (DENK) over het bericht ‘Nederlandse zakenmannen verkopen voor tientallen miljarden aan Israëlische wapenindustrie</w:t>
      </w:r>
      <w:r>
        <w:rPr>
          <w:b/>
          <w:bCs/>
        </w:rPr>
        <w:t>’</w:t>
      </w:r>
    </w:p>
    <w:p w:rsidR="00FE66AC" w:rsidP="00FE66AC" w:rsidRDefault="00FE66AC" w14:paraId="36FB9D29" w14:textId="77777777">
      <w:pPr>
        <w:spacing w:line="276" w:lineRule="auto"/>
      </w:pPr>
    </w:p>
    <w:p w:rsidR="00FE66AC" w:rsidP="00FE66AC" w:rsidRDefault="00FE66AC" w14:paraId="6DC8FCB7" w14:textId="77777777">
      <w:pPr>
        <w:spacing w:line="276" w:lineRule="auto"/>
      </w:pPr>
      <w:r>
        <w:rPr>
          <w:b/>
        </w:rPr>
        <w:t>Vraag 1</w:t>
      </w:r>
    </w:p>
    <w:p w:rsidR="00FE66AC" w:rsidP="00FE66AC" w:rsidRDefault="00FE66AC" w14:paraId="5293FBFB" w14:textId="77777777">
      <w:pPr>
        <w:spacing w:line="276" w:lineRule="auto"/>
      </w:pPr>
      <w:r w:rsidRPr="00091C67">
        <w:t>Bent u bekend met de berichten ‘</w:t>
      </w:r>
      <w:r w:rsidRPr="00091C67">
        <w:rPr>
          <w:i/>
          <w:iCs/>
        </w:rPr>
        <w:t>SOMO: Nederlandse zakenmannen verkopen voor tientallen miljoenen aan Israëlische wapenindustrie’</w:t>
      </w:r>
      <w:r>
        <w:rPr>
          <w:rStyle w:val="FootnoteReference"/>
          <w:i/>
          <w:iCs/>
        </w:rPr>
        <w:footnoteReference w:id="2"/>
      </w:r>
      <w:r w:rsidRPr="00091C67">
        <w:rPr>
          <w:i/>
          <w:iCs/>
        </w:rPr>
        <w:t xml:space="preserve"> </w:t>
      </w:r>
      <w:r w:rsidRPr="00091C67">
        <w:t>en ‘</w:t>
      </w:r>
      <w:r w:rsidRPr="00091C67">
        <w:rPr>
          <w:i/>
          <w:iCs/>
        </w:rPr>
        <w:t>Kortsluiting in het internationaal recht</w:t>
      </w:r>
      <w:r w:rsidRPr="00091C67">
        <w:t>’</w:t>
      </w:r>
      <w:r>
        <w:rPr>
          <w:rStyle w:val="FootnoteReference"/>
        </w:rPr>
        <w:footnoteReference w:id="3"/>
      </w:r>
      <w:r w:rsidRPr="00091C67">
        <w:t>?</w:t>
      </w:r>
    </w:p>
    <w:p w:rsidR="00FE66AC" w:rsidP="00FE66AC" w:rsidRDefault="00FE66AC" w14:paraId="12369DA2" w14:textId="77777777">
      <w:pPr>
        <w:spacing w:line="276" w:lineRule="auto"/>
      </w:pPr>
    </w:p>
    <w:p w:rsidR="00FE66AC" w:rsidP="00FE66AC" w:rsidRDefault="00FE66AC" w14:paraId="544A1456" w14:textId="77777777">
      <w:pPr>
        <w:spacing w:line="276" w:lineRule="auto"/>
      </w:pPr>
      <w:r>
        <w:rPr>
          <w:b/>
        </w:rPr>
        <w:t>Antwoord</w:t>
      </w:r>
    </w:p>
    <w:p w:rsidR="00FE66AC" w:rsidP="00FE66AC" w:rsidRDefault="00FE66AC" w14:paraId="38FB01D5" w14:textId="77777777">
      <w:pPr>
        <w:spacing w:line="276" w:lineRule="auto"/>
      </w:pPr>
      <w:r>
        <w:t>Ja.</w:t>
      </w:r>
    </w:p>
    <w:p w:rsidR="00FE66AC" w:rsidP="00FE66AC" w:rsidRDefault="00FE66AC" w14:paraId="10821303" w14:textId="77777777">
      <w:pPr>
        <w:spacing w:line="276" w:lineRule="auto"/>
      </w:pPr>
    </w:p>
    <w:p w:rsidR="00FE66AC" w:rsidP="00FE66AC" w:rsidRDefault="00FE66AC" w14:paraId="69200A44" w14:textId="77777777">
      <w:pPr>
        <w:spacing w:line="276" w:lineRule="auto"/>
      </w:pPr>
      <w:bookmarkStart w:name="_Hlk200110253" w:id="0"/>
      <w:r>
        <w:rPr>
          <w:b/>
        </w:rPr>
        <w:t>Vraag 2</w:t>
      </w:r>
    </w:p>
    <w:p w:rsidR="00FE66AC" w:rsidP="00FE66AC" w:rsidRDefault="00FE66AC" w14:paraId="0D36CB0B" w14:textId="77777777">
      <w:pPr>
        <w:spacing w:line="276" w:lineRule="auto"/>
      </w:pPr>
      <w:r w:rsidRPr="0013773A">
        <w:t>Vindt u het moreel verwerpelijk dat deze zakenmannen via hun in India gevestigde bedrijf ‘SASMOS’ elektronische componenten aan onder andere de Israëlische wapenfabrikanten Elbit; Rafael; en Israel Aerospace Industries leveren?</w:t>
      </w:r>
    </w:p>
    <w:p w:rsidR="00FE66AC" w:rsidP="00FE66AC" w:rsidRDefault="00FE66AC" w14:paraId="0A180D89" w14:textId="77777777">
      <w:pPr>
        <w:spacing w:line="276" w:lineRule="auto"/>
      </w:pPr>
    </w:p>
    <w:p w:rsidR="00FE66AC" w:rsidP="00FE66AC" w:rsidRDefault="00FE66AC" w14:paraId="57CBFE82" w14:textId="77777777">
      <w:pPr>
        <w:spacing w:line="276" w:lineRule="auto"/>
      </w:pPr>
      <w:r>
        <w:rPr>
          <w:b/>
        </w:rPr>
        <w:t>Antwoord</w:t>
      </w:r>
    </w:p>
    <w:p w:rsidR="00FE66AC" w:rsidP="00FE66AC" w:rsidRDefault="00FE66AC" w14:paraId="47EFB4D7" w14:textId="77777777">
      <w:pPr>
        <w:spacing w:line="276" w:lineRule="auto"/>
      </w:pPr>
      <w:r w:rsidRPr="00F36FD2">
        <w:t>Het kabinet doet</w:t>
      </w:r>
      <w:r>
        <w:t xml:space="preserve"> in beginsel</w:t>
      </w:r>
      <w:r w:rsidRPr="00F36FD2">
        <w:t xml:space="preserve"> geen </w:t>
      </w:r>
      <w:r>
        <w:t xml:space="preserve">publieke </w:t>
      </w:r>
      <w:r w:rsidRPr="00F36FD2">
        <w:t>uitspraken over individuele bedrijven of personen.</w:t>
      </w:r>
    </w:p>
    <w:p w:rsidR="00FE66AC" w:rsidP="00FE66AC" w:rsidRDefault="00FE66AC" w14:paraId="51F9805C" w14:textId="77777777">
      <w:pPr>
        <w:spacing w:line="276" w:lineRule="auto"/>
      </w:pPr>
      <w:r w:rsidRPr="00F36FD2">
        <w:t xml:space="preserve"> </w:t>
      </w:r>
      <w:bookmarkEnd w:id="0"/>
    </w:p>
    <w:p w:rsidR="00FE66AC" w:rsidP="00FE66AC" w:rsidRDefault="00FE66AC" w14:paraId="6BBE249B" w14:textId="77777777">
      <w:pPr>
        <w:spacing w:line="276" w:lineRule="auto"/>
      </w:pPr>
      <w:r>
        <w:rPr>
          <w:b/>
        </w:rPr>
        <w:t>Vraag 3</w:t>
      </w:r>
    </w:p>
    <w:p w:rsidR="00FE66AC" w:rsidP="00FE66AC" w:rsidRDefault="00FE66AC" w14:paraId="788F50AE" w14:textId="77777777">
      <w:pPr>
        <w:spacing w:line="276" w:lineRule="auto"/>
      </w:pPr>
      <w:r w:rsidRPr="00091C67">
        <w:t>Klopt het dat de strafrechtelijke vervolging van deze zakenmannen binnen de rechtsmacht van Nederland valt zoals is gebleken uit eerdere, vergelijkbare gevallen? Kunt u uiteenzetten op basis van wat voor jurisdictie, welke wetten en regels dat nu weer zou kunnen gebeuren?</w:t>
      </w:r>
    </w:p>
    <w:p w:rsidR="00FE66AC" w:rsidP="00FE66AC" w:rsidRDefault="00FE66AC" w14:paraId="2D172583" w14:textId="77777777">
      <w:pPr>
        <w:spacing w:line="276" w:lineRule="auto"/>
      </w:pPr>
    </w:p>
    <w:p w:rsidR="00FE66AC" w:rsidP="00FE66AC" w:rsidRDefault="00FE66AC" w14:paraId="6C06E7A2" w14:textId="77777777">
      <w:pPr>
        <w:spacing w:line="276" w:lineRule="auto"/>
      </w:pPr>
      <w:r>
        <w:rPr>
          <w:b/>
        </w:rPr>
        <w:t>Antwoord</w:t>
      </w:r>
    </w:p>
    <w:p w:rsidR="00FE66AC" w:rsidP="00FE66AC" w:rsidRDefault="00FE66AC" w14:paraId="5FF111E8" w14:textId="77777777">
      <w:pPr>
        <w:spacing w:line="276" w:lineRule="auto"/>
      </w:pPr>
      <w:r w:rsidRPr="001B7EB9">
        <w:t>Het is aan het Openbaar Ministerie om te beoordelen of sprake is van gedragingen die mogelijk strafbaar handelen opleveren en waarover Nederland rechtsmacht heeft. Indien het Openbaar Ministerie het na een dergelijke beoordeling opportuun acht om tot vervolging over te gaan, is het aan de rechter om een uiteindelijk oordeel te vellen over de vraag of Nederland rechtsmacht heeft. Bij een dergelijke beoordeling kan worden gekeken naar de rechtsmachtbepalingen in het Wetboek van Strafrecht, maar – afhankelijk van de precieze verdenking – ook naar rechtsmachtbepalingen in andere wetten zoals bijvoorbeeld de Wet internationale misdrijven.</w:t>
      </w:r>
    </w:p>
    <w:p w:rsidR="00FE66AC" w:rsidP="00FE66AC" w:rsidRDefault="00FE66AC" w14:paraId="3E48EC64" w14:textId="77777777">
      <w:pPr>
        <w:spacing w:line="276" w:lineRule="auto"/>
      </w:pPr>
    </w:p>
    <w:p w:rsidR="00FE66AC" w:rsidP="00FE66AC" w:rsidRDefault="00FE66AC" w14:paraId="0EA17C84" w14:textId="77777777">
      <w:pPr>
        <w:spacing w:line="276" w:lineRule="auto"/>
      </w:pPr>
      <w:r>
        <w:rPr>
          <w:b/>
        </w:rPr>
        <w:t>Vraag 4</w:t>
      </w:r>
    </w:p>
    <w:p w:rsidR="00FE66AC" w:rsidP="00FE66AC" w:rsidRDefault="00FE66AC" w14:paraId="643292AB" w14:textId="77777777">
      <w:pPr>
        <w:autoSpaceDN/>
        <w:spacing w:after="160" w:line="276" w:lineRule="auto"/>
        <w:textAlignment w:val="auto"/>
      </w:pPr>
      <w:r w:rsidRPr="00091C67">
        <w:t>Weet u of het Openbaar Ministerie al een onderzoek heeft lopen naar deze zakenmannen?</w:t>
      </w:r>
    </w:p>
    <w:p w:rsidR="00FE66AC" w:rsidP="00FE66AC" w:rsidRDefault="00FE66AC" w14:paraId="0331853D" w14:textId="77777777">
      <w:pPr>
        <w:spacing w:line="276" w:lineRule="auto"/>
      </w:pPr>
      <w:r>
        <w:rPr>
          <w:b/>
        </w:rPr>
        <w:t>Antwoord</w:t>
      </w:r>
    </w:p>
    <w:p w:rsidR="00FE66AC" w:rsidP="00FE66AC" w:rsidRDefault="00FE66AC" w14:paraId="1DD123D8" w14:textId="77777777">
      <w:pPr>
        <w:spacing w:line="276" w:lineRule="auto"/>
      </w:pPr>
      <w:r>
        <w:t>Hier kan het kabinet geen uitspraken over doen.</w:t>
      </w:r>
    </w:p>
    <w:p w:rsidR="00A91E7E" w:rsidP="00FE66AC" w:rsidRDefault="00A91E7E" w14:paraId="03AF96BE" w14:textId="77777777">
      <w:pPr>
        <w:spacing w:line="276" w:lineRule="auto"/>
        <w:rPr>
          <w:b/>
        </w:rPr>
      </w:pPr>
    </w:p>
    <w:p w:rsidR="00FE66AC" w:rsidP="00FE66AC" w:rsidRDefault="00FE66AC" w14:paraId="7B58CF2A" w14:textId="51033907">
      <w:pPr>
        <w:spacing w:line="276" w:lineRule="auto"/>
      </w:pPr>
      <w:r>
        <w:rPr>
          <w:b/>
        </w:rPr>
        <w:lastRenderedPageBreak/>
        <w:t>Vraag 5</w:t>
      </w:r>
    </w:p>
    <w:p w:rsidR="00FE66AC" w:rsidP="00FE66AC" w:rsidRDefault="00FE66AC" w14:paraId="191069DC" w14:textId="77777777">
      <w:pPr>
        <w:autoSpaceDN/>
        <w:spacing w:after="160" w:line="276" w:lineRule="auto"/>
        <w:textAlignment w:val="auto"/>
      </w:pPr>
      <w:r w:rsidRPr="00091C67">
        <w:t>Wat is uw oordeel over de Israëlische wapenbedrijven waarmee deze mannen op grote schaal handel drijven? Wat vindt u ervan dat bedrijven zoals Elbit en Rafael beelden van aanvallen op illegaal bezette Palestijnse gebieden gebruiken in hun promotievideo’s? Wat vindt u ervan dat journalisten hebben aangetoond dat bij sommige van die aanvallen kinderen zijn omgekomen? Wat vindt u ervan dat deze bedrijven vervolgens met schaars geklede vrouwen proberen de moord op Palestijnse kinderen met hun wapensystemen ‘sexy’ te maken? Wat is uw standpunt over het seksueel en commercieel uitbuiten van oorlogsmisdrijven door deze bedrijven?</w:t>
      </w:r>
    </w:p>
    <w:p w:rsidR="00FE66AC" w:rsidP="00FE66AC" w:rsidRDefault="00FE66AC" w14:paraId="25B9CA1B" w14:textId="77777777">
      <w:pPr>
        <w:spacing w:line="276" w:lineRule="auto"/>
      </w:pPr>
      <w:r>
        <w:rPr>
          <w:b/>
        </w:rPr>
        <w:t>Vraag 6</w:t>
      </w:r>
    </w:p>
    <w:p w:rsidR="00FE66AC" w:rsidP="00FE66AC" w:rsidRDefault="00FE66AC" w14:paraId="638B3597" w14:textId="77777777">
      <w:pPr>
        <w:autoSpaceDN/>
        <w:spacing w:after="160" w:line="276" w:lineRule="auto"/>
        <w:textAlignment w:val="auto"/>
      </w:pPr>
      <w:r w:rsidRPr="00091C67">
        <w:t>Wat vindt u ervan dat bedrijven zoals Israel Aerospace Industries ook ‘battle tested’ drones (getest op Palestijnen in de illegaal bezette gebieden) hebben verkocht aan Vladimir Poetin, zelfs na de illegale annexatie van de Krim en de MH17-ramp waarbij 196 Nederlanders werden vermoord? Hoe staat u tegenover het feit dat deze drones een sleutelrol speelden in Poetin’s operaties in Syrië, waarmee het brute regime van Assad overeind werd gehouden? Wat vindt u ervan dat Israël Russische piloten opleidde om deze drones in te zetten, wat tot onnoembaar veel oorlogsmisdrijven heeft geleid?</w:t>
      </w:r>
    </w:p>
    <w:p w:rsidRPr="00885F0F" w:rsidR="00FE66AC" w:rsidP="00FE66AC" w:rsidRDefault="00FE66AC" w14:paraId="6E93BC24" w14:textId="77777777">
      <w:pPr>
        <w:spacing w:line="276" w:lineRule="auto"/>
      </w:pPr>
      <w:r w:rsidRPr="00885F0F">
        <w:rPr>
          <w:b/>
        </w:rPr>
        <w:t>Antwoord vraag 5 en 6</w:t>
      </w:r>
    </w:p>
    <w:p w:rsidRPr="00885F0F" w:rsidR="00FE66AC" w:rsidP="00FE66AC" w:rsidRDefault="00FE66AC" w14:paraId="34A5AC90" w14:textId="77777777">
      <w:pPr>
        <w:spacing w:line="276" w:lineRule="auto"/>
      </w:pPr>
      <w:r w:rsidRPr="00885F0F">
        <w:t>Het kabinet doet in beginsel geen publieke uitspraken over individuele bedrijven of individuen. Staten dienen zich te houden aan internationaal recht. Het kabinet benadrukt het belang van naleving van het internationaal recht en roept staten op hun verantwoordelijkheid te nemen. Zie tevens het antwoord op vraag 15.</w:t>
      </w:r>
    </w:p>
    <w:p w:rsidRPr="00885F0F" w:rsidR="00FE66AC" w:rsidP="00FE66AC" w:rsidRDefault="00FE66AC" w14:paraId="7E7A353B" w14:textId="77777777">
      <w:pPr>
        <w:spacing w:line="276" w:lineRule="auto"/>
        <w:rPr>
          <w:strike/>
        </w:rPr>
      </w:pPr>
    </w:p>
    <w:p w:rsidRPr="00475447" w:rsidR="00FE66AC" w:rsidP="00FE66AC" w:rsidRDefault="00FE66AC" w14:paraId="3159023C" w14:textId="77777777">
      <w:pPr>
        <w:spacing w:line="276" w:lineRule="auto"/>
      </w:pPr>
      <w:r w:rsidRPr="00885F0F">
        <w:t>Van ondernemingen uit staten die de OESO-richtlijnen voor multinationale ondernemingen inzake maatschappelijk verantwoord ondernemen hebben onderschreven, zoals Israël, wordt verwacht dat zij zakendoen in lijn met deze internationale kaders. Dit betekent dat bedrijven de risico’s voor mens en milieu in hun waardeketen in kaart moeten brengen en deze risico’s moeten voorkomen en aanpakken. Volgens deze internationale kaders dienen ondernemingen in situaties van gewapend conflict normen van humanitair oorlogsrecht te respecteren en aangescherpte gepaste zorgvuldigheid toe te passen.</w:t>
      </w:r>
    </w:p>
    <w:p w:rsidR="00FE66AC" w:rsidP="00FE66AC" w:rsidRDefault="00FE66AC" w14:paraId="20588E8C" w14:textId="77777777">
      <w:pPr>
        <w:spacing w:line="276" w:lineRule="auto"/>
      </w:pPr>
    </w:p>
    <w:p w:rsidR="00FE66AC" w:rsidP="00FE66AC" w:rsidRDefault="00FE66AC" w14:paraId="00616229" w14:textId="77777777">
      <w:pPr>
        <w:spacing w:line="276" w:lineRule="auto"/>
      </w:pPr>
      <w:r>
        <w:rPr>
          <w:b/>
        </w:rPr>
        <w:t>Vraag 7</w:t>
      </w:r>
    </w:p>
    <w:p w:rsidRPr="00FA3B80" w:rsidR="00FE66AC" w:rsidP="00FE66AC" w:rsidRDefault="00FE66AC" w14:paraId="32FF7572" w14:textId="3D8F1A23">
      <w:pPr>
        <w:autoSpaceDN/>
        <w:spacing w:after="160" w:line="276" w:lineRule="auto"/>
        <w:textAlignment w:val="auto"/>
      </w:pPr>
      <w:bookmarkStart w:name="_Hlk199930280" w:id="1"/>
      <w:r w:rsidRPr="00091C67">
        <w:t>Vindt u ook dat handel met wapenbedrijven zoals Elbit,</w:t>
      </w:r>
      <w:r w:rsidR="00CD1BE1">
        <w:t xml:space="preserve"> </w:t>
      </w:r>
      <w:r w:rsidRPr="00091C67">
        <w:t>Rafael en Israel Aerospace Industries tegen alle ethische standaarden indruist? Zo ja, wat doet u ertegen dat Nederlanders niet meer voor honderden miljoenen handelen met deze bedrijven? Zo nee, waarom niet?</w:t>
      </w:r>
    </w:p>
    <w:bookmarkEnd w:id="1"/>
    <w:p w:rsidRPr="00E64EFA" w:rsidR="00FE66AC" w:rsidP="00FE66AC" w:rsidRDefault="00FE66AC" w14:paraId="0D4952E3" w14:textId="77777777">
      <w:pPr>
        <w:spacing w:line="276" w:lineRule="auto"/>
      </w:pPr>
      <w:r w:rsidRPr="00E64EFA">
        <w:rPr>
          <w:b/>
        </w:rPr>
        <w:t>Antwoord</w:t>
      </w:r>
    </w:p>
    <w:p w:rsidR="00FE66AC" w:rsidP="00FE66AC" w:rsidRDefault="00FE66AC" w14:paraId="50FD805E" w14:textId="77777777">
      <w:pPr>
        <w:spacing w:line="276" w:lineRule="auto"/>
      </w:pPr>
      <w:bookmarkStart w:name="_Hlk199930371" w:id="2"/>
      <w:r>
        <w:t xml:space="preserve">De Nederlandse uitvoer van militaire goederen naar Israël wordt zorgvuldig getoetst aan de Europese kaders voor wapenexportcontrole. </w:t>
      </w:r>
      <w:r w:rsidRPr="00066A98">
        <w:t xml:space="preserve">Daar waar een duidelijk risico bestaat dat militaire goederen gebruikt worden bij het begaan van ernstige schendingen van de mensenrechten of het humanitair oorlogsrecht, wordt een vergunningaanvraag afgewezen. Daarmee voldoet de Staat aan </w:t>
      </w:r>
      <w:r>
        <w:t>zijn</w:t>
      </w:r>
      <w:r w:rsidRPr="00066A98">
        <w:t xml:space="preserve"> internationaalrechtelijke verplichtingen ten aanzien van wapenexportcontrole. Dat is onlangs bevestigd in het vonnis van de voorzieningenrechter in de zaak Al-Haq c.s. tegen de Staat (d.d. 13 december 2024).</w:t>
      </w:r>
      <w:bookmarkEnd w:id="2"/>
    </w:p>
    <w:p w:rsidR="00FE66AC" w:rsidP="00FE66AC" w:rsidRDefault="00FE66AC" w14:paraId="28326EF1" w14:textId="77777777">
      <w:pPr>
        <w:spacing w:line="276" w:lineRule="auto"/>
      </w:pPr>
    </w:p>
    <w:p w:rsidRPr="009937FF" w:rsidR="00FE66AC" w:rsidP="00FE66AC" w:rsidRDefault="00FE66AC" w14:paraId="31D6D065" w14:textId="77777777">
      <w:pPr>
        <w:spacing w:line="276" w:lineRule="auto"/>
      </w:pPr>
      <w:r w:rsidRPr="005865BD">
        <w:t xml:space="preserve">Materieelsamenwerking van defensie met Israëlische bedrijven vindt plaats binnen de kaders van het kabinetsbeleid en de Europese aanbestedingswetgeving. De Israëlische defensie-industrie ontwikkelt systemen die belangrijk zijn voor de doorontwikkeling en modernisering van de Nederlandse krijgsmacht. Defensie heeft in Israël geproduceerde militaire middelen en systemen aangeschaft </w:t>
      </w:r>
      <w:r w:rsidRPr="009937FF">
        <w:t xml:space="preserve">vanwege de kwaliteit en relatief snelle beschikbaarheid daarvan. </w:t>
      </w:r>
    </w:p>
    <w:p w:rsidR="00FE66AC" w:rsidP="00FE66AC" w:rsidRDefault="00FE66AC" w14:paraId="15E4C016" w14:textId="77777777">
      <w:pPr>
        <w:spacing w:line="276" w:lineRule="auto"/>
      </w:pPr>
    </w:p>
    <w:p w:rsidR="00FE66AC" w:rsidP="00FE66AC" w:rsidRDefault="00FE66AC" w14:paraId="03A9C58B" w14:textId="77777777">
      <w:pPr>
        <w:spacing w:line="276" w:lineRule="auto"/>
      </w:pPr>
      <w:r>
        <w:rPr>
          <w:b/>
        </w:rPr>
        <w:t>Vraag 8</w:t>
      </w:r>
    </w:p>
    <w:p w:rsidRPr="00540A89" w:rsidR="00FE66AC" w:rsidP="00FE66AC" w:rsidRDefault="00FE66AC" w14:paraId="230C1CCC" w14:textId="77777777">
      <w:pPr>
        <w:spacing w:line="276" w:lineRule="auto"/>
      </w:pPr>
      <w:r w:rsidRPr="0013773A">
        <w:t>Wat vindt u ervan dat de wapens van deze fabrikanten sinds oktober 2023 op grote schaal worden ingezet door het Israëlische leger in Gaza, met name in het licht van de consensus onder genocideonderzoekers dat Israël genocide pleegt in Gaza?</w:t>
      </w:r>
    </w:p>
    <w:p w:rsidRPr="00540A89" w:rsidR="00FE66AC" w:rsidP="00FE66AC" w:rsidRDefault="00FE66AC" w14:paraId="22B97389" w14:textId="77777777">
      <w:pPr>
        <w:spacing w:line="276" w:lineRule="auto"/>
      </w:pPr>
    </w:p>
    <w:p w:rsidRPr="00885F0F" w:rsidR="00FE66AC" w:rsidP="00FE66AC" w:rsidRDefault="00FE66AC" w14:paraId="3F9215CD" w14:textId="77777777">
      <w:pPr>
        <w:spacing w:line="276" w:lineRule="auto"/>
      </w:pPr>
      <w:r w:rsidRPr="00885F0F">
        <w:rPr>
          <w:b/>
        </w:rPr>
        <w:t>Antwoord</w:t>
      </w:r>
    </w:p>
    <w:p w:rsidRPr="00885F0F" w:rsidR="00B93635" w:rsidP="00FE66AC" w:rsidRDefault="008B52D4" w14:paraId="138B270C" w14:textId="77777777">
      <w:pPr>
        <w:spacing w:line="276" w:lineRule="auto"/>
      </w:pPr>
      <w:r w:rsidRPr="00885F0F">
        <w:t xml:space="preserve">Het kabinet staat voor de veiligheid en het bestaansrecht van de Staat Israël. Dat betekent ook dat Israël over een defensie-industrie moet kunnen beschikken. Het kabinet veroordeelt de aanval van Hamas op 7 oktober 2023 ten stelligste; tegelijkertijd roept het huidige Israëlisch handelen urgente vragen op over de proportionaliteit daarvan. </w:t>
      </w:r>
      <w:r w:rsidRPr="00885F0F" w:rsidR="00FE66AC">
        <w:t xml:space="preserve">Vanaf het begin van het conflict roept het kabinet Israël op om in overeenstemming met het internationaal recht te handelen bij het optreden in de Gazastrook. </w:t>
      </w:r>
      <w:r w:rsidRPr="00885F0F">
        <w:t xml:space="preserve">Het is van belang dat op verschillende manieren en vanuit diverse landen druk wordt uitgeoefend op de regering Netanyahu om de situatie op de grond onmiddellijk te verbeteren. Dit is ook de reden dat Nederland </w:t>
      </w:r>
      <w:r w:rsidRPr="00885F0F" w:rsidR="00B93635">
        <w:t xml:space="preserve">onder andere in mei 2025 </w:t>
      </w:r>
      <w:r w:rsidRPr="00885F0F">
        <w:t xml:space="preserve">de brief aan de Hoge Vertegenwoordiger heeft gestuurd om de naleving door Israël van artikel 2 van het EU-Israël Associatieakkoord te evalueren. </w:t>
      </w:r>
    </w:p>
    <w:p w:rsidR="00B93635" w:rsidP="00FE66AC" w:rsidRDefault="00B93635" w14:paraId="06EDA600" w14:textId="77777777">
      <w:pPr>
        <w:spacing w:line="276" w:lineRule="auto"/>
        <w:rPr>
          <w:highlight w:val="yellow"/>
        </w:rPr>
      </w:pPr>
    </w:p>
    <w:p w:rsidR="00FE66AC" w:rsidP="00FE66AC" w:rsidRDefault="008B52D4" w14:paraId="625B3ACE" w14:textId="6624EB55">
      <w:pPr>
        <w:spacing w:line="276" w:lineRule="auto"/>
      </w:pPr>
      <w:r w:rsidRPr="00885F0F">
        <w:t xml:space="preserve">Gezien de aanhoudende catastrofale situatie in </w:t>
      </w:r>
      <w:r w:rsidRPr="00885F0F" w:rsidR="00B93635">
        <w:t xml:space="preserve">de </w:t>
      </w:r>
      <w:r w:rsidRPr="00885F0F">
        <w:t>Gaza</w:t>
      </w:r>
      <w:r w:rsidRPr="00885F0F" w:rsidR="00B93635">
        <w:t>strook</w:t>
      </w:r>
      <w:r w:rsidRPr="00885F0F">
        <w:t xml:space="preserve"> en het niet nakomen van de afspraken met de EU, heeft het kabinet besloten om zowel nationale- als Europese maatregelen te nemen. Uw Kamer is hierover middels een brief op 28 juli jl.</w:t>
      </w:r>
      <w:r w:rsidRPr="00885F0F" w:rsidR="00B93635">
        <w:rPr>
          <w:rStyle w:val="FootnoteReference"/>
        </w:rPr>
        <w:t xml:space="preserve"> </w:t>
      </w:r>
      <w:r w:rsidRPr="00885F0F" w:rsidR="00B93635">
        <w:rPr>
          <w:rStyle w:val="FootnoteReference"/>
        </w:rPr>
        <w:footnoteReference w:id="4"/>
      </w:r>
      <w:r w:rsidRPr="00885F0F">
        <w:t xml:space="preserve"> geïnformeerd.</w:t>
      </w:r>
      <w:r w:rsidRPr="00885F0F" w:rsidR="00B93635">
        <w:t xml:space="preserve"> </w:t>
      </w:r>
      <w:r w:rsidRPr="00885F0F" w:rsidR="00771F05">
        <w:t>Graag verwij</w:t>
      </w:r>
      <w:r w:rsidRPr="00885F0F" w:rsidR="00B93635">
        <w:t xml:space="preserve">zen wij </w:t>
      </w:r>
      <w:r w:rsidRPr="00885F0F" w:rsidR="00771F05">
        <w:t>u</w:t>
      </w:r>
      <w:r w:rsidRPr="00885F0F" w:rsidR="00B93635">
        <w:t xml:space="preserve"> ook</w:t>
      </w:r>
      <w:r w:rsidRPr="00885F0F" w:rsidR="00771F05">
        <w:t xml:space="preserve"> naar de Kamerbrief van 21 januari 2025</w:t>
      </w:r>
      <w:r w:rsidRPr="00885F0F" w:rsidR="00771F05">
        <w:rPr>
          <w:rStyle w:val="FootnoteReference"/>
        </w:rPr>
        <w:footnoteReference w:id="5"/>
      </w:r>
      <w:r w:rsidRPr="00885F0F" w:rsidR="00771F05">
        <w:t>. Hierin is opgenomen de verplichting van derde staten om genocide te voorkomen. In de brie</w:t>
      </w:r>
      <w:r w:rsidRPr="00885F0F" w:rsidR="00B93635">
        <w:t>ven</w:t>
      </w:r>
      <w:r w:rsidRPr="00885F0F" w:rsidR="00771F05">
        <w:t xml:space="preserve"> van 18 juni 2025</w:t>
      </w:r>
      <w:r w:rsidRPr="00885F0F" w:rsidR="00771F05">
        <w:rPr>
          <w:rStyle w:val="FootnoteReference"/>
        </w:rPr>
        <w:footnoteReference w:id="6"/>
      </w:r>
      <w:r w:rsidRPr="00885F0F" w:rsidR="00B93635">
        <w:t>, 28 juli 2025</w:t>
      </w:r>
      <w:r w:rsidRPr="00885F0F" w:rsidR="00771F05">
        <w:t xml:space="preserve"> en de beantwoording van de Kamervragen van het lid Dassen van 24 juni 2025</w:t>
      </w:r>
      <w:r w:rsidRPr="00885F0F" w:rsidR="00771F05">
        <w:rPr>
          <w:rStyle w:val="FootnoteReference"/>
        </w:rPr>
        <w:footnoteReference w:id="7"/>
      </w:r>
      <w:r w:rsidRPr="00885F0F" w:rsidR="00771F05">
        <w:t xml:space="preserve"> is hierop verder invulling gegeven.</w:t>
      </w:r>
      <w:r w:rsidRPr="00885F0F" w:rsidR="00FE66AC">
        <w:t xml:space="preserve"> </w:t>
      </w:r>
      <w:r w:rsidRPr="00885F0F">
        <w:t>Tot slot</w:t>
      </w:r>
      <w:r w:rsidRPr="009937FF" w:rsidR="00FE66AC">
        <w:t xml:space="preserve"> is het kabinet op 7 april overgegaan tot intrekking van de algemene vergunning NL002 en aanpassing van de algemene vergunningen NL007 en NL010 door Israël uit te sluiten als land van eindbestemming [Kamerstuk 22 054, nr. 454].</w:t>
      </w:r>
    </w:p>
    <w:p w:rsidR="00FE66AC" w:rsidP="00FE66AC" w:rsidRDefault="00FE66AC" w14:paraId="60EBC8CD" w14:textId="77777777">
      <w:pPr>
        <w:spacing w:line="276" w:lineRule="auto"/>
      </w:pPr>
    </w:p>
    <w:p w:rsidR="00FE66AC" w:rsidP="00FE66AC" w:rsidRDefault="00FE66AC" w14:paraId="474283E9" w14:textId="77777777">
      <w:pPr>
        <w:spacing w:line="276" w:lineRule="auto"/>
      </w:pPr>
      <w:r>
        <w:rPr>
          <w:b/>
        </w:rPr>
        <w:t>Vraag 9</w:t>
      </w:r>
    </w:p>
    <w:p w:rsidR="00FE66AC" w:rsidP="009E2F86" w:rsidRDefault="00FE66AC" w14:paraId="5D171A81" w14:textId="2A8F4B5F">
      <w:pPr>
        <w:autoSpaceDN/>
        <w:spacing w:after="160" w:line="276" w:lineRule="auto"/>
        <w:textAlignment w:val="auto"/>
      </w:pPr>
      <w:r w:rsidRPr="00091C67">
        <w:t xml:space="preserve">Zouden de elektrische bedradingsoplossingen van SASMOS voor drones, straaljagers en tanks, die SASMOS zelf met de 'bloedsomloop en het centrale zenuwstelsel van het menselijk lichaam’ vergelijkt door de recent aangescherpte exportcontroles van Nederland voor export naar Israël komen? Zo ja, waarom? Zo </w:t>
      </w:r>
      <w:r w:rsidRPr="00091C67">
        <w:lastRenderedPageBreak/>
        <w:t>nee, wat vindt u ervan dat deze elektrische onderdelen op grote schaal naar Israël worden uitgevoerd door SASMOS?</w:t>
      </w:r>
    </w:p>
    <w:p w:rsidR="00FE66AC" w:rsidP="00FE66AC" w:rsidRDefault="00FE66AC" w14:paraId="5A609F47" w14:textId="77777777">
      <w:pPr>
        <w:spacing w:line="276" w:lineRule="auto"/>
      </w:pPr>
      <w:r>
        <w:rPr>
          <w:b/>
        </w:rPr>
        <w:t>Antwoord</w:t>
      </w:r>
    </w:p>
    <w:p w:rsidR="00FE66AC" w:rsidP="00FE66AC" w:rsidRDefault="00FE66AC" w14:paraId="47CB4D85" w14:textId="241A4D70">
      <w:pPr>
        <w:spacing w:line="276" w:lineRule="auto"/>
      </w:pPr>
      <w:r w:rsidRPr="00DE6BB0">
        <w:t xml:space="preserve">Op basis van het SOMO-rapport is niet met zekerheid te zeggen welke goederen SASMOS precies exporteert. Daarom is niet vast te stellen of hiervoor een vergunningplicht geldt en of hiervoor in </w:t>
      </w:r>
      <w:r w:rsidRPr="00885F0F">
        <w:t>een hypothetisch geval bij export vanuit Nederland een exportvergunning is vereist.</w:t>
      </w:r>
      <w:r w:rsidRPr="00885F0F" w:rsidR="00405AED">
        <w:t xml:space="preserve"> Zie verder het antwoord op vraag 7.</w:t>
      </w:r>
    </w:p>
    <w:p w:rsidR="00FE66AC" w:rsidP="00FE66AC" w:rsidRDefault="00FE66AC" w14:paraId="5D69C247" w14:textId="77777777">
      <w:pPr>
        <w:spacing w:line="276" w:lineRule="auto"/>
        <w:rPr>
          <w:b/>
        </w:rPr>
      </w:pPr>
    </w:p>
    <w:p w:rsidR="00FE66AC" w:rsidP="00FE66AC" w:rsidRDefault="00FE66AC" w14:paraId="3D4F0B44" w14:textId="77777777">
      <w:pPr>
        <w:spacing w:line="276" w:lineRule="auto"/>
      </w:pPr>
      <w:r>
        <w:rPr>
          <w:b/>
        </w:rPr>
        <w:t>Vraag 10</w:t>
      </w:r>
    </w:p>
    <w:p w:rsidRPr="00066631" w:rsidR="00FE66AC" w:rsidP="00FE66AC" w:rsidRDefault="00FE66AC" w14:paraId="1C6FF1A4" w14:textId="77777777">
      <w:pPr>
        <w:autoSpaceDN/>
        <w:spacing w:after="160" w:line="276" w:lineRule="auto"/>
        <w:textAlignment w:val="auto"/>
      </w:pPr>
      <w:r w:rsidRPr="00091C67">
        <w:t>Wat vindt u ervan dat de export van SASMOS naar Israël flink is gestegen sinds oktober 2023? Vindt u het ook zorgelijk dat het er alles van weg heeft dat SASMOS enorm profiteert bij iedere oplaaiing van het geweld in Gaza? Wat vindt u er bijvoorbeeld van dat alleen al in maart 2025, de maand waarin Israël het staakt-het-vuren beëindigde, SASMOS op 20 verschillende dagen producten naar Israël heeft verscheept?</w:t>
      </w:r>
    </w:p>
    <w:p w:rsidR="00FE66AC" w:rsidP="00FE66AC" w:rsidRDefault="00FE66AC" w14:paraId="0D95F46D" w14:textId="77777777">
      <w:pPr>
        <w:spacing w:line="276" w:lineRule="auto"/>
      </w:pPr>
      <w:r>
        <w:rPr>
          <w:b/>
        </w:rPr>
        <w:t>Vraag 11</w:t>
      </w:r>
    </w:p>
    <w:p w:rsidR="00FE66AC" w:rsidP="00FE66AC" w:rsidRDefault="00FE66AC" w14:paraId="4CCEB6E3" w14:textId="77777777">
      <w:pPr>
        <w:autoSpaceDN/>
        <w:spacing w:after="160" w:line="276" w:lineRule="auto"/>
        <w:textAlignment w:val="auto"/>
      </w:pPr>
      <w:r w:rsidRPr="00091C67">
        <w:t>Bent u voorts bereid om de relaties van SASMOS met andere Nederlandse bedrijven onder de loep te nemen, zoals GKN Aerospace en de in Brabant gevestigde Lumipol Group? Bent u het namelijk eens dat het Nederlandse businessnetwerk met de Israëlische wapenindustrie doorgelicht moet worden om in kaart te brengen of er sprake is van medeplichtigheid aan Israëlische oorlogsmisdrijven, misdrijven tegen de menselijkheid en genocide? Kunnen de belastingdienst, douane en FIOD hier een rol bij spelen?</w:t>
      </w:r>
    </w:p>
    <w:p w:rsidR="00FE66AC" w:rsidP="00FE66AC" w:rsidRDefault="00FE66AC" w14:paraId="314B12A2" w14:textId="77777777">
      <w:pPr>
        <w:spacing w:line="276" w:lineRule="auto"/>
      </w:pPr>
      <w:r>
        <w:rPr>
          <w:b/>
        </w:rPr>
        <w:t>Antwoord vraag 10 en 11</w:t>
      </w:r>
    </w:p>
    <w:p w:rsidRPr="00F36FD2" w:rsidR="00FE66AC" w:rsidP="00FE66AC" w:rsidRDefault="00FE66AC" w14:paraId="2816A778" w14:textId="77777777">
      <w:pPr>
        <w:spacing w:line="276" w:lineRule="auto"/>
      </w:pPr>
      <w:r w:rsidRPr="00F36FD2">
        <w:t>Het kabinet doet</w:t>
      </w:r>
      <w:r>
        <w:t xml:space="preserve"> in beginsel</w:t>
      </w:r>
      <w:r w:rsidRPr="00F36FD2">
        <w:t xml:space="preserve"> in het openbaar geen uitspraken over individuele bedrijven of personen. Alle Nederlandse bedrijven hebben zich te houden aan de wet. Als er aanwijzingen zijn dat bedrijven de wet hebben overtreden, dan zal dit worden onderzocht door de relevante toezichthouder. </w:t>
      </w:r>
      <w:r w:rsidRPr="001B7EB9">
        <w:t>Het is aan het Openbaar Ministerie om te beoordelen of sprake is van gedragingen die mogelijk strafbaar handelen opleveren</w:t>
      </w:r>
      <w:r>
        <w:t>.</w:t>
      </w:r>
      <w:r w:rsidRPr="001B7EB9">
        <w:t xml:space="preserve"> </w:t>
      </w:r>
    </w:p>
    <w:p w:rsidR="00FE66AC" w:rsidP="00FE66AC" w:rsidRDefault="00FE66AC" w14:paraId="08237F8A" w14:textId="77777777">
      <w:pPr>
        <w:spacing w:line="276" w:lineRule="auto"/>
        <w:rPr>
          <w:b/>
        </w:rPr>
      </w:pPr>
    </w:p>
    <w:p w:rsidR="00FE66AC" w:rsidP="00FE66AC" w:rsidRDefault="00FE66AC" w14:paraId="54E0758C" w14:textId="77777777">
      <w:pPr>
        <w:spacing w:line="276" w:lineRule="auto"/>
      </w:pPr>
      <w:r>
        <w:rPr>
          <w:b/>
        </w:rPr>
        <w:t>Vraag 12</w:t>
      </w:r>
    </w:p>
    <w:p w:rsidR="00FE66AC" w:rsidP="00FE66AC" w:rsidRDefault="00FE66AC" w14:paraId="420A6057" w14:textId="77777777">
      <w:pPr>
        <w:autoSpaceDN/>
        <w:spacing w:after="160" w:line="276" w:lineRule="auto"/>
        <w:textAlignment w:val="auto"/>
      </w:pPr>
      <w:r w:rsidRPr="00091C67">
        <w:t>Heeft u überhaupt ooit een waarschuwing aan dit soort bedrijven gegeven dat er een groot risico is dat hun producten bijdragen aan grove schendingen van het internationaal recht vanwege gebruik door het Israëlische leger? Zo nee, waarom niet?</w:t>
      </w:r>
    </w:p>
    <w:p w:rsidR="00FE66AC" w:rsidP="00FE66AC" w:rsidRDefault="00FE66AC" w14:paraId="231EB356" w14:textId="77777777">
      <w:pPr>
        <w:spacing w:line="276" w:lineRule="auto"/>
      </w:pPr>
      <w:r>
        <w:rPr>
          <w:b/>
        </w:rPr>
        <w:t>Antwoord</w:t>
      </w:r>
    </w:p>
    <w:p w:rsidR="00FE66AC" w:rsidP="00FE66AC" w:rsidRDefault="00FE66AC" w14:paraId="6BD2B9E3" w14:textId="77777777">
      <w:pPr>
        <w:spacing w:line="276" w:lineRule="auto"/>
      </w:pPr>
      <w:r w:rsidRPr="5E071490">
        <w:rPr>
          <w:rFonts w:eastAsia="Verdana" w:cs="Verdana"/>
          <w:color w:val="auto"/>
        </w:rPr>
        <w:t xml:space="preserve">Het kabinet verwacht van alle Nederlandse bedrijven die internationaal opereren dat zij de OESO-richtlijnen voor multinationale ondernemingen inzake maatschappelijk verantwoord ondernemen en de </w:t>
      </w:r>
      <w:r w:rsidRPr="00DD480C">
        <w:rPr>
          <w:rFonts w:eastAsia="Verdana" w:cs="Verdana"/>
          <w:i/>
          <w:iCs/>
          <w:color w:val="auto"/>
        </w:rPr>
        <w:t>UN Guiding Principles on Business and Human Rights</w:t>
      </w:r>
      <w:r w:rsidRPr="5E071490">
        <w:rPr>
          <w:rFonts w:eastAsia="Verdana" w:cs="Verdana"/>
          <w:color w:val="auto"/>
        </w:rPr>
        <w:t xml:space="preserve"> toepassen. Volgens deze kaders dienen bedrijven mensenrechtenrisico’s, in hun waardeketens te identificeren, ook bij export, en waar nodig aan te pakken. </w:t>
      </w:r>
      <w:r w:rsidRPr="00C819B1">
        <w:t>Het is uiteindelijk de verantwoordelijkheid van Nederlandse private partijen zelf om beslissingen te maken binnen de kaders van de wet.</w:t>
      </w:r>
    </w:p>
    <w:p w:rsidR="00885F0F" w:rsidP="00FE66AC" w:rsidRDefault="00885F0F" w14:paraId="0B0580E7" w14:textId="77777777">
      <w:pPr>
        <w:spacing w:line="276" w:lineRule="auto"/>
        <w:rPr>
          <w:b/>
        </w:rPr>
      </w:pPr>
    </w:p>
    <w:p w:rsidR="00885F0F" w:rsidP="00FE66AC" w:rsidRDefault="00885F0F" w14:paraId="6272B780" w14:textId="77777777">
      <w:pPr>
        <w:spacing w:line="276" w:lineRule="auto"/>
        <w:rPr>
          <w:b/>
        </w:rPr>
      </w:pPr>
    </w:p>
    <w:p w:rsidR="00FE66AC" w:rsidP="00FE66AC" w:rsidRDefault="00FE66AC" w14:paraId="3856C162" w14:textId="39C8ABC7">
      <w:pPr>
        <w:spacing w:line="276" w:lineRule="auto"/>
      </w:pPr>
      <w:r>
        <w:rPr>
          <w:b/>
        </w:rPr>
        <w:lastRenderedPageBreak/>
        <w:t>Vraag 13</w:t>
      </w:r>
    </w:p>
    <w:p w:rsidR="00FE66AC" w:rsidP="00FE66AC" w:rsidRDefault="00FE66AC" w14:paraId="73459C2C" w14:textId="77777777">
      <w:pPr>
        <w:autoSpaceDN/>
        <w:spacing w:after="160" w:line="276" w:lineRule="auto"/>
        <w:textAlignment w:val="auto"/>
      </w:pPr>
      <w:r w:rsidRPr="00091C67">
        <w:t>Bent u het eens dat het evident is dat de zakenmannen uit het artikel zich bewust waren van de mogelijkheid dat hun materiële hulp gebruikt zou worden voor het plegen van oorlogsmisdrijven, misdrijven tegen de menselijkheid of genocide en dat ze dat risico aanvaardden?</w:t>
      </w:r>
    </w:p>
    <w:p w:rsidR="00FE66AC" w:rsidP="00FE66AC" w:rsidRDefault="00FE66AC" w14:paraId="50854071" w14:textId="77777777">
      <w:pPr>
        <w:spacing w:line="276" w:lineRule="auto"/>
      </w:pPr>
      <w:r>
        <w:rPr>
          <w:b/>
        </w:rPr>
        <w:t>Antwoord</w:t>
      </w:r>
    </w:p>
    <w:p w:rsidRPr="005865BD" w:rsidR="00FE66AC" w:rsidP="00FE66AC" w:rsidRDefault="00FE66AC" w14:paraId="2305FDA7" w14:textId="77777777">
      <w:pPr>
        <w:spacing w:line="276" w:lineRule="auto"/>
      </w:pPr>
      <w:r>
        <w:t>Het kabinet doet</w:t>
      </w:r>
      <w:r w:rsidRPr="001B7EB9">
        <w:t xml:space="preserve"> daar geen uitspraken over. Het is in individuele zaken aan de rechter om te oordelen of bepaald handelen internationale misdrijven oplevert, indien en voor zover het Openbaar Ministerie het opportuun acht om tot vervolging over te gaan. </w:t>
      </w:r>
    </w:p>
    <w:p w:rsidRPr="005865BD" w:rsidR="00FE66AC" w:rsidP="00FE66AC" w:rsidRDefault="00FE66AC" w14:paraId="37E0B7E6" w14:textId="77777777">
      <w:pPr>
        <w:spacing w:line="276" w:lineRule="auto"/>
        <w:rPr>
          <w:b/>
        </w:rPr>
      </w:pPr>
    </w:p>
    <w:p w:rsidR="00FE66AC" w:rsidP="00FE66AC" w:rsidRDefault="00FE66AC" w14:paraId="42FBD04A" w14:textId="77777777">
      <w:pPr>
        <w:spacing w:line="276" w:lineRule="auto"/>
      </w:pPr>
      <w:r>
        <w:rPr>
          <w:b/>
        </w:rPr>
        <w:t>Vraag 14</w:t>
      </w:r>
    </w:p>
    <w:p w:rsidR="00FE66AC" w:rsidP="00FE66AC" w:rsidRDefault="00FE66AC" w14:paraId="517289A3" w14:textId="77777777">
      <w:pPr>
        <w:autoSpaceDN/>
        <w:spacing w:after="160" w:line="276" w:lineRule="auto"/>
        <w:textAlignment w:val="auto"/>
      </w:pPr>
      <w:r w:rsidRPr="00091C67">
        <w:t>Bent u het ook eens dat uit jurisprudentie (denk aan de zaak Frans van Anraat in 2009, en Guus van Kouwenhoven in 2018) bleek dat het voldoende was dat de veroordeelde personen wisten wat de daders van plan waren en niet noodzakelijkerwijs hun intentie hoefden te delen om strafrechtelijk veroordeeld te worden? Bent u het met andere woorden eens dat de Nederlandse rechtbanken de</w:t>
      </w:r>
      <w:r w:rsidRPr="00091C67">
        <w:rPr>
          <w:i/>
          <w:iCs/>
        </w:rPr>
        <w:t>dolus eventualis</w:t>
      </w:r>
      <w:r w:rsidRPr="00091C67">
        <w:t xml:space="preserve"> hebben gehanteerd omdat deze steunt op ‘de aanname van risico’ in plaats van ‘kennis’ van het feit dat wapens werkelijk worden ingezet voor het begaan van internationale misdrijven? Hoe beschouwt u dat in relatie tot de onderhavige casus?</w:t>
      </w:r>
    </w:p>
    <w:p w:rsidR="00FE66AC" w:rsidP="00FE66AC" w:rsidRDefault="00FE66AC" w14:paraId="32171B7E" w14:textId="77777777">
      <w:pPr>
        <w:spacing w:line="276" w:lineRule="auto"/>
      </w:pPr>
      <w:r>
        <w:rPr>
          <w:b/>
        </w:rPr>
        <w:t>Antwoord</w:t>
      </w:r>
    </w:p>
    <w:p w:rsidRPr="00702F61" w:rsidR="00FE66AC" w:rsidP="00FE66AC" w:rsidRDefault="00FE66AC" w14:paraId="3B866C1E" w14:textId="77777777">
      <w:pPr>
        <w:spacing w:line="276" w:lineRule="auto"/>
      </w:pPr>
      <w:r>
        <w:t xml:space="preserve">Door de Nederlandse rechter zijn in het verleden inderdaad </w:t>
      </w:r>
      <w:r w:rsidRPr="005865BD">
        <w:t xml:space="preserve">personen uit de private sector </w:t>
      </w:r>
      <w:r>
        <w:t xml:space="preserve">met de Nederlandse nationaliteit veroordeeld voor medeplichtigheid aan oorlogsmisdrijven. In die zaken stelde de rechter vast dat sprake was van opzet en dat deze personen wisten dat door derden oorlogsmisdrijven zouden worden gepleegd dan wel dat zij zich willens en wetens hadden blootgesteld aan de aanmerkelijke kans dat derden oorlogsmisdrijven zouden plegen door gebruikmaking van de geleverde goederen. </w:t>
      </w:r>
    </w:p>
    <w:p w:rsidRPr="00702F61" w:rsidR="00FE66AC" w:rsidP="00FE66AC" w:rsidRDefault="00FE66AC" w14:paraId="2EEE8F58" w14:textId="77777777">
      <w:pPr>
        <w:spacing w:line="276" w:lineRule="auto"/>
      </w:pPr>
    </w:p>
    <w:p w:rsidRPr="00702F61" w:rsidR="00FE66AC" w:rsidP="00FE66AC" w:rsidRDefault="00FE66AC" w14:paraId="10FDF1A6" w14:textId="77777777">
      <w:pPr>
        <w:spacing w:line="276" w:lineRule="auto"/>
      </w:pPr>
      <w:r w:rsidRPr="00702F61">
        <w:t xml:space="preserve">De beoordeling of sprake is van opzet is – zoals ook uit deze jurisprudentie volgt – afhankelijk van de omstandigheden van het geval. Het is aan de rechter om een dergelijke beoordeling te maken indien en voor zover het openbaar ministerie het opportuun acht om tot strafrechtelijke vervolging over te gaan. Ik kan mij daar niet over uitlaten. </w:t>
      </w:r>
    </w:p>
    <w:p w:rsidR="00FE66AC" w:rsidP="00FE66AC" w:rsidRDefault="00FE66AC" w14:paraId="792C1623" w14:textId="77777777">
      <w:pPr>
        <w:spacing w:line="276" w:lineRule="auto"/>
        <w:rPr>
          <w:b/>
        </w:rPr>
      </w:pPr>
    </w:p>
    <w:p w:rsidR="00FE66AC" w:rsidP="00FE66AC" w:rsidRDefault="00FE66AC" w14:paraId="2B5A3CB2" w14:textId="77777777">
      <w:pPr>
        <w:spacing w:line="276" w:lineRule="auto"/>
      </w:pPr>
      <w:r>
        <w:rPr>
          <w:b/>
        </w:rPr>
        <w:t>Vraag 15</w:t>
      </w:r>
    </w:p>
    <w:p w:rsidR="00FE66AC" w:rsidP="00FE66AC" w:rsidRDefault="00FE66AC" w14:paraId="3FD7356E" w14:textId="77777777">
      <w:pPr>
        <w:autoSpaceDN/>
        <w:spacing w:after="160" w:line="276" w:lineRule="auto"/>
        <w:textAlignment w:val="auto"/>
      </w:pPr>
      <w:r w:rsidRPr="00091C67">
        <w:t>Bent u het tot slot eens dat er een nationale aanpak moet komen tegen private handelingen die bijdragen aan schendingen van het internationaal recht door Israël in Gaza en de Westelijke Jordaanoever? Zo ja, welke instanties zouden hierbij betrokken moeten worden? Zo nee, waarom niet?</w:t>
      </w:r>
    </w:p>
    <w:p w:rsidR="00FE66AC" w:rsidP="00FE66AC" w:rsidRDefault="00FE66AC" w14:paraId="3E29A2B7" w14:textId="5834D1E9">
      <w:pPr>
        <w:spacing w:line="276" w:lineRule="auto"/>
      </w:pPr>
      <w:r>
        <w:rPr>
          <w:b/>
        </w:rPr>
        <w:t>Antwoord</w:t>
      </w:r>
    </w:p>
    <w:p w:rsidRPr="00FE66AC" w:rsidR="0013773A" w:rsidP="00885F0F" w:rsidRDefault="00FE66AC" w14:paraId="002ED458" w14:textId="2B422CB8">
      <w:pPr>
        <w:spacing w:line="276" w:lineRule="auto"/>
      </w:pPr>
      <w:r>
        <w:t xml:space="preserve">Iedere staat dient zich te houden aan internationaal recht. </w:t>
      </w:r>
      <w:r w:rsidRPr="00F56B68">
        <w:t xml:space="preserve">In het advies </w:t>
      </w:r>
      <w:r>
        <w:t>van het Internationaal Gerechtshof van 19 juli 2024</w:t>
      </w:r>
      <w:r>
        <w:rPr>
          <w:rStyle w:val="FootnoteReference"/>
        </w:rPr>
        <w:footnoteReference w:id="8"/>
      </w:r>
      <w:r>
        <w:t xml:space="preserve"> </w:t>
      </w:r>
      <w:r w:rsidRPr="00F56B68">
        <w:t xml:space="preserve">wordt geen </w:t>
      </w:r>
      <w:r>
        <w:t>u</w:t>
      </w:r>
      <w:r w:rsidRPr="00F56B68">
        <w:t>itspraak gedaan over de reikwijdte van de verantwoordelijkheid van derde staten voor de activiteiten van private partijen.</w:t>
      </w:r>
    </w:p>
    <w:sectPr w:rsidRPr="00FE66AC" w:rsidR="0013773A" w:rsidSect="006D3BCE">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F0F9" w14:textId="77777777" w:rsidR="00B62206" w:rsidRDefault="00B62206">
      <w:pPr>
        <w:spacing w:line="240" w:lineRule="auto"/>
      </w:pPr>
      <w:r>
        <w:separator/>
      </w:r>
    </w:p>
  </w:endnote>
  <w:endnote w:type="continuationSeparator" w:id="0">
    <w:p w14:paraId="4010B259" w14:textId="77777777" w:rsidR="00B62206" w:rsidRDefault="00B62206">
      <w:pPr>
        <w:spacing w:line="240" w:lineRule="auto"/>
      </w:pPr>
      <w:r>
        <w:continuationSeparator/>
      </w:r>
    </w:p>
  </w:endnote>
  <w:endnote w:type="continuationNotice" w:id="1">
    <w:p w14:paraId="43DB0B90" w14:textId="77777777" w:rsidR="00C34D00" w:rsidRDefault="00C34D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7BDD" w14:textId="77777777" w:rsidR="00A91E7E" w:rsidRDefault="00A91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71AF" w14:textId="77777777" w:rsidR="00A91E7E" w:rsidRDefault="00A91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3E57" w14:textId="77777777" w:rsidR="00A91E7E" w:rsidRDefault="00A91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A49D" w14:textId="77777777" w:rsidR="00B62206" w:rsidRDefault="00B62206">
      <w:pPr>
        <w:spacing w:line="240" w:lineRule="auto"/>
      </w:pPr>
      <w:r>
        <w:separator/>
      </w:r>
    </w:p>
  </w:footnote>
  <w:footnote w:type="continuationSeparator" w:id="0">
    <w:p w14:paraId="00ED2E5E" w14:textId="77777777" w:rsidR="00B62206" w:rsidRDefault="00B62206">
      <w:pPr>
        <w:spacing w:line="240" w:lineRule="auto"/>
      </w:pPr>
      <w:r>
        <w:continuationSeparator/>
      </w:r>
    </w:p>
  </w:footnote>
  <w:footnote w:type="continuationNotice" w:id="1">
    <w:p w14:paraId="12D9C657" w14:textId="77777777" w:rsidR="00C34D00" w:rsidRDefault="00C34D00">
      <w:pPr>
        <w:spacing w:line="240" w:lineRule="auto"/>
      </w:pPr>
    </w:p>
  </w:footnote>
  <w:footnote w:id="2">
    <w:p w14:paraId="31FAAABC" w14:textId="77777777" w:rsidR="00FE66AC" w:rsidRPr="00A91E7E" w:rsidRDefault="00FE66AC" w:rsidP="00FE66AC">
      <w:pPr>
        <w:pStyle w:val="FootnoteText"/>
        <w:rPr>
          <w:sz w:val="16"/>
          <w:szCs w:val="16"/>
          <w:lang w:val="en-US"/>
        </w:rPr>
      </w:pPr>
      <w:r w:rsidRPr="00A91E7E">
        <w:rPr>
          <w:rStyle w:val="FootnoteReference"/>
          <w:sz w:val="16"/>
          <w:szCs w:val="16"/>
        </w:rPr>
        <w:footnoteRef/>
      </w:r>
      <w:r w:rsidRPr="00A91E7E">
        <w:rPr>
          <w:sz w:val="16"/>
          <w:szCs w:val="16"/>
        </w:rPr>
        <w:t xml:space="preserve"> https://argos.vpro.nl/artikelen/somo-nederlandse-zakenmannen-verkopen-voor-tientallen-miljoenen-aan-israelische-wapenindustrie</w:t>
      </w:r>
    </w:p>
  </w:footnote>
  <w:footnote w:id="3">
    <w:p w14:paraId="7874AB10" w14:textId="77777777" w:rsidR="00FE66AC" w:rsidRPr="0013773A" w:rsidRDefault="00FE66AC" w:rsidP="00FE66AC">
      <w:pPr>
        <w:pStyle w:val="FootnoteText"/>
        <w:rPr>
          <w:lang w:val="en-US"/>
        </w:rPr>
      </w:pPr>
      <w:r w:rsidRPr="00A91E7E">
        <w:rPr>
          <w:rStyle w:val="FootnoteReference"/>
          <w:sz w:val="16"/>
          <w:szCs w:val="16"/>
        </w:rPr>
        <w:footnoteRef/>
      </w:r>
      <w:r w:rsidRPr="00A91E7E">
        <w:rPr>
          <w:sz w:val="16"/>
          <w:szCs w:val="16"/>
          <w:lang w:val="en-US"/>
        </w:rPr>
        <w:t xml:space="preserve"> https://www.somo.nl/nl/kortsluiting-in-het-internationaal-recht/</w:t>
      </w:r>
    </w:p>
  </w:footnote>
  <w:footnote w:id="4">
    <w:p w14:paraId="297C55C1" w14:textId="77777777" w:rsidR="00B93635" w:rsidRPr="00B93635" w:rsidRDefault="00B93635" w:rsidP="00B93635">
      <w:pPr>
        <w:pStyle w:val="FootnoteText"/>
        <w:rPr>
          <w:sz w:val="16"/>
          <w:szCs w:val="16"/>
        </w:rPr>
      </w:pPr>
      <w:r w:rsidRPr="00B93635">
        <w:rPr>
          <w:rStyle w:val="FootnoteReference"/>
          <w:sz w:val="16"/>
          <w:szCs w:val="16"/>
        </w:rPr>
        <w:footnoteRef/>
      </w:r>
      <w:r w:rsidRPr="00B93635">
        <w:rPr>
          <w:sz w:val="16"/>
          <w:szCs w:val="16"/>
        </w:rPr>
        <w:t xml:space="preserve"> Kamerstuk 23 432, nr. 569</w:t>
      </w:r>
    </w:p>
  </w:footnote>
  <w:footnote w:id="5">
    <w:p w14:paraId="0B79E566" w14:textId="77777777" w:rsidR="00771F05" w:rsidRPr="00B93635" w:rsidRDefault="00771F05" w:rsidP="00771F05">
      <w:pPr>
        <w:pStyle w:val="FootnoteText"/>
        <w:rPr>
          <w:sz w:val="16"/>
          <w:szCs w:val="16"/>
        </w:rPr>
      </w:pPr>
      <w:r w:rsidRPr="00B93635">
        <w:rPr>
          <w:rStyle w:val="FootnoteReference"/>
          <w:sz w:val="16"/>
          <w:szCs w:val="16"/>
        </w:rPr>
        <w:footnoteRef/>
      </w:r>
      <w:r w:rsidRPr="00B93635">
        <w:rPr>
          <w:sz w:val="16"/>
          <w:szCs w:val="16"/>
        </w:rPr>
        <w:t xml:space="preserve"> Kamerstuk 23 432, nr. 546</w:t>
      </w:r>
    </w:p>
  </w:footnote>
  <w:footnote w:id="6">
    <w:p w14:paraId="5E623552" w14:textId="77777777" w:rsidR="00771F05" w:rsidRPr="00B93635" w:rsidRDefault="00771F05" w:rsidP="00771F05">
      <w:pPr>
        <w:pStyle w:val="FootnoteText"/>
        <w:rPr>
          <w:sz w:val="16"/>
          <w:szCs w:val="16"/>
        </w:rPr>
      </w:pPr>
      <w:r w:rsidRPr="00B93635">
        <w:rPr>
          <w:rStyle w:val="FootnoteReference"/>
          <w:sz w:val="16"/>
          <w:szCs w:val="16"/>
        </w:rPr>
        <w:footnoteRef/>
      </w:r>
      <w:r w:rsidRPr="00B93635">
        <w:rPr>
          <w:sz w:val="16"/>
          <w:szCs w:val="16"/>
        </w:rPr>
        <w:t xml:space="preserve"> Kamerstuk 23 432, nr. 563</w:t>
      </w:r>
    </w:p>
  </w:footnote>
  <w:footnote w:id="7">
    <w:p w14:paraId="78A47EA0" w14:textId="5E272DF6" w:rsidR="00771F05" w:rsidRPr="00B93635" w:rsidRDefault="00771F05" w:rsidP="00771F05">
      <w:pPr>
        <w:pStyle w:val="FootnoteText"/>
        <w:rPr>
          <w:sz w:val="16"/>
          <w:szCs w:val="16"/>
        </w:rPr>
      </w:pPr>
      <w:r w:rsidRPr="00B93635">
        <w:rPr>
          <w:rStyle w:val="FootnoteReference"/>
          <w:sz w:val="16"/>
          <w:szCs w:val="16"/>
        </w:rPr>
        <w:footnoteRef/>
      </w:r>
      <w:r w:rsidRPr="00B93635">
        <w:rPr>
          <w:sz w:val="16"/>
          <w:szCs w:val="16"/>
        </w:rPr>
        <w:t xml:space="preserve"> </w:t>
      </w:r>
      <w:r w:rsidR="00B93635">
        <w:rPr>
          <w:sz w:val="16"/>
          <w:szCs w:val="16"/>
        </w:rPr>
        <w:t>Aanhangsel van de Handelingen 2024-2025, nr. 2524</w:t>
      </w:r>
    </w:p>
  </w:footnote>
  <w:footnote w:id="8">
    <w:p w14:paraId="0605AD5B" w14:textId="77777777" w:rsidR="00FE66AC" w:rsidRPr="00F56B68" w:rsidRDefault="00FE66AC" w:rsidP="00FE66AC">
      <w:pPr>
        <w:pStyle w:val="FootnoteText"/>
        <w:rPr>
          <w:sz w:val="16"/>
          <w:szCs w:val="16"/>
        </w:rPr>
      </w:pPr>
      <w:r w:rsidRPr="00F56B68">
        <w:rPr>
          <w:rStyle w:val="FootnoteReference"/>
          <w:sz w:val="16"/>
          <w:szCs w:val="16"/>
        </w:rPr>
        <w:footnoteRef/>
      </w:r>
      <w:r w:rsidRPr="00F56B68">
        <w:rPr>
          <w:sz w:val="16"/>
          <w:szCs w:val="16"/>
        </w:rPr>
        <w:t xml:space="preserve"> Adviesuitspraak van het Internationaal Gerechtshof, 19 juli 2024, (https://www.icj-cij.org/sites/default/files/case-related/186/186-20240719-adv-01-00-en.pdf)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0460" w14:textId="77777777" w:rsidR="00A91E7E" w:rsidRDefault="00A91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677F" w14:textId="58794DEF" w:rsidR="00CB3320" w:rsidRDefault="00B62206">
    <w:r>
      <w:rPr>
        <w:noProof/>
      </w:rPr>
      <mc:AlternateContent>
        <mc:Choice Requires="wps">
          <w:drawing>
            <wp:anchor distT="0" distB="0" distL="0" distR="0" simplePos="0" relativeHeight="251658240" behindDoc="0" locked="1" layoutInCell="1" allowOverlap="1" wp14:anchorId="590D6783" wp14:editId="78CDAA12">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590D67B4" w14:textId="77777777" w:rsidR="00CB3320" w:rsidRDefault="00B62206">
                          <w:pPr>
                            <w:pStyle w:val="Referentiegegevensbold"/>
                          </w:pPr>
                          <w:r>
                            <w:t>Ministerie van Buitenlandse Zaken</w:t>
                          </w:r>
                        </w:p>
                        <w:p w14:paraId="590D67B5" w14:textId="77777777" w:rsidR="00CB3320" w:rsidRDefault="00CB3320">
                          <w:pPr>
                            <w:pStyle w:val="WitregelW2"/>
                          </w:pPr>
                        </w:p>
                        <w:p w14:paraId="590D67B6" w14:textId="77777777" w:rsidR="00CB3320" w:rsidRDefault="00B62206">
                          <w:pPr>
                            <w:pStyle w:val="Referentiegegevensbold"/>
                          </w:pPr>
                          <w:r>
                            <w:t>Onze referentie</w:t>
                          </w:r>
                        </w:p>
                        <w:p w14:paraId="28AD9A9F" w14:textId="77777777" w:rsidR="001D186B" w:rsidRDefault="001D186B" w:rsidP="001D186B">
                          <w:pPr>
                            <w:pStyle w:val="Referentiegegevens"/>
                          </w:pPr>
                          <w:r>
                            <w:t>BZ2516689</w:t>
                          </w:r>
                        </w:p>
                        <w:p w14:paraId="590D67B7" w14:textId="4A6891C9" w:rsidR="00CB3320" w:rsidRDefault="00CB3320" w:rsidP="001D186B">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590D6783"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590D67B4" w14:textId="77777777" w:rsidR="00CB3320" w:rsidRDefault="00B62206">
                    <w:pPr>
                      <w:pStyle w:val="Referentiegegevensbold"/>
                    </w:pPr>
                    <w:r>
                      <w:t>Ministerie van Buitenlandse Zaken</w:t>
                    </w:r>
                  </w:p>
                  <w:p w14:paraId="590D67B5" w14:textId="77777777" w:rsidR="00CB3320" w:rsidRDefault="00CB3320">
                    <w:pPr>
                      <w:pStyle w:val="WitregelW2"/>
                    </w:pPr>
                  </w:p>
                  <w:p w14:paraId="590D67B6" w14:textId="77777777" w:rsidR="00CB3320" w:rsidRDefault="00B62206">
                    <w:pPr>
                      <w:pStyle w:val="Referentiegegevensbold"/>
                    </w:pPr>
                    <w:r>
                      <w:t>Onze referentie</w:t>
                    </w:r>
                  </w:p>
                  <w:p w14:paraId="28AD9A9F" w14:textId="77777777" w:rsidR="001D186B" w:rsidRDefault="001D186B" w:rsidP="001D186B">
                    <w:pPr>
                      <w:pStyle w:val="Referentiegegevens"/>
                    </w:pPr>
                    <w:r>
                      <w:t>BZ2516689</w:t>
                    </w:r>
                  </w:p>
                  <w:p w14:paraId="590D67B7" w14:textId="4A6891C9" w:rsidR="00CB3320" w:rsidRDefault="00CB3320" w:rsidP="001D186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90D6787" wp14:editId="590D678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0D67B9" w14:textId="5FAB01D2" w:rsidR="00CB3320" w:rsidRDefault="00805BE1">
                          <w:pPr>
                            <w:pStyle w:val="Referentiegegevens"/>
                          </w:pPr>
                          <w:r>
                            <w:t xml:space="preserve">Pagina </w:t>
                          </w:r>
                          <w:r w:rsidR="00F56B68">
                            <w:fldChar w:fldCharType="begin"/>
                          </w:r>
                          <w:r w:rsidR="00F56B68">
                            <w:instrText>=</w:instrText>
                          </w:r>
                          <w:r w:rsidR="00F56B68">
                            <w:fldChar w:fldCharType="begin"/>
                          </w:r>
                          <w:r w:rsidR="00F56B68">
                            <w:instrText>PAGE</w:instrText>
                          </w:r>
                          <w:r w:rsidR="00F56B68">
                            <w:fldChar w:fldCharType="separate"/>
                          </w:r>
                          <w:r w:rsidR="003A063D">
                            <w:rPr>
                              <w:noProof/>
                            </w:rPr>
                            <w:instrText>2</w:instrText>
                          </w:r>
                          <w:r w:rsidR="00F56B68">
                            <w:fldChar w:fldCharType="end"/>
                          </w:r>
                          <w:r w:rsidR="00F56B68">
                            <w:instrText>-1</w:instrText>
                          </w:r>
                          <w:r w:rsidR="00F56B68">
                            <w:fldChar w:fldCharType="separate"/>
                          </w:r>
                          <w:r w:rsidR="003A063D">
                            <w:rPr>
                              <w:noProof/>
                            </w:rPr>
                            <w:t>1</w:t>
                          </w:r>
                          <w:r w:rsidR="00F56B68">
                            <w:fldChar w:fldCharType="end"/>
                          </w:r>
                          <w:r>
                            <w:t xml:space="preserve"> van </w:t>
                          </w:r>
                          <w:r>
                            <w:fldChar w:fldCharType="begin"/>
                          </w:r>
                          <w:r>
                            <w:instrText>=</w:instrText>
                          </w:r>
                          <w:r>
                            <w:fldChar w:fldCharType="begin"/>
                          </w:r>
                          <w:r>
                            <w:instrText>NUMPAGES</w:instrText>
                          </w:r>
                          <w:r>
                            <w:fldChar w:fldCharType="separate"/>
                          </w:r>
                          <w:r w:rsidR="003A063D">
                            <w:rPr>
                              <w:noProof/>
                            </w:rPr>
                            <w:instrText>6</w:instrText>
                          </w:r>
                          <w:r>
                            <w:fldChar w:fldCharType="end"/>
                          </w:r>
                          <w:r>
                            <w:instrText>-1</w:instrText>
                          </w:r>
                          <w:r>
                            <w:fldChar w:fldCharType="separate"/>
                          </w:r>
                          <w:r w:rsidR="003A063D">
                            <w:rPr>
                              <w:noProof/>
                            </w:rPr>
                            <w:t>5</w:t>
                          </w:r>
                          <w:r>
                            <w:fldChar w:fldCharType="end"/>
                          </w:r>
                        </w:p>
                      </w:txbxContent>
                    </wps:txbx>
                    <wps:bodyPr vert="horz" wrap="square" lIns="0" tIns="0" rIns="0" bIns="0" anchor="t" anchorCtr="0"/>
                  </wps:wsp>
                </a:graphicData>
              </a:graphic>
            </wp:anchor>
          </w:drawing>
        </mc:Choice>
        <mc:Fallback>
          <w:pict>
            <v:shape w14:anchorId="590D6787"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90D67B9" w14:textId="5FAB01D2" w:rsidR="00CB3320" w:rsidRDefault="00805BE1">
                    <w:pPr>
                      <w:pStyle w:val="Referentiegegevens"/>
                    </w:pPr>
                    <w:r>
                      <w:t xml:space="preserve">Pagina </w:t>
                    </w:r>
                    <w:r w:rsidR="00F56B68">
                      <w:fldChar w:fldCharType="begin"/>
                    </w:r>
                    <w:r w:rsidR="00F56B68">
                      <w:instrText>=</w:instrText>
                    </w:r>
                    <w:r w:rsidR="00F56B68">
                      <w:fldChar w:fldCharType="begin"/>
                    </w:r>
                    <w:r w:rsidR="00F56B68">
                      <w:instrText>PAGE</w:instrText>
                    </w:r>
                    <w:r w:rsidR="00F56B68">
                      <w:fldChar w:fldCharType="separate"/>
                    </w:r>
                    <w:r w:rsidR="003A063D">
                      <w:rPr>
                        <w:noProof/>
                      </w:rPr>
                      <w:instrText>2</w:instrText>
                    </w:r>
                    <w:r w:rsidR="00F56B68">
                      <w:fldChar w:fldCharType="end"/>
                    </w:r>
                    <w:r w:rsidR="00F56B68">
                      <w:instrText>-1</w:instrText>
                    </w:r>
                    <w:r w:rsidR="00F56B68">
                      <w:fldChar w:fldCharType="separate"/>
                    </w:r>
                    <w:r w:rsidR="003A063D">
                      <w:rPr>
                        <w:noProof/>
                      </w:rPr>
                      <w:t>1</w:t>
                    </w:r>
                    <w:r w:rsidR="00F56B68">
                      <w:fldChar w:fldCharType="end"/>
                    </w:r>
                    <w:r>
                      <w:t xml:space="preserve"> van </w:t>
                    </w:r>
                    <w:r>
                      <w:fldChar w:fldCharType="begin"/>
                    </w:r>
                    <w:r>
                      <w:instrText>=</w:instrText>
                    </w:r>
                    <w:r>
                      <w:fldChar w:fldCharType="begin"/>
                    </w:r>
                    <w:r>
                      <w:instrText>NUMPAGES</w:instrText>
                    </w:r>
                    <w:r>
                      <w:fldChar w:fldCharType="separate"/>
                    </w:r>
                    <w:r w:rsidR="003A063D">
                      <w:rPr>
                        <w:noProof/>
                      </w:rPr>
                      <w:instrText>6</w:instrText>
                    </w:r>
                    <w:r>
                      <w:fldChar w:fldCharType="end"/>
                    </w:r>
                    <w:r>
                      <w:instrText>-1</w:instrText>
                    </w:r>
                    <w:r>
                      <w:fldChar w:fldCharType="separate"/>
                    </w:r>
                    <w:r w:rsidR="003A063D">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6781" w14:textId="30767C48" w:rsidR="00CB3320" w:rsidRDefault="00B62206">
    <w:pPr>
      <w:spacing w:after="7131" w:line="14" w:lineRule="exact"/>
    </w:pPr>
    <w:r>
      <w:rPr>
        <w:noProof/>
      </w:rPr>
      <mc:AlternateContent>
        <mc:Choice Requires="wps">
          <w:drawing>
            <wp:anchor distT="0" distB="0" distL="0" distR="0" simplePos="0" relativeHeight="251658243" behindDoc="0" locked="1" layoutInCell="1" allowOverlap="1" wp14:anchorId="590D6789" wp14:editId="590D678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90D67BA" w14:textId="77777777" w:rsidR="00B62206" w:rsidRDefault="00B62206"/>
                      </w:txbxContent>
                    </wps:txbx>
                    <wps:bodyPr vert="horz" wrap="square" lIns="0" tIns="0" rIns="0" bIns="0" anchor="t" anchorCtr="0"/>
                  </wps:wsp>
                </a:graphicData>
              </a:graphic>
            </wp:anchor>
          </w:drawing>
        </mc:Choice>
        <mc:Fallback>
          <w:pict>
            <v:shapetype w14:anchorId="590D678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90D67BA" w14:textId="77777777" w:rsidR="00B62206" w:rsidRDefault="00B6220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90D678B" wp14:editId="590D678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0D679A" w14:textId="77777777" w:rsidR="00CB3320" w:rsidRDefault="00B6220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90D678B"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90D679A" w14:textId="77777777" w:rsidR="00CB3320" w:rsidRDefault="00B6220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90D678D" wp14:editId="590D678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311E4A8" w14:textId="62416F1C" w:rsidR="005865BD" w:rsidRDefault="005865BD" w:rsidP="005865BD">
                          <w:r>
                            <w:t>Datum</w:t>
                          </w:r>
                          <w:r>
                            <w:tab/>
                          </w:r>
                          <w:r w:rsidR="00A91E7E">
                            <w:t xml:space="preserve"> 1 september </w:t>
                          </w:r>
                          <w:r>
                            <w:t>2025</w:t>
                          </w:r>
                        </w:p>
                        <w:p w14:paraId="2A532B61" w14:textId="2A147121" w:rsidR="005865BD" w:rsidRDefault="005865BD" w:rsidP="005865BD">
                          <w:r>
                            <w:t>Betreft Beantwoording vragen van het lid Van Baarle (DENK) over het bericht ‘Nederlandse zakenmannen verkopen voor tientallen miljarden aan Israëlische wapenindustrie’</w:t>
                          </w:r>
                        </w:p>
                        <w:p w14:paraId="590D67A3" w14:textId="77777777" w:rsidR="00CB3320" w:rsidRDefault="00CB3320"/>
                      </w:txbxContent>
                    </wps:txbx>
                    <wps:bodyPr vert="horz" wrap="square" lIns="0" tIns="0" rIns="0" bIns="0" anchor="t" anchorCtr="0"/>
                  </wps:wsp>
                </a:graphicData>
              </a:graphic>
            </wp:anchor>
          </w:drawing>
        </mc:Choice>
        <mc:Fallback>
          <w:pict>
            <v:shape w14:anchorId="590D678D"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311E4A8" w14:textId="62416F1C" w:rsidR="005865BD" w:rsidRDefault="005865BD" w:rsidP="005865BD">
                    <w:r>
                      <w:t>Datum</w:t>
                    </w:r>
                    <w:r>
                      <w:tab/>
                    </w:r>
                    <w:r w:rsidR="00A91E7E">
                      <w:t xml:space="preserve"> 1 september </w:t>
                    </w:r>
                    <w:r>
                      <w:t>2025</w:t>
                    </w:r>
                  </w:p>
                  <w:p w14:paraId="2A532B61" w14:textId="2A147121" w:rsidR="005865BD" w:rsidRDefault="005865BD" w:rsidP="005865BD">
                    <w:r>
                      <w:t>Betreft Beantwoording vragen van het lid Van Baarle (DENK) over het bericht ‘Nederlandse zakenmannen verkopen voor tientallen miljarden aan Israëlische wapenindustrie’</w:t>
                    </w:r>
                  </w:p>
                  <w:p w14:paraId="590D67A3" w14:textId="77777777" w:rsidR="00CB3320" w:rsidRDefault="00CB332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90D678F" wp14:editId="498947E0">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A6C2E35" w14:textId="77777777" w:rsidR="005865BD" w:rsidRPr="00F51C07" w:rsidRDefault="005865BD" w:rsidP="005865BD">
                              <w:pPr>
                                <w:rPr>
                                  <w:b/>
                                  <w:sz w:val="13"/>
                                  <w:szCs w:val="13"/>
                                </w:rPr>
                              </w:pPr>
                              <w:r w:rsidRPr="00FC13FA">
                                <w:rPr>
                                  <w:b/>
                                  <w:sz w:val="13"/>
                                  <w:szCs w:val="13"/>
                                </w:rPr>
                                <w:t>Ministerie van Buitenlandse Zaken</w:t>
                              </w:r>
                            </w:p>
                          </w:sdtContent>
                        </w:sdt>
                        <w:p w14:paraId="333583B7" w14:textId="77777777" w:rsidR="005865BD" w:rsidRPr="00EE5E5D" w:rsidRDefault="005865BD" w:rsidP="005865BD">
                          <w:pPr>
                            <w:rPr>
                              <w:sz w:val="13"/>
                              <w:szCs w:val="13"/>
                            </w:rPr>
                          </w:pPr>
                          <w:r>
                            <w:rPr>
                              <w:sz w:val="13"/>
                              <w:szCs w:val="13"/>
                            </w:rPr>
                            <w:t>Rijnstraat 8</w:t>
                          </w:r>
                        </w:p>
                        <w:p w14:paraId="270AE2DE" w14:textId="77777777" w:rsidR="005865BD" w:rsidRPr="0059764A" w:rsidRDefault="005865BD" w:rsidP="005865BD">
                          <w:pPr>
                            <w:rPr>
                              <w:sz w:val="13"/>
                              <w:szCs w:val="13"/>
                              <w:lang w:val="da-DK"/>
                            </w:rPr>
                          </w:pPr>
                          <w:r w:rsidRPr="0059764A">
                            <w:rPr>
                              <w:sz w:val="13"/>
                              <w:szCs w:val="13"/>
                              <w:lang w:val="da-DK"/>
                            </w:rPr>
                            <w:t>2515 XP Den Haag</w:t>
                          </w:r>
                        </w:p>
                        <w:p w14:paraId="67AE1AE4" w14:textId="77777777" w:rsidR="005865BD" w:rsidRPr="0059764A" w:rsidRDefault="005865BD" w:rsidP="005865BD">
                          <w:pPr>
                            <w:rPr>
                              <w:sz w:val="13"/>
                              <w:szCs w:val="13"/>
                              <w:lang w:val="da-DK"/>
                            </w:rPr>
                          </w:pPr>
                          <w:r w:rsidRPr="0059764A">
                            <w:rPr>
                              <w:sz w:val="13"/>
                              <w:szCs w:val="13"/>
                              <w:lang w:val="da-DK"/>
                            </w:rPr>
                            <w:t>Postbus 20061</w:t>
                          </w:r>
                        </w:p>
                        <w:p w14:paraId="1D4A782B" w14:textId="77777777" w:rsidR="005865BD" w:rsidRPr="0059764A" w:rsidRDefault="005865BD" w:rsidP="005865BD">
                          <w:pPr>
                            <w:rPr>
                              <w:sz w:val="13"/>
                              <w:szCs w:val="13"/>
                              <w:lang w:val="da-DK"/>
                            </w:rPr>
                          </w:pPr>
                          <w:r w:rsidRPr="0059764A">
                            <w:rPr>
                              <w:sz w:val="13"/>
                              <w:szCs w:val="13"/>
                              <w:lang w:val="da-DK"/>
                            </w:rPr>
                            <w:t>Nederland</w:t>
                          </w:r>
                        </w:p>
                        <w:p w14:paraId="590D67A5" w14:textId="77777777" w:rsidR="00CB3320" w:rsidRDefault="00CB3320">
                          <w:pPr>
                            <w:pStyle w:val="WitregelW1"/>
                          </w:pPr>
                        </w:p>
                        <w:p w14:paraId="590D67A6" w14:textId="77777777" w:rsidR="00CB3320" w:rsidRDefault="00B62206">
                          <w:pPr>
                            <w:pStyle w:val="Referentiegegevens"/>
                          </w:pPr>
                          <w:r>
                            <w:t xml:space="preserve"> </w:t>
                          </w:r>
                        </w:p>
                        <w:p w14:paraId="590D67A7" w14:textId="77777777" w:rsidR="00CB3320" w:rsidRDefault="00B62206">
                          <w:pPr>
                            <w:pStyle w:val="Referentiegegevens"/>
                          </w:pPr>
                          <w:r>
                            <w:t>www.minbuza.nl</w:t>
                          </w:r>
                        </w:p>
                        <w:p w14:paraId="590D67A8" w14:textId="77777777" w:rsidR="00CB3320" w:rsidRDefault="00CB3320">
                          <w:pPr>
                            <w:pStyle w:val="WitregelW2"/>
                          </w:pPr>
                        </w:p>
                        <w:p w14:paraId="590D67A9" w14:textId="77777777" w:rsidR="00CB3320" w:rsidRDefault="00B62206">
                          <w:pPr>
                            <w:pStyle w:val="Referentiegegevensbold"/>
                          </w:pPr>
                          <w:r>
                            <w:t>Onze referentie</w:t>
                          </w:r>
                        </w:p>
                        <w:p w14:paraId="590D67AA" w14:textId="25E2B08C" w:rsidR="00CB3320" w:rsidRDefault="001D186B">
                          <w:pPr>
                            <w:pStyle w:val="Referentiegegevens"/>
                          </w:pPr>
                          <w:r>
                            <w:t>BZ2516689</w:t>
                          </w:r>
                        </w:p>
                        <w:p w14:paraId="590D67AB" w14:textId="77777777" w:rsidR="00CB3320" w:rsidRDefault="00CB3320">
                          <w:pPr>
                            <w:pStyle w:val="WitregelW1"/>
                          </w:pPr>
                        </w:p>
                        <w:p w14:paraId="590D67AC" w14:textId="77777777" w:rsidR="00CB3320" w:rsidRPr="00854D14" w:rsidRDefault="00B62206" w:rsidP="00854D14">
                          <w:pPr>
                            <w:pStyle w:val="Referentiegegevens"/>
                            <w:rPr>
                              <w:b/>
                              <w:bCs/>
                            </w:rPr>
                          </w:pPr>
                          <w:r w:rsidRPr="00854D14">
                            <w:rPr>
                              <w:b/>
                              <w:bCs/>
                            </w:rPr>
                            <w:t>Uw referentie</w:t>
                          </w:r>
                        </w:p>
                        <w:p w14:paraId="590D67AE" w14:textId="0893C6A2" w:rsidR="00CB3320" w:rsidRDefault="00854D14" w:rsidP="00854D14">
                          <w:pPr>
                            <w:pStyle w:val="Referentiegegevens"/>
                          </w:pPr>
                          <w:r w:rsidRPr="007E00B9">
                            <w:t>2025Z10389</w:t>
                          </w:r>
                        </w:p>
                        <w:p w14:paraId="67B0E62E" w14:textId="77777777" w:rsidR="00854D14" w:rsidRPr="00854D14" w:rsidRDefault="00854D14" w:rsidP="00854D14">
                          <w:pPr>
                            <w:pStyle w:val="WitregelW1"/>
                          </w:pPr>
                        </w:p>
                        <w:p w14:paraId="590D67AF" w14:textId="77777777" w:rsidR="00CB3320" w:rsidRDefault="00B62206" w:rsidP="00854D14">
                          <w:pPr>
                            <w:pStyle w:val="Referentiegegevens"/>
                          </w:pPr>
                          <w:r>
                            <w:t>Bijlage(n)</w:t>
                          </w:r>
                        </w:p>
                        <w:p w14:paraId="590D67B0" w14:textId="77777777" w:rsidR="00CB3320" w:rsidRDefault="00B6220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90D678F" id="41b10cd4-80a4-11ea-b356-6230a4311406" o:spid="_x0000_s1031" type="#_x0000_t202" style="position:absolute;margin-left:466.5pt;margin-top:155pt;width:104.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pElAEAABUDAAAOAAAAZHJzL2Uyb0RvYy54bWysUsFOIzEMva/EP0S505kWsV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x0tvgxP6eQotiyri+WF0XY6pgeMKY7DY5lR3CkuRS55O5XTFSS&#10;vk5fcjUPt7bv8/uRS/bSuBmZbQU/n3huoN0TfdpAgu0AXzgbaJqCx6dniZqz/qcnufLoJwcnZzM5&#10;0itKFTxx9upep7IiEwHSvlB825M83P/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HDOakSUAQAAFQMA&#10;AA4AAAAAAAAAAAAAAAAALgIAAGRycy9lMm9Eb2MueG1sUEsBAi0AFAAGAAgAAAAhADbi4v3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A6C2E35" w14:textId="77777777" w:rsidR="005865BD" w:rsidRPr="00F51C07" w:rsidRDefault="005865BD" w:rsidP="005865BD">
                        <w:pPr>
                          <w:rPr>
                            <w:b/>
                            <w:sz w:val="13"/>
                            <w:szCs w:val="13"/>
                          </w:rPr>
                        </w:pPr>
                        <w:r w:rsidRPr="00FC13FA">
                          <w:rPr>
                            <w:b/>
                            <w:sz w:val="13"/>
                            <w:szCs w:val="13"/>
                          </w:rPr>
                          <w:t>Ministerie van Buitenlandse Zaken</w:t>
                        </w:r>
                      </w:p>
                    </w:sdtContent>
                  </w:sdt>
                  <w:p w14:paraId="333583B7" w14:textId="77777777" w:rsidR="005865BD" w:rsidRPr="00EE5E5D" w:rsidRDefault="005865BD" w:rsidP="005865BD">
                    <w:pPr>
                      <w:rPr>
                        <w:sz w:val="13"/>
                        <w:szCs w:val="13"/>
                      </w:rPr>
                    </w:pPr>
                    <w:r>
                      <w:rPr>
                        <w:sz w:val="13"/>
                        <w:szCs w:val="13"/>
                      </w:rPr>
                      <w:t>Rijnstraat 8</w:t>
                    </w:r>
                  </w:p>
                  <w:p w14:paraId="270AE2DE" w14:textId="77777777" w:rsidR="005865BD" w:rsidRPr="0059764A" w:rsidRDefault="005865BD" w:rsidP="005865BD">
                    <w:pPr>
                      <w:rPr>
                        <w:sz w:val="13"/>
                        <w:szCs w:val="13"/>
                        <w:lang w:val="da-DK"/>
                      </w:rPr>
                    </w:pPr>
                    <w:r w:rsidRPr="0059764A">
                      <w:rPr>
                        <w:sz w:val="13"/>
                        <w:szCs w:val="13"/>
                        <w:lang w:val="da-DK"/>
                      </w:rPr>
                      <w:t>2515 XP Den Haag</w:t>
                    </w:r>
                  </w:p>
                  <w:p w14:paraId="67AE1AE4" w14:textId="77777777" w:rsidR="005865BD" w:rsidRPr="0059764A" w:rsidRDefault="005865BD" w:rsidP="005865BD">
                    <w:pPr>
                      <w:rPr>
                        <w:sz w:val="13"/>
                        <w:szCs w:val="13"/>
                        <w:lang w:val="da-DK"/>
                      </w:rPr>
                    </w:pPr>
                    <w:r w:rsidRPr="0059764A">
                      <w:rPr>
                        <w:sz w:val="13"/>
                        <w:szCs w:val="13"/>
                        <w:lang w:val="da-DK"/>
                      </w:rPr>
                      <w:t>Postbus 20061</w:t>
                    </w:r>
                  </w:p>
                  <w:p w14:paraId="1D4A782B" w14:textId="77777777" w:rsidR="005865BD" w:rsidRPr="0059764A" w:rsidRDefault="005865BD" w:rsidP="005865BD">
                    <w:pPr>
                      <w:rPr>
                        <w:sz w:val="13"/>
                        <w:szCs w:val="13"/>
                        <w:lang w:val="da-DK"/>
                      </w:rPr>
                    </w:pPr>
                    <w:r w:rsidRPr="0059764A">
                      <w:rPr>
                        <w:sz w:val="13"/>
                        <w:szCs w:val="13"/>
                        <w:lang w:val="da-DK"/>
                      </w:rPr>
                      <w:t>Nederland</w:t>
                    </w:r>
                  </w:p>
                  <w:p w14:paraId="590D67A5" w14:textId="77777777" w:rsidR="00CB3320" w:rsidRDefault="00CB3320">
                    <w:pPr>
                      <w:pStyle w:val="WitregelW1"/>
                    </w:pPr>
                  </w:p>
                  <w:p w14:paraId="590D67A6" w14:textId="77777777" w:rsidR="00CB3320" w:rsidRDefault="00B62206">
                    <w:pPr>
                      <w:pStyle w:val="Referentiegegevens"/>
                    </w:pPr>
                    <w:r>
                      <w:t xml:space="preserve"> </w:t>
                    </w:r>
                  </w:p>
                  <w:p w14:paraId="590D67A7" w14:textId="77777777" w:rsidR="00CB3320" w:rsidRDefault="00B62206">
                    <w:pPr>
                      <w:pStyle w:val="Referentiegegevens"/>
                    </w:pPr>
                    <w:r>
                      <w:t>www.minbuza.nl</w:t>
                    </w:r>
                  </w:p>
                  <w:p w14:paraId="590D67A8" w14:textId="77777777" w:rsidR="00CB3320" w:rsidRDefault="00CB3320">
                    <w:pPr>
                      <w:pStyle w:val="WitregelW2"/>
                    </w:pPr>
                  </w:p>
                  <w:p w14:paraId="590D67A9" w14:textId="77777777" w:rsidR="00CB3320" w:rsidRDefault="00B62206">
                    <w:pPr>
                      <w:pStyle w:val="Referentiegegevensbold"/>
                    </w:pPr>
                    <w:r>
                      <w:t>Onze referentie</w:t>
                    </w:r>
                  </w:p>
                  <w:p w14:paraId="590D67AA" w14:textId="25E2B08C" w:rsidR="00CB3320" w:rsidRDefault="001D186B">
                    <w:pPr>
                      <w:pStyle w:val="Referentiegegevens"/>
                    </w:pPr>
                    <w:r>
                      <w:t>BZ2516689</w:t>
                    </w:r>
                  </w:p>
                  <w:p w14:paraId="590D67AB" w14:textId="77777777" w:rsidR="00CB3320" w:rsidRDefault="00CB3320">
                    <w:pPr>
                      <w:pStyle w:val="WitregelW1"/>
                    </w:pPr>
                  </w:p>
                  <w:p w14:paraId="590D67AC" w14:textId="77777777" w:rsidR="00CB3320" w:rsidRPr="00854D14" w:rsidRDefault="00B62206" w:rsidP="00854D14">
                    <w:pPr>
                      <w:pStyle w:val="Referentiegegevens"/>
                      <w:rPr>
                        <w:b/>
                        <w:bCs/>
                      </w:rPr>
                    </w:pPr>
                    <w:r w:rsidRPr="00854D14">
                      <w:rPr>
                        <w:b/>
                        <w:bCs/>
                      </w:rPr>
                      <w:t>Uw referentie</w:t>
                    </w:r>
                  </w:p>
                  <w:p w14:paraId="590D67AE" w14:textId="0893C6A2" w:rsidR="00CB3320" w:rsidRDefault="00854D14" w:rsidP="00854D14">
                    <w:pPr>
                      <w:pStyle w:val="Referentiegegevens"/>
                    </w:pPr>
                    <w:r w:rsidRPr="007E00B9">
                      <w:t>2025Z10389</w:t>
                    </w:r>
                  </w:p>
                  <w:p w14:paraId="67B0E62E" w14:textId="77777777" w:rsidR="00854D14" w:rsidRPr="00854D14" w:rsidRDefault="00854D14" w:rsidP="00854D14">
                    <w:pPr>
                      <w:pStyle w:val="WitregelW1"/>
                    </w:pPr>
                  </w:p>
                  <w:p w14:paraId="590D67AF" w14:textId="77777777" w:rsidR="00CB3320" w:rsidRDefault="00B62206" w:rsidP="00854D14">
                    <w:pPr>
                      <w:pStyle w:val="Referentiegegevens"/>
                    </w:pPr>
                    <w:r>
                      <w:t>Bijlage(n)</w:t>
                    </w:r>
                  </w:p>
                  <w:p w14:paraId="590D67B0" w14:textId="77777777" w:rsidR="00CB3320" w:rsidRDefault="00B6220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90D6793" wp14:editId="590D679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0D67C0" w14:textId="77777777" w:rsidR="00B62206" w:rsidRDefault="00B62206"/>
                      </w:txbxContent>
                    </wps:txbx>
                    <wps:bodyPr vert="horz" wrap="square" lIns="0" tIns="0" rIns="0" bIns="0" anchor="t" anchorCtr="0"/>
                  </wps:wsp>
                </a:graphicData>
              </a:graphic>
            </wp:anchor>
          </w:drawing>
        </mc:Choice>
        <mc:Fallback>
          <w:pict>
            <v:shape w14:anchorId="590D6793"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90D67C0" w14:textId="77777777" w:rsidR="00B62206" w:rsidRDefault="00B6220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90D6795" wp14:editId="590D679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90D67B2" w14:textId="63A30963" w:rsidR="00CB3320" w:rsidRDefault="00805BE1">
                          <w:pPr>
                            <w:spacing w:line="240" w:lineRule="auto"/>
                          </w:pPr>
                          <w:r>
                            <w:rPr>
                              <w:noProof/>
                            </w:rPr>
                            <w:drawing>
                              <wp:inline distT="0" distB="0" distL="0" distR="0" wp14:anchorId="2C64B65A" wp14:editId="590D67B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0D6795"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90D67B2" w14:textId="63A30963" w:rsidR="00CB3320" w:rsidRDefault="00805BE1">
                    <w:pPr>
                      <w:spacing w:line="240" w:lineRule="auto"/>
                    </w:pPr>
                    <w:r>
                      <w:rPr>
                        <w:noProof/>
                      </w:rPr>
                      <w:drawing>
                        <wp:inline distT="0" distB="0" distL="0" distR="0" wp14:anchorId="2C64B65A" wp14:editId="590D67B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90D6797" wp14:editId="590D6798">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0D67B3" w14:textId="77777777" w:rsidR="00CB3320" w:rsidRDefault="00B62206">
                          <w:pPr>
                            <w:spacing w:line="240" w:lineRule="auto"/>
                          </w:pPr>
                          <w:r>
                            <w:rPr>
                              <w:noProof/>
                            </w:rPr>
                            <w:drawing>
                              <wp:inline distT="0" distB="0" distL="0" distR="0" wp14:anchorId="590D67BC" wp14:editId="590D67B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0D6797"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90D67B3" w14:textId="77777777" w:rsidR="00CB3320" w:rsidRDefault="00B62206">
                    <w:pPr>
                      <w:spacing w:line="240" w:lineRule="auto"/>
                    </w:pPr>
                    <w:r>
                      <w:rPr>
                        <w:noProof/>
                      </w:rPr>
                      <w:drawing>
                        <wp:inline distT="0" distB="0" distL="0" distR="0" wp14:anchorId="590D67BC" wp14:editId="590D67B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0982E"/>
    <w:multiLevelType w:val="multilevel"/>
    <w:tmpl w:val="BFC84B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942A49F"/>
    <w:multiLevelType w:val="multilevel"/>
    <w:tmpl w:val="393DBE7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23FDA09"/>
    <w:multiLevelType w:val="multilevel"/>
    <w:tmpl w:val="56D3244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653E4D"/>
    <w:multiLevelType w:val="multilevel"/>
    <w:tmpl w:val="5F4FAE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092C47F"/>
    <w:multiLevelType w:val="multilevel"/>
    <w:tmpl w:val="1CEDE9B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C49454B"/>
    <w:multiLevelType w:val="hybridMultilevel"/>
    <w:tmpl w:val="2402D4D0"/>
    <w:lvl w:ilvl="0" w:tplc="A880B484">
      <w:start w:val="1"/>
      <w:numFmt w:val="decimal"/>
      <w:lvlText w:val="%1."/>
      <w:lvlJc w:val="left"/>
      <w:pPr>
        <w:ind w:left="720" w:hanging="360"/>
      </w:pPr>
    </w:lvl>
    <w:lvl w:ilvl="1" w:tplc="B6D48F8E">
      <w:start w:val="1"/>
      <w:numFmt w:val="lowerLetter"/>
      <w:lvlText w:val="%2."/>
      <w:lvlJc w:val="left"/>
      <w:pPr>
        <w:ind w:left="1440" w:hanging="360"/>
      </w:pPr>
    </w:lvl>
    <w:lvl w:ilvl="2" w:tplc="B784DD34">
      <w:start w:val="1"/>
      <w:numFmt w:val="lowerRoman"/>
      <w:lvlText w:val="%3."/>
      <w:lvlJc w:val="right"/>
      <w:pPr>
        <w:ind w:left="2160" w:hanging="180"/>
      </w:pPr>
    </w:lvl>
    <w:lvl w:ilvl="3" w:tplc="95A8F756">
      <w:start w:val="1"/>
      <w:numFmt w:val="decimal"/>
      <w:lvlText w:val="%4."/>
      <w:lvlJc w:val="left"/>
      <w:pPr>
        <w:ind w:left="2880" w:hanging="360"/>
      </w:pPr>
    </w:lvl>
    <w:lvl w:ilvl="4" w:tplc="219601DA">
      <w:start w:val="1"/>
      <w:numFmt w:val="lowerLetter"/>
      <w:lvlText w:val="%5."/>
      <w:lvlJc w:val="left"/>
      <w:pPr>
        <w:ind w:left="3600" w:hanging="360"/>
      </w:pPr>
    </w:lvl>
    <w:lvl w:ilvl="5" w:tplc="4BDA690E">
      <w:start w:val="1"/>
      <w:numFmt w:val="lowerRoman"/>
      <w:lvlText w:val="%6."/>
      <w:lvlJc w:val="right"/>
      <w:pPr>
        <w:ind w:left="4320" w:hanging="180"/>
      </w:pPr>
    </w:lvl>
    <w:lvl w:ilvl="6" w:tplc="9A7CFE7E">
      <w:start w:val="1"/>
      <w:numFmt w:val="decimal"/>
      <w:lvlText w:val="%7."/>
      <w:lvlJc w:val="left"/>
      <w:pPr>
        <w:ind w:left="5040" w:hanging="360"/>
      </w:pPr>
    </w:lvl>
    <w:lvl w:ilvl="7" w:tplc="D10C316C">
      <w:start w:val="1"/>
      <w:numFmt w:val="lowerLetter"/>
      <w:lvlText w:val="%8."/>
      <w:lvlJc w:val="left"/>
      <w:pPr>
        <w:ind w:left="5760" w:hanging="360"/>
      </w:pPr>
    </w:lvl>
    <w:lvl w:ilvl="8" w:tplc="4F92E70A">
      <w:start w:val="1"/>
      <w:numFmt w:val="lowerRoman"/>
      <w:lvlText w:val="%9."/>
      <w:lvlJc w:val="right"/>
      <w:pPr>
        <w:ind w:left="6480" w:hanging="180"/>
      </w:pPr>
    </w:lvl>
  </w:abstractNum>
  <w:num w:numId="1" w16cid:durableId="1336687486">
    <w:abstractNumId w:val="1"/>
  </w:num>
  <w:num w:numId="2" w16cid:durableId="121266919">
    <w:abstractNumId w:val="3"/>
  </w:num>
  <w:num w:numId="3" w16cid:durableId="201331895">
    <w:abstractNumId w:val="0"/>
  </w:num>
  <w:num w:numId="4" w16cid:durableId="346174479">
    <w:abstractNumId w:val="4"/>
  </w:num>
  <w:num w:numId="5" w16cid:durableId="721028162">
    <w:abstractNumId w:val="2"/>
  </w:num>
  <w:num w:numId="6" w16cid:durableId="813176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4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20"/>
    <w:rsid w:val="0000338C"/>
    <w:rsid w:val="00004781"/>
    <w:rsid w:val="0001117E"/>
    <w:rsid w:val="0001462F"/>
    <w:rsid w:val="00022DF9"/>
    <w:rsid w:val="00024898"/>
    <w:rsid w:val="000507A4"/>
    <w:rsid w:val="00062A51"/>
    <w:rsid w:val="00066631"/>
    <w:rsid w:val="00066A98"/>
    <w:rsid w:val="000D1BDC"/>
    <w:rsid w:val="000D4ECA"/>
    <w:rsid w:val="000E3D53"/>
    <w:rsid w:val="000F3305"/>
    <w:rsid w:val="00107421"/>
    <w:rsid w:val="0013773A"/>
    <w:rsid w:val="001548D7"/>
    <w:rsid w:val="00180560"/>
    <w:rsid w:val="00180A66"/>
    <w:rsid w:val="001842A6"/>
    <w:rsid w:val="0019458F"/>
    <w:rsid w:val="001A2C54"/>
    <w:rsid w:val="001B085E"/>
    <w:rsid w:val="001B4AD1"/>
    <w:rsid w:val="001B7EB9"/>
    <w:rsid w:val="001C464D"/>
    <w:rsid w:val="001C4E8E"/>
    <w:rsid w:val="001D0372"/>
    <w:rsid w:val="001D186B"/>
    <w:rsid w:val="001E66E5"/>
    <w:rsid w:val="001E7D44"/>
    <w:rsid w:val="001F4085"/>
    <w:rsid w:val="00210276"/>
    <w:rsid w:val="00223A06"/>
    <w:rsid w:val="002261AD"/>
    <w:rsid w:val="00232DD5"/>
    <w:rsid w:val="00233568"/>
    <w:rsid w:val="00235355"/>
    <w:rsid w:val="00255116"/>
    <w:rsid w:val="00270AF1"/>
    <w:rsid w:val="00281CFC"/>
    <w:rsid w:val="002966D1"/>
    <w:rsid w:val="002C19E4"/>
    <w:rsid w:val="002C3D28"/>
    <w:rsid w:val="002C7BA1"/>
    <w:rsid w:val="002F185E"/>
    <w:rsid w:val="003060C4"/>
    <w:rsid w:val="00314CC3"/>
    <w:rsid w:val="00332ACB"/>
    <w:rsid w:val="00343229"/>
    <w:rsid w:val="003462B0"/>
    <w:rsid w:val="00352E24"/>
    <w:rsid w:val="003576A8"/>
    <w:rsid w:val="003916B0"/>
    <w:rsid w:val="003A063D"/>
    <w:rsid w:val="003C7D33"/>
    <w:rsid w:val="003E6809"/>
    <w:rsid w:val="003F3B69"/>
    <w:rsid w:val="00405AED"/>
    <w:rsid w:val="004068B5"/>
    <w:rsid w:val="00417A94"/>
    <w:rsid w:val="00425D2A"/>
    <w:rsid w:val="004319E2"/>
    <w:rsid w:val="0043409C"/>
    <w:rsid w:val="0044247A"/>
    <w:rsid w:val="00446DEE"/>
    <w:rsid w:val="004630AB"/>
    <w:rsid w:val="00466508"/>
    <w:rsid w:val="00476041"/>
    <w:rsid w:val="00493E15"/>
    <w:rsid w:val="004A0CFE"/>
    <w:rsid w:val="004A218A"/>
    <w:rsid w:val="004A2DD2"/>
    <w:rsid w:val="004B1FF7"/>
    <w:rsid w:val="004B6D8D"/>
    <w:rsid w:val="004D1787"/>
    <w:rsid w:val="004F6F85"/>
    <w:rsid w:val="00500130"/>
    <w:rsid w:val="00523038"/>
    <w:rsid w:val="00533BF7"/>
    <w:rsid w:val="0053526B"/>
    <w:rsid w:val="00535287"/>
    <w:rsid w:val="005402E7"/>
    <w:rsid w:val="00540A89"/>
    <w:rsid w:val="00545BE7"/>
    <w:rsid w:val="00553F92"/>
    <w:rsid w:val="00555894"/>
    <w:rsid w:val="00565E67"/>
    <w:rsid w:val="00566B22"/>
    <w:rsid w:val="005865BD"/>
    <w:rsid w:val="005A4DCE"/>
    <w:rsid w:val="005B335A"/>
    <w:rsid w:val="005B4DD8"/>
    <w:rsid w:val="005C6DB7"/>
    <w:rsid w:val="005C7939"/>
    <w:rsid w:val="005D0A6D"/>
    <w:rsid w:val="005D6DAF"/>
    <w:rsid w:val="005F1867"/>
    <w:rsid w:val="005F340A"/>
    <w:rsid w:val="00617DEC"/>
    <w:rsid w:val="00643449"/>
    <w:rsid w:val="0064422B"/>
    <w:rsid w:val="0066294F"/>
    <w:rsid w:val="006909FF"/>
    <w:rsid w:val="0069284A"/>
    <w:rsid w:val="00692D07"/>
    <w:rsid w:val="006A190F"/>
    <w:rsid w:val="006B004F"/>
    <w:rsid w:val="006B2145"/>
    <w:rsid w:val="006B2592"/>
    <w:rsid w:val="006B26A9"/>
    <w:rsid w:val="006D3BCE"/>
    <w:rsid w:val="006E0317"/>
    <w:rsid w:val="006E1F13"/>
    <w:rsid w:val="006E51D1"/>
    <w:rsid w:val="006E74EB"/>
    <w:rsid w:val="00702F61"/>
    <w:rsid w:val="00713235"/>
    <w:rsid w:val="00713C79"/>
    <w:rsid w:val="007316A9"/>
    <w:rsid w:val="00734FBB"/>
    <w:rsid w:val="007369F1"/>
    <w:rsid w:val="00744E7D"/>
    <w:rsid w:val="00753A8F"/>
    <w:rsid w:val="00753E43"/>
    <w:rsid w:val="0075744C"/>
    <w:rsid w:val="0076232B"/>
    <w:rsid w:val="007669AB"/>
    <w:rsid w:val="00771F05"/>
    <w:rsid w:val="007736EA"/>
    <w:rsid w:val="00775042"/>
    <w:rsid w:val="00775622"/>
    <w:rsid w:val="00777F8F"/>
    <w:rsid w:val="007A34CB"/>
    <w:rsid w:val="007B3297"/>
    <w:rsid w:val="007C0DB1"/>
    <w:rsid w:val="007D5378"/>
    <w:rsid w:val="007D6D42"/>
    <w:rsid w:val="007E00B9"/>
    <w:rsid w:val="007F4710"/>
    <w:rsid w:val="007F7846"/>
    <w:rsid w:val="008029DE"/>
    <w:rsid w:val="0080338B"/>
    <w:rsid w:val="008051D3"/>
    <w:rsid w:val="00805BE1"/>
    <w:rsid w:val="0082027A"/>
    <w:rsid w:val="008327F0"/>
    <w:rsid w:val="00835947"/>
    <w:rsid w:val="00845BF2"/>
    <w:rsid w:val="00854B0F"/>
    <w:rsid w:val="00854D14"/>
    <w:rsid w:val="008563A5"/>
    <w:rsid w:val="00862823"/>
    <w:rsid w:val="00865CA9"/>
    <w:rsid w:val="00885F0F"/>
    <w:rsid w:val="00890C64"/>
    <w:rsid w:val="00891793"/>
    <w:rsid w:val="008A6218"/>
    <w:rsid w:val="008B0EC3"/>
    <w:rsid w:val="008B52D4"/>
    <w:rsid w:val="008C7245"/>
    <w:rsid w:val="008D2EFE"/>
    <w:rsid w:val="008E40C6"/>
    <w:rsid w:val="008F7B0A"/>
    <w:rsid w:val="009042D4"/>
    <w:rsid w:val="00905CB0"/>
    <w:rsid w:val="00907401"/>
    <w:rsid w:val="00912276"/>
    <w:rsid w:val="009274AD"/>
    <w:rsid w:val="0093599D"/>
    <w:rsid w:val="0094452A"/>
    <w:rsid w:val="00945583"/>
    <w:rsid w:val="009530EB"/>
    <w:rsid w:val="00954FC4"/>
    <w:rsid w:val="009669C2"/>
    <w:rsid w:val="009717F7"/>
    <w:rsid w:val="00971940"/>
    <w:rsid w:val="00976FD0"/>
    <w:rsid w:val="0097719C"/>
    <w:rsid w:val="00980598"/>
    <w:rsid w:val="00985AEC"/>
    <w:rsid w:val="00986C3E"/>
    <w:rsid w:val="009921D9"/>
    <w:rsid w:val="009929F5"/>
    <w:rsid w:val="009937FF"/>
    <w:rsid w:val="00993D56"/>
    <w:rsid w:val="009B7992"/>
    <w:rsid w:val="009C4963"/>
    <w:rsid w:val="009D0801"/>
    <w:rsid w:val="009D3906"/>
    <w:rsid w:val="009E2F86"/>
    <w:rsid w:val="009F4996"/>
    <w:rsid w:val="009F5A03"/>
    <w:rsid w:val="00A044F4"/>
    <w:rsid w:val="00A13113"/>
    <w:rsid w:val="00A1720E"/>
    <w:rsid w:val="00A259C8"/>
    <w:rsid w:val="00A267A1"/>
    <w:rsid w:val="00A30D10"/>
    <w:rsid w:val="00A3467D"/>
    <w:rsid w:val="00A348C1"/>
    <w:rsid w:val="00A453FE"/>
    <w:rsid w:val="00A560B0"/>
    <w:rsid w:val="00A753CA"/>
    <w:rsid w:val="00A82617"/>
    <w:rsid w:val="00A91E7E"/>
    <w:rsid w:val="00A926B8"/>
    <w:rsid w:val="00A937C5"/>
    <w:rsid w:val="00AA4028"/>
    <w:rsid w:val="00AA5CC1"/>
    <w:rsid w:val="00AB36DA"/>
    <w:rsid w:val="00AB742D"/>
    <w:rsid w:val="00AD1A52"/>
    <w:rsid w:val="00AD62A7"/>
    <w:rsid w:val="00AE3CAD"/>
    <w:rsid w:val="00AE561D"/>
    <w:rsid w:val="00AE7F78"/>
    <w:rsid w:val="00AF07AB"/>
    <w:rsid w:val="00AF1CBB"/>
    <w:rsid w:val="00B35349"/>
    <w:rsid w:val="00B359EF"/>
    <w:rsid w:val="00B471A8"/>
    <w:rsid w:val="00B529BF"/>
    <w:rsid w:val="00B62206"/>
    <w:rsid w:val="00B93635"/>
    <w:rsid w:val="00BA254A"/>
    <w:rsid w:val="00BA7D84"/>
    <w:rsid w:val="00BD54B6"/>
    <w:rsid w:val="00C3453B"/>
    <w:rsid w:val="00C34D00"/>
    <w:rsid w:val="00C35670"/>
    <w:rsid w:val="00C44A7F"/>
    <w:rsid w:val="00C64E9E"/>
    <w:rsid w:val="00C66D15"/>
    <w:rsid w:val="00C7461F"/>
    <w:rsid w:val="00C93933"/>
    <w:rsid w:val="00C95F30"/>
    <w:rsid w:val="00CB1F1C"/>
    <w:rsid w:val="00CB3320"/>
    <w:rsid w:val="00CB5621"/>
    <w:rsid w:val="00CC2D88"/>
    <w:rsid w:val="00CD1BE1"/>
    <w:rsid w:val="00CE2FC8"/>
    <w:rsid w:val="00CE7099"/>
    <w:rsid w:val="00CF3D84"/>
    <w:rsid w:val="00D032D2"/>
    <w:rsid w:val="00D11BC2"/>
    <w:rsid w:val="00D2493A"/>
    <w:rsid w:val="00D27FF3"/>
    <w:rsid w:val="00D450AF"/>
    <w:rsid w:val="00D56F70"/>
    <w:rsid w:val="00D76DC1"/>
    <w:rsid w:val="00D80E20"/>
    <w:rsid w:val="00D84F18"/>
    <w:rsid w:val="00D92926"/>
    <w:rsid w:val="00DB6443"/>
    <w:rsid w:val="00DB7F04"/>
    <w:rsid w:val="00DC4AFC"/>
    <w:rsid w:val="00DC52A6"/>
    <w:rsid w:val="00DD0F2A"/>
    <w:rsid w:val="00DD7932"/>
    <w:rsid w:val="00DE13CE"/>
    <w:rsid w:val="00DE7078"/>
    <w:rsid w:val="00E0388B"/>
    <w:rsid w:val="00E05B07"/>
    <w:rsid w:val="00E05FDD"/>
    <w:rsid w:val="00E154B4"/>
    <w:rsid w:val="00E24D4B"/>
    <w:rsid w:val="00E4619F"/>
    <w:rsid w:val="00E512F0"/>
    <w:rsid w:val="00E56E27"/>
    <w:rsid w:val="00E61F61"/>
    <w:rsid w:val="00E62D2C"/>
    <w:rsid w:val="00E64EFA"/>
    <w:rsid w:val="00E742C8"/>
    <w:rsid w:val="00E90148"/>
    <w:rsid w:val="00E91921"/>
    <w:rsid w:val="00E94D48"/>
    <w:rsid w:val="00EB0722"/>
    <w:rsid w:val="00EB17A7"/>
    <w:rsid w:val="00EC65CC"/>
    <w:rsid w:val="00EC71D9"/>
    <w:rsid w:val="00EC72E8"/>
    <w:rsid w:val="00EC781B"/>
    <w:rsid w:val="00ED3329"/>
    <w:rsid w:val="00ED6215"/>
    <w:rsid w:val="00EF51FC"/>
    <w:rsid w:val="00F02159"/>
    <w:rsid w:val="00F03CE3"/>
    <w:rsid w:val="00F07C80"/>
    <w:rsid w:val="00F16A8B"/>
    <w:rsid w:val="00F173A7"/>
    <w:rsid w:val="00F36FD2"/>
    <w:rsid w:val="00F56B68"/>
    <w:rsid w:val="00F605E8"/>
    <w:rsid w:val="00F631CE"/>
    <w:rsid w:val="00F73BBA"/>
    <w:rsid w:val="00F812E3"/>
    <w:rsid w:val="00F9069B"/>
    <w:rsid w:val="00F97E82"/>
    <w:rsid w:val="00FA3B80"/>
    <w:rsid w:val="00FA3BB2"/>
    <w:rsid w:val="00FB6E42"/>
    <w:rsid w:val="00FC2EB7"/>
    <w:rsid w:val="00FD0162"/>
    <w:rsid w:val="00FE1B35"/>
    <w:rsid w:val="00FE66AC"/>
    <w:rsid w:val="6F5E8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590D6757"/>
  <w15:docId w15:val="{165727DA-1BC0-463F-989B-45AFAFC9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E00B9"/>
    <w:pPr>
      <w:tabs>
        <w:tab w:val="center" w:pos="4513"/>
        <w:tab w:val="right" w:pos="9026"/>
      </w:tabs>
      <w:spacing w:line="240" w:lineRule="auto"/>
    </w:pPr>
  </w:style>
  <w:style w:type="character" w:customStyle="1" w:styleId="HeaderChar">
    <w:name w:val="Header Char"/>
    <w:basedOn w:val="DefaultParagraphFont"/>
    <w:link w:val="Header"/>
    <w:uiPriority w:val="99"/>
    <w:rsid w:val="007E00B9"/>
    <w:rPr>
      <w:rFonts w:ascii="Verdana" w:hAnsi="Verdana"/>
      <w:color w:val="000000"/>
      <w:sz w:val="18"/>
      <w:szCs w:val="18"/>
    </w:rPr>
  </w:style>
  <w:style w:type="paragraph" w:styleId="Footer">
    <w:name w:val="footer"/>
    <w:basedOn w:val="Normal"/>
    <w:link w:val="FooterChar"/>
    <w:uiPriority w:val="99"/>
    <w:unhideWhenUsed/>
    <w:rsid w:val="007E00B9"/>
    <w:pPr>
      <w:tabs>
        <w:tab w:val="center" w:pos="4513"/>
        <w:tab w:val="right" w:pos="9026"/>
      </w:tabs>
      <w:spacing w:line="240" w:lineRule="auto"/>
    </w:pPr>
  </w:style>
  <w:style w:type="character" w:customStyle="1" w:styleId="FooterChar">
    <w:name w:val="Footer Char"/>
    <w:basedOn w:val="DefaultParagraphFont"/>
    <w:link w:val="Footer"/>
    <w:uiPriority w:val="99"/>
    <w:rsid w:val="007E00B9"/>
    <w:rPr>
      <w:rFonts w:ascii="Verdana" w:hAnsi="Verdana"/>
      <w:color w:val="000000"/>
      <w:sz w:val="18"/>
      <w:szCs w:val="18"/>
    </w:rPr>
  </w:style>
  <w:style w:type="paragraph" w:styleId="FootnoteText">
    <w:name w:val="footnote text"/>
    <w:basedOn w:val="Normal"/>
    <w:link w:val="FootnoteTextChar"/>
    <w:uiPriority w:val="99"/>
    <w:semiHidden/>
    <w:unhideWhenUsed/>
    <w:rsid w:val="0013773A"/>
    <w:pPr>
      <w:spacing w:line="240" w:lineRule="auto"/>
    </w:pPr>
    <w:rPr>
      <w:sz w:val="20"/>
      <w:szCs w:val="20"/>
    </w:rPr>
  </w:style>
  <w:style w:type="character" w:customStyle="1" w:styleId="FootnoteTextChar">
    <w:name w:val="Footnote Text Char"/>
    <w:basedOn w:val="DefaultParagraphFont"/>
    <w:link w:val="FootnoteText"/>
    <w:uiPriority w:val="99"/>
    <w:semiHidden/>
    <w:rsid w:val="0013773A"/>
    <w:rPr>
      <w:rFonts w:ascii="Verdana" w:hAnsi="Verdana"/>
      <w:color w:val="000000"/>
    </w:rPr>
  </w:style>
  <w:style w:type="character" w:styleId="FootnoteReference">
    <w:name w:val="footnote reference"/>
    <w:basedOn w:val="DefaultParagraphFont"/>
    <w:uiPriority w:val="99"/>
    <w:semiHidden/>
    <w:unhideWhenUsed/>
    <w:rsid w:val="0013773A"/>
    <w:rPr>
      <w:vertAlign w:val="superscript"/>
    </w:rPr>
  </w:style>
  <w:style w:type="paragraph" w:styleId="Revision">
    <w:name w:val="Revision"/>
    <w:hidden/>
    <w:uiPriority w:val="99"/>
    <w:semiHidden/>
    <w:rsid w:val="00AD62A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753CA"/>
    <w:rPr>
      <w:sz w:val="16"/>
      <w:szCs w:val="16"/>
    </w:rPr>
  </w:style>
  <w:style w:type="paragraph" w:styleId="CommentText">
    <w:name w:val="annotation text"/>
    <w:basedOn w:val="Normal"/>
    <w:link w:val="CommentTextChar"/>
    <w:uiPriority w:val="99"/>
    <w:unhideWhenUsed/>
    <w:rsid w:val="00A753CA"/>
    <w:pPr>
      <w:spacing w:line="240" w:lineRule="auto"/>
    </w:pPr>
    <w:rPr>
      <w:sz w:val="20"/>
      <w:szCs w:val="20"/>
    </w:rPr>
  </w:style>
  <w:style w:type="character" w:customStyle="1" w:styleId="CommentTextChar">
    <w:name w:val="Comment Text Char"/>
    <w:basedOn w:val="DefaultParagraphFont"/>
    <w:link w:val="CommentText"/>
    <w:uiPriority w:val="99"/>
    <w:rsid w:val="00A753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753CA"/>
    <w:rPr>
      <w:b/>
      <w:bCs/>
    </w:rPr>
  </w:style>
  <w:style w:type="character" w:customStyle="1" w:styleId="CommentSubjectChar">
    <w:name w:val="Comment Subject Char"/>
    <w:basedOn w:val="CommentTextChar"/>
    <w:link w:val="CommentSubject"/>
    <w:uiPriority w:val="99"/>
    <w:semiHidden/>
    <w:rsid w:val="00A753C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5742">
      <w:bodyDiv w:val="1"/>
      <w:marLeft w:val="0"/>
      <w:marRight w:val="0"/>
      <w:marTop w:val="0"/>
      <w:marBottom w:val="0"/>
      <w:divBdr>
        <w:top w:val="none" w:sz="0" w:space="0" w:color="auto"/>
        <w:left w:val="none" w:sz="0" w:space="0" w:color="auto"/>
        <w:bottom w:val="none" w:sz="0" w:space="0" w:color="auto"/>
        <w:right w:val="none" w:sz="0" w:space="0" w:color="auto"/>
      </w:divBdr>
    </w:div>
    <w:div w:id="275722487">
      <w:bodyDiv w:val="1"/>
      <w:marLeft w:val="0"/>
      <w:marRight w:val="0"/>
      <w:marTop w:val="0"/>
      <w:marBottom w:val="0"/>
      <w:divBdr>
        <w:top w:val="none" w:sz="0" w:space="0" w:color="auto"/>
        <w:left w:val="none" w:sz="0" w:space="0" w:color="auto"/>
        <w:bottom w:val="none" w:sz="0" w:space="0" w:color="auto"/>
        <w:right w:val="none" w:sz="0" w:space="0" w:color="auto"/>
      </w:divBdr>
    </w:div>
    <w:div w:id="635842907">
      <w:bodyDiv w:val="1"/>
      <w:marLeft w:val="0"/>
      <w:marRight w:val="0"/>
      <w:marTop w:val="0"/>
      <w:marBottom w:val="0"/>
      <w:divBdr>
        <w:top w:val="none" w:sz="0" w:space="0" w:color="auto"/>
        <w:left w:val="none" w:sz="0" w:space="0" w:color="auto"/>
        <w:bottom w:val="none" w:sz="0" w:space="0" w:color="auto"/>
        <w:right w:val="none" w:sz="0" w:space="0" w:color="auto"/>
      </w:divBdr>
    </w:div>
    <w:div w:id="766270826">
      <w:bodyDiv w:val="1"/>
      <w:marLeft w:val="0"/>
      <w:marRight w:val="0"/>
      <w:marTop w:val="0"/>
      <w:marBottom w:val="0"/>
      <w:divBdr>
        <w:top w:val="none" w:sz="0" w:space="0" w:color="auto"/>
        <w:left w:val="none" w:sz="0" w:space="0" w:color="auto"/>
        <w:bottom w:val="none" w:sz="0" w:space="0" w:color="auto"/>
        <w:right w:val="none" w:sz="0" w:space="0" w:color="auto"/>
      </w:divBdr>
    </w:div>
    <w:div w:id="973409796">
      <w:bodyDiv w:val="1"/>
      <w:marLeft w:val="0"/>
      <w:marRight w:val="0"/>
      <w:marTop w:val="0"/>
      <w:marBottom w:val="0"/>
      <w:divBdr>
        <w:top w:val="none" w:sz="0" w:space="0" w:color="auto"/>
        <w:left w:val="none" w:sz="0" w:space="0" w:color="auto"/>
        <w:bottom w:val="none" w:sz="0" w:space="0" w:color="auto"/>
        <w:right w:val="none" w:sz="0" w:space="0" w:color="auto"/>
      </w:divBdr>
    </w:div>
    <w:div w:id="990796056">
      <w:bodyDiv w:val="1"/>
      <w:marLeft w:val="0"/>
      <w:marRight w:val="0"/>
      <w:marTop w:val="0"/>
      <w:marBottom w:val="0"/>
      <w:divBdr>
        <w:top w:val="none" w:sz="0" w:space="0" w:color="auto"/>
        <w:left w:val="none" w:sz="0" w:space="0" w:color="auto"/>
        <w:bottom w:val="none" w:sz="0" w:space="0" w:color="auto"/>
        <w:right w:val="none" w:sz="0" w:space="0" w:color="auto"/>
      </w:divBdr>
    </w:div>
    <w:div w:id="1201548362">
      <w:bodyDiv w:val="1"/>
      <w:marLeft w:val="0"/>
      <w:marRight w:val="0"/>
      <w:marTop w:val="0"/>
      <w:marBottom w:val="0"/>
      <w:divBdr>
        <w:top w:val="none" w:sz="0" w:space="0" w:color="auto"/>
        <w:left w:val="none" w:sz="0" w:space="0" w:color="auto"/>
        <w:bottom w:val="none" w:sz="0" w:space="0" w:color="auto"/>
        <w:right w:val="none" w:sz="0" w:space="0" w:color="auto"/>
      </w:divBdr>
    </w:div>
    <w:div w:id="1348141834">
      <w:bodyDiv w:val="1"/>
      <w:marLeft w:val="0"/>
      <w:marRight w:val="0"/>
      <w:marTop w:val="0"/>
      <w:marBottom w:val="0"/>
      <w:divBdr>
        <w:top w:val="none" w:sz="0" w:space="0" w:color="auto"/>
        <w:left w:val="none" w:sz="0" w:space="0" w:color="auto"/>
        <w:bottom w:val="none" w:sz="0" w:space="0" w:color="auto"/>
        <w:right w:val="none" w:sz="0" w:space="0" w:color="auto"/>
      </w:divBdr>
    </w:div>
    <w:div w:id="1684283468">
      <w:bodyDiv w:val="1"/>
      <w:marLeft w:val="0"/>
      <w:marRight w:val="0"/>
      <w:marTop w:val="0"/>
      <w:marBottom w:val="0"/>
      <w:divBdr>
        <w:top w:val="none" w:sz="0" w:space="0" w:color="auto"/>
        <w:left w:val="none" w:sz="0" w:space="0" w:color="auto"/>
        <w:bottom w:val="none" w:sz="0" w:space="0" w:color="auto"/>
        <w:right w:val="none" w:sz="0" w:space="0" w:color="auto"/>
      </w:divBdr>
    </w:div>
    <w:div w:id="1848253771">
      <w:bodyDiv w:val="1"/>
      <w:marLeft w:val="0"/>
      <w:marRight w:val="0"/>
      <w:marTop w:val="0"/>
      <w:marBottom w:val="0"/>
      <w:divBdr>
        <w:top w:val="none" w:sz="0" w:space="0" w:color="auto"/>
        <w:left w:val="none" w:sz="0" w:space="0" w:color="auto"/>
        <w:bottom w:val="none" w:sz="0" w:space="0" w:color="auto"/>
        <w:right w:val="none" w:sz="0" w:space="0" w:color="auto"/>
      </w:divBdr>
    </w:div>
    <w:div w:id="1893079809">
      <w:bodyDiv w:val="1"/>
      <w:marLeft w:val="0"/>
      <w:marRight w:val="0"/>
      <w:marTop w:val="0"/>
      <w:marBottom w:val="0"/>
      <w:divBdr>
        <w:top w:val="none" w:sz="0" w:space="0" w:color="auto"/>
        <w:left w:val="none" w:sz="0" w:space="0" w:color="auto"/>
        <w:bottom w:val="none" w:sz="0" w:space="0" w:color="auto"/>
        <w:right w:val="none" w:sz="0" w:space="0" w:color="auto"/>
      </w:divBdr>
    </w:div>
    <w:div w:id="1978533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2040</ap:Words>
  <ap:Characters>11221</ap:Characters>
  <ap:DocSecurity>0</ap:DocSecurity>
  <ap:Lines>93</ap:Lines>
  <ap:Paragraphs>26</ap:Paragraphs>
  <ap:ScaleCrop>false</ap:ScaleCrop>
  <ap:HeadingPairs>
    <vt:vector baseType="variant" size="2">
      <vt:variant>
        <vt:lpstr>Title</vt:lpstr>
      </vt:variant>
      <vt:variant>
        <vt:i4>1</vt:i4>
      </vt:variant>
    </vt:vector>
  </ap:HeadingPairs>
  <ap:TitlesOfParts>
    <vt:vector baseType="lpstr" size="1">
      <vt:lpstr>Vragen van de leden Piri en Hirsch over SOMO israelische wapenindustrie</vt:lpstr>
    </vt:vector>
  </ap:TitlesOfParts>
  <ap:LinksUpToDate>false</ap:LinksUpToDate>
  <ap:CharactersWithSpaces>13235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2025-07-24T11:13:00.0000000Z</lastPrinted>
  <dcterms:created xsi:type="dcterms:W3CDTF">2025-09-01T09:19:00.0000000Z</dcterms:created>
  <dcterms:modified xsi:type="dcterms:W3CDTF">2025-09-01T09:19:00.0000000Z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a62f3595-dd67-4e76-bc43-d0d216b7cff8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