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A836A1" w:rsidTr="002C44AC" w14:paraId="630C3D85" w14:textId="77777777">
        <w:trPr>
          <w:trHeight w:val="200"/>
        </w:trPr>
        <w:tc>
          <w:tcPr>
            <w:tcW w:w="2440" w:type="dxa"/>
            <w:tcBorders>
              <w:bottom w:val="dotted" w:color="000000" w:sz="6" w:space="0"/>
            </w:tcBorders>
          </w:tcPr>
          <w:p w:rsidR="00A836A1" w:rsidRDefault="00A836A1" w14:paraId="60C03BA2" w14:textId="70DACBC1"/>
        </w:tc>
        <w:tc>
          <w:tcPr>
            <w:tcW w:w="5240" w:type="dxa"/>
            <w:tcBorders>
              <w:bottom w:val="dotted" w:color="000000" w:sz="6" w:space="0"/>
            </w:tcBorders>
          </w:tcPr>
          <w:p w:rsidR="00A836A1" w:rsidRDefault="00A836A1" w14:paraId="49BC977C" w14:textId="77777777"/>
        </w:tc>
      </w:tr>
      <w:tr w:rsidR="00A836A1" w:rsidTr="002C44AC" w14:paraId="490D5394" w14:textId="77777777">
        <w:trPr>
          <w:trHeight w:val="200"/>
        </w:trPr>
        <w:tc>
          <w:tcPr>
            <w:tcW w:w="2440" w:type="dxa"/>
            <w:tcBorders>
              <w:top w:val="dotted" w:color="000000" w:sz="6" w:space="0"/>
            </w:tcBorders>
          </w:tcPr>
          <w:p w:rsidR="00A836A1" w:rsidRDefault="00A836A1" w14:paraId="67A11079" w14:textId="77777777"/>
        </w:tc>
        <w:tc>
          <w:tcPr>
            <w:tcW w:w="5240" w:type="dxa"/>
            <w:tcBorders>
              <w:top w:val="dotted" w:color="000000" w:sz="6" w:space="0"/>
            </w:tcBorders>
          </w:tcPr>
          <w:p w:rsidR="00A836A1" w:rsidRDefault="00A836A1" w14:paraId="2901E726" w14:textId="77777777"/>
        </w:tc>
      </w:tr>
      <w:tr w:rsidR="00A836A1" w:rsidTr="002C44AC" w14:paraId="469DD5EE" w14:textId="77777777">
        <w:trPr>
          <w:trHeight w:val="240"/>
        </w:trPr>
        <w:tc>
          <w:tcPr>
            <w:tcW w:w="2440" w:type="dxa"/>
          </w:tcPr>
          <w:p w:rsidR="00A836A1" w:rsidRDefault="004D2DEA" w14:paraId="1F4C2624" w14:textId="77777777">
            <w:pPr>
              <w:pStyle w:val="Referentiegegevens"/>
            </w:pPr>
            <w:r>
              <w:t>Bijlage nummer</w:t>
            </w:r>
          </w:p>
        </w:tc>
        <w:tc>
          <w:tcPr>
            <w:tcW w:w="5240" w:type="dxa"/>
          </w:tcPr>
          <w:p w:rsidR="00A836A1" w:rsidRDefault="004D2DEA" w14:paraId="475FF098" w14:textId="77777777">
            <w:r>
              <w:t>4</w:t>
            </w:r>
          </w:p>
        </w:tc>
      </w:tr>
      <w:tr w:rsidR="00A836A1" w:rsidTr="002C44AC" w14:paraId="5C536612" w14:textId="77777777">
        <w:trPr>
          <w:trHeight w:val="240"/>
        </w:trPr>
        <w:tc>
          <w:tcPr>
            <w:tcW w:w="2440" w:type="dxa"/>
          </w:tcPr>
          <w:p w:rsidR="00A836A1" w:rsidRDefault="004D2DEA" w14:paraId="3024D5B7" w14:textId="77777777">
            <w:pPr>
              <w:pStyle w:val="Referentiegegevens"/>
            </w:pPr>
            <w:r>
              <w:t>Horend bij</w:t>
            </w:r>
          </w:p>
        </w:tc>
        <w:tc>
          <w:tcPr>
            <w:tcW w:w="5240" w:type="dxa"/>
          </w:tcPr>
          <w:p w:rsidR="00A836A1" w:rsidRDefault="004D2DEA" w14:paraId="1027A78C" w14:textId="77777777">
            <w:r>
              <w:t xml:space="preserve">aanbiedingsbrief en beslisnota </w:t>
            </w:r>
          </w:p>
        </w:tc>
      </w:tr>
      <w:tr w:rsidR="00A836A1" w:rsidTr="002C44AC" w14:paraId="1C286CC1" w14:textId="77777777">
        <w:trPr>
          <w:trHeight w:val="240"/>
        </w:trPr>
        <w:tc>
          <w:tcPr>
            <w:tcW w:w="2440" w:type="dxa"/>
          </w:tcPr>
          <w:p w:rsidR="00A836A1" w:rsidRDefault="004D2DEA" w14:paraId="067FB3EF" w14:textId="77777777">
            <w:pPr>
              <w:pStyle w:val="Referentiegegevens"/>
            </w:pPr>
            <w:r>
              <w:t>Datum</w:t>
            </w:r>
          </w:p>
        </w:tc>
        <w:tc>
          <w:tcPr>
            <w:tcW w:w="5240" w:type="dxa"/>
          </w:tcPr>
          <w:p w:rsidR="00A836A1" w:rsidRDefault="004D2DEA" w14:paraId="6C2680CF" w14:textId="77777777">
            <w:sdt>
              <w:sdtPr>
                <w:id w:val="80720854"/>
                <w:date w:fullDate="2025-08-25T14:29:00Z">
                  <w:dateFormat w:val="d MMMM yyyy"/>
                  <w:lid w:val="nl"/>
                  <w:storeMappedDataAs w:val="dateTime"/>
                  <w:calendar w:val="gregorian"/>
                </w:date>
              </w:sdtPr>
              <w:sdtEndPr/>
              <w:sdtContent>
                <w:r>
                  <w:t>25 augustus 2025</w:t>
                </w:r>
              </w:sdtContent>
            </w:sdt>
          </w:p>
        </w:tc>
      </w:tr>
      <w:tr w:rsidR="00A836A1" w:rsidTr="002C44AC" w14:paraId="728F0FAE" w14:textId="77777777">
        <w:trPr>
          <w:trHeight w:val="240"/>
        </w:trPr>
        <w:tc>
          <w:tcPr>
            <w:tcW w:w="2440" w:type="dxa"/>
          </w:tcPr>
          <w:p w:rsidR="00A836A1" w:rsidRDefault="004D2DEA" w14:paraId="55E0DCC9" w14:textId="77777777">
            <w:pPr>
              <w:pStyle w:val="Referentiegegevens"/>
            </w:pPr>
            <w:r>
              <w:t>Onze referentie</w:t>
            </w:r>
          </w:p>
        </w:tc>
        <w:tc>
          <w:tcPr>
            <w:tcW w:w="5240" w:type="dxa"/>
          </w:tcPr>
          <w:p w:rsidR="00A836A1" w:rsidRDefault="004D2DEA" w14:paraId="2E82FF76" w14:textId="502F1084">
            <w:r>
              <w:t>6693058</w:t>
            </w:r>
          </w:p>
        </w:tc>
      </w:tr>
      <w:tr w:rsidR="00A836A1" w:rsidTr="002C44AC" w14:paraId="1DD05261" w14:textId="77777777">
        <w:trPr>
          <w:trHeight w:val="240"/>
        </w:trPr>
        <w:tc>
          <w:tcPr>
            <w:tcW w:w="2440" w:type="dxa"/>
          </w:tcPr>
          <w:p w:rsidR="00A836A1" w:rsidRDefault="00A836A1" w14:paraId="755980CA" w14:textId="7BBBE523">
            <w:pPr>
              <w:pStyle w:val="Referentiegegevens"/>
            </w:pPr>
          </w:p>
        </w:tc>
        <w:tc>
          <w:tcPr>
            <w:tcW w:w="5240" w:type="dxa"/>
          </w:tcPr>
          <w:p w:rsidR="00A836A1" w:rsidRDefault="00A836A1" w14:paraId="05AECBE2" w14:textId="6951A1DF"/>
        </w:tc>
      </w:tr>
      <w:tr w:rsidR="00A836A1" w:rsidTr="002C44AC" w14:paraId="5355F35B" w14:textId="77777777">
        <w:trPr>
          <w:trHeight w:val="200"/>
        </w:trPr>
        <w:tc>
          <w:tcPr>
            <w:tcW w:w="2440" w:type="dxa"/>
            <w:tcBorders>
              <w:bottom w:val="dotted" w:color="000000" w:sz="6" w:space="0"/>
            </w:tcBorders>
          </w:tcPr>
          <w:p w:rsidR="00A836A1" w:rsidRDefault="00A836A1" w14:paraId="5BF50C55" w14:textId="77777777"/>
        </w:tc>
        <w:tc>
          <w:tcPr>
            <w:tcW w:w="5240" w:type="dxa"/>
            <w:tcBorders>
              <w:bottom w:val="dotted" w:color="000000" w:sz="6" w:space="0"/>
            </w:tcBorders>
          </w:tcPr>
          <w:p w:rsidR="00A836A1" w:rsidRDefault="00A836A1" w14:paraId="62E70273" w14:textId="77777777"/>
        </w:tc>
      </w:tr>
      <w:tr w:rsidR="00A836A1" w:rsidTr="002C44AC" w14:paraId="2D792A68" w14:textId="77777777">
        <w:trPr>
          <w:trHeight w:val="200"/>
        </w:trPr>
        <w:tc>
          <w:tcPr>
            <w:tcW w:w="2440" w:type="dxa"/>
          </w:tcPr>
          <w:p w:rsidR="00A836A1" w:rsidRDefault="00A836A1" w14:paraId="2365D462" w14:textId="77777777"/>
        </w:tc>
        <w:tc>
          <w:tcPr>
            <w:tcW w:w="5240" w:type="dxa"/>
          </w:tcPr>
          <w:p w:rsidR="00A836A1" w:rsidRDefault="00A836A1" w14:paraId="149183C7" w14:textId="77777777"/>
        </w:tc>
      </w:tr>
    </w:tbl>
    <w:p w:rsidRPr="00384F15" w:rsidR="002C44AC" w:rsidP="002C44AC" w:rsidRDefault="00384F15" w14:paraId="38AB6F3F" w14:textId="16126AD0">
      <w:pPr>
        <w:spacing w:line="276" w:lineRule="auto"/>
        <w:rPr>
          <w:b/>
          <w:bCs/>
        </w:rPr>
      </w:pPr>
      <w:r w:rsidRPr="00384F15">
        <w:rPr>
          <w:b/>
          <w:bCs/>
        </w:rPr>
        <w:t>Schema b</w:t>
      </w:r>
      <w:r w:rsidRPr="00384F15" w:rsidR="002C44AC">
        <w:rPr>
          <w:b/>
          <w:bCs/>
        </w:rPr>
        <w:t>evindingen en aanbevelingen per onderzocht register</w:t>
      </w:r>
    </w:p>
    <w:p w:rsidR="002C44AC" w:rsidP="002C44AC" w:rsidRDefault="002C44AC" w14:paraId="23D788BF" w14:textId="19C7FB2A">
      <w:pPr>
        <w:spacing w:line="276" w:lineRule="auto"/>
      </w:pPr>
      <w:r>
        <w:t xml:space="preserve">In het onderstaande overzicht vindt u per onderzocht register een korte weergave van de bevindingen en aanbevelingen </w:t>
      </w:r>
      <w:r w:rsidR="00384F15">
        <w:t xml:space="preserve">in </w:t>
      </w:r>
      <w:r>
        <w:t xml:space="preserve">het </w:t>
      </w:r>
      <w:r w:rsidR="00384F15">
        <w:t>WODC-</w:t>
      </w:r>
      <w:r>
        <w:t>rapport</w:t>
      </w:r>
      <w:r w:rsidR="00384F15">
        <w:t xml:space="preserve"> ‘</w:t>
      </w:r>
      <w:r w:rsidRPr="00384F15" w:rsidR="00384F15">
        <w:rPr>
          <w:i/>
          <w:iCs/>
        </w:rPr>
        <w:t>Openbare registers, de toegankelijkheid daarvan en het gegevensbeschermingsrecht</w:t>
      </w:r>
      <w:r w:rsidR="00384F15">
        <w:t>’</w:t>
      </w:r>
      <w:r>
        <w:t>:</w:t>
      </w:r>
    </w:p>
    <w:p w:rsidRPr="00E61BE9" w:rsidR="00384F15" w:rsidP="002C44AC" w:rsidRDefault="00384F15" w14:paraId="4A129F09" w14:textId="77777777">
      <w:pPr>
        <w:spacing w:line="276" w:lineRule="auto"/>
      </w:pPr>
    </w:p>
    <w:tbl>
      <w:tblPr>
        <w:tblStyle w:val="Tabelraster"/>
        <w:tblW w:w="7650" w:type="dxa"/>
        <w:tblInd w:w="0" w:type="dxa"/>
        <w:tblLook w:val="04A0" w:firstRow="1" w:lastRow="0" w:firstColumn="1" w:lastColumn="0" w:noHBand="0" w:noVBand="1"/>
      </w:tblPr>
      <w:tblGrid>
        <w:gridCol w:w="3539"/>
        <w:gridCol w:w="4111"/>
      </w:tblGrid>
      <w:tr w:rsidRPr="0035371D" w:rsidR="002C44AC" w:rsidTr="0016031B" w14:paraId="1972E776" w14:textId="77777777">
        <w:tc>
          <w:tcPr>
            <w:tcW w:w="3539" w:type="dxa"/>
          </w:tcPr>
          <w:p w:rsidRPr="0035371D" w:rsidR="002C44AC" w:rsidP="0016031B" w:rsidRDefault="002C44AC" w14:paraId="1EA5DE75" w14:textId="77777777">
            <w:pPr>
              <w:rPr>
                <w:b/>
                <w:bCs/>
                <w:sz w:val="20"/>
                <w:szCs w:val="20"/>
              </w:rPr>
            </w:pPr>
            <w:r w:rsidRPr="0035371D">
              <w:rPr>
                <w:b/>
                <w:bCs/>
                <w:sz w:val="20"/>
                <w:szCs w:val="20"/>
              </w:rPr>
              <w:t>Register</w:t>
            </w:r>
          </w:p>
        </w:tc>
        <w:tc>
          <w:tcPr>
            <w:tcW w:w="4111" w:type="dxa"/>
          </w:tcPr>
          <w:p w:rsidRPr="0035371D" w:rsidR="002C44AC" w:rsidP="0016031B" w:rsidRDefault="002C44AC" w14:paraId="5C53E487" w14:textId="77777777">
            <w:pPr>
              <w:rPr>
                <w:b/>
                <w:bCs/>
                <w:sz w:val="20"/>
                <w:szCs w:val="20"/>
              </w:rPr>
            </w:pPr>
            <w:r w:rsidRPr="0035371D">
              <w:rPr>
                <w:b/>
                <w:bCs/>
                <w:sz w:val="20"/>
                <w:szCs w:val="20"/>
              </w:rPr>
              <w:t>Bevindingen/aanbevelingen</w:t>
            </w:r>
          </w:p>
        </w:tc>
      </w:tr>
      <w:tr w:rsidRPr="00896872" w:rsidR="002C44AC" w:rsidTr="0016031B" w14:paraId="78232361" w14:textId="77777777">
        <w:tc>
          <w:tcPr>
            <w:tcW w:w="3539" w:type="dxa"/>
          </w:tcPr>
          <w:p w:rsidRPr="00896872" w:rsidR="002C44AC" w:rsidP="0016031B" w:rsidRDefault="002C44AC" w14:paraId="68265A3A" w14:textId="77777777">
            <w:r w:rsidRPr="00896872">
              <w:rPr>
                <w:b/>
                <w:bCs/>
              </w:rPr>
              <w:t>Lijst vergunninghouders Wet particuliere beveiligingsorganisaties en recherchebureaus (</w:t>
            </w:r>
            <w:proofErr w:type="spellStart"/>
            <w:r w:rsidRPr="00896872">
              <w:rPr>
                <w:b/>
                <w:bCs/>
              </w:rPr>
              <w:t>Wpbr</w:t>
            </w:r>
            <w:proofErr w:type="spellEnd"/>
            <w:r>
              <w:rPr>
                <w:b/>
                <w:bCs/>
              </w:rPr>
              <w:t>)</w:t>
            </w:r>
          </w:p>
        </w:tc>
        <w:tc>
          <w:tcPr>
            <w:tcW w:w="4111" w:type="dxa"/>
          </w:tcPr>
          <w:p w:rsidRPr="00D34808" w:rsidR="002C44AC" w:rsidP="002C44AC" w:rsidRDefault="002C44AC" w14:paraId="22606466" w14:textId="77777777">
            <w:pPr>
              <w:pStyle w:val="Lijstalinea"/>
              <w:numPr>
                <w:ilvl w:val="0"/>
                <w:numId w:val="7"/>
              </w:numPr>
              <w:spacing w:after="0" w:line="240" w:lineRule="auto"/>
              <w:ind w:left="173" w:hanging="142"/>
              <w:rPr>
                <w:rFonts w:ascii="Verdana" w:hAnsi="Verdana"/>
                <w:sz w:val="18"/>
                <w:szCs w:val="18"/>
              </w:rPr>
            </w:pPr>
            <w:r w:rsidRPr="00D34808">
              <w:rPr>
                <w:rFonts w:ascii="Verdana" w:hAnsi="Verdana"/>
                <w:sz w:val="18"/>
                <w:szCs w:val="18"/>
              </w:rPr>
              <w:t>Voorzien in wettelijke grondslag voor openbaar maken van persoonsgegevens - gelinkt aan doelstelling van algemeen belang</w:t>
            </w:r>
          </w:p>
          <w:p w:rsidRPr="00D34808" w:rsidR="002C44AC" w:rsidP="002C44AC" w:rsidRDefault="002C44AC" w14:paraId="66F86429" w14:textId="77777777">
            <w:pPr>
              <w:pStyle w:val="Lijstalinea"/>
              <w:numPr>
                <w:ilvl w:val="0"/>
                <w:numId w:val="7"/>
              </w:numPr>
              <w:spacing w:after="0" w:line="240" w:lineRule="auto"/>
              <w:ind w:left="173" w:hanging="142"/>
              <w:rPr>
                <w:rFonts w:ascii="Verdana" w:hAnsi="Verdana"/>
                <w:sz w:val="18"/>
                <w:szCs w:val="18"/>
              </w:rPr>
            </w:pPr>
            <w:r>
              <w:rPr>
                <w:rFonts w:ascii="Verdana" w:hAnsi="Verdana"/>
                <w:sz w:val="18"/>
                <w:szCs w:val="18"/>
              </w:rPr>
              <w:t>V</w:t>
            </w:r>
            <w:r w:rsidRPr="00D34808">
              <w:rPr>
                <w:rFonts w:ascii="Verdana" w:hAnsi="Verdana"/>
                <w:sz w:val="18"/>
                <w:szCs w:val="18"/>
              </w:rPr>
              <w:t xml:space="preserve">oorzien in een zelfstandige onderbouwing voor bulkbevraging van website </w:t>
            </w:r>
            <w:proofErr w:type="spellStart"/>
            <w:r w:rsidRPr="00D34808">
              <w:rPr>
                <w:rFonts w:ascii="Verdana" w:hAnsi="Verdana"/>
                <w:sz w:val="18"/>
                <w:szCs w:val="18"/>
              </w:rPr>
              <w:t>Justis</w:t>
            </w:r>
            <w:proofErr w:type="spellEnd"/>
            <w:r w:rsidRPr="00D34808">
              <w:rPr>
                <w:rFonts w:ascii="Verdana" w:hAnsi="Verdana"/>
                <w:sz w:val="18"/>
                <w:szCs w:val="18"/>
              </w:rPr>
              <w:t xml:space="preserve"> </w:t>
            </w:r>
            <w:r>
              <w:rPr>
                <w:rFonts w:ascii="Verdana" w:hAnsi="Verdana"/>
                <w:sz w:val="18"/>
                <w:szCs w:val="18"/>
              </w:rPr>
              <w:t xml:space="preserve">en </w:t>
            </w:r>
            <w:r w:rsidRPr="00D34808">
              <w:rPr>
                <w:rFonts w:ascii="Verdana" w:hAnsi="Verdana"/>
                <w:sz w:val="18"/>
                <w:szCs w:val="18"/>
              </w:rPr>
              <w:t>de pdf-lijsten</w:t>
            </w:r>
            <w:r>
              <w:rPr>
                <w:rFonts w:ascii="Verdana" w:hAnsi="Verdana"/>
                <w:sz w:val="18"/>
                <w:szCs w:val="18"/>
              </w:rPr>
              <w:t xml:space="preserve"> verwijderen</w:t>
            </w:r>
          </w:p>
          <w:p w:rsidR="002C44AC" w:rsidP="002C44AC" w:rsidRDefault="002C44AC" w14:paraId="62276131" w14:textId="77777777">
            <w:pPr>
              <w:pStyle w:val="Lijstalinea"/>
              <w:numPr>
                <w:ilvl w:val="0"/>
                <w:numId w:val="7"/>
              </w:numPr>
              <w:spacing w:after="0" w:line="240" w:lineRule="auto"/>
              <w:ind w:left="173" w:hanging="142"/>
              <w:rPr>
                <w:rFonts w:ascii="Verdana" w:hAnsi="Verdana"/>
                <w:sz w:val="18"/>
                <w:szCs w:val="18"/>
              </w:rPr>
            </w:pPr>
            <w:r w:rsidRPr="00D34808">
              <w:rPr>
                <w:rFonts w:ascii="Verdana" w:hAnsi="Verdana"/>
                <w:sz w:val="18"/>
                <w:szCs w:val="18"/>
              </w:rPr>
              <w:t>Eenduidig beleid formuleren over de te verstrekken informatie</w:t>
            </w:r>
          </w:p>
          <w:p w:rsidRPr="00D34808" w:rsidR="002C44AC" w:rsidP="0016031B" w:rsidRDefault="002C44AC" w14:paraId="1BC88F03" w14:textId="77777777">
            <w:pPr>
              <w:pStyle w:val="Lijstalinea"/>
              <w:ind w:left="173"/>
              <w:rPr>
                <w:rFonts w:ascii="Verdana" w:hAnsi="Verdana"/>
                <w:sz w:val="18"/>
                <w:szCs w:val="18"/>
              </w:rPr>
            </w:pPr>
          </w:p>
        </w:tc>
      </w:tr>
      <w:tr w:rsidRPr="00896872" w:rsidR="002C44AC" w:rsidTr="0016031B" w14:paraId="0C161315" w14:textId="77777777">
        <w:tc>
          <w:tcPr>
            <w:tcW w:w="3539" w:type="dxa"/>
          </w:tcPr>
          <w:p w:rsidRPr="00896872" w:rsidR="002C44AC" w:rsidP="0016031B" w:rsidRDefault="002C44AC" w14:paraId="77113067" w14:textId="77777777">
            <w:pPr>
              <w:rPr>
                <w:b/>
                <w:bCs/>
              </w:rPr>
            </w:pPr>
            <w:r w:rsidRPr="00896872">
              <w:rPr>
                <w:b/>
                <w:bCs/>
              </w:rPr>
              <w:t>Nederlands register gerechtelijk deskundigen (NRGD)</w:t>
            </w:r>
          </w:p>
          <w:p w:rsidRPr="00896872" w:rsidR="002C44AC" w:rsidP="0016031B" w:rsidRDefault="002C44AC" w14:paraId="697ADC79" w14:textId="77777777"/>
        </w:tc>
        <w:tc>
          <w:tcPr>
            <w:tcW w:w="4111" w:type="dxa"/>
          </w:tcPr>
          <w:p w:rsidRPr="00223EC6" w:rsidR="002C44AC" w:rsidP="002C44AC" w:rsidRDefault="002C44AC" w14:paraId="2968EDF1" w14:textId="77777777">
            <w:pPr>
              <w:pStyle w:val="Lijstalinea"/>
              <w:numPr>
                <w:ilvl w:val="0"/>
                <w:numId w:val="19"/>
              </w:numPr>
              <w:spacing w:after="0" w:line="240" w:lineRule="auto"/>
              <w:ind w:left="173" w:hanging="142"/>
              <w:rPr>
                <w:rFonts w:ascii="Verdana" w:hAnsi="Verdana"/>
                <w:sz w:val="18"/>
                <w:szCs w:val="18"/>
              </w:rPr>
            </w:pPr>
            <w:r w:rsidRPr="00223EC6">
              <w:rPr>
                <w:rFonts w:ascii="Verdana" w:hAnsi="Verdana"/>
                <w:sz w:val="18"/>
                <w:szCs w:val="18"/>
              </w:rPr>
              <w:t>Aanbeveling: schrap de verkapte toestemming voor openbaarmaking en vervang dit door het informeren in duidelijke bewoordingen over gevolgen van registratie</w:t>
            </w:r>
          </w:p>
          <w:p w:rsidRPr="00896872" w:rsidR="002C44AC" w:rsidP="0016031B" w:rsidRDefault="002C44AC" w14:paraId="397D042D" w14:textId="77777777">
            <w:pPr>
              <w:ind w:left="173" w:hanging="142"/>
            </w:pPr>
          </w:p>
        </w:tc>
      </w:tr>
      <w:tr w:rsidRPr="00896872" w:rsidR="002C44AC" w:rsidTr="0016031B" w14:paraId="67242244" w14:textId="77777777">
        <w:tc>
          <w:tcPr>
            <w:tcW w:w="3539" w:type="dxa"/>
          </w:tcPr>
          <w:p w:rsidRPr="00896872" w:rsidR="002C44AC" w:rsidP="0016031B" w:rsidRDefault="002C44AC" w14:paraId="45E6D336" w14:textId="77777777">
            <w:r w:rsidRPr="00896872">
              <w:rPr>
                <w:b/>
                <w:bCs/>
              </w:rPr>
              <w:t xml:space="preserve">Centraal Insolventie Register - </w:t>
            </w:r>
            <w:r w:rsidRPr="00223EC6">
              <w:rPr>
                <w:b/>
                <w:bCs/>
                <w:i/>
                <w:iCs/>
              </w:rPr>
              <w:t>Faillissement</w:t>
            </w:r>
            <w:r w:rsidRPr="00896872">
              <w:rPr>
                <w:b/>
                <w:bCs/>
              </w:rPr>
              <w:tab/>
            </w:r>
          </w:p>
        </w:tc>
        <w:tc>
          <w:tcPr>
            <w:tcW w:w="4111" w:type="dxa"/>
          </w:tcPr>
          <w:p w:rsidRPr="000050D6" w:rsidR="002C44AC" w:rsidP="002C44AC" w:rsidRDefault="002C44AC" w14:paraId="43419C81" w14:textId="77777777">
            <w:pPr>
              <w:pStyle w:val="Lijstalinea"/>
              <w:numPr>
                <w:ilvl w:val="0"/>
                <w:numId w:val="8"/>
              </w:numPr>
              <w:spacing w:after="0" w:line="240" w:lineRule="auto"/>
              <w:ind w:left="173" w:hanging="142"/>
              <w:rPr>
                <w:rFonts w:ascii="Verdana" w:hAnsi="Verdana"/>
                <w:sz w:val="18"/>
                <w:szCs w:val="18"/>
              </w:rPr>
            </w:pPr>
            <w:r w:rsidRPr="000050D6">
              <w:rPr>
                <w:rFonts w:ascii="Verdana" w:hAnsi="Verdana"/>
                <w:sz w:val="18"/>
                <w:szCs w:val="18"/>
              </w:rPr>
              <w:t>Stop met publicatie van faillissementsverslagen zolang er geen wettelijke grondslag voor is</w:t>
            </w:r>
          </w:p>
          <w:p w:rsidRPr="000050D6" w:rsidR="002C44AC" w:rsidP="002C44AC" w:rsidRDefault="002C44AC" w14:paraId="471DCB31" w14:textId="77777777">
            <w:pPr>
              <w:pStyle w:val="Lijstalinea"/>
              <w:numPr>
                <w:ilvl w:val="0"/>
                <w:numId w:val="8"/>
              </w:numPr>
              <w:spacing w:after="0" w:line="240" w:lineRule="auto"/>
              <w:ind w:left="173" w:hanging="142"/>
              <w:rPr>
                <w:rFonts w:ascii="Verdana" w:hAnsi="Verdana"/>
                <w:sz w:val="18"/>
                <w:szCs w:val="18"/>
              </w:rPr>
            </w:pPr>
            <w:r w:rsidRPr="000050D6">
              <w:rPr>
                <w:rFonts w:ascii="Verdana" w:hAnsi="Verdana"/>
                <w:sz w:val="18"/>
                <w:szCs w:val="18"/>
              </w:rPr>
              <w:t>Stop met publicatie van bepaalde persoonsgegevens zolang er geen adequate grondslag voor is</w:t>
            </w:r>
          </w:p>
          <w:p w:rsidRPr="000050D6" w:rsidR="002C44AC" w:rsidP="002C44AC" w:rsidRDefault="002C44AC" w14:paraId="5D08F7D5" w14:textId="77777777">
            <w:pPr>
              <w:pStyle w:val="Lijstalinea"/>
              <w:numPr>
                <w:ilvl w:val="0"/>
                <w:numId w:val="8"/>
              </w:numPr>
              <w:spacing w:after="0" w:line="240" w:lineRule="auto"/>
              <w:ind w:left="173" w:hanging="142"/>
              <w:rPr>
                <w:rFonts w:ascii="Verdana" w:hAnsi="Verdana"/>
                <w:sz w:val="18"/>
                <w:szCs w:val="18"/>
              </w:rPr>
            </w:pPr>
            <w:r w:rsidRPr="000050D6">
              <w:rPr>
                <w:rFonts w:ascii="Verdana" w:hAnsi="Verdana"/>
                <w:sz w:val="18"/>
                <w:szCs w:val="18"/>
              </w:rPr>
              <w:t>Stop met het standaard openbaar maken van alle personalia van failliete natuurlijke personen</w:t>
            </w:r>
          </w:p>
          <w:p w:rsidRPr="000050D6" w:rsidR="002C44AC" w:rsidP="002C44AC" w:rsidRDefault="002C44AC" w14:paraId="3C1888D6" w14:textId="77777777">
            <w:pPr>
              <w:pStyle w:val="Lijstalinea"/>
              <w:numPr>
                <w:ilvl w:val="0"/>
                <w:numId w:val="8"/>
              </w:numPr>
              <w:spacing w:after="0" w:line="240" w:lineRule="auto"/>
              <w:ind w:left="173" w:hanging="142"/>
              <w:rPr>
                <w:rFonts w:ascii="Verdana" w:hAnsi="Verdana"/>
                <w:sz w:val="18"/>
                <w:szCs w:val="18"/>
              </w:rPr>
            </w:pPr>
            <w:r w:rsidRPr="000050D6">
              <w:rPr>
                <w:rFonts w:ascii="Verdana" w:hAnsi="Verdana"/>
                <w:sz w:val="18"/>
                <w:szCs w:val="18"/>
              </w:rPr>
              <w:t>Voer nader onderzoek uit naar de noodzaak persoonsgegevens in de Staatscourant te publiceren, m.n. voor natuurlijke personen die failliet zijn verklaard</w:t>
            </w:r>
          </w:p>
          <w:p w:rsidRPr="00896872" w:rsidR="002C44AC" w:rsidP="0016031B" w:rsidRDefault="002C44AC" w14:paraId="14464725" w14:textId="77777777"/>
        </w:tc>
      </w:tr>
      <w:tr w:rsidRPr="00896872" w:rsidR="002C44AC" w:rsidTr="0016031B" w14:paraId="5F9F994D" w14:textId="77777777">
        <w:tc>
          <w:tcPr>
            <w:tcW w:w="3539" w:type="dxa"/>
          </w:tcPr>
          <w:p w:rsidRPr="00896872" w:rsidR="002C44AC" w:rsidP="0016031B" w:rsidRDefault="002C44AC" w14:paraId="70438402" w14:textId="77777777">
            <w:pPr>
              <w:rPr>
                <w:b/>
                <w:bCs/>
              </w:rPr>
            </w:pPr>
            <w:r w:rsidRPr="00896872">
              <w:rPr>
                <w:b/>
                <w:bCs/>
              </w:rPr>
              <w:lastRenderedPageBreak/>
              <w:t xml:space="preserve">Centraal Insolventie Register - </w:t>
            </w:r>
            <w:r w:rsidRPr="00223EC6">
              <w:rPr>
                <w:b/>
                <w:bCs/>
                <w:i/>
                <w:iCs/>
              </w:rPr>
              <w:t>Surseance van betaling</w:t>
            </w:r>
          </w:p>
        </w:tc>
        <w:tc>
          <w:tcPr>
            <w:tcW w:w="4111" w:type="dxa"/>
          </w:tcPr>
          <w:p w:rsidRPr="00B82E30" w:rsidR="002C44AC" w:rsidP="002C44AC" w:rsidRDefault="002C44AC" w14:paraId="692C43D9" w14:textId="77777777">
            <w:pPr>
              <w:pStyle w:val="Lijstalinea"/>
              <w:numPr>
                <w:ilvl w:val="0"/>
                <w:numId w:val="9"/>
              </w:numPr>
              <w:spacing w:after="0" w:line="240" w:lineRule="auto"/>
              <w:ind w:left="173" w:hanging="142"/>
              <w:rPr>
                <w:rFonts w:ascii="Verdana" w:hAnsi="Verdana"/>
                <w:sz w:val="18"/>
                <w:szCs w:val="18"/>
              </w:rPr>
            </w:pPr>
            <w:r w:rsidRPr="00B82E30">
              <w:rPr>
                <w:rFonts w:ascii="Verdana" w:hAnsi="Verdana"/>
                <w:sz w:val="18"/>
                <w:szCs w:val="18"/>
              </w:rPr>
              <w:t>Stop met publicatie van surseanceverslagen zolang er geen grondslag is</w:t>
            </w:r>
          </w:p>
          <w:p w:rsidRPr="00B82E30" w:rsidR="002C44AC" w:rsidP="002C44AC" w:rsidRDefault="002C44AC" w14:paraId="6233D73D" w14:textId="77777777">
            <w:pPr>
              <w:pStyle w:val="Lijstalinea"/>
              <w:numPr>
                <w:ilvl w:val="0"/>
                <w:numId w:val="9"/>
              </w:numPr>
              <w:spacing w:after="0" w:line="240" w:lineRule="auto"/>
              <w:ind w:left="173" w:hanging="142"/>
              <w:rPr>
                <w:rFonts w:ascii="Verdana" w:hAnsi="Verdana"/>
                <w:sz w:val="18"/>
                <w:szCs w:val="18"/>
              </w:rPr>
            </w:pPr>
            <w:r w:rsidRPr="00B82E30">
              <w:rPr>
                <w:rFonts w:ascii="Verdana" w:hAnsi="Verdana"/>
                <w:sz w:val="18"/>
                <w:szCs w:val="18"/>
              </w:rPr>
              <w:t>Stop met publicatie van bepaalde persoonsgegevens zolang er geen adequate grondslag voor is</w:t>
            </w:r>
          </w:p>
          <w:p w:rsidRPr="00B82E30" w:rsidR="002C44AC" w:rsidP="002C44AC" w:rsidRDefault="002C44AC" w14:paraId="79D51F37" w14:textId="77777777">
            <w:pPr>
              <w:pStyle w:val="Lijstalinea"/>
              <w:numPr>
                <w:ilvl w:val="0"/>
                <w:numId w:val="9"/>
              </w:numPr>
              <w:spacing w:after="0" w:line="240" w:lineRule="auto"/>
              <w:ind w:left="173" w:hanging="142"/>
              <w:rPr>
                <w:rFonts w:ascii="Verdana" w:hAnsi="Verdana"/>
                <w:sz w:val="18"/>
                <w:szCs w:val="18"/>
              </w:rPr>
            </w:pPr>
            <w:r w:rsidRPr="00B82E30">
              <w:rPr>
                <w:rFonts w:ascii="Verdana" w:hAnsi="Verdana"/>
                <w:sz w:val="18"/>
                <w:szCs w:val="18"/>
              </w:rPr>
              <w:t>Stop met het standaard openbaar maken van het woonadres van natuurlijke persoon aan wie surseance is verleend. Overweeg een natuurlijk persoon die onderneemt op zijn huisadres, een postadres te laten gebruiken</w:t>
            </w:r>
          </w:p>
          <w:p w:rsidRPr="00B82E30" w:rsidR="002C44AC" w:rsidP="002C44AC" w:rsidRDefault="002C44AC" w14:paraId="001B7BF1" w14:textId="77777777">
            <w:pPr>
              <w:pStyle w:val="Lijstalinea"/>
              <w:numPr>
                <w:ilvl w:val="0"/>
                <w:numId w:val="9"/>
              </w:numPr>
              <w:spacing w:after="0" w:line="240" w:lineRule="auto"/>
              <w:ind w:left="173" w:hanging="142"/>
              <w:rPr>
                <w:rFonts w:ascii="Verdana" w:hAnsi="Verdana"/>
                <w:sz w:val="18"/>
                <w:szCs w:val="18"/>
              </w:rPr>
            </w:pPr>
            <w:r w:rsidRPr="00B82E30">
              <w:rPr>
                <w:rFonts w:ascii="Verdana" w:hAnsi="Verdana"/>
                <w:sz w:val="18"/>
                <w:szCs w:val="18"/>
              </w:rPr>
              <w:t>Voer nader onderzoek uit naar de noodzaak persoonsgegevens in de Staatscourant te publiceren, m.n. voor natuurlijke personen (met een bedrijf) in surseance</w:t>
            </w:r>
          </w:p>
          <w:p w:rsidRPr="00896872" w:rsidR="002C44AC" w:rsidP="0016031B" w:rsidRDefault="002C44AC" w14:paraId="396E82E0" w14:textId="77777777"/>
        </w:tc>
      </w:tr>
      <w:tr w:rsidRPr="00896872" w:rsidR="002C44AC" w:rsidTr="0016031B" w14:paraId="3D08B018" w14:textId="77777777">
        <w:tc>
          <w:tcPr>
            <w:tcW w:w="3539" w:type="dxa"/>
          </w:tcPr>
          <w:p w:rsidRPr="00896872" w:rsidR="002C44AC" w:rsidP="0016031B" w:rsidRDefault="002C44AC" w14:paraId="08C9039B" w14:textId="77777777">
            <w:pPr>
              <w:rPr>
                <w:b/>
                <w:bCs/>
              </w:rPr>
            </w:pPr>
            <w:r w:rsidRPr="00896872">
              <w:rPr>
                <w:b/>
                <w:bCs/>
              </w:rPr>
              <w:t xml:space="preserve">Centraal Insolventie Register - </w:t>
            </w:r>
            <w:r w:rsidRPr="00223EC6">
              <w:rPr>
                <w:b/>
                <w:bCs/>
                <w:i/>
                <w:iCs/>
              </w:rPr>
              <w:t>WSNP (schuldsanering natuurlijke personen)</w:t>
            </w:r>
          </w:p>
        </w:tc>
        <w:tc>
          <w:tcPr>
            <w:tcW w:w="4111" w:type="dxa"/>
          </w:tcPr>
          <w:p w:rsidRPr="00003A1A" w:rsidR="002C44AC" w:rsidP="002C44AC" w:rsidRDefault="002C44AC" w14:paraId="229C029D" w14:textId="77777777">
            <w:pPr>
              <w:pStyle w:val="Lijstalinea"/>
              <w:numPr>
                <w:ilvl w:val="0"/>
                <w:numId w:val="10"/>
              </w:numPr>
              <w:spacing w:after="0" w:line="240" w:lineRule="auto"/>
              <w:ind w:left="173" w:hanging="142"/>
              <w:rPr>
                <w:rFonts w:ascii="Verdana" w:hAnsi="Verdana"/>
                <w:sz w:val="18"/>
                <w:szCs w:val="18"/>
              </w:rPr>
            </w:pPr>
            <w:r w:rsidRPr="00003A1A">
              <w:rPr>
                <w:rFonts w:ascii="Verdana" w:hAnsi="Verdana"/>
                <w:sz w:val="18"/>
                <w:szCs w:val="18"/>
              </w:rPr>
              <w:t>Stop met publicatie van verslagen zolang er geen grondslag is</w:t>
            </w:r>
          </w:p>
          <w:p w:rsidRPr="00003A1A" w:rsidR="002C44AC" w:rsidP="002C44AC" w:rsidRDefault="002C44AC" w14:paraId="561D0871" w14:textId="77777777">
            <w:pPr>
              <w:pStyle w:val="Lijstalinea"/>
              <w:numPr>
                <w:ilvl w:val="0"/>
                <w:numId w:val="10"/>
              </w:numPr>
              <w:spacing w:after="0" w:line="240" w:lineRule="auto"/>
              <w:ind w:left="173" w:hanging="142"/>
              <w:rPr>
                <w:rFonts w:ascii="Verdana" w:hAnsi="Verdana"/>
                <w:sz w:val="18"/>
                <w:szCs w:val="18"/>
              </w:rPr>
            </w:pPr>
            <w:r w:rsidRPr="00003A1A">
              <w:rPr>
                <w:rFonts w:ascii="Verdana" w:hAnsi="Verdana"/>
                <w:sz w:val="18"/>
                <w:szCs w:val="18"/>
              </w:rPr>
              <w:t>Stop met het standaard openbaar maken van de geboorteplaats en het woonadres van natuurlijke personen</w:t>
            </w:r>
          </w:p>
          <w:p w:rsidRPr="00003A1A" w:rsidR="002C44AC" w:rsidP="002C44AC" w:rsidRDefault="002C44AC" w14:paraId="32D9B4DD" w14:textId="77777777">
            <w:pPr>
              <w:pStyle w:val="Lijstalinea"/>
              <w:numPr>
                <w:ilvl w:val="0"/>
                <w:numId w:val="10"/>
              </w:numPr>
              <w:spacing w:after="0" w:line="240" w:lineRule="auto"/>
              <w:ind w:left="173" w:hanging="142"/>
              <w:rPr>
                <w:rFonts w:ascii="Verdana" w:hAnsi="Verdana"/>
                <w:sz w:val="18"/>
                <w:szCs w:val="18"/>
              </w:rPr>
            </w:pPr>
            <w:r w:rsidRPr="00003A1A">
              <w:rPr>
                <w:rFonts w:ascii="Verdana" w:hAnsi="Verdana"/>
                <w:sz w:val="18"/>
                <w:szCs w:val="18"/>
              </w:rPr>
              <w:t>Voer nader onderzoek uit naar de noodzaak persoonsgegevens in de Staatscourant te publiceren, met bijzondere aandacht voor gevallen van schuldsanering</w:t>
            </w:r>
          </w:p>
          <w:p w:rsidRPr="00896872" w:rsidR="002C44AC" w:rsidP="0016031B" w:rsidRDefault="002C44AC" w14:paraId="64FC45A5" w14:textId="77777777"/>
        </w:tc>
      </w:tr>
      <w:tr w:rsidRPr="00896872" w:rsidR="002C44AC" w:rsidTr="0016031B" w14:paraId="33A0D92F" w14:textId="77777777">
        <w:tc>
          <w:tcPr>
            <w:tcW w:w="3539" w:type="dxa"/>
          </w:tcPr>
          <w:p w:rsidRPr="00896872" w:rsidR="002C44AC" w:rsidP="0016031B" w:rsidRDefault="002C44AC" w14:paraId="11586ACE" w14:textId="77777777">
            <w:r w:rsidRPr="00896872">
              <w:rPr>
                <w:b/>
                <w:bCs/>
              </w:rPr>
              <w:t xml:space="preserve">Centraal Insolventie Register - </w:t>
            </w:r>
            <w:r w:rsidRPr="00223EC6">
              <w:rPr>
                <w:b/>
                <w:bCs/>
                <w:i/>
                <w:iCs/>
              </w:rPr>
              <w:t>WHOA (wet homologatie onderhands akkoord)</w:t>
            </w:r>
          </w:p>
        </w:tc>
        <w:tc>
          <w:tcPr>
            <w:tcW w:w="4111" w:type="dxa"/>
          </w:tcPr>
          <w:p w:rsidRPr="00003A1A" w:rsidR="002C44AC" w:rsidP="002C44AC" w:rsidRDefault="002C44AC" w14:paraId="08060B66" w14:textId="77777777">
            <w:pPr>
              <w:pStyle w:val="Lijstalinea"/>
              <w:numPr>
                <w:ilvl w:val="0"/>
                <w:numId w:val="11"/>
              </w:numPr>
              <w:spacing w:after="0" w:line="240" w:lineRule="auto"/>
              <w:ind w:left="173" w:hanging="173"/>
              <w:rPr>
                <w:rFonts w:ascii="Verdana" w:hAnsi="Verdana"/>
                <w:sz w:val="18"/>
                <w:szCs w:val="18"/>
              </w:rPr>
            </w:pPr>
            <w:r w:rsidRPr="00003A1A">
              <w:rPr>
                <w:rFonts w:ascii="Verdana" w:hAnsi="Verdana"/>
                <w:sz w:val="18"/>
                <w:szCs w:val="18"/>
              </w:rPr>
              <w:t>Beperk toegankelijkheid tot gegevens van natuurlijke personen met een zelfstandig beroep of bedrijf</w:t>
            </w:r>
          </w:p>
          <w:p w:rsidRPr="00003A1A" w:rsidR="002C44AC" w:rsidP="002C44AC" w:rsidRDefault="002C44AC" w14:paraId="6AF0021F" w14:textId="77777777">
            <w:pPr>
              <w:pStyle w:val="Lijstalinea"/>
              <w:numPr>
                <w:ilvl w:val="0"/>
                <w:numId w:val="11"/>
              </w:numPr>
              <w:spacing w:after="0" w:line="240" w:lineRule="auto"/>
              <w:ind w:left="173" w:hanging="173"/>
              <w:rPr>
                <w:rFonts w:ascii="Verdana" w:hAnsi="Verdana"/>
                <w:sz w:val="18"/>
                <w:szCs w:val="18"/>
              </w:rPr>
            </w:pPr>
            <w:r w:rsidRPr="00003A1A">
              <w:rPr>
                <w:rFonts w:ascii="Verdana" w:hAnsi="Verdana"/>
                <w:sz w:val="18"/>
                <w:szCs w:val="18"/>
              </w:rPr>
              <w:t>Voorkom bulkverstrekkingen</w:t>
            </w:r>
          </w:p>
          <w:p w:rsidRPr="00896872" w:rsidR="002C44AC" w:rsidP="0016031B" w:rsidRDefault="002C44AC" w14:paraId="148E56B3" w14:textId="77777777"/>
        </w:tc>
      </w:tr>
      <w:tr w:rsidRPr="00896872" w:rsidR="002C44AC" w:rsidTr="0016031B" w14:paraId="186EBE9D" w14:textId="77777777">
        <w:tc>
          <w:tcPr>
            <w:tcW w:w="3539" w:type="dxa"/>
          </w:tcPr>
          <w:p w:rsidRPr="00896872" w:rsidR="002C44AC" w:rsidP="0016031B" w:rsidRDefault="002C44AC" w14:paraId="3CB8B6D7" w14:textId="77777777">
            <w:pPr>
              <w:rPr>
                <w:b/>
                <w:bCs/>
              </w:rPr>
            </w:pPr>
            <w:r w:rsidRPr="00896872">
              <w:rPr>
                <w:b/>
                <w:bCs/>
              </w:rPr>
              <w:t>Huwelijksgoederenregister (HGR)</w:t>
            </w:r>
          </w:p>
        </w:tc>
        <w:tc>
          <w:tcPr>
            <w:tcW w:w="4111" w:type="dxa"/>
          </w:tcPr>
          <w:p w:rsidRPr="001C4D1C" w:rsidR="002C44AC" w:rsidP="002C44AC" w:rsidRDefault="002C44AC" w14:paraId="154B3CFC" w14:textId="77777777">
            <w:pPr>
              <w:pStyle w:val="Lijstalinea"/>
              <w:numPr>
                <w:ilvl w:val="0"/>
                <w:numId w:val="12"/>
              </w:numPr>
              <w:spacing w:after="0" w:line="240" w:lineRule="auto"/>
              <w:ind w:left="173" w:hanging="142"/>
              <w:rPr>
                <w:rFonts w:ascii="Verdana" w:hAnsi="Verdana"/>
                <w:sz w:val="18"/>
                <w:szCs w:val="18"/>
              </w:rPr>
            </w:pPr>
            <w:r w:rsidRPr="001C4D1C">
              <w:rPr>
                <w:rFonts w:ascii="Verdana" w:hAnsi="Verdana"/>
                <w:sz w:val="18"/>
                <w:szCs w:val="18"/>
              </w:rPr>
              <w:t>Aanbeveling: onderzoek effectiviteit van het register, het doel ervan in aanmerking nemend</w:t>
            </w:r>
          </w:p>
          <w:p w:rsidRPr="001C4D1C" w:rsidR="002C44AC" w:rsidP="002C44AC" w:rsidRDefault="002C44AC" w14:paraId="026F5216" w14:textId="77777777">
            <w:pPr>
              <w:pStyle w:val="Lijstalinea"/>
              <w:numPr>
                <w:ilvl w:val="0"/>
                <w:numId w:val="12"/>
              </w:numPr>
              <w:spacing w:after="0" w:line="240" w:lineRule="auto"/>
              <w:ind w:left="173" w:hanging="142"/>
              <w:rPr>
                <w:rFonts w:ascii="Verdana" w:hAnsi="Verdana"/>
                <w:sz w:val="18"/>
                <w:szCs w:val="18"/>
              </w:rPr>
            </w:pPr>
            <w:r w:rsidRPr="001C4D1C">
              <w:rPr>
                <w:rFonts w:ascii="Verdana" w:hAnsi="Verdana"/>
                <w:sz w:val="18"/>
                <w:szCs w:val="18"/>
              </w:rPr>
              <w:t>Maak een systeem om raadplegers te categoriseren, zodat de effectiviteit van het register kan worden gemeten</w:t>
            </w:r>
          </w:p>
          <w:p w:rsidRPr="00896872" w:rsidR="002C44AC" w:rsidP="0016031B" w:rsidRDefault="002C44AC" w14:paraId="03ACD4DC" w14:textId="77777777"/>
        </w:tc>
      </w:tr>
      <w:tr w:rsidRPr="00896872" w:rsidR="002C44AC" w:rsidTr="0016031B" w14:paraId="0870359D" w14:textId="77777777">
        <w:tc>
          <w:tcPr>
            <w:tcW w:w="3539" w:type="dxa"/>
          </w:tcPr>
          <w:p w:rsidRPr="00896872" w:rsidR="002C44AC" w:rsidP="0016031B" w:rsidRDefault="002C44AC" w14:paraId="6B934A77" w14:textId="77777777">
            <w:pPr>
              <w:rPr>
                <w:b/>
                <w:bCs/>
              </w:rPr>
            </w:pPr>
            <w:r w:rsidRPr="00896872">
              <w:rPr>
                <w:b/>
                <w:bCs/>
              </w:rPr>
              <w:t>Boedelregister</w:t>
            </w:r>
          </w:p>
        </w:tc>
        <w:tc>
          <w:tcPr>
            <w:tcW w:w="4111" w:type="dxa"/>
          </w:tcPr>
          <w:p w:rsidRPr="001C4D1C" w:rsidR="002C44AC" w:rsidP="002C44AC" w:rsidRDefault="002C44AC" w14:paraId="0C9CA617" w14:textId="77777777">
            <w:pPr>
              <w:pStyle w:val="Lijstalinea"/>
              <w:numPr>
                <w:ilvl w:val="0"/>
                <w:numId w:val="13"/>
              </w:numPr>
              <w:spacing w:after="0" w:line="240" w:lineRule="auto"/>
              <w:ind w:left="173" w:hanging="142"/>
              <w:rPr>
                <w:rFonts w:ascii="Verdana" w:hAnsi="Verdana"/>
                <w:sz w:val="18"/>
                <w:szCs w:val="18"/>
              </w:rPr>
            </w:pPr>
            <w:r w:rsidRPr="001C4D1C">
              <w:rPr>
                <w:rFonts w:ascii="Verdana" w:hAnsi="Verdana"/>
                <w:sz w:val="18"/>
                <w:szCs w:val="18"/>
              </w:rPr>
              <w:t>R</w:t>
            </w:r>
            <w:r>
              <w:rPr>
                <w:rFonts w:ascii="Verdana" w:hAnsi="Verdana"/>
                <w:sz w:val="18"/>
                <w:szCs w:val="18"/>
              </w:rPr>
              <w:t>echt</w:t>
            </w:r>
            <w:r w:rsidRPr="001C4D1C">
              <w:rPr>
                <w:rFonts w:ascii="Verdana" w:hAnsi="Verdana"/>
                <w:sz w:val="18"/>
                <w:szCs w:val="18"/>
              </w:rPr>
              <w:t>b</w:t>
            </w:r>
            <w:r>
              <w:rPr>
                <w:rFonts w:ascii="Verdana" w:hAnsi="Verdana"/>
                <w:sz w:val="18"/>
                <w:szCs w:val="18"/>
              </w:rPr>
              <w:t>ank</w:t>
            </w:r>
            <w:r w:rsidRPr="001C4D1C">
              <w:rPr>
                <w:rFonts w:ascii="Verdana" w:hAnsi="Verdana"/>
                <w:sz w:val="18"/>
                <w:szCs w:val="18"/>
              </w:rPr>
              <w:t xml:space="preserve"> A</w:t>
            </w:r>
            <w:r>
              <w:rPr>
                <w:rFonts w:ascii="Verdana" w:hAnsi="Verdana"/>
                <w:sz w:val="18"/>
                <w:szCs w:val="18"/>
              </w:rPr>
              <w:t>mster</w:t>
            </w:r>
            <w:r w:rsidRPr="001C4D1C">
              <w:rPr>
                <w:rFonts w:ascii="Verdana" w:hAnsi="Verdana"/>
                <w:sz w:val="18"/>
                <w:szCs w:val="18"/>
              </w:rPr>
              <w:t>dam direct laten stoppen met vragen kopie identiteitsbewijs</w:t>
            </w:r>
          </w:p>
          <w:p w:rsidRPr="001C4D1C" w:rsidR="002C44AC" w:rsidP="002C44AC" w:rsidRDefault="002C44AC" w14:paraId="709C7CF8" w14:textId="77777777">
            <w:pPr>
              <w:pStyle w:val="Lijstalinea"/>
              <w:numPr>
                <w:ilvl w:val="0"/>
                <w:numId w:val="13"/>
              </w:numPr>
              <w:spacing w:after="0" w:line="240" w:lineRule="auto"/>
              <w:ind w:left="173" w:hanging="142"/>
              <w:rPr>
                <w:rFonts w:ascii="Verdana" w:hAnsi="Verdana"/>
                <w:sz w:val="18"/>
                <w:szCs w:val="18"/>
              </w:rPr>
            </w:pPr>
            <w:r w:rsidRPr="001C4D1C">
              <w:rPr>
                <w:rFonts w:ascii="Verdana" w:hAnsi="Verdana"/>
                <w:sz w:val="18"/>
                <w:szCs w:val="18"/>
              </w:rPr>
              <w:t>R</w:t>
            </w:r>
            <w:r>
              <w:rPr>
                <w:rFonts w:ascii="Verdana" w:hAnsi="Verdana"/>
                <w:sz w:val="18"/>
                <w:szCs w:val="18"/>
              </w:rPr>
              <w:t>echtbank</w:t>
            </w:r>
            <w:r w:rsidRPr="001C4D1C">
              <w:rPr>
                <w:rFonts w:ascii="Verdana" w:hAnsi="Verdana"/>
                <w:sz w:val="18"/>
                <w:szCs w:val="18"/>
              </w:rPr>
              <w:t xml:space="preserve"> N</w:t>
            </w:r>
            <w:r>
              <w:rPr>
                <w:rFonts w:ascii="Verdana" w:hAnsi="Verdana"/>
                <w:sz w:val="18"/>
                <w:szCs w:val="18"/>
              </w:rPr>
              <w:t>oord</w:t>
            </w:r>
            <w:r w:rsidRPr="001C4D1C">
              <w:rPr>
                <w:rFonts w:ascii="Verdana" w:hAnsi="Verdana"/>
                <w:sz w:val="18"/>
                <w:szCs w:val="18"/>
              </w:rPr>
              <w:t>-H</w:t>
            </w:r>
            <w:r>
              <w:rPr>
                <w:rFonts w:ascii="Verdana" w:hAnsi="Verdana"/>
                <w:sz w:val="18"/>
                <w:szCs w:val="18"/>
              </w:rPr>
              <w:t>olland</w:t>
            </w:r>
            <w:r w:rsidRPr="001C4D1C">
              <w:rPr>
                <w:rFonts w:ascii="Verdana" w:hAnsi="Verdana"/>
                <w:sz w:val="18"/>
                <w:szCs w:val="18"/>
              </w:rPr>
              <w:t xml:space="preserve"> direct laten stoppen met vragen om opgaaf van redenen</w:t>
            </w:r>
          </w:p>
          <w:p w:rsidRPr="001C4D1C" w:rsidR="002C44AC" w:rsidP="002C44AC" w:rsidRDefault="002C44AC" w14:paraId="3E733446" w14:textId="77777777">
            <w:pPr>
              <w:pStyle w:val="Lijstalinea"/>
              <w:numPr>
                <w:ilvl w:val="0"/>
                <w:numId w:val="13"/>
              </w:numPr>
              <w:spacing w:after="0" w:line="240" w:lineRule="auto"/>
              <w:ind w:left="173" w:hanging="142"/>
              <w:rPr>
                <w:rFonts w:ascii="Verdana" w:hAnsi="Verdana"/>
                <w:sz w:val="18"/>
                <w:szCs w:val="18"/>
              </w:rPr>
            </w:pPr>
            <w:r w:rsidRPr="001C4D1C">
              <w:rPr>
                <w:rFonts w:ascii="Verdana" w:hAnsi="Verdana"/>
                <w:sz w:val="18"/>
                <w:szCs w:val="18"/>
              </w:rPr>
              <w:t>Aanbeveling: boedelregister op nationaal niveau regelen zoals het huwelijksgoederenregister, met een verwijsindex</w:t>
            </w:r>
          </w:p>
          <w:p w:rsidRPr="001C4D1C" w:rsidR="002C44AC" w:rsidP="002C44AC" w:rsidRDefault="002C44AC" w14:paraId="64A936C5" w14:textId="77777777">
            <w:pPr>
              <w:pStyle w:val="Lijstalinea"/>
              <w:numPr>
                <w:ilvl w:val="0"/>
                <w:numId w:val="13"/>
              </w:numPr>
              <w:spacing w:after="0" w:line="240" w:lineRule="auto"/>
              <w:ind w:left="173" w:hanging="142"/>
              <w:rPr>
                <w:rFonts w:ascii="Verdana" w:hAnsi="Verdana"/>
                <w:sz w:val="18"/>
                <w:szCs w:val="18"/>
              </w:rPr>
            </w:pPr>
            <w:r>
              <w:rPr>
                <w:rFonts w:ascii="Verdana" w:hAnsi="Verdana"/>
                <w:sz w:val="18"/>
                <w:szCs w:val="18"/>
              </w:rPr>
              <w:t xml:space="preserve">Aanbeveling: </w:t>
            </w:r>
            <w:r w:rsidRPr="001C4D1C">
              <w:rPr>
                <w:rFonts w:ascii="Verdana" w:hAnsi="Verdana"/>
                <w:sz w:val="18"/>
                <w:szCs w:val="18"/>
              </w:rPr>
              <w:t>Regel uniforme wijze van raadpleging en eisen die daaraan worden gesteld</w:t>
            </w:r>
          </w:p>
          <w:p w:rsidRPr="00896872" w:rsidR="002C44AC" w:rsidP="0016031B" w:rsidRDefault="002C44AC" w14:paraId="4AA71F7F" w14:textId="77777777"/>
        </w:tc>
      </w:tr>
      <w:tr w:rsidRPr="00896872" w:rsidR="002C44AC" w:rsidTr="0016031B" w14:paraId="46B266F3" w14:textId="77777777">
        <w:tc>
          <w:tcPr>
            <w:tcW w:w="3539" w:type="dxa"/>
          </w:tcPr>
          <w:p w:rsidRPr="00896872" w:rsidR="002C44AC" w:rsidP="0016031B" w:rsidRDefault="002C44AC" w14:paraId="53C57FC8" w14:textId="77777777">
            <w:pPr>
              <w:rPr>
                <w:b/>
                <w:bCs/>
              </w:rPr>
            </w:pPr>
            <w:r w:rsidRPr="00896872">
              <w:rPr>
                <w:b/>
                <w:bCs/>
              </w:rPr>
              <w:lastRenderedPageBreak/>
              <w:t xml:space="preserve">Centraal </w:t>
            </w:r>
            <w:proofErr w:type="spellStart"/>
            <w:r w:rsidRPr="00896872">
              <w:rPr>
                <w:b/>
                <w:bCs/>
              </w:rPr>
              <w:t>Gezagsregister</w:t>
            </w:r>
            <w:proofErr w:type="spellEnd"/>
            <w:r w:rsidRPr="00896872">
              <w:rPr>
                <w:b/>
                <w:bCs/>
              </w:rPr>
              <w:t xml:space="preserve"> (CGR)</w:t>
            </w:r>
          </w:p>
        </w:tc>
        <w:tc>
          <w:tcPr>
            <w:tcW w:w="4111" w:type="dxa"/>
          </w:tcPr>
          <w:p w:rsidRPr="001C4D1C" w:rsidR="002C44AC" w:rsidP="002C44AC" w:rsidRDefault="002C44AC" w14:paraId="5AC3FAE4" w14:textId="77777777">
            <w:pPr>
              <w:pStyle w:val="Lijstalinea"/>
              <w:numPr>
                <w:ilvl w:val="0"/>
                <w:numId w:val="14"/>
              </w:numPr>
              <w:spacing w:after="0" w:line="240" w:lineRule="auto"/>
              <w:ind w:left="173" w:hanging="142"/>
              <w:rPr>
                <w:rFonts w:ascii="Verdana" w:hAnsi="Verdana"/>
                <w:sz w:val="18"/>
                <w:szCs w:val="18"/>
              </w:rPr>
            </w:pPr>
            <w:r w:rsidRPr="001C4D1C">
              <w:rPr>
                <w:rFonts w:ascii="Verdana" w:hAnsi="Verdana"/>
                <w:sz w:val="18"/>
                <w:szCs w:val="18"/>
              </w:rPr>
              <w:t>Stop met openbare karakter van register en maak het alleen toegankelijk voor personen met aantoonbaar legitiem belang</w:t>
            </w:r>
          </w:p>
          <w:p w:rsidRPr="001C4D1C" w:rsidR="002C44AC" w:rsidP="002C44AC" w:rsidRDefault="002C44AC" w14:paraId="2B7CD180" w14:textId="77777777">
            <w:pPr>
              <w:pStyle w:val="Lijstalinea"/>
              <w:numPr>
                <w:ilvl w:val="0"/>
                <w:numId w:val="14"/>
              </w:numPr>
              <w:spacing w:after="0" w:line="240" w:lineRule="auto"/>
              <w:ind w:left="173" w:hanging="142"/>
              <w:rPr>
                <w:rFonts w:ascii="Verdana" w:hAnsi="Verdana"/>
                <w:sz w:val="18"/>
                <w:szCs w:val="18"/>
              </w:rPr>
            </w:pPr>
            <w:r w:rsidRPr="001C4D1C">
              <w:rPr>
                <w:rFonts w:ascii="Verdana" w:hAnsi="Verdana"/>
                <w:sz w:val="18"/>
                <w:szCs w:val="18"/>
              </w:rPr>
              <w:t xml:space="preserve">Stel een limitatieve lijst op van </w:t>
            </w:r>
            <w:r w:rsidRPr="00641521">
              <w:rPr>
                <w:rFonts w:ascii="Verdana" w:hAnsi="Verdana"/>
                <w:sz w:val="18"/>
                <w:szCs w:val="18"/>
              </w:rPr>
              <w:t>personen</w:t>
            </w:r>
            <w:r w:rsidRPr="001C4D1C">
              <w:rPr>
                <w:rFonts w:ascii="Verdana" w:hAnsi="Verdana"/>
                <w:sz w:val="18"/>
                <w:szCs w:val="18"/>
              </w:rPr>
              <w:t xml:space="preserve"> voor wie een dergelijk legitiem belang kan worden verondersteld</w:t>
            </w:r>
          </w:p>
          <w:p w:rsidRPr="001C4D1C" w:rsidR="002C44AC" w:rsidP="002C44AC" w:rsidRDefault="002C44AC" w14:paraId="6E7DD8B7" w14:textId="77777777">
            <w:pPr>
              <w:pStyle w:val="Lijstalinea"/>
              <w:numPr>
                <w:ilvl w:val="0"/>
                <w:numId w:val="14"/>
              </w:numPr>
              <w:spacing w:after="0" w:line="240" w:lineRule="auto"/>
              <w:ind w:left="173" w:hanging="142"/>
              <w:rPr>
                <w:rFonts w:ascii="Verdana" w:hAnsi="Verdana"/>
                <w:sz w:val="18"/>
                <w:szCs w:val="18"/>
              </w:rPr>
            </w:pPr>
            <w:r w:rsidRPr="001C4D1C">
              <w:rPr>
                <w:rFonts w:ascii="Verdana" w:hAnsi="Verdana"/>
                <w:sz w:val="18"/>
                <w:szCs w:val="18"/>
              </w:rPr>
              <w:t>Stop met openbaar maken voogdijbenoemingen vóór het overlijden - maak deze informatie pas openbaar als deze rechtens relevant is geworden</w:t>
            </w:r>
          </w:p>
          <w:p w:rsidRPr="00896872" w:rsidR="002C44AC" w:rsidP="0016031B" w:rsidRDefault="002C44AC" w14:paraId="6CEFCDAD" w14:textId="77777777"/>
        </w:tc>
      </w:tr>
      <w:tr w:rsidRPr="00896872" w:rsidR="002C44AC" w:rsidTr="0016031B" w14:paraId="68B7F549" w14:textId="77777777">
        <w:tc>
          <w:tcPr>
            <w:tcW w:w="3539" w:type="dxa"/>
          </w:tcPr>
          <w:p w:rsidRPr="00896872" w:rsidR="002C44AC" w:rsidP="0016031B" w:rsidRDefault="002C44AC" w14:paraId="452450EB" w14:textId="77777777">
            <w:pPr>
              <w:rPr>
                <w:b/>
                <w:bCs/>
              </w:rPr>
            </w:pPr>
            <w:r w:rsidRPr="00896872">
              <w:rPr>
                <w:b/>
                <w:bCs/>
              </w:rPr>
              <w:t>Register beëdigde tolken en vertalers (</w:t>
            </w:r>
            <w:proofErr w:type="spellStart"/>
            <w:r w:rsidRPr="00896872">
              <w:rPr>
                <w:b/>
                <w:bCs/>
              </w:rPr>
              <w:t>Wbtv</w:t>
            </w:r>
            <w:proofErr w:type="spellEnd"/>
            <w:r w:rsidRPr="00896872">
              <w:rPr>
                <w:b/>
                <w:bCs/>
              </w:rPr>
              <w:t>)</w:t>
            </w:r>
          </w:p>
        </w:tc>
        <w:tc>
          <w:tcPr>
            <w:tcW w:w="4111" w:type="dxa"/>
          </w:tcPr>
          <w:p w:rsidRPr="00507AC3" w:rsidR="002C44AC" w:rsidP="002C44AC" w:rsidRDefault="002C44AC" w14:paraId="1D411CA4" w14:textId="77777777">
            <w:pPr>
              <w:pStyle w:val="Lijstalinea"/>
              <w:numPr>
                <w:ilvl w:val="0"/>
                <w:numId w:val="15"/>
              </w:numPr>
              <w:spacing w:after="0" w:line="240" w:lineRule="auto"/>
              <w:ind w:left="173" w:hanging="142"/>
              <w:rPr>
                <w:rFonts w:ascii="Verdana" w:hAnsi="Verdana"/>
                <w:sz w:val="18"/>
                <w:szCs w:val="18"/>
              </w:rPr>
            </w:pPr>
            <w:r>
              <w:rPr>
                <w:rFonts w:ascii="Verdana" w:hAnsi="Verdana"/>
                <w:sz w:val="18"/>
                <w:szCs w:val="18"/>
              </w:rPr>
              <w:t>Aanbevelingen: m</w:t>
            </w:r>
            <w:r w:rsidRPr="00507AC3">
              <w:rPr>
                <w:rFonts w:ascii="Verdana" w:hAnsi="Verdana"/>
                <w:sz w:val="18"/>
                <w:szCs w:val="18"/>
              </w:rPr>
              <w:t xml:space="preserve">aak een </w:t>
            </w:r>
            <w:r>
              <w:rPr>
                <w:rFonts w:ascii="Verdana" w:hAnsi="Verdana"/>
                <w:sz w:val="18"/>
                <w:szCs w:val="18"/>
              </w:rPr>
              <w:t>A</w:t>
            </w:r>
            <w:r w:rsidRPr="00507AC3">
              <w:rPr>
                <w:rFonts w:ascii="Verdana" w:hAnsi="Verdana"/>
                <w:sz w:val="18"/>
                <w:szCs w:val="18"/>
              </w:rPr>
              <w:t>Mv</w:t>
            </w:r>
            <w:r>
              <w:rPr>
                <w:rFonts w:ascii="Verdana" w:hAnsi="Verdana"/>
                <w:sz w:val="18"/>
                <w:szCs w:val="18"/>
              </w:rPr>
              <w:t>B</w:t>
            </w:r>
            <w:r w:rsidRPr="00507AC3">
              <w:rPr>
                <w:rFonts w:ascii="Verdana" w:hAnsi="Verdana"/>
                <w:sz w:val="18"/>
                <w:szCs w:val="18"/>
              </w:rPr>
              <w:t xml:space="preserve"> voor afschermen gegevens die nu feitelijk al worden afgeschermd (formaliseren van praktijk)</w:t>
            </w:r>
          </w:p>
          <w:p w:rsidRPr="00507AC3" w:rsidR="002C44AC" w:rsidP="002C44AC" w:rsidRDefault="002C44AC" w14:paraId="65F48E2D" w14:textId="77777777">
            <w:pPr>
              <w:pStyle w:val="Lijstalinea"/>
              <w:numPr>
                <w:ilvl w:val="0"/>
                <w:numId w:val="15"/>
              </w:numPr>
              <w:spacing w:after="0" w:line="240" w:lineRule="auto"/>
              <w:ind w:left="173" w:hanging="142"/>
              <w:rPr>
                <w:rFonts w:ascii="Verdana" w:hAnsi="Verdana"/>
                <w:sz w:val="18"/>
                <w:szCs w:val="18"/>
              </w:rPr>
            </w:pPr>
            <w:r w:rsidRPr="00507AC3">
              <w:rPr>
                <w:rFonts w:ascii="Verdana" w:hAnsi="Verdana"/>
                <w:sz w:val="18"/>
                <w:szCs w:val="18"/>
              </w:rPr>
              <w:t>Maak koppelbepaling voor de 'Uitwijklijst'</w:t>
            </w:r>
          </w:p>
          <w:p w:rsidRPr="00896872" w:rsidR="002C44AC" w:rsidP="0016031B" w:rsidRDefault="002C44AC" w14:paraId="71FF42F0" w14:textId="77777777"/>
        </w:tc>
      </w:tr>
      <w:tr w:rsidRPr="00896872" w:rsidR="002C44AC" w:rsidTr="0016031B" w14:paraId="320A6581" w14:textId="77777777">
        <w:tc>
          <w:tcPr>
            <w:tcW w:w="3539" w:type="dxa"/>
          </w:tcPr>
          <w:p w:rsidRPr="00896872" w:rsidR="002C44AC" w:rsidP="0016031B" w:rsidRDefault="002C44AC" w14:paraId="7449D459" w14:textId="77777777">
            <w:pPr>
              <w:rPr>
                <w:b/>
                <w:bCs/>
              </w:rPr>
            </w:pPr>
            <w:r w:rsidRPr="00896872">
              <w:rPr>
                <w:b/>
                <w:bCs/>
              </w:rPr>
              <w:t xml:space="preserve">Centraal curatele en </w:t>
            </w:r>
            <w:proofErr w:type="spellStart"/>
            <w:r w:rsidRPr="00896872">
              <w:rPr>
                <w:b/>
                <w:bCs/>
              </w:rPr>
              <w:t>bewindregister</w:t>
            </w:r>
            <w:proofErr w:type="spellEnd"/>
            <w:r w:rsidRPr="00896872">
              <w:rPr>
                <w:b/>
                <w:bCs/>
              </w:rPr>
              <w:t xml:space="preserve"> (CCBR)</w:t>
            </w:r>
          </w:p>
        </w:tc>
        <w:tc>
          <w:tcPr>
            <w:tcW w:w="4111" w:type="dxa"/>
          </w:tcPr>
          <w:p w:rsidRPr="00507AC3" w:rsidR="002C44AC" w:rsidP="002C44AC" w:rsidRDefault="002C44AC" w14:paraId="4F644A93" w14:textId="77777777">
            <w:pPr>
              <w:pStyle w:val="Lijstalinea"/>
              <w:numPr>
                <w:ilvl w:val="0"/>
                <w:numId w:val="16"/>
              </w:numPr>
              <w:spacing w:after="0" w:line="240" w:lineRule="auto"/>
              <w:ind w:left="173" w:hanging="142"/>
              <w:rPr>
                <w:rFonts w:ascii="Verdana" w:hAnsi="Verdana"/>
                <w:sz w:val="18"/>
                <w:szCs w:val="18"/>
              </w:rPr>
            </w:pPr>
            <w:r w:rsidRPr="00507AC3">
              <w:rPr>
                <w:rFonts w:ascii="Verdana" w:hAnsi="Verdana"/>
                <w:sz w:val="18"/>
                <w:szCs w:val="18"/>
              </w:rPr>
              <w:t>Stop met het openbaar maken van de geboorteplaats</w:t>
            </w:r>
          </w:p>
          <w:p w:rsidRPr="00507AC3" w:rsidR="002C44AC" w:rsidP="002C44AC" w:rsidRDefault="002C44AC" w14:paraId="558DC723" w14:textId="77777777">
            <w:pPr>
              <w:pStyle w:val="Lijstalinea"/>
              <w:numPr>
                <w:ilvl w:val="0"/>
                <w:numId w:val="16"/>
              </w:numPr>
              <w:spacing w:after="0" w:line="240" w:lineRule="auto"/>
              <w:ind w:left="173" w:hanging="142"/>
              <w:rPr>
                <w:rFonts w:ascii="Verdana" w:hAnsi="Verdana"/>
                <w:sz w:val="18"/>
                <w:szCs w:val="18"/>
              </w:rPr>
            </w:pPr>
            <w:r w:rsidRPr="00507AC3">
              <w:rPr>
                <w:rFonts w:ascii="Verdana" w:hAnsi="Verdana"/>
                <w:sz w:val="18"/>
                <w:szCs w:val="18"/>
              </w:rPr>
              <w:t xml:space="preserve">Pas de voorwaarden van de </w:t>
            </w:r>
            <w:proofErr w:type="spellStart"/>
            <w:r w:rsidRPr="00507AC3">
              <w:rPr>
                <w:rFonts w:ascii="Verdana" w:hAnsi="Verdana"/>
                <w:sz w:val="18"/>
                <w:szCs w:val="18"/>
              </w:rPr>
              <w:t>webservice</w:t>
            </w:r>
            <w:proofErr w:type="spellEnd"/>
            <w:r w:rsidRPr="00507AC3">
              <w:rPr>
                <w:rFonts w:ascii="Verdana" w:hAnsi="Verdana"/>
                <w:sz w:val="18"/>
                <w:szCs w:val="18"/>
              </w:rPr>
              <w:t xml:space="preserve"> aan, zodat deze ook gelden voor beschermingsbewind</w:t>
            </w:r>
          </w:p>
          <w:p w:rsidRPr="00507AC3" w:rsidR="002C44AC" w:rsidP="002C44AC" w:rsidRDefault="002C44AC" w14:paraId="3B1D6C79" w14:textId="77777777">
            <w:pPr>
              <w:pStyle w:val="Lijstalinea"/>
              <w:numPr>
                <w:ilvl w:val="0"/>
                <w:numId w:val="16"/>
              </w:numPr>
              <w:spacing w:after="0" w:line="240" w:lineRule="auto"/>
              <w:ind w:left="173" w:hanging="142"/>
              <w:rPr>
                <w:rFonts w:ascii="Verdana" w:hAnsi="Verdana"/>
                <w:sz w:val="18"/>
                <w:szCs w:val="18"/>
              </w:rPr>
            </w:pPr>
            <w:r w:rsidRPr="00507AC3">
              <w:rPr>
                <w:rFonts w:ascii="Verdana" w:hAnsi="Verdana"/>
                <w:sz w:val="18"/>
                <w:szCs w:val="18"/>
              </w:rPr>
              <w:t>Verkort de bewaartermijn</w:t>
            </w:r>
            <w:r>
              <w:rPr>
                <w:rFonts w:ascii="Verdana" w:hAnsi="Verdana"/>
                <w:sz w:val="18"/>
                <w:szCs w:val="18"/>
              </w:rPr>
              <w:t xml:space="preserve"> van</w:t>
            </w:r>
            <w:r w:rsidRPr="00507AC3">
              <w:rPr>
                <w:rFonts w:ascii="Verdana" w:hAnsi="Verdana"/>
                <w:sz w:val="18"/>
                <w:szCs w:val="18"/>
              </w:rPr>
              <w:t xml:space="preserve"> gegevens voor afnemers na beëindiging van de curatele of het bewind</w:t>
            </w:r>
          </w:p>
          <w:p w:rsidRPr="00507AC3" w:rsidR="002C44AC" w:rsidP="002C44AC" w:rsidRDefault="002C44AC" w14:paraId="72D720DD" w14:textId="77777777">
            <w:pPr>
              <w:pStyle w:val="Lijstalinea"/>
              <w:numPr>
                <w:ilvl w:val="0"/>
                <w:numId w:val="16"/>
              </w:numPr>
              <w:spacing w:after="0" w:line="240" w:lineRule="auto"/>
              <w:ind w:left="173" w:hanging="142"/>
              <w:rPr>
                <w:rFonts w:ascii="Verdana" w:hAnsi="Verdana"/>
                <w:sz w:val="18"/>
                <w:szCs w:val="18"/>
              </w:rPr>
            </w:pPr>
            <w:r w:rsidRPr="00507AC3">
              <w:rPr>
                <w:rFonts w:ascii="Verdana" w:hAnsi="Verdana"/>
                <w:sz w:val="18"/>
                <w:szCs w:val="18"/>
              </w:rPr>
              <w:t xml:space="preserve">Grondslag: leg vast dat </w:t>
            </w:r>
            <w:r>
              <w:rPr>
                <w:rFonts w:ascii="Verdana" w:hAnsi="Verdana"/>
                <w:sz w:val="18"/>
                <w:szCs w:val="18"/>
              </w:rPr>
              <w:t xml:space="preserve">het </w:t>
            </w:r>
            <w:r w:rsidRPr="00507AC3">
              <w:rPr>
                <w:rFonts w:ascii="Verdana" w:hAnsi="Verdana"/>
                <w:sz w:val="18"/>
                <w:szCs w:val="18"/>
              </w:rPr>
              <w:t>verwerkingsverbod van art. 9</w:t>
            </w:r>
            <w:r>
              <w:rPr>
                <w:rFonts w:ascii="Verdana" w:hAnsi="Verdana"/>
                <w:sz w:val="18"/>
                <w:szCs w:val="18"/>
              </w:rPr>
              <w:t xml:space="preserve"> lid </w:t>
            </w:r>
            <w:r w:rsidRPr="00507AC3">
              <w:rPr>
                <w:rFonts w:ascii="Verdana" w:hAnsi="Verdana"/>
                <w:sz w:val="18"/>
                <w:szCs w:val="18"/>
              </w:rPr>
              <w:t xml:space="preserve">1 AVG wordt doorbroken </w:t>
            </w:r>
            <w:proofErr w:type="spellStart"/>
            <w:r w:rsidRPr="00507AC3">
              <w:rPr>
                <w:rFonts w:ascii="Verdana" w:hAnsi="Verdana"/>
                <w:sz w:val="18"/>
                <w:szCs w:val="18"/>
              </w:rPr>
              <w:t>ogv</w:t>
            </w:r>
            <w:proofErr w:type="spellEnd"/>
            <w:r w:rsidRPr="00507AC3">
              <w:rPr>
                <w:rFonts w:ascii="Verdana" w:hAnsi="Verdana"/>
                <w:sz w:val="18"/>
                <w:szCs w:val="18"/>
              </w:rPr>
              <w:t xml:space="preserve">. art 9 </w:t>
            </w:r>
            <w:r>
              <w:rPr>
                <w:rFonts w:ascii="Verdana" w:hAnsi="Verdana"/>
                <w:sz w:val="18"/>
                <w:szCs w:val="18"/>
              </w:rPr>
              <w:t xml:space="preserve">lid </w:t>
            </w:r>
            <w:r w:rsidRPr="00507AC3">
              <w:rPr>
                <w:rFonts w:ascii="Verdana" w:hAnsi="Verdana"/>
                <w:sz w:val="18"/>
                <w:szCs w:val="18"/>
              </w:rPr>
              <w:t>2 sub g AVG jo. 1:391 BW</w:t>
            </w:r>
          </w:p>
          <w:p w:rsidRPr="00896872" w:rsidR="002C44AC" w:rsidP="0016031B" w:rsidRDefault="002C44AC" w14:paraId="4214C65B" w14:textId="77777777"/>
        </w:tc>
      </w:tr>
      <w:tr w:rsidRPr="00896872" w:rsidR="002C44AC" w:rsidTr="0016031B" w14:paraId="091302AD" w14:textId="77777777">
        <w:tc>
          <w:tcPr>
            <w:tcW w:w="3539" w:type="dxa"/>
          </w:tcPr>
          <w:p w:rsidRPr="00896872" w:rsidR="002C44AC" w:rsidP="0016031B" w:rsidRDefault="002C44AC" w14:paraId="53E4D489" w14:textId="77777777">
            <w:pPr>
              <w:rPr>
                <w:b/>
                <w:bCs/>
              </w:rPr>
            </w:pPr>
            <w:r w:rsidRPr="00896872">
              <w:rPr>
                <w:b/>
                <w:bCs/>
              </w:rPr>
              <w:t xml:space="preserve">Register nevenbetrekkingen rechterlijke ambtenaren: rechters en leden OM </w:t>
            </w:r>
            <w:r w:rsidRPr="00223EC6">
              <w:rPr>
                <w:b/>
                <w:bCs/>
                <w:i/>
                <w:iCs/>
              </w:rPr>
              <w:t>(NERO)</w:t>
            </w:r>
          </w:p>
        </w:tc>
        <w:tc>
          <w:tcPr>
            <w:tcW w:w="4111" w:type="dxa"/>
          </w:tcPr>
          <w:p w:rsidRPr="00507AC3" w:rsidR="002C44AC" w:rsidP="002C44AC" w:rsidRDefault="002C44AC" w14:paraId="0CBA8156" w14:textId="77777777">
            <w:pPr>
              <w:pStyle w:val="Lijstalinea"/>
              <w:numPr>
                <w:ilvl w:val="0"/>
                <w:numId w:val="17"/>
              </w:numPr>
              <w:spacing w:after="0" w:line="240" w:lineRule="auto"/>
              <w:ind w:left="173" w:hanging="142"/>
              <w:rPr>
                <w:rFonts w:ascii="Verdana" w:hAnsi="Verdana"/>
                <w:sz w:val="18"/>
                <w:szCs w:val="18"/>
              </w:rPr>
            </w:pPr>
            <w:r w:rsidRPr="00507AC3">
              <w:rPr>
                <w:rFonts w:ascii="Verdana" w:hAnsi="Verdana"/>
                <w:sz w:val="18"/>
                <w:szCs w:val="18"/>
              </w:rPr>
              <w:t>Beperk bulkverstrekking door verplicht stellen gerichte zoekopdrachten op naam, en niet alleen zoeken op functie of gerecht</w:t>
            </w:r>
          </w:p>
          <w:p w:rsidRPr="00507AC3" w:rsidR="002C44AC" w:rsidP="002C44AC" w:rsidRDefault="002C44AC" w14:paraId="6A00737E" w14:textId="77777777">
            <w:pPr>
              <w:pStyle w:val="Lijstalinea"/>
              <w:numPr>
                <w:ilvl w:val="0"/>
                <w:numId w:val="17"/>
              </w:numPr>
              <w:spacing w:after="0" w:line="240" w:lineRule="auto"/>
              <w:ind w:left="173" w:hanging="142"/>
              <w:rPr>
                <w:rFonts w:ascii="Verdana" w:hAnsi="Verdana"/>
                <w:sz w:val="18"/>
                <w:szCs w:val="18"/>
              </w:rPr>
            </w:pPr>
            <w:r w:rsidRPr="00507AC3">
              <w:rPr>
                <w:rFonts w:ascii="Verdana" w:hAnsi="Verdana"/>
                <w:sz w:val="18"/>
                <w:szCs w:val="18"/>
              </w:rPr>
              <w:t xml:space="preserve">Schrap de aanhef </w:t>
            </w:r>
            <w:proofErr w:type="spellStart"/>
            <w:r w:rsidRPr="00507AC3">
              <w:rPr>
                <w:rFonts w:ascii="Verdana" w:hAnsi="Verdana"/>
                <w:sz w:val="18"/>
                <w:szCs w:val="18"/>
              </w:rPr>
              <w:t>mw</w:t>
            </w:r>
            <w:proofErr w:type="spellEnd"/>
            <w:r w:rsidRPr="00507AC3">
              <w:rPr>
                <w:rFonts w:ascii="Verdana" w:hAnsi="Verdana"/>
                <w:sz w:val="18"/>
                <w:szCs w:val="18"/>
              </w:rPr>
              <w:t>/</w:t>
            </w:r>
            <w:proofErr w:type="spellStart"/>
            <w:r w:rsidRPr="00507AC3">
              <w:rPr>
                <w:rFonts w:ascii="Verdana" w:hAnsi="Verdana"/>
                <w:sz w:val="18"/>
                <w:szCs w:val="18"/>
              </w:rPr>
              <w:t>dhr</w:t>
            </w:r>
            <w:proofErr w:type="spellEnd"/>
            <w:r w:rsidRPr="00507AC3">
              <w:rPr>
                <w:rFonts w:ascii="Verdana" w:hAnsi="Verdana"/>
                <w:sz w:val="18"/>
                <w:szCs w:val="18"/>
              </w:rPr>
              <w:t xml:space="preserve"> - tenzij een functioneel doel kan worden aangetoond</w:t>
            </w:r>
          </w:p>
          <w:p w:rsidRPr="00896872" w:rsidR="002C44AC" w:rsidP="0016031B" w:rsidRDefault="002C44AC" w14:paraId="2E5B8BE8" w14:textId="77777777"/>
        </w:tc>
      </w:tr>
      <w:tr w:rsidRPr="00896872" w:rsidR="002C44AC" w:rsidTr="0016031B" w14:paraId="0460B019" w14:textId="77777777">
        <w:tc>
          <w:tcPr>
            <w:tcW w:w="3539" w:type="dxa"/>
          </w:tcPr>
          <w:p w:rsidRPr="00896872" w:rsidR="002C44AC" w:rsidP="0016031B" w:rsidRDefault="002C44AC" w14:paraId="395A4D96" w14:textId="77777777">
            <w:pPr>
              <w:rPr>
                <w:b/>
                <w:bCs/>
              </w:rPr>
            </w:pPr>
            <w:r w:rsidRPr="00896872">
              <w:rPr>
                <w:b/>
                <w:bCs/>
              </w:rPr>
              <w:t xml:space="preserve">Register nevenbetrekkingen rechterlijke ambtenaren: rechters en leden OM </w:t>
            </w:r>
            <w:r w:rsidRPr="00223EC6">
              <w:rPr>
                <w:b/>
                <w:bCs/>
                <w:i/>
                <w:iCs/>
              </w:rPr>
              <w:t>(NEOM)</w:t>
            </w:r>
          </w:p>
        </w:tc>
        <w:tc>
          <w:tcPr>
            <w:tcW w:w="4111" w:type="dxa"/>
          </w:tcPr>
          <w:p w:rsidRPr="00507AC3" w:rsidR="002C44AC" w:rsidP="002C44AC" w:rsidRDefault="002C44AC" w14:paraId="585F49CF" w14:textId="77777777">
            <w:pPr>
              <w:pStyle w:val="Lijstalinea"/>
              <w:numPr>
                <w:ilvl w:val="0"/>
                <w:numId w:val="18"/>
              </w:numPr>
              <w:spacing w:after="0" w:line="240" w:lineRule="auto"/>
              <w:ind w:left="173" w:hanging="142"/>
              <w:rPr>
                <w:rFonts w:ascii="Verdana" w:hAnsi="Verdana"/>
                <w:sz w:val="18"/>
                <w:szCs w:val="18"/>
              </w:rPr>
            </w:pPr>
            <w:r>
              <w:rPr>
                <w:rFonts w:ascii="Verdana" w:hAnsi="Verdana"/>
                <w:sz w:val="18"/>
                <w:szCs w:val="18"/>
              </w:rPr>
              <w:t xml:space="preserve">Voorzien in verplichting de </w:t>
            </w:r>
            <w:r w:rsidRPr="00507AC3">
              <w:rPr>
                <w:rFonts w:ascii="Verdana" w:hAnsi="Verdana"/>
                <w:sz w:val="18"/>
                <w:szCs w:val="18"/>
              </w:rPr>
              <w:t xml:space="preserve">volledige omschrijving </w:t>
            </w:r>
            <w:r>
              <w:rPr>
                <w:rFonts w:ascii="Verdana" w:hAnsi="Verdana"/>
                <w:sz w:val="18"/>
                <w:szCs w:val="18"/>
              </w:rPr>
              <w:t xml:space="preserve">van </w:t>
            </w:r>
            <w:r w:rsidRPr="00507AC3">
              <w:rPr>
                <w:rFonts w:ascii="Verdana" w:hAnsi="Verdana"/>
                <w:sz w:val="18"/>
                <w:szCs w:val="18"/>
              </w:rPr>
              <w:t>nevenfuncties en betrokken organisaties</w:t>
            </w:r>
            <w:r>
              <w:rPr>
                <w:rFonts w:ascii="Verdana" w:hAnsi="Verdana"/>
                <w:sz w:val="18"/>
                <w:szCs w:val="18"/>
              </w:rPr>
              <w:t xml:space="preserve"> op te nemen</w:t>
            </w:r>
          </w:p>
          <w:p w:rsidRPr="00507AC3" w:rsidR="002C44AC" w:rsidP="002C44AC" w:rsidRDefault="002C44AC" w14:paraId="5A9F6DA1" w14:textId="77777777">
            <w:pPr>
              <w:pStyle w:val="Lijstalinea"/>
              <w:numPr>
                <w:ilvl w:val="0"/>
                <w:numId w:val="18"/>
              </w:numPr>
              <w:spacing w:after="0" w:line="240" w:lineRule="auto"/>
              <w:ind w:left="173" w:hanging="142"/>
              <w:rPr>
                <w:rFonts w:ascii="Verdana" w:hAnsi="Verdana"/>
                <w:sz w:val="18"/>
                <w:szCs w:val="18"/>
              </w:rPr>
            </w:pPr>
            <w:r w:rsidRPr="00507AC3">
              <w:rPr>
                <w:rFonts w:ascii="Verdana" w:hAnsi="Verdana"/>
                <w:sz w:val="18"/>
                <w:szCs w:val="18"/>
              </w:rPr>
              <w:t>Hef technische beperking aantal weergegeven tekens op</w:t>
            </w:r>
          </w:p>
          <w:p w:rsidRPr="00507AC3" w:rsidR="002C44AC" w:rsidP="002C44AC" w:rsidRDefault="002C44AC" w14:paraId="313D94C1" w14:textId="77777777">
            <w:pPr>
              <w:pStyle w:val="Lijstalinea"/>
              <w:numPr>
                <w:ilvl w:val="0"/>
                <w:numId w:val="18"/>
              </w:numPr>
              <w:spacing w:after="0" w:line="240" w:lineRule="auto"/>
              <w:ind w:left="173" w:hanging="142"/>
              <w:rPr>
                <w:rFonts w:ascii="Verdana" w:hAnsi="Verdana"/>
                <w:sz w:val="18"/>
                <w:szCs w:val="18"/>
              </w:rPr>
            </w:pPr>
            <w:r w:rsidRPr="00507AC3">
              <w:rPr>
                <w:rFonts w:ascii="Verdana" w:hAnsi="Verdana"/>
                <w:sz w:val="18"/>
                <w:szCs w:val="18"/>
              </w:rPr>
              <w:t xml:space="preserve">Schrap de aanhef </w:t>
            </w:r>
            <w:proofErr w:type="spellStart"/>
            <w:r w:rsidRPr="00507AC3">
              <w:rPr>
                <w:rFonts w:ascii="Verdana" w:hAnsi="Verdana"/>
                <w:sz w:val="18"/>
                <w:szCs w:val="18"/>
              </w:rPr>
              <w:t>dhr</w:t>
            </w:r>
            <w:proofErr w:type="spellEnd"/>
            <w:r w:rsidRPr="00507AC3">
              <w:rPr>
                <w:rFonts w:ascii="Verdana" w:hAnsi="Verdana"/>
                <w:sz w:val="18"/>
                <w:szCs w:val="18"/>
              </w:rPr>
              <w:t>/</w:t>
            </w:r>
            <w:proofErr w:type="spellStart"/>
            <w:r w:rsidRPr="00507AC3">
              <w:rPr>
                <w:rFonts w:ascii="Verdana" w:hAnsi="Verdana"/>
                <w:sz w:val="18"/>
                <w:szCs w:val="18"/>
              </w:rPr>
              <w:t>mw</w:t>
            </w:r>
            <w:proofErr w:type="spellEnd"/>
            <w:r w:rsidRPr="00507AC3">
              <w:rPr>
                <w:rFonts w:ascii="Verdana" w:hAnsi="Verdana"/>
                <w:sz w:val="18"/>
                <w:szCs w:val="18"/>
              </w:rPr>
              <w:t>/</w:t>
            </w:r>
            <w:proofErr w:type="spellStart"/>
            <w:r w:rsidRPr="00507AC3">
              <w:rPr>
                <w:rFonts w:ascii="Verdana" w:hAnsi="Verdana"/>
                <w:sz w:val="18"/>
                <w:szCs w:val="18"/>
              </w:rPr>
              <w:t>mevr</w:t>
            </w:r>
            <w:proofErr w:type="spellEnd"/>
          </w:p>
          <w:p w:rsidR="002C44AC" w:rsidP="002C44AC" w:rsidRDefault="002C44AC" w14:paraId="22806CBB" w14:textId="77777777">
            <w:pPr>
              <w:pStyle w:val="Lijstalinea"/>
              <w:numPr>
                <w:ilvl w:val="0"/>
                <w:numId w:val="18"/>
              </w:numPr>
              <w:spacing w:after="0" w:line="240" w:lineRule="auto"/>
              <w:ind w:left="173" w:hanging="142"/>
              <w:rPr>
                <w:rFonts w:ascii="Verdana" w:hAnsi="Verdana"/>
                <w:sz w:val="18"/>
                <w:szCs w:val="18"/>
              </w:rPr>
            </w:pPr>
            <w:r w:rsidRPr="00507AC3">
              <w:rPr>
                <w:rFonts w:ascii="Verdana" w:hAnsi="Verdana"/>
                <w:sz w:val="18"/>
                <w:szCs w:val="18"/>
              </w:rPr>
              <w:t>Beperk bulkverstrekking door verplichte zoekopdrachten op naam en niet op enkel functie of gerecht</w:t>
            </w:r>
          </w:p>
          <w:p w:rsidRPr="00507AC3" w:rsidR="002C44AC" w:rsidP="0016031B" w:rsidRDefault="002C44AC" w14:paraId="33D819C0" w14:textId="77777777">
            <w:pPr>
              <w:pStyle w:val="Lijstalinea"/>
              <w:ind w:left="173"/>
              <w:rPr>
                <w:rFonts w:ascii="Verdana" w:hAnsi="Verdana"/>
                <w:sz w:val="18"/>
                <w:szCs w:val="18"/>
              </w:rPr>
            </w:pPr>
          </w:p>
        </w:tc>
      </w:tr>
    </w:tbl>
    <w:p w:rsidR="002C44AC" w:rsidP="002C44AC" w:rsidRDefault="002C44AC" w14:paraId="0C505E4A" w14:textId="77777777">
      <w:pPr>
        <w:spacing w:line="276" w:lineRule="auto"/>
      </w:pPr>
    </w:p>
    <w:p w:rsidR="00A836A1" w:rsidRDefault="00A836A1" w14:paraId="2A33DCA7" w14:textId="77777777"/>
    <w:p w:rsidR="00A836A1" w:rsidRDefault="00A836A1" w14:paraId="22A4B85A" w14:textId="77777777"/>
    <w:sectPr w:rsidR="00A836A1">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270E" w14:textId="77777777" w:rsidR="00AB2DDB" w:rsidRDefault="00AB2DDB">
      <w:pPr>
        <w:spacing w:line="240" w:lineRule="auto"/>
      </w:pPr>
      <w:r>
        <w:separator/>
      </w:r>
    </w:p>
  </w:endnote>
  <w:endnote w:type="continuationSeparator" w:id="0">
    <w:p w14:paraId="6FE19532" w14:textId="77777777" w:rsidR="00AB2DDB" w:rsidRDefault="00AB2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61FD" w14:textId="77777777" w:rsidR="00AB2DDB" w:rsidRDefault="00AB2DDB">
      <w:pPr>
        <w:spacing w:line="240" w:lineRule="auto"/>
      </w:pPr>
      <w:r>
        <w:separator/>
      </w:r>
    </w:p>
  </w:footnote>
  <w:footnote w:type="continuationSeparator" w:id="0">
    <w:p w14:paraId="23C0D282" w14:textId="77777777" w:rsidR="00AB2DDB" w:rsidRDefault="00AB2D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0E90" w14:textId="77777777" w:rsidR="00A836A1" w:rsidRDefault="004D2DEA">
    <w:r>
      <w:rPr>
        <w:noProof/>
      </w:rPr>
      <mc:AlternateContent>
        <mc:Choice Requires="wps">
          <w:drawing>
            <wp:anchor distT="0" distB="0" distL="0" distR="0" simplePos="0" relativeHeight="251652096" behindDoc="0" locked="1" layoutInCell="1" allowOverlap="1" wp14:anchorId="58AD7EFC" wp14:editId="12ED647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A0DF28" w14:textId="77777777" w:rsidR="00A836A1" w:rsidRDefault="004D2DEA">
                          <w:pPr>
                            <w:pStyle w:val="Referentiegegevensbold"/>
                          </w:pPr>
                          <w:r>
                            <w:t>Directoraat-Generaal Rechtspleging en Rechtshandhaving</w:t>
                          </w:r>
                        </w:p>
                        <w:p w14:paraId="079DC62B" w14:textId="77777777" w:rsidR="00A836A1" w:rsidRDefault="004D2DEA">
                          <w:pPr>
                            <w:pStyle w:val="Referentiegegevens"/>
                          </w:pPr>
                          <w:r>
                            <w:t>Directie Rechtsbestel</w:t>
                          </w:r>
                        </w:p>
                        <w:p w14:paraId="4AC821C8" w14:textId="77777777" w:rsidR="00A836A1" w:rsidRDefault="00A836A1">
                          <w:pPr>
                            <w:pStyle w:val="WitregelW2"/>
                          </w:pPr>
                        </w:p>
                        <w:p w14:paraId="7AC4DE67" w14:textId="77777777" w:rsidR="00A836A1" w:rsidRDefault="004D2DEA">
                          <w:pPr>
                            <w:pStyle w:val="Referentiegegevensbold"/>
                          </w:pPr>
                          <w:r>
                            <w:t>Datum</w:t>
                          </w:r>
                        </w:p>
                        <w:p w14:paraId="6D951312" w14:textId="77777777" w:rsidR="00A836A1" w:rsidRDefault="004D2DEA">
                          <w:pPr>
                            <w:pStyle w:val="Referentiegegevens"/>
                          </w:pPr>
                          <w:sdt>
                            <w:sdtPr>
                              <w:id w:val="-1001735774"/>
                              <w:date w:fullDate="2025-08-25T14:29:00Z">
                                <w:dateFormat w:val="d MMMM yyyy"/>
                                <w:lid w:val="nl"/>
                                <w:storeMappedDataAs w:val="dateTime"/>
                                <w:calendar w:val="gregorian"/>
                              </w:date>
                            </w:sdtPr>
                            <w:sdtEndPr/>
                            <w:sdtContent>
                              <w:r>
                                <w:t>25 augustus 2025</w:t>
                              </w:r>
                            </w:sdtContent>
                          </w:sdt>
                        </w:p>
                        <w:p w14:paraId="0B098AE9" w14:textId="77777777" w:rsidR="00A836A1" w:rsidRDefault="00A836A1">
                          <w:pPr>
                            <w:pStyle w:val="WitregelW1"/>
                          </w:pPr>
                        </w:p>
                        <w:p w14:paraId="0822B961" w14:textId="77777777" w:rsidR="00A836A1" w:rsidRDefault="004D2DEA">
                          <w:pPr>
                            <w:pStyle w:val="Referentiegegevensbold"/>
                          </w:pPr>
                          <w:r>
                            <w:t>Onze referentie</w:t>
                          </w:r>
                        </w:p>
                        <w:p w14:paraId="372E8293" w14:textId="77777777" w:rsidR="00A836A1" w:rsidRDefault="004D2DEA">
                          <w:pPr>
                            <w:pStyle w:val="Referentiegegevens"/>
                          </w:pPr>
                          <w:r>
                            <w:t>6414186</w:t>
                          </w:r>
                        </w:p>
                      </w:txbxContent>
                    </wps:txbx>
                    <wps:bodyPr vert="horz" wrap="square" lIns="0" tIns="0" rIns="0" bIns="0" anchor="t" anchorCtr="0"/>
                  </wps:wsp>
                </a:graphicData>
              </a:graphic>
            </wp:anchor>
          </w:drawing>
        </mc:Choice>
        <mc:Fallback>
          <w:pict>
            <v:shapetype w14:anchorId="58AD7E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5A0DF28" w14:textId="77777777" w:rsidR="00A836A1" w:rsidRDefault="00000000">
                    <w:pPr>
                      <w:pStyle w:val="Referentiegegevensbold"/>
                    </w:pPr>
                    <w:r>
                      <w:t>Directoraat-Generaal Rechtspleging en Rechtshandhaving</w:t>
                    </w:r>
                  </w:p>
                  <w:p w14:paraId="079DC62B" w14:textId="77777777" w:rsidR="00A836A1" w:rsidRDefault="00000000">
                    <w:pPr>
                      <w:pStyle w:val="Referentiegegevens"/>
                    </w:pPr>
                    <w:r>
                      <w:t>Directie Rechtsbestel</w:t>
                    </w:r>
                  </w:p>
                  <w:p w14:paraId="4AC821C8" w14:textId="77777777" w:rsidR="00A836A1" w:rsidRDefault="00A836A1">
                    <w:pPr>
                      <w:pStyle w:val="WitregelW2"/>
                    </w:pPr>
                  </w:p>
                  <w:p w14:paraId="7AC4DE67" w14:textId="77777777" w:rsidR="00A836A1" w:rsidRDefault="00000000">
                    <w:pPr>
                      <w:pStyle w:val="Referentiegegevensbold"/>
                    </w:pPr>
                    <w:r>
                      <w:t>Datum</w:t>
                    </w:r>
                  </w:p>
                  <w:p w14:paraId="6D951312" w14:textId="77777777" w:rsidR="00A836A1" w:rsidRDefault="00000000">
                    <w:pPr>
                      <w:pStyle w:val="Referentiegegevens"/>
                    </w:pPr>
                    <w:sdt>
                      <w:sdtPr>
                        <w:id w:val="-1001735774"/>
                        <w:date w:fullDate="2025-08-25T14:29:00Z">
                          <w:dateFormat w:val="d MMMM yyyy"/>
                          <w:lid w:val="nl"/>
                          <w:storeMappedDataAs w:val="dateTime"/>
                          <w:calendar w:val="gregorian"/>
                        </w:date>
                      </w:sdtPr>
                      <w:sdtContent>
                        <w:r>
                          <w:t>25 augustus 2025</w:t>
                        </w:r>
                      </w:sdtContent>
                    </w:sdt>
                  </w:p>
                  <w:p w14:paraId="0B098AE9" w14:textId="77777777" w:rsidR="00A836A1" w:rsidRDefault="00A836A1">
                    <w:pPr>
                      <w:pStyle w:val="WitregelW1"/>
                    </w:pPr>
                  </w:p>
                  <w:p w14:paraId="0822B961" w14:textId="77777777" w:rsidR="00A836A1" w:rsidRDefault="00000000">
                    <w:pPr>
                      <w:pStyle w:val="Referentiegegevensbold"/>
                    </w:pPr>
                    <w:r>
                      <w:t>Onze referentie</w:t>
                    </w:r>
                  </w:p>
                  <w:p w14:paraId="372E8293" w14:textId="77777777" w:rsidR="00A836A1" w:rsidRDefault="00000000">
                    <w:pPr>
                      <w:pStyle w:val="Referentiegegevens"/>
                    </w:pPr>
                    <w:r>
                      <w:t>6414186</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32DCD4" wp14:editId="124E7714">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9AC01F5" w14:textId="77777777" w:rsidR="00DA5237" w:rsidRDefault="00DA5237"/>
                      </w:txbxContent>
                    </wps:txbx>
                    <wps:bodyPr vert="horz" wrap="square" lIns="0" tIns="0" rIns="0" bIns="0" anchor="t" anchorCtr="0"/>
                  </wps:wsp>
                </a:graphicData>
              </a:graphic>
            </wp:anchor>
          </w:drawing>
        </mc:Choice>
        <mc:Fallback>
          <w:pict>
            <v:shape w14:anchorId="3832DCD4"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49AC01F5"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3AE75F" wp14:editId="59CB0EB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BD101F" w14:textId="54524AC2" w:rsidR="00A836A1" w:rsidRDefault="004D2DEA">
                          <w:pPr>
                            <w:pStyle w:val="Referentiegegevens"/>
                          </w:pPr>
                          <w:r>
                            <w:t xml:space="preserve">Pagina </w:t>
                          </w:r>
                          <w:r>
                            <w:fldChar w:fldCharType="begin"/>
                          </w:r>
                          <w:r>
                            <w:instrText>PAGE</w:instrText>
                          </w:r>
                          <w:r>
                            <w:fldChar w:fldCharType="separate"/>
                          </w:r>
                          <w:r w:rsidR="002C44AC">
                            <w:rPr>
                              <w:noProof/>
                            </w:rPr>
                            <w:t>2</w:t>
                          </w:r>
                          <w:r>
                            <w:fldChar w:fldCharType="end"/>
                          </w:r>
                          <w:r>
                            <w:t xml:space="preserve"> van </w:t>
                          </w:r>
                          <w:r>
                            <w:fldChar w:fldCharType="begin"/>
                          </w:r>
                          <w:r>
                            <w:instrText>NUMPAGES</w:instrText>
                          </w:r>
                          <w:r>
                            <w:fldChar w:fldCharType="separate"/>
                          </w:r>
                          <w:r w:rsidR="002B2639">
                            <w:rPr>
                              <w:noProof/>
                            </w:rPr>
                            <w:t>1</w:t>
                          </w:r>
                          <w:r>
                            <w:fldChar w:fldCharType="end"/>
                          </w:r>
                        </w:p>
                      </w:txbxContent>
                    </wps:txbx>
                    <wps:bodyPr vert="horz" wrap="square" lIns="0" tIns="0" rIns="0" bIns="0" anchor="t" anchorCtr="0"/>
                  </wps:wsp>
                </a:graphicData>
              </a:graphic>
            </wp:anchor>
          </w:drawing>
        </mc:Choice>
        <mc:Fallback>
          <w:pict>
            <v:shape w14:anchorId="673AE75F"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ABD101F" w14:textId="54524AC2" w:rsidR="00A836A1" w:rsidRDefault="00000000">
                    <w:pPr>
                      <w:pStyle w:val="Referentiegegevens"/>
                    </w:pPr>
                    <w:r>
                      <w:t xml:space="preserve">Pagina </w:t>
                    </w:r>
                    <w:r>
                      <w:fldChar w:fldCharType="begin"/>
                    </w:r>
                    <w:r>
                      <w:instrText>PAGE</w:instrText>
                    </w:r>
                    <w:r>
                      <w:fldChar w:fldCharType="separate"/>
                    </w:r>
                    <w:r w:rsidR="002C44AC">
                      <w:rPr>
                        <w:noProof/>
                      </w:rPr>
                      <w:t>2</w:t>
                    </w:r>
                    <w:r>
                      <w:fldChar w:fldCharType="end"/>
                    </w:r>
                    <w:r>
                      <w:t xml:space="preserve"> van </w:t>
                    </w:r>
                    <w:r>
                      <w:fldChar w:fldCharType="begin"/>
                    </w:r>
                    <w:r>
                      <w:instrText>NUMPAGES</w:instrText>
                    </w:r>
                    <w:r>
                      <w:fldChar w:fldCharType="separate"/>
                    </w:r>
                    <w:r w:rsidR="002B263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DFF5458" wp14:editId="2753AF14">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110B5DE" w14:textId="77777777" w:rsidR="00DA5237" w:rsidRDefault="00DA5237"/>
                      </w:txbxContent>
                    </wps:txbx>
                    <wps:bodyPr vert="horz" wrap="square" lIns="0" tIns="0" rIns="0" bIns="0" anchor="t" anchorCtr="0"/>
                  </wps:wsp>
                </a:graphicData>
              </a:graphic>
            </wp:anchor>
          </w:drawing>
        </mc:Choice>
        <mc:Fallback>
          <w:pict>
            <v:shape w14:anchorId="5DFF5458"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110B5DE" w14:textId="77777777" w:rsidR="00000000" w:rsidRDefault="0000000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2564" w14:textId="77777777" w:rsidR="00A836A1" w:rsidRDefault="004D2DEA">
    <w:pPr>
      <w:spacing w:after="4835" w:line="14" w:lineRule="exact"/>
    </w:pPr>
    <w:r>
      <w:rPr>
        <w:noProof/>
      </w:rPr>
      <mc:AlternateContent>
        <mc:Choice Requires="wps">
          <w:drawing>
            <wp:anchor distT="0" distB="0" distL="0" distR="0" simplePos="0" relativeHeight="251656192" behindDoc="0" locked="1" layoutInCell="1" allowOverlap="1" wp14:anchorId="50705673" wp14:editId="00B15ED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6D7D68C4" w14:textId="77777777" w:rsidR="00DA5237" w:rsidRDefault="00DA5237"/>
                      </w:txbxContent>
                    </wps:txbx>
                    <wps:bodyPr vert="horz" wrap="square" lIns="0" tIns="0" rIns="0" bIns="0" anchor="t" anchorCtr="0"/>
                  </wps:wsp>
                </a:graphicData>
              </a:graphic>
            </wp:anchor>
          </w:drawing>
        </mc:Choice>
        <mc:Fallback>
          <w:pict>
            <v:shapetype w14:anchorId="50705673"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6D7D68C4"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90D2AC" wp14:editId="61EEE587">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65027EC1" w14:textId="77777777" w:rsidR="00A836A1" w:rsidRDefault="004D2DEA">
                          <w:r>
                            <w:t>aanbieding WODC-rapport openbare registers en gegevensbescherming</w:t>
                          </w:r>
                        </w:p>
                      </w:txbxContent>
                    </wps:txbx>
                    <wps:bodyPr vert="horz" wrap="square" lIns="0" tIns="0" rIns="0" bIns="0" anchor="t" anchorCtr="0"/>
                  </wps:wsp>
                </a:graphicData>
              </a:graphic>
            </wp:anchor>
          </w:drawing>
        </mc:Choice>
        <mc:Fallback>
          <w:pict>
            <v:shape w14:anchorId="2F90D2AC"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65027EC1" w14:textId="77777777" w:rsidR="00A836A1" w:rsidRDefault="00000000">
                    <w:r>
                      <w:t>aanbieding WODC-rapport openbare registers en gegevensbescherming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E8579B" wp14:editId="00759228">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D2650C" w14:textId="77777777" w:rsidR="00A836A1" w:rsidRDefault="004D2DEA">
                          <w:pPr>
                            <w:pStyle w:val="Referentiegegevensbold"/>
                          </w:pPr>
                          <w:r>
                            <w:t>Directoraat-Generaal Rechtspleging en Rechtshandhaving</w:t>
                          </w:r>
                        </w:p>
                        <w:p w14:paraId="777B547F" w14:textId="77777777" w:rsidR="00A836A1" w:rsidRDefault="004D2DEA">
                          <w:pPr>
                            <w:pStyle w:val="Referentiegegevens"/>
                          </w:pPr>
                          <w:r>
                            <w:t>Directie Rechtsbestel</w:t>
                          </w:r>
                        </w:p>
                        <w:p w14:paraId="516595DB" w14:textId="77777777" w:rsidR="00A836A1" w:rsidRDefault="00A836A1">
                          <w:pPr>
                            <w:pStyle w:val="WitregelW1"/>
                          </w:pPr>
                        </w:p>
                        <w:p w14:paraId="2E764B62" w14:textId="77777777" w:rsidR="00A836A1" w:rsidRDefault="004D2DEA">
                          <w:pPr>
                            <w:pStyle w:val="Referentiegegevensbold"/>
                          </w:pPr>
                          <w:r>
                            <w:t>Onze referentie</w:t>
                          </w:r>
                        </w:p>
                        <w:p w14:paraId="0B36C5BF" w14:textId="65C67720" w:rsidR="00A836A1" w:rsidRDefault="004D2DEA">
                          <w:pPr>
                            <w:pStyle w:val="Referentiegegevens"/>
                          </w:pPr>
                          <w:r>
                            <w:t>6693058</w:t>
                          </w:r>
                        </w:p>
                      </w:txbxContent>
                    </wps:txbx>
                    <wps:bodyPr vert="horz" wrap="square" lIns="0" tIns="0" rIns="0" bIns="0" anchor="t" anchorCtr="0"/>
                  </wps:wsp>
                </a:graphicData>
              </a:graphic>
            </wp:anchor>
          </w:drawing>
        </mc:Choice>
        <mc:Fallback>
          <w:pict>
            <v:shapetype w14:anchorId="24E8579B" id="_x0000_t202" coordsize="21600,21600" o:spt="202" path="m,l,21600r21600,l21600,xe">
              <v:stroke joinstyle="miter"/>
              <v:path gradientshapeok="t" o:connecttype="rect"/>
            </v:shapetype>
            <v:shape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9D2650C" w14:textId="77777777" w:rsidR="00A836A1" w:rsidRDefault="004D2DEA">
                    <w:pPr>
                      <w:pStyle w:val="Referentiegegevensbold"/>
                    </w:pPr>
                    <w:r>
                      <w:t>Directoraat-Generaal Rechtspleging en Rechtshandhaving</w:t>
                    </w:r>
                  </w:p>
                  <w:p w14:paraId="777B547F" w14:textId="77777777" w:rsidR="00A836A1" w:rsidRDefault="004D2DEA">
                    <w:pPr>
                      <w:pStyle w:val="Referentiegegevens"/>
                    </w:pPr>
                    <w:r>
                      <w:t>Directie Rechtsbestel</w:t>
                    </w:r>
                  </w:p>
                  <w:p w14:paraId="516595DB" w14:textId="77777777" w:rsidR="00A836A1" w:rsidRDefault="00A836A1">
                    <w:pPr>
                      <w:pStyle w:val="WitregelW1"/>
                    </w:pPr>
                  </w:p>
                  <w:p w14:paraId="2E764B62" w14:textId="77777777" w:rsidR="00A836A1" w:rsidRDefault="004D2DEA">
                    <w:pPr>
                      <w:pStyle w:val="Referentiegegevensbold"/>
                    </w:pPr>
                    <w:r>
                      <w:t>Onze referentie</w:t>
                    </w:r>
                  </w:p>
                  <w:p w14:paraId="0B36C5BF" w14:textId="65C67720" w:rsidR="00A836A1" w:rsidRDefault="004D2DEA">
                    <w:pPr>
                      <w:pStyle w:val="Referentiegegevens"/>
                    </w:pPr>
                    <w:r>
                      <w:t>6693058</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74A887" wp14:editId="4B720C06">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3B7688" w14:textId="77777777" w:rsidR="00DA5237" w:rsidRDefault="00DA5237"/>
                      </w:txbxContent>
                    </wps:txbx>
                    <wps:bodyPr vert="horz" wrap="square" lIns="0" tIns="0" rIns="0" bIns="0" anchor="t" anchorCtr="0"/>
                  </wps:wsp>
                </a:graphicData>
              </a:graphic>
            </wp:anchor>
          </w:drawing>
        </mc:Choice>
        <mc:Fallback>
          <w:pict>
            <v:shape w14:anchorId="3974A887"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553B7688"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442455" wp14:editId="5E32CF22">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B520AB" w14:textId="77777777" w:rsidR="00A836A1" w:rsidRDefault="004D2DEA">
                          <w:pPr>
                            <w:pStyle w:val="Referentiegegevens"/>
                          </w:pPr>
                          <w:r>
                            <w:t xml:space="preserve">Pagina </w:t>
                          </w:r>
                          <w:r>
                            <w:fldChar w:fldCharType="begin"/>
                          </w:r>
                          <w:r>
                            <w:instrText>PAGE</w:instrText>
                          </w:r>
                          <w:r>
                            <w:fldChar w:fldCharType="separate"/>
                          </w:r>
                          <w:r w:rsidR="002B2639">
                            <w:rPr>
                              <w:noProof/>
                            </w:rPr>
                            <w:t>1</w:t>
                          </w:r>
                          <w:r>
                            <w:fldChar w:fldCharType="end"/>
                          </w:r>
                          <w:r>
                            <w:t xml:space="preserve"> van </w:t>
                          </w:r>
                          <w:r>
                            <w:fldChar w:fldCharType="begin"/>
                          </w:r>
                          <w:r>
                            <w:instrText>NUMPAGES</w:instrText>
                          </w:r>
                          <w:r>
                            <w:fldChar w:fldCharType="separate"/>
                          </w:r>
                          <w:r w:rsidR="002B2639">
                            <w:rPr>
                              <w:noProof/>
                            </w:rPr>
                            <w:t>1</w:t>
                          </w:r>
                          <w:r>
                            <w:fldChar w:fldCharType="end"/>
                          </w:r>
                        </w:p>
                      </w:txbxContent>
                    </wps:txbx>
                    <wps:bodyPr vert="horz" wrap="square" lIns="0" tIns="0" rIns="0" bIns="0" anchor="t" anchorCtr="0"/>
                  </wps:wsp>
                </a:graphicData>
              </a:graphic>
            </wp:anchor>
          </w:drawing>
        </mc:Choice>
        <mc:Fallback>
          <w:pict>
            <v:shape w14:anchorId="71442455"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42B520AB" w14:textId="77777777" w:rsidR="00A836A1" w:rsidRDefault="00000000">
                    <w:pPr>
                      <w:pStyle w:val="Referentiegegevens"/>
                    </w:pPr>
                    <w:r>
                      <w:t xml:space="preserve">Pagina </w:t>
                    </w:r>
                    <w:r>
                      <w:fldChar w:fldCharType="begin"/>
                    </w:r>
                    <w:r>
                      <w:instrText>PAGE</w:instrText>
                    </w:r>
                    <w:r>
                      <w:fldChar w:fldCharType="separate"/>
                    </w:r>
                    <w:r w:rsidR="002B2639">
                      <w:rPr>
                        <w:noProof/>
                      </w:rPr>
                      <w:t>1</w:t>
                    </w:r>
                    <w:r>
                      <w:fldChar w:fldCharType="end"/>
                    </w:r>
                    <w:r>
                      <w:t xml:space="preserve"> van </w:t>
                    </w:r>
                    <w:r>
                      <w:fldChar w:fldCharType="begin"/>
                    </w:r>
                    <w:r>
                      <w:instrText>NUMPAGES</w:instrText>
                    </w:r>
                    <w:r>
                      <w:fldChar w:fldCharType="separate"/>
                    </w:r>
                    <w:r w:rsidR="002B263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4127BD" wp14:editId="049E5614">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D265B9" w14:textId="77777777" w:rsidR="00A836A1" w:rsidRDefault="004D2DEA">
                          <w:pPr>
                            <w:spacing w:line="240" w:lineRule="auto"/>
                          </w:pPr>
                          <w:r>
                            <w:rPr>
                              <w:noProof/>
                            </w:rPr>
                            <w:drawing>
                              <wp:inline distT="0" distB="0" distL="0" distR="0" wp14:anchorId="7004D421" wp14:editId="044AF299">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4127BD"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6D265B9" w14:textId="77777777" w:rsidR="00A836A1" w:rsidRDefault="00000000">
                    <w:pPr>
                      <w:spacing w:line="240" w:lineRule="auto"/>
                    </w:pPr>
                    <w:r>
                      <w:rPr>
                        <w:noProof/>
                      </w:rPr>
                      <w:drawing>
                        <wp:inline distT="0" distB="0" distL="0" distR="0" wp14:anchorId="7004D421" wp14:editId="044AF299">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58FDA1" wp14:editId="7606E473">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6DAC5" w14:textId="77777777" w:rsidR="00A836A1" w:rsidRDefault="004D2DEA">
                          <w:pPr>
                            <w:spacing w:line="240" w:lineRule="auto"/>
                          </w:pPr>
                          <w:r>
                            <w:rPr>
                              <w:noProof/>
                            </w:rPr>
                            <w:drawing>
                              <wp:inline distT="0" distB="0" distL="0" distR="0" wp14:anchorId="4A498DC1" wp14:editId="02D00B78">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58FDA1"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5D6DAC5" w14:textId="77777777" w:rsidR="00A836A1" w:rsidRDefault="00000000">
                    <w:pPr>
                      <w:spacing w:line="240" w:lineRule="auto"/>
                    </w:pPr>
                    <w:r>
                      <w:rPr>
                        <w:noProof/>
                      </w:rPr>
                      <w:drawing>
                        <wp:inline distT="0" distB="0" distL="0" distR="0" wp14:anchorId="4A498DC1" wp14:editId="02D00B78">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76FD40" wp14:editId="4CDE4243">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3D411FD6" w14:textId="77777777" w:rsidR="00A836A1" w:rsidRDefault="004D2DEA">
                          <w:pPr>
                            <w:spacing w:line="240" w:lineRule="auto"/>
                          </w:pPr>
                          <w:r>
                            <w:rPr>
                              <w:noProof/>
                            </w:rPr>
                            <w:drawing>
                              <wp:inline distT="0" distB="0" distL="0" distR="0" wp14:anchorId="0254B2B8" wp14:editId="0658F233">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5"/>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76FD40"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3D411FD6" w14:textId="77777777" w:rsidR="00A836A1" w:rsidRDefault="00000000">
                    <w:pPr>
                      <w:spacing w:line="240" w:lineRule="auto"/>
                    </w:pPr>
                    <w:r>
                      <w:rPr>
                        <w:noProof/>
                      </w:rPr>
                      <w:drawing>
                        <wp:inline distT="0" distB="0" distL="0" distR="0" wp14:anchorId="0254B2B8" wp14:editId="0658F233">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6"/>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3E1EF6"/>
    <w:multiLevelType w:val="multilevel"/>
    <w:tmpl w:val="4B6231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0F5E467"/>
    <w:multiLevelType w:val="multilevel"/>
    <w:tmpl w:val="08E2FA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A43EF16"/>
    <w:multiLevelType w:val="multilevel"/>
    <w:tmpl w:val="3899464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BEE503"/>
    <w:multiLevelType w:val="multilevel"/>
    <w:tmpl w:val="C9608E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8B4FC3"/>
    <w:multiLevelType w:val="hybridMultilevel"/>
    <w:tmpl w:val="77D48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806BE1"/>
    <w:multiLevelType w:val="hybridMultilevel"/>
    <w:tmpl w:val="D8188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23929E"/>
    <w:multiLevelType w:val="multilevel"/>
    <w:tmpl w:val="D10143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56A7C95"/>
    <w:multiLevelType w:val="hybridMultilevel"/>
    <w:tmpl w:val="D7821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7B43A1"/>
    <w:multiLevelType w:val="hybridMultilevel"/>
    <w:tmpl w:val="987C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8833B3"/>
    <w:multiLevelType w:val="hybridMultilevel"/>
    <w:tmpl w:val="4FBEA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0A3A54"/>
    <w:multiLevelType w:val="hybridMultilevel"/>
    <w:tmpl w:val="D7EE8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4016F8"/>
    <w:multiLevelType w:val="hybridMultilevel"/>
    <w:tmpl w:val="B866B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D4AAF"/>
    <w:multiLevelType w:val="hybridMultilevel"/>
    <w:tmpl w:val="BA1EC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2E67E5"/>
    <w:multiLevelType w:val="hybridMultilevel"/>
    <w:tmpl w:val="2FF65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D68E66"/>
    <w:multiLevelType w:val="multilevel"/>
    <w:tmpl w:val="3E072C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63DE0D91"/>
    <w:multiLevelType w:val="hybridMultilevel"/>
    <w:tmpl w:val="3702B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755D76"/>
    <w:multiLevelType w:val="hybridMultilevel"/>
    <w:tmpl w:val="8FFE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4608F6"/>
    <w:multiLevelType w:val="hybridMultilevel"/>
    <w:tmpl w:val="CC929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894D28"/>
    <w:multiLevelType w:val="hybridMultilevel"/>
    <w:tmpl w:val="763C3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017432">
    <w:abstractNumId w:val="2"/>
  </w:num>
  <w:num w:numId="2" w16cid:durableId="1736321632">
    <w:abstractNumId w:val="0"/>
  </w:num>
  <w:num w:numId="3" w16cid:durableId="467865452">
    <w:abstractNumId w:val="3"/>
  </w:num>
  <w:num w:numId="4" w16cid:durableId="292558816">
    <w:abstractNumId w:val="1"/>
  </w:num>
  <w:num w:numId="5" w16cid:durableId="1227302447">
    <w:abstractNumId w:val="14"/>
  </w:num>
  <w:num w:numId="6" w16cid:durableId="57674845">
    <w:abstractNumId w:val="6"/>
  </w:num>
  <w:num w:numId="7" w16cid:durableId="1276596888">
    <w:abstractNumId w:val="12"/>
  </w:num>
  <w:num w:numId="8" w16cid:durableId="1854221867">
    <w:abstractNumId w:val="18"/>
  </w:num>
  <w:num w:numId="9" w16cid:durableId="736634135">
    <w:abstractNumId w:val="9"/>
  </w:num>
  <w:num w:numId="10" w16cid:durableId="999847602">
    <w:abstractNumId w:val="15"/>
  </w:num>
  <w:num w:numId="11" w16cid:durableId="1029991251">
    <w:abstractNumId w:val="8"/>
  </w:num>
  <w:num w:numId="12" w16cid:durableId="949552305">
    <w:abstractNumId w:val="10"/>
  </w:num>
  <w:num w:numId="13" w16cid:durableId="1358191957">
    <w:abstractNumId w:val="13"/>
  </w:num>
  <w:num w:numId="14" w16cid:durableId="1702246760">
    <w:abstractNumId w:val="4"/>
  </w:num>
  <w:num w:numId="15" w16cid:durableId="934359516">
    <w:abstractNumId w:val="5"/>
  </w:num>
  <w:num w:numId="16" w16cid:durableId="451873808">
    <w:abstractNumId w:val="16"/>
  </w:num>
  <w:num w:numId="17" w16cid:durableId="1475098376">
    <w:abstractNumId w:val="17"/>
  </w:num>
  <w:num w:numId="18" w16cid:durableId="320502640">
    <w:abstractNumId w:val="11"/>
  </w:num>
  <w:num w:numId="19" w16cid:durableId="631401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39"/>
    <w:rsid w:val="00023F01"/>
    <w:rsid w:val="001C4C82"/>
    <w:rsid w:val="001D795C"/>
    <w:rsid w:val="002B2639"/>
    <w:rsid w:val="002C44AC"/>
    <w:rsid w:val="00384F15"/>
    <w:rsid w:val="004D2DEA"/>
    <w:rsid w:val="00724A8C"/>
    <w:rsid w:val="00925CD8"/>
    <w:rsid w:val="009527C4"/>
    <w:rsid w:val="009F2D88"/>
    <w:rsid w:val="00A836A1"/>
    <w:rsid w:val="00AB2DDB"/>
    <w:rsid w:val="00BE52A0"/>
    <w:rsid w:val="00DA5237"/>
    <w:rsid w:val="00E94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C44A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2C44AC"/>
    <w:rPr>
      <w:sz w:val="16"/>
      <w:szCs w:val="16"/>
    </w:rPr>
  </w:style>
  <w:style w:type="paragraph" w:styleId="Tekstopmerking">
    <w:name w:val="annotation text"/>
    <w:basedOn w:val="Standaard"/>
    <w:link w:val="TekstopmerkingChar"/>
    <w:uiPriority w:val="99"/>
    <w:unhideWhenUsed/>
    <w:rsid w:val="002C44AC"/>
    <w:pPr>
      <w:spacing w:line="240" w:lineRule="auto"/>
    </w:pPr>
    <w:rPr>
      <w:sz w:val="20"/>
      <w:szCs w:val="20"/>
    </w:rPr>
  </w:style>
  <w:style w:type="character" w:customStyle="1" w:styleId="TekstopmerkingChar">
    <w:name w:val="Tekst opmerking Char"/>
    <w:basedOn w:val="Standaardalinea-lettertype"/>
    <w:link w:val="Tekstopmerking"/>
    <w:uiPriority w:val="99"/>
    <w:rsid w:val="002C44AC"/>
    <w:rPr>
      <w:rFonts w:ascii="Verdana" w:hAnsi="Verdana"/>
      <w:color w:val="000000"/>
    </w:rPr>
  </w:style>
  <w:style w:type="paragraph" w:styleId="Koptekst">
    <w:name w:val="header"/>
    <w:basedOn w:val="Standaard"/>
    <w:link w:val="KoptekstChar"/>
    <w:uiPriority w:val="99"/>
    <w:unhideWhenUsed/>
    <w:rsid w:val="00384F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4F1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765</ap:Words>
  <ap:Characters>4211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2025-09-02T10:08:00.0000000Z</dcterms:created>
  <dcterms:modified xsi:type="dcterms:W3CDTF">2025-09-02T10:15:00.0000000Z</dcterms:modified>
  <dc:description>------------------------</dc:description>
  <version/>
  <category/>
</coreProperties>
</file>