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5FE" w:rsidR="000B05FE" w:rsidP="000B05FE" w:rsidRDefault="000B05FE" w14:paraId="4EBC630D" w14:textId="042D2E9D">
      <w:pPr>
        <w:spacing w:line="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INBRENG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VERSLAG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SCHRIFTELIJK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OVERLEG</w:t>
      </w:r>
    </w:p>
    <w:p w:rsidRPr="000B05FE" w:rsidR="000B05FE" w:rsidP="000B05FE" w:rsidRDefault="000B05FE" w14:paraId="2C30CBBB" w14:textId="7777777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34EA7F05" w14:textId="7777777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2317B384" w14:textId="65785D82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commissie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Volksgezondheid,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bestond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enkele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fracties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behoefte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opmerkingen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leggen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68577685" w:id="0"/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Volksgezondheid,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brief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inzake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Geannoteerde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informele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(Kamerstuk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21501-31,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798),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brief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augustus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inzake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Verslag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formele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(Kamerstuk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21501-31,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797),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brief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inzake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Antwoorden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commissie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o.a.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geannoteerde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formele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EU-Gezondheidsraad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(Kamerstuk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21501-31,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788)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brief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inzake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Geannoteerde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formele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(Kamerstuk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21501-31,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788).</w:t>
      </w:r>
    </w:p>
    <w:p w:rsidRPr="000B05FE" w:rsidR="000B05FE" w:rsidP="000B05FE" w:rsidRDefault="000B05FE" w14:paraId="5F4E9A7B" w14:textId="7777777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="000B05FE" w:rsidP="000B05FE" w:rsidRDefault="000B05FE" w14:paraId="5D20F224" w14:textId="056D324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opmerkingen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Volksgezondheid,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voorgelegd.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A71BF6" w:rsidP="000B05FE" w:rsidRDefault="00A71BF6" w14:paraId="15E31F9B" w14:textId="7777777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53F648D6" w14:textId="5EC7E9C4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voorzitter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commissie,</w:t>
      </w:r>
    </w:p>
    <w:p w:rsidRPr="000B05FE" w:rsidR="000B05FE" w:rsidP="000B05FE" w:rsidRDefault="000B05FE" w14:paraId="2A5519F4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Mohandis</w:t>
      </w:r>
    </w:p>
    <w:p w:rsidRPr="000B05FE" w:rsidR="000B05FE" w:rsidP="000B05FE" w:rsidRDefault="000B05FE" w14:paraId="1DD161CF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04A21693" w14:textId="46560CDB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Adjunct-griffier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commissie,</w:t>
      </w:r>
    </w:p>
    <w:p w:rsidRPr="000B05FE" w:rsidR="000B05FE" w:rsidP="000B05FE" w:rsidRDefault="000B05FE" w14:paraId="5948A6BF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Meijerink</w:t>
      </w:r>
    </w:p>
    <w:p w:rsidRPr="000B05FE" w:rsidR="000B05FE" w:rsidP="000B05FE" w:rsidRDefault="000B05FE" w14:paraId="5331C0B5" w14:textId="77777777">
      <w:pPr>
        <w:spacing w:line="40" w:lineRule="atLeast"/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17D86CCE" w14:textId="45404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Inhoudsopgave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0B05FE" w:rsidR="000B05FE" w:rsidP="000B05FE" w:rsidRDefault="000B05FE" w14:paraId="64D2C9BD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05924CA1" w14:textId="1E634194">
      <w:pPr>
        <w:pStyle w:val="Lijstalinea"/>
        <w:numPr>
          <w:ilvl w:val="0"/>
          <w:numId w:val="1"/>
        </w:numPr>
        <w:spacing w:after="0" w:line="240" w:lineRule="auto"/>
        <w:ind w:left="697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207712231" w:id="1"/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vanuit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fracties</w:t>
      </w:r>
    </w:p>
    <w:p w:rsidRPr="000B05FE" w:rsidR="000B05FE" w:rsidP="000B05FE" w:rsidRDefault="000B05FE" w14:paraId="58925E5B" w14:textId="285A23AF">
      <w:pPr>
        <w:ind w:left="454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PVV-fractie</w:t>
      </w:r>
    </w:p>
    <w:p w:rsidRPr="000B05FE" w:rsidR="000B05FE" w:rsidP="000B05FE" w:rsidRDefault="000B05FE" w14:paraId="023AA6CC" w14:textId="650970AE">
      <w:pPr>
        <w:ind w:left="454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GroenLinks-PvdA-fractie</w:t>
      </w:r>
    </w:p>
    <w:p w:rsidRPr="000B05FE" w:rsidR="000B05FE" w:rsidP="000B05FE" w:rsidRDefault="000B05FE" w14:paraId="1F1D9C81" w14:textId="3A74B88E">
      <w:pPr>
        <w:ind w:left="454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VVD-fractie</w:t>
      </w:r>
    </w:p>
    <w:p w:rsidRPr="000B05FE" w:rsidR="000B05FE" w:rsidP="000B05FE" w:rsidRDefault="000B05FE" w14:paraId="4E09C3C7" w14:textId="206E312A">
      <w:pPr>
        <w:ind w:left="454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NSC-fractie</w:t>
      </w:r>
    </w:p>
    <w:p w:rsidRPr="000B05FE" w:rsidR="000B05FE" w:rsidP="000B05FE" w:rsidRDefault="000B05FE" w14:paraId="67A87BA3" w14:textId="2CF3C113">
      <w:pPr>
        <w:ind w:left="454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BBB-fractie</w:t>
      </w:r>
    </w:p>
    <w:p w:rsidRPr="000B05FE" w:rsidR="000B05FE" w:rsidP="000B05FE" w:rsidRDefault="000B05FE" w14:paraId="459C0DF5" w14:textId="77777777">
      <w:pPr>
        <w:ind w:left="454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Pr="000B05FE" w:rsidR="000B05FE" w:rsidP="000B05FE" w:rsidRDefault="000B05FE" w14:paraId="0ED03F82" w14:textId="388C9014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171592336" w:id="2"/>
      <w:r w:rsidRPr="000B05FE">
        <w:rPr>
          <w:rFonts w:ascii="Times New Roman" w:hAnsi="Times New Roman" w:cs="Times New Roman"/>
          <w:b/>
          <w:bCs/>
          <w:sz w:val="24"/>
          <w:szCs w:val="24"/>
        </w:rPr>
        <w:t>Reactie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minister</w:t>
      </w:r>
    </w:p>
    <w:bookmarkEnd w:id="2"/>
    <w:p w:rsidRPr="000B05FE" w:rsidR="000B05FE" w:rsidP="000B05FE" w:rsidRDefault="000B05FE" w14:paraId="662106FC" w14:textId="77777777">
      <w:pPr>
        <w:pStyle w:val="Lijstalinea"/>
        <w:rPr>
          <w:rFonts w:ascii="Times New Roman" w:hAnsi="Times New Roman" w:cs="Times New Roman"/>
          <w:b/>
          <w:bCs/>
          <w:sz w:val="24"/>
          <w:szCs w:val="24"/>
        </w:rPr>
      </w:pPr>
    </w:p>
    <w:p w:rsidRPr="000B05FE" w:rsidR="000B05FE" w:rsidRDefault="000B05FE" w14:paraId="1C15EA8F" w14:textId="0A66180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207712453" w:id="3"/>
      <w:bookmarkEnd w:id="1"/>
      <w:r w:rsidRPr="000B05F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Pr="000B05FE" w:rsidR="000B05FE" w:rsidP="000B05FE" w:rsidRDefault="000B05FE" w14:paraId="0FD430D7" w14:textId="50F84CB8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sz w:val="24"/>
          <w:szCs w:val="24"/>
        </w:rPr>
        <w:lastRenderedPageBreak/>
        <w:t>Vragen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sz w:val="24"/>
          <w:szCs w:val="24"/>
        </w:rPr>
        <w:t>opmerkingen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sz w:val="24"/>
          <w:szCs w:val="24"/>
        </w:rPr>
        <w:t>vanuit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sz w:val="24"/>
          <w:szCs w:val="24"/>
        </w:rPr>
        <w:t>fracties</w:t>
      </w:r>
    </w:p>
    <w:p w:rsidRPr="000B05FE" w:rsidR="000B05FE" w:rsidP="000B05FE" w:rsidRDefault="000B05FE" w14:paraId="5A62671E" w14:textId="77777777">
      <w:pPr>
        <w:spacing w:after="384" w:afterLines="160" w:line="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name="_Hlk207712011" w:id="4"/>
      <w:bookmarkEnd w:id="3"/>
    </w:p>
    <w:p w:rsidRPr="000B05FE" w:rsidR="000B05FE" w:rsidP="000B05FE" w:rsidRDefault="000B05FE" w14:paraId="0C1AE0E3" w14:textId="1E6A1329">
      <w:pPr>
        <w:spacing w:after="384" w:afterLines="160" w:line="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PVV-fractie</w:t>
      </w:r>
    </w:p>
    <w:p w:rsidRPr="000B05FE" w:rsidR="000B05FE" w:rsidP="000B05FE" w:rsidRDefault="000B05FE" w14:paraId="7E32290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0B05FE" w:rsidR="000B05FE" w:rsidP="000B05FE" w:rsidRDefault="000B05FE" w14:paraId="655CACBC" w14:textId="3428DEE5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PVV-fractie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enkele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opmerkingen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aangaande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Informele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15-16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2025.</w:t>
      </w:r>
    </w:p>
    <w:p w:rsidRPr="000B05FE" w:rsidR="000B05FE" w:rsidP="000B05FE" w:rsidRDefault="000B05FE" w14:paraId="2F5B9552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677C2947" w14:textId="1D392750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Zoals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bekend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herziening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geneesmiddelenwetgeving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alleen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niveau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financiële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gevolgen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voorstellen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gekeken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middel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impactassessment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nationaal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niveau.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financiële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gevolgen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herziening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gevolgen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heeft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herziening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beschikbaarheid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medicatie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nationaal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niveau?</w:t>
      </w:r>
    </w:p>
    <w:p w:rsidRPr="000B05FE" w:rsidR="000B05FE" w:rsidP="000B05FE" w:rsidRDefault="000B05FE" w14:paraId="2148755E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73CB5230" w14:textId="703B3D6B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Inmiddels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meerdere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farmaceuten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aangekondigd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uitgaven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Verenigde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(VS)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voeren,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andere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aanleiding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dreiging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Amerikaanse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president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medicijnen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belasten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importheffingen.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kondigede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Franse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farmaceut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Sanofi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minstens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miljard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dollar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willen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investeren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activiteiten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Zwitserse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Roche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meldde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komende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vijf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miljard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dollar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stoppen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Amerikaanse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uitbreiding</w:t>
      </w:r>
      <w:r w:rsidRPr="000B05FE">
        <w:rPr>
          <w:rStyle w:val="Voetnootmarkering"/>
          <w:rFonts w:ascii="Times New Roman" w:hAnsi="Times New Roman" w:cs="Times New Roman"/>
          <w:sz w:val="24"/>
          <w:szCs w:val="24"/>
        </w:rPr>
        <w:footnoteReference w:id="1"/>
      </w:r>
      <w:r w:rsidRPr="000B05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Waarom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miljarden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uitbreiding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farmaceutische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industrie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geïnvesteerd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hiermee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grondgebied?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Probeert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(EU)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voornemen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buigen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investeringen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binnenshuis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houden?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juist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ambitie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beschikbaarheid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medicatie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verbeteren?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consequenties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brengt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beschikbaarheid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medicatie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bedrijven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massaal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miljarden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lijken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investeren?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Heeft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producentenverantwoordelijkheid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(UPV)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medicijnfabrikanten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vanuit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kaderrichtlijn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invloed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farmaceuten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buiten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miljarden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investeringen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doen?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zekerheid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gezegd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farmaceuten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inmiddels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invulling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verantwoordelijkheid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kosten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voorkómen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milieuschade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neergelegd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producenten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stoffen.</w:t>
      </w:r>
    </w:p>
    <w:p w:rsidRPr="000B05FE" w:rsidR="000B05FE" w:rsidP="000B05FE" w:rsidRDefault="000B05FE" w14:paraId="5A1D00BC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25B20B88" w14:textId="73E7CE7A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beantwoording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schriftelijk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overleg</w:t>
      </w:r>
      <w:r w:rsidRPr="000B05FE">
        <w:rPr>
          <w:rStyle w:val="Voetnootmarkering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blijkt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farmaceutische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industrie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“nog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overwegingen”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heeft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onderhandelingen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Critical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Medicines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(CMA).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Genoemde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willen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overwegingen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betreft?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Wanneer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standpunt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parlement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verwachten?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gezorgd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achter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feiten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aangelopen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aangezien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farmaceuten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miljarden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investeren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Uiterlijk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maanden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inwerkingtreding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lidstaat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nationaal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programma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stellen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ondersteuning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leveringszekerheid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kritieke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geneesmiddelen,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uitzien?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randvoorwaarden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gesteld?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randvoorwaarden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ontbreken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nog?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lastRenderedPageBreak/>
        <w:t>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betrokken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opstellen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nationale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programma?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gebruik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nieuwe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publieke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aanbestedingsprocedures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onderdeel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uitmaken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nationaal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programma,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houden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“nieuwe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publieke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aanbestedingsprocedures”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exact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in?</w:t>
      </w:r>
    </w:p>
    <w:p w:rsidRPr="000B05FE" w:rsidR="000B05FE" w:rsidP="000B05FE" w:rsidRDefault="000B05FE" w14:paraId="3A713513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240DFD7C" w14:textId="77E735C0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Aangezien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besloten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heeft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begroting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willen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uitbreiden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andere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accijns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tabak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lidstaten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ontvangen</w:t>
      </w:r>
      <w:r w:rsidRPr="000B05FE">
        <w:rPr>
          <w:rStyle w:val="Voetnootmarkering"/>
          <w:rFonts w:ascii="Times New Roman" w:hAnsi="Times New Roman" w:cs="Times New Roman"/>
          <w:sz w:val="24"/>
          <w:szCs w:val="24"/>
        </w:rPr>
        <w:footnoteReference w:id="3"/>
      </w:r>
      <w:r w:rsidRPr="000B05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verwachten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genoemde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Informele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duidelijk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achter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bevestigen?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garanderen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herziening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verschillende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Tabaksrichtlijnen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toezegging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volgt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accijnzen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tabak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richting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0B05FE" w:rsidR="000B05FE" w:rsidP="000B05FE" w:rsidRDefault="000B05FE" w14:paraId="47C240E2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023FF8D8" w14:textId="069A92BB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PVV-fractie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benieuwd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details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gezamenlijke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maatregelen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bevoorradingsstrategie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binnenkort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middels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BNC-proces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gedeeld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inhoudelijk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gezegd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0B05FE" w:rsidP="000B05FE" w:rsidRDefault="000B05FE" w14:paraId="6B3A28AB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31371CCA" w14:textId="1E4D6D40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civiel-militaire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samenwerking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weerbaarheid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genoemde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goed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aandacht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voorkomen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doublures.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overzicht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sturen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initiatieven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zowel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binnen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binnen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gebied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civiel-militaire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samenwerking?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concreet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gedacht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“nauwere”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samenwerking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tussen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NAVO?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Graag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enkele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concrete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voorbeelden.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PVV-fractie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zouden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liever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nationale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civiel-militaire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samenwerking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concreter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krijgt,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daarmee?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0B05FE" w:rsidP="000B05FE" w:rsidRDefault="000B05FE" w14:paraId="2A5834BF" w14:textId="77777777">
      <w:pPr>
        <w:rPr>
          <w:rFonts w:ascii="Times New Roman" w:hAnsi="Times New Roman" w:cs="Times New Roman"/>
          <w:sz w:val="24"/>
          <w:szCs w:val="24"/>
        </w:rPr>
      </w:pPr>
      <w:bookmarkStart w:name="_Hlk207714015" w:id="5"/>
    </w:p>
    <w:p w:rsidRPr="000B05FE" w:rsidR="000B05FE" w:rsidP="000B05FE" w:rsidRDefault="000B05FE" w14:paraId="14EC422E" w14:textId="0790BC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GroenLinks-PvdA-fractie</w:t>
      </w:r>
    </w:p>
    <w:p w:rsidRPr="000B05FE" w:rsidR="000B05FE" w:rsidP="000B05FE" w:rsidRDefault="000B05FE" w14:paraId="46B39A6E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73383EE1" w14:textId="4FAA46DD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GroenLinks-PvdA-fractie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kennisgenomen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geannoteerde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Informele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enkele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opmerkingen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0B05FE" w:rsidP="000B05FE" w:rsidRDefault="000B05FE" w14:paraId="4FD14489" w14:textId="2DA29BFB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Genoemde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klinische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afneemt.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Terwijl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klinisch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onderzoek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bijdragen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sneller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beschikbaar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nieuwe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behandelingen.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toegelicht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waarom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klinische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afneemt?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dalende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trend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klinische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toeneemt?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0B05FE" w:rsidP="000B05FE" w:rsidRDefault="000B05FE" w14:paraId="2A3F0CEB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4FDF6258" w14:textId="3369A2A3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GroenLinks-PvdA-fractie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Anti-Microbiële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Resistentie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(AMR)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geannoteerde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gezondheidsdreiging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uitgaat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positief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tegenover.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genoemde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Denemarken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loopt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lastRenderedPageBreak/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gebied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verantwoord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gebruik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antimicrobiële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middelen.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lessen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neemt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Denemarken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verantwoord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gebruik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antimicrobiële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middelen?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weggelegd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verantwoord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omgaan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antimicrobiële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middelen?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0B05FE" w:rsidP="000B05FE" w:rsidRDefault="000B05FE" w14:paraId="47CCB50B" w14:textId="77777777">
      <w:pPr>
        <w:spacing w:after="384" w:afterLines="160" w:line="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Pr="000B05FE" w:rsidR="000B05FE" w:rsidP="000B05FE" w:rsidRDefault="000B05FE" w14:paraId="134A3021" w14:textId="7B037520">
      <w:pPr>
        <w:spacing w:after="384" w:afterLines="160" w:line="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name="_Hlk207715023" w:id="6"/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VVD-fractie</w:t>
      </w:r>
    </w:p>
    <w:bookmarkEnd w:id="4"/>
    <w:bookmarkEnd w:id="5"/>
    <w:bookmarkEnd w:id="6"/>
    <w:p w:rsidRPr="000B05FE" w:rsidR="000B05FE" w:rsidP="000B05FE" w:rsidRDefault="000B05FE" w14:paraId="20252042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4B533547" w14:textId="597A34F0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VVD-fractie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belangstelling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kennisgenomen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Verslag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Genoemde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echter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enkele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opmerkingen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vragen.</w:t>
      </w:r>
    </w:p>
    <w:p w:rsidRPr="000B05FE" w:rsidR="000B05FE" w:rsidP="000B05FE" w:rsidRDefault="000B05FE" w14:paraId="522FD290" w14:textId="02516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0B05FE" w:rsidP="000B05FE" w:rsidRDefault="000B05FE" w14:paraId="0FADBC20" w14:textId="38C3212E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VVD-fractie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hechten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waarde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veiligheid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weerbaarheid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daarom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verheugd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aandacht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besteed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coördinatie,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cyberveiligheid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noodvoorraden.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bewerkstelligen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raakt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Critical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Medicines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(CMA)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vraagstukken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rondom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financiële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prikkels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stimuleren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medicijnproductie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productievermogen.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prikkels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juridisch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ondervangen,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ontstaat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risico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landen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gebruiken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structurele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staatssteun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verlenen.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zorgen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financiële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prikkels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zullen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gegeven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bedrijven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evenredig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kunnen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profiteren?</w:t>
      </w:r>
    </w:p>
    <w:p w:rsidRPr="000B05FE" w:rsidR="000B05FE" w:rsidP="000B05FE" w:rsidRDefault="000B05FE" w14:paraId="1716DAFD" w14:textId="1C1FE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0B05FE" w:rsidP="000B05FE" w:rsidRDefault="000B05FE" w14:paraId="62DBDAB3" w14:textId="59F2913F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VVD-fractie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sterkste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economie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geneesmiddelenproducenten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ongelijk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speelveld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vlak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belastingen,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milieuvereisten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arbeidsomstandigheden.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Daarbij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komt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feit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ongelijke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speelveld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uitstrekt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landen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buiten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waarbij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EU-landen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moeten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committeren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regelgeving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hogere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voorwaarden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moeten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voldoen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geneesmiddelen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produceren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landen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China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India.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gelijk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speelveld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creëren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geneesmiddelenproducenten?</w:t>
      </w:r>
    </w:p>
    <w:p w:rsidRPr="000B05FE" w:rsidR="000B05FE" w:rsidP="000B05FE" w:rsidRDefault="000B05FE" w14:paraId="2761E71C" w14:textId="254B4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0B05FE" w:rsidP="000B05FE" w:rsidRDefault="000B05FE" w14:paraId="71EBEE17" w14:textId="1487F1D4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VVD-fractie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“een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coalitie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lidstaten,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waaronder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aandrong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urgente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herziening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tabakregelgeving”.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Genoemde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Duitsland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België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onderdeel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lidstaten.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Momenteel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reizen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eerdergenoemde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buurlanden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goedkopere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tabakswaren,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waardoor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belastinginkomsten,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accijnzen,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misloopt.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buurlanden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herziening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tabakregelgeving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steunen,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Nederlandse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staatskas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accijnzen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langer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mislopen.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Denkt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herziening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korte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termijn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plaatsvinden?</w:t>
      </w:r>
    </w:p>
    <w:p w:rsidRPr="000B05FE" w:rsidR="000B05FE" w:rsidP="000B05FE" w:rsidRDefault="000B05FE" w14:paraId="0319EF28" w14:textId="614FE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B05FE" w:rsidR="000B05FE" w:rsidP="000B05FE" w:rsidRDefault="000B05FE" w14:paraId="14F87C51" w14:textId="2A152BAB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VVD-fractie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aandacht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zelfredzaamheid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jongeren,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ouders,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opvoeders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leerkrachten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middels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voorlichting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educatie.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Voorbeelden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houden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echter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schermtijdaanbevelingen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telefoonverboden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scholen.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lastRenderedPageBreak/>
        <w:t>onderdeel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huidig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politiek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debat.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brief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goed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opgezette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volksgezondheidsinterventie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potentieel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rendement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heeft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geïnvesteerde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VVD-fractie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binnenlandse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aandacht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verdient.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zichzelf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creëren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binnenlands,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goed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opgezette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volksgezondheidsinterventie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gericht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zelfredzaamheid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jongeren?</w:t>
      </w:r>
    </w:p>
    <w:p w:rsidRPr="000B05FE" w:rsidR="000B05FE" w:rsidP="000B05FE" w:rsidRDefault="000B05FE" w14:paraId="1BC5FE68" w14:textId="77F83A58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15BD9122" w14:textId="69947C12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Tot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slot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VVD-fractie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huidige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UR-middelen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dezelfde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wijze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ingericht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kunnen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toelichten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hiermee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precies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bedoeld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Betekent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wijziging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plaats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manier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waarop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UAD-geneesmiddelen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kunnen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geleverd?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verandert,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toelichten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manier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verandert?</w:t>
      </w:r>
    </w:p>
    <w:p w:rsidRPr="000B05FE" w:rsidR="000B05FE" w:rsidP="000B05FE" w:rsidRDefault="000B05FE" w14:paraId="2475856B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4B8C18F6" w14:textId="37F4B2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NSC-fractie</w:t>
      </w:r>
    </w:p>
    <w:p w:rsidRPr="000B05FE" w:rsidR="000B05FE" w:rsidP="000B05FE" w:rsidRDefault="000B05FE" w14:paraId="58A66CF5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03AED9CF" w14:textId="08E338A9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NSC-fractie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kennisgenomen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geannoteerde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Informele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Kopenhagen.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enkele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“gedachtewisseling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Life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klinische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studies”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belangrijk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nogmaals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benadrukken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volledige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opt-out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secundair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gebruik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gegevens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grootste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belang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schetsen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opt-out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gewaarborgd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Strategie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biowetenschappen?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inzetten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volledige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opt-out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secundair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gebruik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gegevens,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uitzonderingen?</w:t>
      </w:r>
    </w:p>
    <w:p w:rsidRPr="000B05FE" w:rsidR="000B05FE" w:rsidP="000B05FE" w:rsidRDefault="000B05FE" w14:paraId="65E695C4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5A0C698D" w14:textId="11BDFD40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Daarnaast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NSC-fractie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geschokt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datahack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Eurofins.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bereid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cyberveiligheid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onderzoek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patiëntengegevens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stellen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Gezondheidsraad?</w:t>
      </w:r>
    </w:p>
    <w:p w:rsidRPr="000B05FE" w:rsidR="000B05FE" w:rsidP="000B05FE" w:rsidRDefault="000B05FE" w14:paraId="293A2EE6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3825FDE1" w14:textId="03EA2EB4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NSC-fractie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verheugd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tijdens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aandacht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gegeven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weerbaarheid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zorg.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speelt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hierbij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retour-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restmedicatie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belangrijke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Retour-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restmedicatie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hergebruikt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terwijl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soms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tekorten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Oekraïne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zijn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grote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tekorten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bijvoorbeeld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pijnmedicatie.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onderwerp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voldoende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aanwezig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bestaande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strategieën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rondom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weerbaarheid?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bereid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regelgeving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aanzien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retour-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restmedicatie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versoepelen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controle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apotheker,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geschikte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medicatie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hergebruikt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worden?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05FE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inzetten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mogelijkheid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implementatie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structureel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monitoringsysteem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retour-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restmedicatie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lidstaten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onderzoeken,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doel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crisissituaties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sneller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toegang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krijgen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beschikbare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middelen?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Vindt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wenselijk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systeem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permanent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verankeren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strategie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civiel-militaire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samenwerking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medische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bevoorrading,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zodat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Europa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afhankelijk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trage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leveringsketens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veranderend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geopolitiek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landschap?</w:t>
      </w:r>
    </w:p>
    <w:p w:rsidRPr="000B05FE" w:rsidR="000B05FE" w:rsidP="000B05FE" w:rsidRDefault="000B05FE" w14:paraId="24896FC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0B05FE" w:rsidR="000B05FE" w:rsidP="000B05FE" w:rsidRDefault="000B05FE" w14:paraId="4792640F" w14:textId="2AC061F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207713600" w:id="7"/>
      <w:r w:rsidRPr="000B05FE">
        <w:rPr>
          <w:rFonts w:ascii="Times New Roman" w:hAnsi="Times New Roman" w:cs="Times New Roman"/>
          <w:b/>
          <w:bCs/>
          <w:sz w:val="24"/>
          <w:szCs w:val="24"/>
        </w:rPr>
        <w:t>Vragen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opmerkingen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leden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bCs/>
          <w:sz w:val="24"/>
          <w:szCs w:val="24"/>
        </w:rPr>
        <w:t>BBB-fractie</w:t>
      </w:r>
    </w:p>
    <w:bookmarkEnd w:id="7"/>
    <w:p w:rsidRPr="000B05FE" w:rsidR="000B05FE" w:rsidP="000B05FE" w:rsidRDefault="000B05FE" w14:paraId="56157ED2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11AF234C" w14:textId="02EE93B1">
      <w:pPr>
        <w:rPr>
          <w:rFonts w:ascii="Times New Roman" w:hAnsi="Times New Roman" w:cs="Times New Roman"/>
          <w:sz w:val="24"/>
          <w:szCs w:val="24"/>
        </w:rPr>
      </w:pP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BBB-fractie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kennisgenomen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Informele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Gezondheidsraad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15-16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Genoemde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leden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hebben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geen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vragen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sz w:val="24"/>
          <w:szCs w:val="24"/>
        </w:rPr>
        <w:t>minister.</w:t>
      </w:r>
    </w:p>
    <w:p w:rsidRPr="000B05FE" w:rsidR="000B05FE" w:rsidP="000B05FE" w:rsidRDefault="000B05FE" w14:paraId="06E9C865" w14:textId="77777777">
      <w:pPr>
        <w:rPr>
          <w:rFonts w:ascii="Times New Roman" w:hAnsi="Times New Roman" w:cs="Times New Roman"/>
          <w:sz w:val="24"/>
          <w:szCs w:val="24"/>
        </w:rPr>
      </w:pPr>
    </w:p>
    <w:p w:rsidRPr="000B05FE" w:rsidR="000B05FE" w:rsidP="000B05FE" w:rsidRDefault="000B05FE" w14:paraId="51B97D7E" w14:textId="77777777">
      <w:pPr>
        <w:pStyle w:val="Lijstalinea"/>
        <w:rPr>
          <w:rFonts w:ascii="Times New Roman" w:hAnsi="Times New Roman" w:cs="Times New Roman"/>
          <w:b/>
          <w:bCs/>
          <w:sz w:val="24"/>
          <w:szCs w:val="24"/>
        </w:rPr>
      </w:pPr>
    </w:p>
    <w:p w:rsidRPr="000B05FE" w:rsidR="000B05FE" w:rsidP="000B05FE" w:rsidRDefault="000B05FE" w14:paraId="54102A75" w14:textId="1A0576CC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05FE">
        <w:rPr>
          <w:rFonts w:ascii="Times New Roman" w:hAnsi="Times New Roman" w:cs="Times New Roman"/>
          <w:b/>
          <w:sz w:val="24"/>
          <w:szCs w:val="24"/>
        </w:rPr>
        <w:t>Reactie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sz w:val="24"/>
          <w:szCs w:val="24"/>
        </w:rPr>
        <w:t>van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5FE">
        <w:rPr>
          <w:rFonts w:ascii="Times New Roman" w:hAnsi="Times New Roman" w:cs="Times New Roman"/>
          <w:b/>
          <w:sz w:val="24"/>
          <w:szCs w:val="24"/>
        </w:rPr>
        <w:t>minister</w:t>
      </w:r>
    </w:p>
    <w:p w:rsidRPr="000B05FE" w:rsidR="000B05FE" w:rsidP="000B05FE" w:rsidRDefault="000B05FE" w14:paraId="0B39A2A0" w14:textId="77777777">
      <w:pPr>
        <w:pStyle w:val="Lijstalinea"/>
        <w:spacing w:after="384" w:afterLines="160" w:line="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Pr="000B05FE" w:rsidR="00766FA0" w:rsidRDefault="00766FA0" w14:paraId="21C00A7C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B05FE" w:rsidR="00766FA0" w:rsidSect="005639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8" w:footer="708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7EEC" w14:textId="77777777" w:rsidR="000B05FE" w:rsidRDefault="000B05FE" w:rsidP="000B05FE">
      <w:pPr>
        <w:spacing w:after="0" w:line="240" w:lineRule="auto"/>
      </w:pPr>
      <w:r>
        <w:separator/>
      </w:r>
    </w:p>
  </w:endnote>
  <w:endnote w:type="continuationSeparator" w:id="0">
    <w:p w14:paraId="2C67289D" w14:textId="77777777" w:rsidR="000B05FE" w:rsidRDefault="000B05FE" w:rsidP="000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0C61" w14:textId="77777777" w:rsidR="000B05FE" w:rsidRPr="000B05FE" w:rsidRDefault="000B05FE" w:rsidP="000B05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67C7" w14:textId="77777777" w:rsidR="000B05FE" w:rsidRPr="000B05FE" w:rsidRDefault="000B05FE" w:rsidP="000B05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859F" w14:textId="77777777" w:rsidR="000B05FE" w:rsidRPr="000B05FE" w:rsidRDefault="000B05FE" w:rsidP="000B05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087E" w14:textId="77777777" w:rsidR="000B05FE" w:rsidRDefault="000B05FE" w:rsidP="000B05FE">
      <w:pPr>
        <w:spacing w:after="0" w:line="240" w:lineRule="auto"/>
      </w:pPr>
      <w:r>
        <w:separator/>
      </w:r>
    </w:p>
  </w:footnote>
  <w:footnote w:type="continuationSeparator" w:id="0">
    <w:p w14:paraId="272A72A0" w14:textId="77777777" w:rsidR="000B05FE" w:rsidRDefault="000B05FE" w:rsidP="000B05FE">
      <w:pPr>
        <w:spacing w:after="0" w:line="240" w:lineRule="auto"/>
      </w:pPr>
      <w:r>
        <w:continuationSeparator/>
      </w:r>
    </w:p>
  </w:footnote>
  <w:footnote w:id="1">
    <w:p w14:paraId="32C95649" w14:textId="62FD5C6A" w:rsidR="000B05FE" w:rsidRPr="000B05FE" w:rsidRDefault="000B05FE" w:rsidP="000B05FE">
      <w:pPr>
        <w:pStyle w:val="Voetnoottekst"/>
      </w:pPr>
      <w:r w:rsidRPr="000B05FE">
        <w:rPr>
          <w:rStyle w:val="Voetnootmarkering"/>
          <w:rFonts w:eastAsiaTheme="majorEastAsia"/>
        </w:rPr>
        <w:footnoteRef/>
      </w:r>
      <w:r>
        <w:t xml:space="preserve"> </w:t>
      </w:r>
      <w:hyperlink r:id="rId1" w:tgtFrame="_blank" w:history="1">
        <w:r w:rsidRPr="000B05FE">
          <w:rPr>
            <w:rStyle w:val="Hyperlink"/>
          </w:rPr>
          <w:t>AstraZeneca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wil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komende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jaren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50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miljard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investeren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in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VS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-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Skipr</w:t>
        </w:r>
      </w:hyperlink>
      <w:r w:rsidRPr="000B05FE">
        <w:t>.</w:t>
      </w:r>
    </w:p>
  </w:footnote>
  <w:footnote w:id="2">
    <w:p w14:paraId="7100018A" w14:textId="279521A8" w:rsidR="000B05FE" w:rsidRPr="000B05FE" w:rsidRDefault="000B05FE" w:rsidP="000B05FE">
      <w:pPr>
        <w:pStyle w:val="Voetnoottekst"/>
      </w:pPr>
      <w:r w:rsidRPr="000B05FE">
        <w:rPr>
          <w:rStyle w:val="Voetnootmarkering"/>
          <w:rFonts w:eastAsiaTheme="majorEastAsia"/>
        </w:rPr>
        <w:footnoteRef/>
      </w:r>
      <w:r>
        <w:t xml:space="preserve"> </w:t>
      </w:r>
      <w:r w:rsidRPr="000B05FE">
        <w:t>Kamerstuk</w:t>
      </w:r>
      <w:r>
        <w:t xml:space="preserve"> </w:t>
      </w:r>
      <w:r w:rsidRPr="000B05FE">
        <w:t>21501-31</w:t>
      </w:r>
      <w:r>
        <w:t xml:space="preserve"> </w:t>
      </w:r>
      <w:r w:rsidRPr="000B05FE">
        <w:t>nr.</w:t>
      </w:r>
      <w:r>
        <w:t xml:space="preserve"> </w:t>
      </w:r>
      <w:r w:rsidRPr="000B05FE">
        <w:t>790.</w:t>
      </w:r>
    </w:p>
  </w:footnote>
  <w:footnote w:id="3">
    <w:p w14:paraId="2847EEDD" w14:textId="1EE2A59D" w:rsidR="000B05FE" w:rsidRPr="000B05FE" w:rsidRDefault="000B05FE" w:rsidP="000B05FE">
      <w:pPr>
        <w:pStyle w:val="Voetnoottekst"/>
        <w:rPr>
          <w:b/>
          <w:bCs/>
        </w:rPr>
      </w:pPr>
      <w:r w:rsidRPr="000B05FE">
        <w:rPr>
          <w:rStyle w:val="Voetnootmarkering"/>
          <w:rFonts w:eastAsiaTheme="majorEastAsia"/>
        </w:rPr>
        <w:footnoteRef/>
      </w:r>
      <w:r>
        <w:t xml:space="preserve"> </w:t>
      </w:r>
      <w:hyperlink r:id="rId2" w:tgtFrame="_blank" w:history="1">
        <w:r w:rsidRPr="000B05FE">
          <w:rPr>
            <w:rStyle w:val="Hyperlink"/>
          </w:rPr>
          <w:t>Europese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Commissie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wil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accijns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op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tabak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en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belasting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van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bedrijven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ontvangen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|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Economie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|</w:t>
        </w:r>
        <w:r>
          <w:rPr>
            <w:rStyle w:val="Hyperlink"/>
          </w:rPr>
          <w:t xml:space="preserve"> </w:t>
        </w:r>
        <w:r w:rsidRPr="000B05FE">
          <w:rPr>
            <w:rStyle w:val="Hyperlink"/>
          </w:rPr>
          <w:t>NU.nl</w:t>
        </w:r>
      </w:hyperlink>
    </w:p>
    <w:p w14:paraId="6AA36521" w14:textId="77777777" w:rsidR="000B05FE" w:rsidRPr="000B05FE" w:rsidRDefault="000B05FE" w:rsidP="000B05FE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AB0C" w14:textId="77777777" w:rsidR="000B05FE" w:rsidRPr="000B05FE" w:rsidRDefault="000B05FE" w:rsidP="000B05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C7F9" w14:textId="77777777" w:rsidR="000B05FE" w:rsidRPr="000B05FE" w:rsidRDefault="000B05FE" w:rsidP="000B05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0A21" w14:textId="77777777" w:rsidR="000B05FE" w:rsidRPr="000B05FE" w:rsidRDefault="000B05FE" w:rsidP="000B05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30A3"/>
    <w:multiLevelType w:val="hybridMultilevel"/>
    <w:tmpl w:val="67FC937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46B"/>
    <w:multiLevelType w:val="hybridMultilevel"/>
    <w:tmpl w:val="486E175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63005">
    <w:abstractNumId w:val="0"/>
  </w:num>
  <w:num w:numId="2" w16cid:durableId="1889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E"/>
    <w:rsid w:val="000B05FE"/>
    <w:rsid w:val="000B56AC"/>
    <w:rsid w:val="00250916"/>
    <w:rsid w:val="005639CE"/>
    <w:rsid w:val="006E15CA"/>
    <w:rsid w:val="006F0376"/>
    <w:rsid w:val="00766FA0"/>
    <w:rsid w:val="00A7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1BBD"/>
  <w15:chartTrackingRefBased/>
  <w15:docId w15:val="{FB145BAB-9838-410D-8BB7-7B728F36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0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0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0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0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05F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05F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05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05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05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05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05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05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05F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0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05F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05FE"/>
    <w:rPr>
      <w:b/>
      <w:bCs/>
      <w:smallCaps/>
      <w:color w:val="2F5496" w:themeColor="accent1" w:themeShade="BF"/>
      <w:spacing w:val="5"/>
    </w:rPr>
  </w:style>
  <w:style w:type="paragraph" w:styleId="Voettekst">
    <w:name w:val="footer"/>
    <w:basedOn w:val="Standaard"/>
    <w:link w:val="VoettekstChar"/>
    <w:rsid w:val="000B05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B05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Paginanummer">
    <w:name w:val="page number"/>
    <w:basedOn w:val="Standaardalinea-lettertype"/>
    <w:rsid w:val="000B05FE"/>
  </w:style>
  <w:style w:type="paragraph" w:styleId="Voetnoottekst">
    <w:name w:val="footnote text"/>
    <w:basedOn w:val="Standaard"/>
    <w:link w:val="VoetnoottekstChar"/>
    <w:uiPriority w:val="99"/>
    <w:rsid w:val="000B05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B05FE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aliases w:val="Kop 4 Char1"/>
    <w:uiPriority w:val="99"/>
    <w:rsid w:val="000B05FE"/>
    <w:rPr>
      <w:vertAlign w:val="superscript"/>
    </w:rPr>
  </w:style>
  <w:style w:type="character" w:styleId="Hyperlink">
    <w:name w:val="Hyperlink"/>
    <w:uiPriority w:val="99"/>
    <w:rsid w:val="000B05FE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0B05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B05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0B0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u.nl/economie/6362756/europese-commissie-wil-accijns-op-tabak-en-belasting-van-bedrijven-ontvangen.html?referrer=https%3A%2F%2Fwww.google.com%2F" TargetMode="External"/><Relationship Id="rId1" Type="http://schemas.openxmlformats.org/officeDocument/2006/relationships/hyperlink" Target="https://www.skipr.nl/nieuws/astrazeneca-wil-komende-jaren-50-miljard-investeren-in-vs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1959</ap:Words>
  <ap:Characters>10775</ap:Characters>
  <ap:DocSecurity>0</ap:DocSecurity>
  <ap:Lines>89</ap:Lines>
  <ap:Paragraphs>25</ap:Paragraphs>
  <ap:ScaleCrop>false</ap:ScaleCrop>
  <ap:LinksUpToDate>false</ap:LinksUpToDate>
  <ap:CharactersWithSpaces>12709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2025-09-11T09:09:00.0000000Z</dcterms:created>
  <dcterms:modified xsi:type="dcterms:W3CDTF">2025-09-11T09:09:00.0000000Z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