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501A1" w14:paraId="04C38288" w14:textId="77777777">
        <w:tc>
          <w:tcPr>
            <w:tcW w:w="6733" w:type="dxa"/>
            <w:gridSpan w:val="2"/>
            <w:tcBorders>
              <w:top w:val="nil"/>
              <w:left w:val="nil"/>
              <w:bottom w:val="nil"/>
              <w:right w:val="nil"/>
            </w:tcBorders>
            <w:vAlign w:val="center"/>
          </w:tcPr>
          <w:p w:rsidR="00997775" w:rsidP="00710A7A" w:rsidRDefault="00997775" w14:paraId="19333E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F1151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501A1" w14:paraId="707B13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734717" w14:textId="77777777">
            <w:r w:rsidRPr="008B0CC5">
              <w:t xml:space="preserve">Vergaderjaar </w:t>
            </w:r>
            <w:r w:rsidR="00AC6B87">
              <w:t>2024-2025</w:t>
            </w:r>
          </w:p>
        </w:tc>
      </w:tr>
      <w:tr w:rsidR="00997775" w:rsidTr="009501A1" w14:paraId="7A53C100" w14:textId="77777777">
        <w:trPr>
          <w:cantSplit/>
        </w:trPr>
        <w:tc>
          <w:tcPr>
            <w:tcW w:w="10985" w:type="dxa"/>
            <w:gridSpan w:val="3"/>
            <w:tcBorders>
              <w:top w:val="nil"/>
              <w:left w:val="nil"/>
              <w:bottom w:val="nil"/>
              <w:right w:val="nil"/>
            </w:tcBorders>
          </w:tcPr>
          <w:p w:rsidR="00997775" w:rsidRDefault="00997775" w14:paraId="3C9D51B1" w14:textId="77777777"/>
        </w:tc>
      </w:tr>
      <w:tr w:rsidR="00997775" w:rsidTr="009501A1" w14:paraId="39612FDA" w14:textId="77777777">
        <w:trPr>
          <w:cantSplit/>
        </w:trPr>
        <w:tc>
          <w:tcPr>
            <w:tcW w:w="10985" w:type="dxa"/>
            <w:gridSpan w:val="3"/>
            <w:tcBorders>
              <w:top w:val="nil"/>
              <w:left w:val="nil"/>
              <w:bottom w:val="single" w:color="auto" w:sz="4" w:space="0"/>
              <w:right w:val="nil"/>
            </w:tcBorders>
          </w:tcPr>
          <w:p w:rsidR="00997775" w:rsidRDefault="00997775" w14:paraId="7A2004B3" w14:textId="77777777"/>
        </w:tc>
      </w:tr>
      <w:tr w:rsidR="00997775" w:rsidTr="009501A1" w14:paraId="579F62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759C87" w14:textId="77777777"/>
        </w:tc>
        <w:tc>
          <w:tcPr>
            <w:tcW w:w="7654" w:type="dxa"/>
            <w:gridSpan w:val="2"/>
          </w:tcPr>
          <w:p w:rsidR="00997775" w:rsidRDefault="00997775" w14:paraId="1B02DB2F" w14:textId="77777777"/>
        </w:tc>
      </w:tr>
      <w:tr w:rsidR="009501A1" w:rsidTr="009501A1" w14:paraId="1CF5F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188E07F2" w14:textId="7CA59A2F">
            <w:pPr>
              <w:rPr>
                <w:b/>
              </w:rPr>
            </w:pPr>
            <w:r>
              <w:rPr>
                <w:b/>
              </w:rPr>
              <w:t>33 529</w:t>
            </w:r>
          </w:p>
        </w:tc>
        <w:tc>
          <w:tcPr>
            <w:tcW w:w="7654" w:type="dxa"/>
            <w:gridSpan w:val="2"/>
          </w:tcPr>
          <w:p w:rsidR="009501A1" w:rsidP="009501A1" w:rsidRDefault="009501A1" w14:paraId="1BD38730" w14:textId="6FA87655">
            <w:pPr>
              <w:rPr>
                <w:b/>
              </w:rPr>
            </w:pPr>
            <w:r w:rsidRPr="008A6FC0">
              <w:rPr>
                <w:rFonts w:ascii="Times New Roman(W1)" w:hAnsi="Times New Roman(W1)" w:cs="Arial"/>
                <w:b/>
                <w:bCs/>
              </w:rPr>
              <w:t>Gaswinning</w:t>
            </w:r>
          </w:p>
        </w:tc>
      </w:tr>
      <w:tr w:rsidR="009501A1" w:rsidTr="009501A1" w14:paraId="782DD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24603A65" w14:textId="77777777"/>
        </w:tc>
        <w:tc>
          <w:tcPr>
            <w:tcW w:w="7654" w:type="dxa"/>
            <w:gridSpan w:val="2"/>
          </w:tcPr>
          <w:p w:rsidR="009501A1" w:rsidP="009501A1" w:rsidRDefault="009501A1" w14:paraId="1AACF488" w14:textId="77777777"/>
        </w:tc>
      </w:tr>
      <w:tr w:rsidR="009501A1" w:rsidTr="009501A1" w14:paraId="6177B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1175D599" w14:textId="77777777"/>
        </w:tc>
        <w:tc>
          <w:tcPr>
            <w:tcW w:w="7654" w:type="dxa"/>
            <w:gridSpan w:val="2"/>
          </w:tcPr>
          <w:p w:rsidR="009501A1" w:rsidP="009501A1" w:rsidRDefault="009501A1" w14:paraId="70900E0B" w14:textId="77777777"/>
        </w:tc>
      </w:tr>
      <w:tr w:rsidR="009501A1" w:rsidTr="009501A1" w14:paraId="292D7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489E6C4F" w14:textId="3C630802">
            <w:pPr>
              <w:rPr>
                <w:b/>
              </w:rPr>
            </w:pPr>
            <w:r>
              <w:rPr>
                <w:b/>
              </w:rPr>
              <w:t xml:space="preserve">Nr. </w:t>
            </w:r>
            <w:r>
              <w:rPr>
                <w:b/>
              </w:rPr>
              <w:t>1335</w:t>
            </w:r>
          </w:p>
        </w:tc>
        <w:tc>
          <w:tcPr>
            <w:tcW w:w="7654" w:type="dxa"/>
            <w:gridSpan w:val="2"/>
          </w:tcPr>
          <w:p w:rsidR="009501A1" w:rsidP="009501A1" w:rsidRDefault="009501A1" w14:paraId="00ADDE15" w14:textId="0428726F">
            <w:pPr>
              <w:rPr>
                <w:b/>
              </w:rPr>
            </w:pPr>
            <w:r>
              <w:rPr>
                <w:b/>
              </w:rPr>
              <w:t xml:space="preserve">MOTIE VAN </w:t>
            </w:r>
            <w:r>
              <w:rPr>
                <w:b/>
              </w:rPr>
              <w:t>HET LID VEDDER C.S.</w:t>
            </w:r>
          </w:p>
        </w:tc>
      </w:tr>
      <w:tr w:rsidR="009501A1" w:rsidTr="009501A1" w14:paraId="7134C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4FE55254" w14:textId="77777777"/>
        </w:tc>
        <w:tc>
          <w:tcPr>
            <w:tcW w:w="7654" w:type="dxa"/>
            <w:gridSpan w:val="2"/>
          </w:tcPr>
          <w:p w:rsidR="009501A1" w:rsidP="009501A1" w:rsidRDefault="009501A1" w14:paraId="2B943EAA" w14:textId="437D6DD0">
            <w:r>
              <w:t>Voorgesteld 2 september 2025</w:t>
            </w:r>
          </w:p>
        </w:tc>
      </w:tr>
      <w:tr w:rsidR="009501A1" w:rsidTr="009501A1" w14:paraId="177BF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1202C5FA" w14:textId="77777777"/>
        </w:tc>
        <w:tc>
          <w:tcPr>
            <w:tcW w:w="7654" w:type="dxa"/>
            <w:gridSpan w:val="2"/>
          </w:tcPr>
          <w:p w:rsidR="009501A1" w:rsidP="009501A1" w:rsidRDefault="009501A1" w14:paraId="0F71B00F" w14:textId="77777777"/>
        </w:tc>
      </w:tr>
      <w:tr w:rsidR="009501A1" w:rsidTr="009501A1" w14:paraId="4BCB9A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09D9ABF3" w14:textId="77777777"/>
        </w:tc>
        <w:tc>
          <w:tcPr>
            <w:tcW w:w="7654" w:type="dxa"/>
            <w:gridSpan w:val="2"/>
          </w:tcPr>
          <w:p w:rsidR="009501A1" w:rsidP="009501A1" w:rsidRDefault="009501A1" w14:paraId="7EA645AB" w14:textId="6AF9FC0A">
            <w:r>
              <w:t>De Kamer,</w:t>
            </w:r>
          </w:p>
        </w:tc>
      </w:tr>
      <w:tr w:rsidR="009501A1" w:rsidTr="009501A1" w14:paraId="7C281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5CEEF679" w14:textId="77777777"/>
        </w:tc>
        <w:tc>
          <w:tcPr>
            <w:tcW w:w="7654" w:type="dxa"/>
            <w:gridSpan w:val="2"/>
          </w:tcPr>
          <w:p w:rsidR="009501A1" w:rsidP="009501A1" w:rsidRDefault="009501A1" w14:paraId="56725B5E" w14:textId="77777777"/>
        </w:tc>
      </w:tr>
      <w:tr w:rsidR="009501A1" w:rsidTr="009501A1" w14:paraId="00881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501A1" w:rsidP="009501A1" w:rsidRDefault="009501A1" w14:paraId="28E359C0" w14:textId="77777777"/>
        </w:tc>
        <w:tc>
          <w:tcPr>
            <w:tcW w:w="7654" w:type="dxa"/>
            <w:gridSpan w:val="2"/>
          </w:tcPr>
          <w:p w:rsidR="009501A1" w:rsidP="009501A1" w:rsidRDefault="009501A1" w14:paraId="34F6F0FE" w14:textId="241D0AD7">
            <w:r>
              <w:t>gehoord de beraadslaging,</w:t>
            </w:r>
          </w:p>
        </w:tc>
      </w:tr>
      <w:tr w:rsidR="00997775" w:rsidTr="009501A1" w14:paraId="029268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C337AF" w14:textId="77777777"/>
        </w:tc>
        <w:tc>
          <w:tcPr>
            <w:tcW w:w="7654" w:type="dxa"/>
            <w:gridSpan w:val="2"/>
          </w:tcPr>
          <w:p w:rsidR="00997775" w:rsidRDefault="00997775" w14:paraId="5C3BF0D1" w14:textId="77777777"/>
        </w:tc>
      </w:tr>
      <w:tr w:rsidR="00997775" w:rsidTr="009501A1" w14:paraId="0230D1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C9E279" w14:textId="77777777"/>
        </w:tc>
        <w:tc>
          <w:tcPr>
            <w:tcW w:w="7654" w:type="dxa"/>
            <w:gridSpan w:val="2"/>
          </w:tcPr>
          <w:p w:rsidR="009501A1" w:rsidP="009501A1" w:rsidRDefault="009501A1" w14:paraId="187C7E04" w14:textId="77777777">
            <w:r>
              <w:t>constaterende dat de schadeafhandelingsprocedure door het Instituut Mijnbouwschade Groningen (IMG) in het gebied rond de gasopslagen voor onrust zorgt bij inwoners, omdat zij worden geconfronteerd met een protocol waarin het bouwjaar in relatie tot de beving bij Huizinge in 2012 een rol speelt;</w:t>
            </w:r>
          </w:p>
          <w:p w:rsidR="009501A1" w:rsidP="009501A1" w:rsidRDefault="009501A1" w14:paraId="7B01484D" w14:textId="77777777"/>
          <w:p w:rsidR="009501A1" w:rsidP="009501A1" w:rsidRDefault="009501A1" w14:paraId="7AFB0F41" w14:textId="77777777">
            <w:r>
              <w:t>constaterende dat de beving bij Huizinge in het gebied rond de gasopslagen net zo relevant is als de uitbarsting van de Vesuvius, omdat schade in de gebieden rond gasopslagen wordt veroorzaakt door cyclische diepe bodembeweging, en niet door bevingen;</w:t>
            </w:r>
          </w:p>
          <w:p w:rsidR="009501A1" w:rsidP="009501A1" w:rsidRDefault="009501A1" w14:paraId="53085819" w14:textId="77777777"/>
          <w:p w:rsidR="009501A1" w:rsidP="009501A1" w:rsidRDefault="009501A1" w14:paraId="0C852C79" w14:textId="77777777">
            <w:r>
              <w:t>overwegende dat het wettelijke bewijsvermoeden inhoudt dat schade in het effectgebied van mijnbouwactiviteiten wordt geacht daardoor veroorzaakt te zijn, tenzij een andere oorzaak kan worden aangetoond;</w:t>
            </w:r>
          </w:p>
          <w:p w:rsidR="009501A1" w:rsidP="009501A1" w:rsidRDefault="009501A1" w14:paraId="69D67932" w14:textId="77777777"/>
          <w:p w:rsidR="009501A1" w:rsidP="009501A1" w:rsidRDefault="009501A1" w14:paraId="6C07DB2C" w14:textId="77777777">
            <w:r>
              <w:t>overwegende dat de zogenoemde "oortjes" van het effectgebied eerder middels een AMvB expliciet zijn toegevoegd naar aanleiding van zorgen over uitsluiting van bewoners in die gebieden;</w:t>
            </w:r>
          </w:p>
          <w:p w:rsidR="009501A1" w:rsidP="009501A1" w:rsidRDefault="009501A1" w14:paraId="330390F2" w14:textId="77777777"/>
          <w:p w:rsidR="009501A1" w:rsidP="009501A1" w:rsidRDefault="009501A1" w14:paraId="04701030" w14:textId="77777777">
            <w:r>
              <w:t>constaterende dat volgens de toelichting op deze AMvB het gebied waarin het bewijsvermoeden wordt toegepast niet kleiner mag worden dan het in het verleden is geweest;</w:t>
            </w:r>
          </w:p>
          <w:p w:rsidR="009501A1" w:rsidP="009501A1" w:rsidRDefault="009501A1" w14:paraId="655CF76E" w14:textId="77777777"/>
          <w:p w:rsidR="009501A1" w:rsidP="009501A1" w:rsidRDefault="009501A1" w14:paraId="5A29B5D0" w14:textId="77777777">
            <w:r>
              <w:t xml:space="preserve">overwegende dat het IMG momenteel op basis van technische onderbouwingen, zoals het </w:t>
            </w:r>
            <w:proofErr w:type="spellStart"/>
            <w:r>
              <w:t>Deltares</w:t>
            </w:r>
            <w:proofErr w:type="spellEnd"/>
            <w:r>
              <w:t xml:space="preserve">-onderzoek, opnieuw onderscheid maakt tussen bewoners in de "oortjes", afhankelijk van hun locatie binnen of buiten de twaalf </w:t>
            </w:r>
            <w:proofErr w:type="spellStart"/>
            <w:r>
              <w:t>Deltares</w:t>
            </w:r>
            <w:proofErr w:type="spellEnd"/>
            <w:r>
              <w:t>-gebieden, waarmee sommige bewoners in de "oortjes" feitelijk weer buiten de toepassing van het bewijsvermoeden vallen;</w:t>
            </w:r>
          </w:p>
          <w:p w:rsidR="009501A1" w:rsidP="009501A1" w:rsidRDefault="009501A1" w14:paraId="53CF975B" w14:textId="77777777"/>
          <w:p w:rsidR="009501A1" w:rsidP="009501A1" w:rsidRDefault="009501A1" w14:paraId="0D30C522" w14:textId="77777777">
            <w:r>
              <w:t xml:space="preserve">verzoekt de regering ervoor te zorgen dat het IMG in het gehele gebied rond de gasopslagen, inclusief de "oortjes", het wettelijke bewijsvermoeden zo toepast dat schade altijd geacht wordt te zijn veroorzaakt door </w:t>
            </w:r>
            <w:r>
              <w:lastRenderedPageBreak/>
              <w:t>mijnbouwactiviteiten, tenzij daadwerkelijk een andere oorzaak wordt aangetoond, zoals de AMvB ook beoogt,</w:t>
            </w:r>
          </w:p>
          <w:p w:rsidR="009501A1" w:rsidP="009501A1" w:rsidRDefault="009501A1" w14:paraId="1C35FE27" w14:textId="77777777"/>
          <w:p w:rsidR="009501A1" w:rsidP="009501A1" w:rsidRDefault="009501A1" w14:paraId="2307514A" w14:textId="77777777">
            <w:r>
              <w:t>en gaat over tot de orde van de dag.</w:t>
            </w:r>
          </w:p>
          <w:p w:rsidR="009501A1" w:rsidP="009501A1" w:rsidRDefault="009501A1" w14:paraId="36155CA0" w14:textId="77777777"/>
          <w:p w:rsidR="009501A1" w:rsidP="009501A1" w:rsidRDefault="009501A1" w14:paraId="7472D8FA" w14:textId="77777777">
            <w:r>
              <w:t>Vedder</w:t>
            </w:r>
          </w:p>
          <w:p w:rsidR="009501A1" w:rsidP="009501A1" w:rsidRDefault="009501A1" w14:paraId="79F1ED30" w14:textId="77777777">
            <w:r>
              <w:t>Holman</w:t>
            </w:r>
          </w:p>
          <w:p w:rsidR="009501A1" w:rsidP="009501A1" w:rsidRDefault="009501A1" w14:paraId="7923E800" w14:textId="77777777">
            <w:r>
              <w:t>Teunissen</w:t>
            </w:r>
          </w:p>
          <w:p w:rsidR="009501A1" w:rsidP="009501A1" w:rsidRDefault="009501A1" w14:paraId="245D7DE4" w14:textId="77777777">
            <w:proofErr w:type="spellStart"/>
            <w:r>
              <w:t>Bamenga</w:t>
            </w:r>
            <w:proofErr w:type="spellEnd"/>
          </w:p>
          <w:p w:rsidR="009501A1" w:rsidP="009501A1" w:rsidRDefault="009501A1" w14:paraId="23C25C5E" w14:textId="77777777">
            <w:r>
              <w:t>Beckerman</w:t>
            </w:r>
          </w:p>
          <w:p w:rsidR="009501A1" w:rsidP="009501A1" w:rsidRDefault="009501A1" w14:paraId="7F4568EB" w14:textId="77777777">
            <w:r>
              <w:t>Bikker</w:t>
            </w:r>
          </w:p>
          <w:p w:rsidR="00997775" w:rsidP="009501A1" w:rsidRDefault="009501A1" w14:paraId="6D02096F" w14:textId="24D6FCE1">
            <w:proofErr w:type="spellStart"/>
            <w:r>
              <w:t>Bushoff</w:t>
            </w:r>
            <w:proofErr w:type="spellEnd"/>
          </w:p>
        </w:tc>
      </w:tr>
    </w:tbl>
    <w:p w:rsidR="00997775" w:rsidRDefault="00997775" w14:paraId="25D37E6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22C1" w14:textId="77777777" w:rsidR="009501A1" w:rsidRDefault="009501A1">
      <w:pPr>
        <w:spacing w:line="20" w:lineRule="exact"/>
      </w:pPr>
    </w:p>
  </w:endnote>
  <w:endnote w:type="continuationSeparator" w:id="0">
    <w:p w14:paraId="28AF26DE" w14:textId="77777777" w:rsidR="009501A1" w:rsidRDefault="009501A1">
      <w:pPr>
        <w:pStyle w:val="Amendement"/>
      </w:pPr>
      <w:r>
        <w:rPr>
          <w:b w:val="0"/>
        </w:rPr>
        <w:t xml:space="preserve"> </w:t>
      </w:r>
    </w:p>
  </w:endnote>
  <w:endnote w:type="continuationNotice" w:id="1">
    <w:p w14:paraId="69BFB8EE" w14:textId="77777777" w:rsidR="009501A1" w:rsidRDefault="009501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6A39C" w14:textId="77777777" w:rsidR="009501A1" w:rsidRDefault="009501A1">
      <w:pPr>
        <w:pStyle w:val="Amendement"/>
      </w:pPr>
      <w:r>
        <w:rPr>
          <w:b w:val="0"/>
        </w:rPr>
        <w:separator/>
      </w:r>
    </w:p>
  </w:footnote>
  <w:footnote w:type="continuationSeparator" w:id="0">
    <w:p w14:paraId="226C4865" w14:textId="77777777" w:rsidR="009501A1" w:rsidRDefault="0095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501A1"/>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BBD16"/>
  <w15:docId w15:val="{B00987DB-ED15-49DE-8ECA-FABFDF14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295</ap:Words>
  <ap:Characters>1792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2025-09-03T12:03:00.0000000Z</dcterms:created>
  <dcterms:modified xsi:type="dcterms:W3CDTF">2025-09-03T12:24:00.0000000Z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