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B69" w:rsidRDefault="00871B69" w14:paraId="2E86BC55" w14:textId="77777777"/>
    <w:p w:rsidR="00871B69" w:rsidRDefault="00871B69" w14:paraId="00D2669C" w14:textId="398A265C">
      <w:r>
        <w:t>Geachte voorzitter,</w:t>
      </w:r>
    </w:p>
    <w:p w:rsidR="00871B69" w:rsidRDefault="00871B69" w14:paraId="1EEDB3C6" w14:textId="77777777"/>
    <w:p w:rsidR="00FE621C" w:rsidRDefault="00E3678A" w14:paraId="525FE14A" w14:textId="6AA8026E">
      <w:r>
        <w:t>Hierbij bied ik u</w:t>
      </w:r>
      <w:r w:rsidR="00A24917">
        <w:t xml:space="preserve"> </w:t>
      </w:r>
      <w:r>
        <w:t>de antwoorden aan op de schriftelijke vragen gesteld door de leden Hirsch (GL-PvdA) en Dobbe (SP) over het artikel 'Nederland levert militair materieel aan dubieuze regimes'.</w:t>
      </w:r>
      <w:r w:rsidR="00E200A5">
        <w:t xml:space="preserve"> </w:t>
      </w:r>
      <w:r>
        <w:t>Deze vragen werden ingezonden op 16 juli 2025 met kenmerk 2025Z14730.</w:t>
      </w:r>
    </w:p>
    <w:p w:rsidR="00FE621C" w:rsidRDefault="00FE621C" w14:paraId="525FE14B" w14:textId="77777777"/>
    <w:p w:rsidR="00FE621C" w:rsidRDefault="00FE621C" w14:paraId="525FE14C" w14:textId="77777777"/>
    <w:p w:rsidR="00FE621C" w:rsidRDefault="00FE621C" w14:paraId="525FE14D" w14:textId="77777777"/>
    <w:p w:rsidR="00FE621C" w:rsidRDefault="00253DBA" w14:paraId="525FE150" w14:textId="010659A7">
      <w:r>
        <w:t>De minister van Buitenlandse Zaken</w:t>
      </w:r>
      <w:r w:rsidR="00E3678A">
        <w:t>,</w:t>
      </w:r>
      <w:r w:rsidR="00E3678A">
        <w:br/>
      </w:r>
      <w:r w:rsidR="00E3678A">
        <w:br/>
      </w:r>
      <w:r w:rsidR="00E3678A">
        <w:br/>
      </w:r>
      <w:r w:rsidR="00E3678A">
        <w:br/>
      </w:r>
      <w:r w:rsidR="00E3678A">
        <w:br/>
      </w:r>
      <w:r w:rsidR="00E3678A">
        <w:br/>
      </w:r>
      <w:r>
        <w:t>Ruben Brekelmans</w:t>
      </w:r>
    </w:p>
    <w:p w:rsidR="00FE621C" w:rsidRDefault="00E3678A" w14:paraId="525FE151" w14:textId="77777777">
      <w:pPr>
        <w:pStyle w:val="WitregelW1bodytekst"/>
      </w:pPr>
      <w:r>
        <w:br w:type="page"/>
      </w:r>
    </w:p>
    <w:p w:rsidR="00FE621C" w:rsidRDefault="00E3678A" w14:paraId="525FE152" w14:textId="236F6DB0">
      <w:r>
        <w:rPr>
          <w:b/>
        </w:rPr>
        <w:lastRenderedPageBreak/>
        <w:t xml:space="preserve">Antwoorden van de </w:t>
      </w:r>
      <w:r w:rsidR="00A24917">
        <w:rPr>
          <w:b/>
        </w:rPr>
        <w:t>m</w:t>
      </w:r>
      <w:r>
        <w:rPr>
          <w:b/>
        </w:rPr>
        <w:t>inister van Buitenlandse Zaken op vragen van de leden Hirsch (GL-PvdA) en Dobbe (SP) over het artikel 'Nederland levert militair materieel aan dubieuze regimes'.</w:t>
      </w:r>
    </w:p>
    <w:p w:rsidR="00FE621C" w:rsidRDefault="00FE621C" w14:paraId="525FE153" w14:textId="77777777"/>
    <w:p w:rsidR="00FE621C" w:rsidRDefault="00E3678A" w14:paraId="525FE154" w14:textId="77777777">
      <w:r>
        <w:rPr>
          <w:b/>
        </w:rPr>
        <w:t>Vraag 1</w:t>
      </w:r>
    </w:p>
    <w:p w:rsidR="00FE621C" w:rsidRDefault="0094757C" w14:paraId="525FE156" w14:textId="130CE66E">
      <w:r w:rsidRPr="0094757C">
        <w:t>Bent u bekend met het artikel 'Liever koopman dan dominee: ‘Nederland levert militair materieel aan dubieuze regimes’?</w:t>
      </w:r>
      <w:r>
        <w:rPr>
          <w:rStyle w:val="FootnoteReference"/>
        </w:rPr>
        <w:footnoteReference w:id="2"/>
      </w:r>
    </w:p>
    <w:p w:rsidR="0044224A" w:rsidRDefault="0044224A" w14:paraId="0AFA0B0E" w14:textId="77777777">
      <w:pPr>
        <w:rPr>
          <w:b/>
        </w:rPr>
      </w:pPr>
    </w:p>
    <w:p w:rsidR="00FE621C" w:rsidRDefault="00E3678A" w14:paraId="525FE157" w14:textId="16EC86BF">
      <w:r>
        <w:rPr>
          <w:b/>
        </w:rPr>
        <w:t>Antwoord</w:t>
      </w:r>
    </w:p>
    <w:p w:rsidR="00FE621C" w:rsidRDefault="00465D72" w14:paraId="525FE158" w14:textId="3EA7D105">
      <w:r>
        <w:t>Ja.</w:t>
      </w:r>
    </w:p>
    <w:p w:rsidR="00FE621C" w:rsidRDefault="00FE621C" w14:paraId="525FE159" w14:textId="77777777"/>
    <w:p w:rsidR="00FE621C" w:rsidRDefault="00E3678A" w14:paraId="525FE15A" w14:textId="77777777">
      <w:r>
        <w:rPr>
          <w:b/>
        </w:rPr>
        <w:t>Vraag 2</w:t>
      </w:r>
    </w:p>
    <w:p w:rsidR="00FE621C" w:rsidRDefault="00EC76D1" w14:paraId="525FE15C" w14:textId="0E64B9D0">
      <w:r w:rsidRPr="00EC76D1">
        <w:t>Bent u bekend met het ook voor Nederland geldende VN Arms Trade Treaty</w:t>
      </w:r>
      <w:r>
        <w:rPr>
          <w:rStyle w:val="FootnoteReference"/>
        </w:rPr>
        <w:footnoteReference w:id="3"/>
      </w:r>
      <w:r w:rsidRPr="00EC76D1">
        <w:t xml:space="preserve"> en het Europees Gemeenschappelijk Standpunt</w:t>
      </w:r>
      <w:r>
        <w:rPr>
          <w:rStyle w:val="FootnoteReference"/>
        </w:rPr>
        <w:footnoteReference w:id="4"/>
      </w:r>
      <w:r w:rsidRPr="00EC76D1">
        <w:t>? Deelt u de mening dat die normen vaststellen dat handelsbelangen niet zwaarder mogen wegen dan het risico dat de militaire goederen voor schendingen zullen worden gebruikt? Zo ja, kunt u aangeven op welke manier het Nederlands beleid waarborgt dat het risico dat Nederlandse wapens terechtkomen bij regimes die mensenrechten schenden, wordt voorkomen?</w:t>
      </w:r>
    </w:p>
    <w:p w:rsidR="00EC76D1" w:rsidRDefault="00EC76D1" w14:paraId="19569947" w14:textId="77777777">
      <w:pPr>
        <w:rPr>
          <w:b/>
        </w:rPr>
      </w:pPr>
    </w:p>
    <w:p w:rsidR="00E3678A" w:rsidP="00E3678A" w:rsidRDefault="00E3678A" w14:paraId="5CE9784F" w14:textId="77777777">
      <w:r>
        <w:rPr>
          <w:b/>
        </w:rPr>
        <w:t>Vraag 3</w:t>
      </w:r>
    </w:p>
    <w:p w:rsidR="00E3678A" w:rsidP="00E3678A" w:rsidRDefault="00E3678A" w14:paraId="03B95342" w14:textId="77777777">
      <w:r w:rsidRPr="00EC76D1">
        <w:t>Deelt u dat deze juridische norm vereist dat het exporterende land niet handelt op basis van bewijs van schendingen maar op basis van een inschatting van het risico dat de geëxporteerde militaire goederen bijdragen aan</w:t>
      </w:r>
      <w:r>
        <w:t xml:space="preserve"> </w:t>
      </w:r>
      <w:r w:rsidRPr="00EC76D1">
        <w:t>mensenrechtenschendingen, zodat verkeerd gebruik van militaire middelen wordt voorkomen? Zo nee, kunt u toelichten hoe u de internationale norm interpreteert?</w:t>
      </w:r>
    </w:p>
    <w:p w:rsidR="00E3678A" w:rsidRDefault="00E3678A" w14:paraId="6C1D463D" w14:textId="77777777">
      <w:pPr>
        <w:rPr>
          <w:b/>
        </w:rPr>
      </w:pPr>
    </w:p>
    <w:p w:rsidR="00FE621C" w:rsidRDefault="00E3678A" w14:paraId="525FE15D" w14:textId="5AB09810">
      <w:r>
        <w:rPr>
          <w:b/>
        </w:rPr>
        <w:t xml:space="preserve">Antwoord </w:t>
      </w:r>
      <w:r w:rsidR="00E200A5">
        <w:rPr>
          <w:b/>
        </w:rPr>
        <w:t xml:space="preserve">op </w:t>
      </w:r>
      <w:r>
        <w:rPr>
          <w:b/>
        </w:rPr>
        <w:t>vraag 2 en 3</w:t>
      </w:r>
    </w:p>
    <w:p w:rsidR="005D5D7F" w:rsidP="005D5D7F" w:rsidRDefault="005D5D7F" w14:paraId="72E1B360" w14:textId="77777777">
      <w:r>
        <w:t>Het kabinet informeert de Kamer regelmatig en uitvoerig over het Nederlandse exportcontrolebeleid, onder andere via de jaarrapporten, versnelde rapportage per brief over bepaalde transacties en de beantwoording van diverse schriftelijke vragen over het onderwerp.</w:t>
      </w:r>
    </w:p>
    <w:p w:rsidR="005D5D7F" w:rsidP="0044224A" w:rsidRDefault="005D5D7F" w14:paraId="354D3674" w14:textId="77777777"/>
    <w:p w:rsidR="00FE621C" w:rsidP="0044224A" w:rsidRDefault="005D5D7F" w14:paraId="525FE15E" w14:textId="75D3025B">
      <w:r>
        <w:t>Daarin wordt veelvoudig toegelicht dat e</w:t>
      </w:r>
      <w:r w:rsidR="0044224A">
        <w:t>xportcontrole van militaire goederen is bedoeld om de ongewenste verspreiding</w:t>
      </w:r>
      <w:r w:rsidR="00ED5A3E">
        <w:t xml:space="preserve"> en gebruik</w:t>
      </w:r>
      <w:r w:rsidR="0044224A">
        <w:t xml:space="preserve"> van militaire goederen te voorkomen en ervoor te zorgen dat een export geen activiteiten ondersteunt die in strijd zijn met Nederlandse belangen en verplichtingen. </w:t>
      </w:r>
    </w:p>
    <w:p w:rsidR="003B0D9D" w:rsidP="003B0D9D" w:rsidRDefault="003B0D9D" w14:paraId="0D335233" w14:textId="77777777"/>
    <w:p w:rsidR="0044224A" w:rsidP="0044224A" w:rsidRDefault="00ED5A3E" w14:paraId="6B2EDA06" w14:textId="44D8CBF7">
      <w:r>
        <w:t xml:space="preserve">Het kabinet </w:t>
      </w:r>
      <w:r w:rsidR="0044224A">
        <w:t>toetst</w:t>
      </w:r>
      <w:r w:rsidR="005D5D7F">
        <w:t xml:space="preserve"> daartoe</w:t>
      </w:r>
      <w:r w:rsidR="0044224A">
        <w:t xml:space="preserve"> exportaanvragen voor militair</w:t>
      </w:r>
      <w:r w:rsidR="000D527C">
        <w:t>e</w:t>
      </w:r>
      <w:r w:rsidR="0044224A">
        <w:t xml:space="preserve"> goederen aan de acht criteria van het EU Gemeenschappelijk Standpunt (</w:t>
      </w:r>
      <w:r>
        <w:t xml:space="preserve">EUGS, </w:t>
      </w:r>
      <w:r w:rsidR="0044224A">
        <w:t>2008/944/GBVB) inzake wapenexport</w:t>
      </w:r>
      <w:r w:rsidR="00E3678A">
        <w:t xml:space="preserve"> (hierna: EUGS)</w:t>
      </w:r>
      <w:r w:rsidR="0044224A">
        <w:t xml:space="preserve"> met inachtneming van de aard van het goed, de eindbestemming, de eindgebruiker en het beoogd eindgebruik. </w:t>
      </w:r>
      <w:r>
        <w:t xml:space="preserve">Met deze toets wordt eveneens voldaan aan de verplichtingen die voortvloeien uit het wapenhandelsverdrag. Onderdeel van de toets is een analyse van het risico dat uit te voeren goederen gebruikt worden bij het begaan van </w:t>
      </w:r>
      <w:r w:rsidRPr="0044224A">
        <w:t>ernstige schendingen van de mensenrechten of het humanitair oorlogsrecht</w:t>
      </w:r>
      <w:r>
        <w:t>. Uit het EUGS vloeit voort dat, d</w:t>
      </w:r>
      <w:r w:rsidRPr="0044224A" w:rsidR="0044224A">
        <w:t xml:space="preserve">aar waar een duidelijk risico </w:t>
      </w:r>
      <w:r>
        <w:t>op dergelijk gebruik wordt vastgesteld,</w:t>
      </w:r>
      <w:r w:rsidRPr="0044224A" w:rsidR="0044224A">
        <w:t xml:space="preserve"> een </w:t>
      </w:r>
      <w:r w:rsidRPr="0044224A" w:rsidR="0044224A">
        <w:lastRenderedPageBreak/>
        <w:t xml:space="preserve">vergunningaanvraag </w:t>
      </w:r>
      <w:r>
        <w:t xml:space="preserve">dient te worden </w:t>
      </w:r>
      <w:r w:rsidRPr="0044224A" w:rsidR="0044224A">
        <w:t>afgewezen</w:t>
      </w:r>
      <w:r>
        <w:t xml:space="preserve">. Het kabinet past dit toetsingsbeleid zorgvuldig toe. </w:t>
      </w:r>
    </w:p>
    <w:p w:rsidR="003B0D9D" w:rsidP="0044224A" w:rsidRDefault="003B0D9D" w14:paraId="1898E93A" w14:textId="77777777"/>
    <w:p w:rsidR="00FE621C" w:rsidRDefault="00E3678A" w14:paraId="525FE166" w14:textId="77777777">
      <w:r>
        <w:rPr>
          <w:b/>
        </w:rPr>
        <w:t>Vraag 4</w:t>
      </w:r>
    </w:p>
    <w:p w:rsidR="00FE621C" w:rsidRDefault="00EC76D1" w14:paraId="525FE168" w14:textId="3F4F495C">
      <w:r w:rsidRPr="00EC76D1">
        <w:t>Bent u bekend met de IOB Beleidsdoorlichting ‘Non-proliferatie wapenbeheersing en exportcontrole van strategische goederen’?</w:t>
      </w:r>
      <w:r>
        <w:rPr>
          <w:rStyle w:val="FootnoteReference"/>
        </w:rPr>
        <w:footnoteReference w:id="5"/>
      </w:r>
      <w:r w:rsidRPr="00EC76D1">
        <w:t xml:space="preserve"> Deelt u de conclusie dat adviesmemo’s over het verstrekken van vergunningen aan bestemmingslanden met een slechte mensenrechtensituatie, te weinig aandacht besteedden aan de specifieke link tussen de te leveren goederen en het risico op specifieke mensenrechtenschendingen?</w:t>
      </w:r>
      <w:r w:rsidR="008C50C3">
        <w:rPr>
          <w:rStyle w:val="FootnoteReference"/>
        </w:rPr>
        <w:footnoteReference w:id="6"/>
      </w:r>
      <w:r w:rsidRPr="00EC76D1">
        <w:t xml:space="preserve"> Zo nee, waarom niet?</w:t>
      </w:r>
    </w:p>
    <w:p w:rsidR="00EC76D1" w:rsidRDefault="00EC76D1" w14:paraId="29BC6891" w14:textId="77777777"/>
    <w:p w:rsidR="00FE621C" w:rsidRDefault="00E3678A" w14:paraId="525FE169" w14:textId="77777777">
      <w:r>
        <w:rPr>
          <w:b/>
        </w:rPr>
        <w:t>Antwoord</w:t>
      </w:r>
    </w:p>
    <w:p w:rsidR="0044224A" w:rsidP="0044224A" w:rsidRDefault="0044224A" w14:paraId="255A028C" w14:textId="00F568C4">
      <w:r w:rsidRPr="0044224A">
        <w:t xml:space="preserve">De IOB </w:t>
      </w:r>
      <w:r w:rsidRPr="00DA7D12" w:rsidR="00DA7D12">
        <w:t>“beleidsdoorlichting non-proliferatie, wapenbeheersing en exportcontrole van strategische goederen” (2018)</w:t>
      </w:r>
      <w:r>
        <w:t>,</w:t>
      </w:r>
      <w:r w:rsidRPr="0044224A">
        <w:t xml:space="preserve"> </w:t>
      </w:r>
      <w:r>
        <w:t xml:space="preserve">die </w:t>
      </w:r>
      <w:r w:rsidRPr="0044224A">
        <w:t xml:space="preserve">betrekking </w:t>
      </w:r>
      <w:r>
        <w:t xml:space="preserve">heeft </w:t>
      </w:r>
      <w:r w:rsidRPr="0044224A">
        <w:t>op de periode 2009-2016</w:t>
      </w:r>
      <w:r>
        <w:t xml:space="preserve">, stelt dat de adviesmemo’s in die periode een </w:t>
      </w:r>
      <w:r w:rsidRPr="0044224A">
        <w:t xml:space="preserve">algemeen beeld </w:t>
      </w:r>
      <w:r>
        <w:t xml:space="preserve">gaven </w:t>
      </w:r>
      <w:r w:rsidRPr="0044224A">
        <w:t>van de mensenrechtensituatie in het land van bestemming</w:t>
      </w:r>
      <w:r>
        <w:t xml:space="preserve"> en te weinig aandacht besteedden aan de vraag hoe het uit te voeren goed zou kunnen bijdragen aan bijvoorbeeld de schending van mensenrechten. </w:t>
      </w:r>
    </w:p>
    <w:p w:rsidR="0044224A" w:rsidP="0044224A" w:rsidRDefault="0044224A" w14:paraId="1F376B2C" w14:textId="4B38A041"/>
    <w:p w:rsidR="00ED5A3E" w:rsidP="0044224A" w:rsidRDefault="007900AC" w14:paraId="472F728B" w14:textId="15B55C7B">
      <w:r>
        <w:t>In lijn met de kabinetsreactie</w:t>
      </w:r>
      <w:r w:rsidR="00BD3CD4">
        <w:rPr>
          <w:rStyle w:val="FootnoteReference"/>
        </w:rPr>
        <w:footnoteReference w:id="7"/>
      </w:r>
      <w:r>
        <w:t xml:space="preserve"> over de IOB beleidsdoorlichting</w:t>
      </w:r>
      <w:r w:rsidRPr="00DA7D12" w:rsidR="00DA7D12">
        <w:t xml:space="preserve"> </w:t>
      </w:r>
      <w:r>
        <w:t>wordt i</w:t>
      </w:r>
      <w:r w:rsidR="00ED5A3E">
        <w:t xml:space="preserve">n de huidige toetsingspraktijk </w:t>
      </w:r>
      <w:r>
        <w:t>voor zover mogelijk in meer details en</w:t>
      </w:r>
      <w:r w:rsidR="00ED5A3E">
        <w:t xml:space="preserve"> op basis van de aard van het goed, de eindbestemming, de eindgebruiker en het beoogd eindgebruik per aanvraag onder meer zorgvuldig beoordeeld wat het risico is dat de betreffende goederen worden gebruikt bij ernstige schendingen van mensenrechten of het humanitair oorlogsrecht. Conform criterium twee van het EUGS leidt een duidelijk risico op dergelijk ongewenst gebruikt tot een afwijzing. </w:t>
      </w:r>
    </w:p>
    <w:p w:rsidR="00ED5A3E" w:rsidP="0044224A" w:rsidRDefault="00ED5A3E" w14:paraId="12591A39" w14:textId="77777777"/>
    <w:p w:rsidR="0044224A" w:rsidP="0044224A" w:rsidRDefault="00ED5A3E" w14:paraId="50ADE120" w14:textId="48CD9303">
      <w:r>
        <w:t xml:space="preserve">De link tussen te leveren goederen en het risico op mensenrechtenschendingen maakt daarmee </w:t>
      </w:r>
      <w:r w:rsidR="0044224A">
        <w:t>een centraal onderdeel</w:t>
      </w:r>
      <w:r>
        <w:t xml:space="preserve"> uit</w:t>
      </w:r>
      <w:r w:rsidR="0044224A">
        <w:t xml:space="preserve"> van de wapenexporttoets. </w:t>
      </w:r>
    </w:p>
    <w:p w:rsidR="00FE621C" w:rsidP="0044224A" w:rsidRDefault="00FE621C" w14:paraId="525FE16A" w14:textId="4A657DE5"/>
    <w:p w:rsidR="00FE621C" w:rsidRDefault="00E3678A" w14:paraId="525FE16C" w14:textId="77777777">
      <w:r>
        <w:rPr>
          <w:b/>
        </w:rPr>
        <w:t>Vraag 5</w:t>
      </w:r>
    </w:p>
    <w:p w:rsidR="00FE621C" w:rsidRDefault="00EC76D1" w14:paraId="525FE16E" w14:textId="259F2C43">
      <w:r w:rsidRPr="00EC76D1">
        <w:t>Kunt u bevestigen dat het grootste deel van de militaire vergunningen wordt aangevraagd door maritieme bedrijven, of door bedrijven die radar-, communicatie- en vuurgeleidingssystemen leveren aan maritieme bedrijven? Zo ja, welk percentage van de totale waarde van de militaire export gaat naar deze sector? Zo nee, kunt u de Kamer informeren over de andere sectoren die militaire exportvergunningen aanvragen?</w:t>
      </w:r>
    </w:p>
    <w:p w:rsidR="00EC76D1" w:rsidRDefault="00EC76D1" w14:paraId="48D8CEDA" w14:textId="4C279580"/>
    <w:p w:rsidR="00FE621C" w:rsidRDefault="00E3678A" w14:paraId="525FE16F" w14:textId="77777777">
      <w:r>
        <w:rPr>
          <w:b/>
        </w:rPr>
        <w:t>Antwoord</w:t>
      </w:r>
    </w:p>
    <w:p w:rsidR="00253DBA" w:rsidP="00253DBA" w:rsidRDefault="00253DBA" w14:paraId="420BBAAC" w14:textId="2CF1A2A3">
      <w:r w:rsidRPr="0081631C">
        <w:t xml:space="preserve">De data ten aanzien van vergunningen </w:t>
      </w:r>
      <w:r w:rsidR="00270FF5">
        <w:t xml:space="preserve">voor de uitvoer van militaire goederen </w:t>
      </w:r>
      <w:r w:rsidRPr="0081631C">
        <w:t>worden niet per sector bijgehouden. Hierdoor is niet te zeggen welk</w:t>
      </w:r>
      <w:r w:rsidR="00270FF5">
        <w:t>e</w:t>
      </w:r>
      <w:r w:rsidRPr="0081631C">
        <w:t xml:space="preserve"> </w:t>
      </w:r>
      <w:r w:rsidR="00270FF5">
        <w:t>sector het hoogste aantal aanvragen doet</w:t>
      </w:r>
      <w:r w:rsidRPr="0081631C">
        <w:t>. Uit de data ten aanzien van</w:t>
      </w:r>
      <w:r w:rsidR="00734FAD">
        <w:t xml:space="preserve"> afgegeven</w:t>
      </w:r>
      <w:r w:rsidRPr="0081631C">
        <w:t xml:space="preserve"> vergunningen is wel op te maken </w:t>
      </w:r>
      <w:r w:rsidR="00734FAD">
        <w:t xml:space="preserve">wat de waarde van de afgegeven vergunningen per </w:t>
      </w:r>
      <w:r w:rsidRPr="00734FAD" w:rsidR="00734FAD">
        <w:t xml:space="preserve">categorie </w:t>
      </w:r>
      <w:r w:rsidR="00734FAD">
        <w:t>militaire goederen is</w:t>
      </w:r>
      <w:r w:rsidRPr="0081631C">
        <w:t>, zoals elektronische apparatuur, radar-, en vuurgeleidingssystemen, oorlogsschepen en onderdelen daarvoor.</w:t>
      </w:r>
    </w:p>
    <w:p w:rsidR="00253DBA" w:rsidP="00FD2284" w:rsidRDefault="00253DBA" w14:paraId="1E6A11AD" w14:textId="77777777">
      <w:pPr>
        <w:rPr>
          <w:highlight w:val="yellow"/>
        </w:rPr>
      </w:pPr>
    </w:p>
    <w:p w:rsidR="00734FAD" w:rsidP="00FD2284" w:rsidRDefault="00734FAD" w14:paraId="47D6AA99" w14:textId="70C7971A">
      <w:r w:rsidRPr="00950B07">
        <w:lastRenderedPageBreak/>
        <w:t>Zo bed</w:t>
      </w:r>
      <w:r w:rsidR="00270FF5">
        <w:t>roeg</w:t>
      </w:r>
      <w:r w:rsidRPr="00950B07">
        <w:t xml:space="preserve"> in 2024</w:t>
      </w:r>
      <w:r w:rsidRPr="00950B07">
        <w:rPr>
          <w:rStyle w:val="FootnoteReference"/>
        </w:rPr>
        <w:footnoteReference w:id="8"/>
      </w:r>
      <w:r w:rsidRPr="00F17877">
        <w:t xml:space="preserve"> d</w:t>
      </w:r>
      <w:r w:rsidRPr="00F17877" w:rsidR="00FD2284">
        <w:t>e totale waarde van de afgegeven vergunningen voor</w:t>
      </w:r>
      <w:r w:rsidRPr="00F17877">
        <w:t xml:space="preserve"> definitieve uitvoer van ML5 goederen (vuurgeleidingssystemen, bewakings- en waarschuwingssystemen, en aanverwante systemen, test- en uitlijningsapparatuur en apparatuur voor tegenmaatregelen, speciaal ontworpen voor militair gebruik en speciaal ontworpen onderdelen en toebehoren daarvoor) € 71,63 miljoen</w:t>
      </w:r>
      <w:r w:rsidR="00270FF5">
        <w:t>. I</w:t>
      </w:r>
      <w:r w:rsidRPr="00F17877">
        <w:t>n 2023</w:t>
      </w:r>
      <w:r w:rsidRPr="00F17877">
        <w:rPr>
          <w:rStyle w:val="FootnoteReference"/>
        </w:rPr>
        <w:footnoteReference w:id="9"/>
      </w:r>
      <w:r>
        <w:t xml:space="preserve"> bedr</w:t>
      </w:r>
      <w:r w:rsidR="00270FF5">
        <w:t>oeg</w:t>
      </w:r>
      <w:r>
        <w:t xml:space="preserve"> dit </w:t>
      </w:r>
      <w:r w:rsidRPr="00F17877">
        <w:t>€ 268,38 miljoen.</w:t>
      </w:r>
      <w:r w:rsidR="00270FF5">
        <w:t xml:space="preserve"> Het betreft hier goederen die in veel gevallen, maar niet uitsluitend, verband houden met de maritieme sector.</w:t>
      </w:r>
      <w:r>
        <w:t xml:space="preserve"> </w:t>
      </w:r>
    </w:p>
    <w:p w:rsidR="00734FAD" w:rsidP="00FD2284" w:rsidRDefault="00734FAD" w14:paraId="563CA6CC" w14:textId="77777777"/>
    <w:p w:rsidR="00FD2284" w:rsidP="00FD2284" w:rsidRDefault="00734FAD" w14:paraId="2F888B6E" w14:textId="1B509239">
      <w:r w:rsidRPr="00F17877">
        <w:t xml:space="preserve">De totale waarde van de in 2024 afgegeven vergunningen voor definitieve uitvoer van </w:t>
      </w:r>
      <w:r w:rsidRPr="00F17877" w:rsidR="00FD2284">
        <w:t>ML9 goederen (</w:t>
      </w:r>
      <w:r w:rsidRPr="00F17877">
        <w:t>o</w:t>
      </w:r>
      <w:r w:rsidRPr="00F17877" w:rsidR="00FD2284">
        <w:t>orlogsschepen, zowel oppervlakteschepen als onderzeeboten, speciale scheepsuitrusting, toebehoren, onderdelen en andere oppervlakteschepen)</w:t>
      </w:r>
      <w:r w:rsidRPr="00F17877" w:rsidR="001E274F">
        <w:t xml:space="preserve"> </w:t>
      </w:r>
      <w:r w:rsidRPr="00F17877" w:rsidR="00FD2284">
        <w:t>bedr</w:t>
      </w:r>
      <w:r w:rsidR="00F17877">
        <w:t>oe</w:t>
      </w:r>
      <w:r w:rsidRPr="00F17877" w:rsidR="00FD2284">
        <w:t>g € 71,75 miljoen</w:t>
      </w:r>
      <w:r w:rsidR="00E718E7">
        <w:t>.</w:t>
      </w:r>
      <w:r w:rsidRPr="00F17877" w:rsidR="00946DEB">
        <w:t xml:space="preserve"> </w:t>
      </w:r>
      <w:r w:rsidR="00E718E7">
        <w:t>I</w:t>
      </w:r>
      <w:r w:rsidRPr="00F17877" w:rsidR="00946DEB">
        <w:t>n</w:t>
      </w:r>
      <w:r w:rsidRPr="00F17877">
        <w:t xml:space="preserve"> 2023 </w:t>
      </w:r>
      <w:r>
        <w:t>bedr</w:t>
      </w:r>
      <w:r w:rsidR="00E718E7">
        <w:t xml:space="preserve">oeg </w:t>
      </w:r>
      <w:r>
        <w:t xml:space="preserve">dit </w:t>
      </w:r>
      <w:r w:rsidRPr="00F17877" w:rsidR="00946DEB">
        <w:t>€ 103,80</w:t>
      </w:r>
      <w:r>
        <w:t xml:space="preserve"> miljoen</w:t>
      </w:r>
      <w:r w:rsidRPr="00F17877" w:rsidR="00FD2284">
        <w:t xml:space="preserve">. De totale waarde van </w:t>
      </w:r>
      <w:r w:rsidRPr="00F17877">
        <w:t>alle</w:t>
      </w:r>
      <w:r w:rsidRPr="00F17877" w:rsidR="00FD2284">
        <w:t xml:space="preserve"> afgegeven vergunningen in </w:t>
      </w:r>
      <w:r w:rsidRPr="00F17877" w:rsidR="00946DEB">
        <w:t>2024</w:t>
      </w:r>
      <w:r w:rsidR="00E718E7">
        <w:t xml:space="preserve"> </w:t>
      </w:r>
      <w:r w:rsidR="00F17877">
        <w:t xml:space="preserve">en </w:t>
      </w:r>
      <w:r w:rsidR="00E718E7">
        <w:t>2023</w:t>
      </w:r>
      <w:r w:rsidRPr="00F17877" w:rsidR="00FD2284">
        <w:t xml:space="preserve"> bedroeg </w:t>
      </w:r>
      <w:r w:rsidR="00F17877">
        <w:t xml:space="preserve">respectievelijk </w:t>
      </w:r>
      <w:r w:rsidRPr="00F17877" w:rsidR="00FD2284">
        <w:t>€ 1,87 miljard</w:t>
      </w:r>
      <w:r w:rsidRPr="00F17877" w:rsidR="00946DEB">
        <w:t xml:space="preserve"> en € 1,78 miljard</w:t>
      </w:r>
      <w:r w:rsidRPr="00F17877" w:rsidR="00FD2284">
        <w:t xml:space="preserve">. Voor verdere details over de export van militaire goederen verwijs ik graag naar de jaarrapporten </w:t>
      </w:r>
      <w:r w:rsidR="00E718E7">
        <w:t xml:space="preserve">en reguliere maandrapportages </w:t>
      </w:r>
      <w:r w:rsidRPr="00F17877" w:rsidR="00FD2284">
        <w:t>hierover.</w:t>
      </w:r>
      <w:r w:rsidR="00FD2284">
        <w:t xml:space="preserve"> </w:t>
      </w:r>
    </w:p>
    <w:p w:rsidR="00FE621C" w:rsidP="00FD2284" w:rsidRDefault="00FE621C" w14:paraId="525FE170" w14:textId="2590ACB6"/>
    <w:p w:rsidR="007D6A71" w:rsidP="007D6A71" w:rsidRDefault="007D6A71" w14:paraId="379B7463" w14:textId="17E5CECE">
      <w:r>
        <w:rPr>
          <w:b/>
        </w:rPr>
        <w:t>Vraag 6</w:t>
      </w:r>
    </w:p>
    <w:p w:rsidR="007D6A71" w:rsidP="007D6A71" w:rsidRDefault="00EC76D1" w14:paraId="09BE1952" w14:textId="3DCC95D5">
      <w:r w:rsidRPr="00EC76D1">
        <w:t>Bent u bekend met de berichten die het Egyptische regime van verschillende vormen van mensenrechtenschendingen beschuldigen?</w:t>
      </w:r>
      <w:r w:rsidR="008C50C3">
        <w:rPr>
          <w:rStyle w:val="FootnoteReference"/>
        </w:rPr>
        <w:footnoteReference w:id="10"/>
      </w:r>
    </w:p>
    <w:p w:rsidR="00EC76D1" w:rsidP="007D6A71" w:rsidRDefault="00EC76D1" w14:paraId="0CC1F8A2" w14:textId="77777777"/>
    <w:p w:rsidR="007D6A71" w:rsidP="007D6A71" w:rsidRDefault="007D6A71" w14:paraId="5CDE2525" w14:textId="77777777">
      <w:r>
        <w:rPr>
          <w:b/>
        </w:rPr>
        <w:t>Antwoord</w:t>
      </w:r>
    </w:p>
    <w:p w:rsidR="007D6A71" w:rsidP="007D6A71" w:rsidRDefault="00FD2284" w14:paraId="5143EBC9" w14:textId="79B9DAF5">
      <w:r>
        <w:t>Ja.</w:t>
      </w:r>
    </w:p>
    <w:p w:rsidR="007D6A71" w:rsidP="007D6A71" w:rsidRDefault="007D6A71" w14:paraId="35B954B6" w14:textId="77777777"/>
    <w:p w:rsidR="007D6A71" w:rsidP="007D6A71" w:rsidRDefault="007D6A71" w14:paraId="21F3AA07" w14:textId="469EE8BE">
      <w:r>
        <w:rPr>
          <w:b/>
        </w:rPr>
        <w:t>Vraag 7</w:t>
      </w:r>
    </w:p>
    <w:p w:rsidR="007D6A71" w:rsidP="007D6A71" w:rsidRDefault="00EC76D1" w14:paraId="5F3EAA61" w14:textId="306E7501">
      <w:r w:rsidRPr="00EC76D1">
        <w:t>Klopt het dat de bewindspersonen voor Buitenlandse Handel in de afgelopen 10 jaar minstens 44 militaire exporten naar Egypte goedkeurden, met totale waarde van 243,7 miljoen euro? Zo nee, kunt u aangeven hoeveel militaire exporten naar Egypte in de laatste 10 jaar zijn goedgekeurd en welke waarde die vertegenwoordigen?</w:t>
      </w:r>
    </w:p>
    <w:p w:rsidR="00EC76D1" w:rsidP="007D6A71" w:rsidRDefault="00EC76D1" w14:paraId="0CEC9071" w14:textId="77777777"/>
    <w:p w:rsidR="007D6A71" w:rsidP="007D6A71" w:rsidRDefault="007D6A71" w14:paraId="021B37D0" w14:textId="77777777">
      <w:r>
        <w:rPr>
          <w:b/>
        </w:rPr>
        <w:t>Antwoord</w:t>
      </w:r>
    </w:p>
    <w:p w:rsidR="007D6A71" w:rsidP="007D6A71" w:rsidRDefault="00253DBA" w14:paraId="6938E19B" w14:textId="6A1ACEB5">
      <w:r w:rsidRPr="00253DBA">
        <w:t xml:space="preserve">In de afgelopen 10 jaar heeft </w:t>
      </w:r>
      <w:r>
        <w:t>Nederland</w:t>
      </w:r>
      <w:r w:rsidRPr="00253DBA">
        <w:t xml:space="preserve"> in totaal 95 vergunninge</w:t>
      </w:r>
      <w:r>
        <w:t>n</w:t>
      </w:r>
      <w:r w:rsidR="00533465">
        <w:t>,</w:t>
      </w:r>
      <w:r>
        <w:t xml:space="preserve"> </w:t>
      </w:r>
      <w:r w:rsidRPr="00253DBA">
        <w:t xml:space="preserve">met een totale waarde van ongeveer </w:t>
      </w:r>
      <w:r w:rsidR="00814F2F">
        <w:t xml:space="preserve">€ </w:t>
      </w:r>
      <w:r w:rsidRPr="00253DBA">
        <w:t>677 m</w:t>
      </w:r>
      <w:r w:rsidR="00814F2F">
        <w:t>iljoen</w:t>
      </w:r>
      <w:r w:rsidR="00533465">
        <w:t>,</w:t>
      </w:r>
      <w:r w:rsidR="00814F2F">
        <w:t xml:space="preserve"> </w:t>
      </w:r>
      <w:r w:rsidR="00533465">
        <w:t xml:space="preserve">afgegeven </w:t>
      </w:r>
      <w:r w:rsidR="003D10E9">
        <w:t xml:space="preserve">voor uitvoer naar </w:t>
      </w:r>
      <w:r w:rsidRPr="00253DBA">
        <w:t>Egypte</w:t>
      </w:r>
      <w:r w:rsidR="003D10E9">
        <w:t>.</w:t>
      </w:r>
      <w:r w:rsidR="00BA7E53">
        <w:t xml:space="preserve"> Hier </w:t>
      </w:r>
      <w:r w:rsidR="00533465">
        <w:t xml:space="preserve">maken </w:t>
      </w:r>
      <w:r w:rsidR="00BA7E53">
        <w:t>ook de vergunningen voor tijdelijke uitvoer</w:t>
      </w:r>
      <w:r w:rsidR="00533465">
        <w:t xml:space="preserve"> </w:t>
      </w:r>
      <w:r w:rsidR="00BA7E53">
        <w:t xml:space="preserve">en de vergunningen ter vervanging van eerder afgegeven vergunningen </w:t>
      </w:r>
      <w:r w:rsidR="00533465">
        <w:t>deel van uit</w:t>
      </w:r>
      <w:r w:rsidR="00BA7E53">
        <w:t>.</w:t>
      </w:r>
      <w:r w:rsidR="00533465">
        <w:t xml:space="preserve"> Voor een goed begrip van de daadwerkelijke uitvoer moeten de tijdelijke uitvoer (goederen komen terug naar Nederland) en de vergunningen ter vervanging van (meetellen zou tot het meermaals meewegen van eenzelfde transactie leiden) buiten beschouwing worden gelaten.</w:t>
      </w:r>
      <w:r w:rsidR="00BA7E53">
        <w:t xml:space="preserve"> Wanneer gekeken wordt naar vergunningen met Egypte als land van eindbestemming</w:t>
      </w:r>
      <w:r w:rsidR="00533465">
        <w:t xml:space="preserve"> (eindgebruik in Egypte)</w:t>
      </w:r>
      <w:r w:rsidR="00BA7E53">
        <w:t>, uitgezonderd de vergunningen voor tijdelijke uitvoer en vergunningen ter vervanging van, zijn er in de afgelopen 10 jaar 32 vergunningen afgegeven met een totale waarde van € 140 miljoen euro</w:t>
      </w:r>
      <w:r w:rsidR="00814F2F">
        <w:t>.</w:t>
      </w:r>
      <w:r w:rsidRPr="00253DBA" w:rsidR="00814F2F">
        <w:t xml:space="preserve"> Het is </w:t>
      </w:r>
      <w:r w:rsidR="00814F2F">
        <w:t xml:space="preserve">voor het kabinet </w:t>
      </w:r>
      <w:r w:rsidRPr="00253DBA" w:rsidR="00814F2F">
        <w:t xml:space="preserve">niet duidelijk </w:t>
      </w:r>
      <w:r w:rsidR="00814F2F">
        <w:t>hoe</w:t>
      </w:r>
      <w:r w:rsidRPr="00253DBA" w:rsidR="00814F2F">
        <w:t xml:space="preserve"> Follow the Money </w:t>
      </w:r>
      <w:r w:rsidR="00814F2F">
        <w:t>tot de in het artikel genoemde getallen komt</w:t>
      </w:r>
      <w:r w:rsidRPr="00253DBA" w:rsidR="00814F2F">
        <w:t xml:space="preserve">. </w:t>
      </w:r>
    </w:p>
    <w:p w:rsidR="007D6A71" w:rsidP="007D6A71" w:rsidRDefault="007D6A71" w14:paraId="4633D63F" w14:textId="77777777"/>
    <w:p w:rsidR="007D6A71" w:rsidP="007D6A71" w:rsidRDefault="007D6A71" w14:paraId="4DAEFEAF" w14:textId="082EE03C">
      <w:r>
        <w:rPr>
          <w:b/>
        </w:rPr>
        <w:t>Vraag 8</w:t>
      </w:r>
    </w:p>
    <w:p w:rsidR="007D6A71" w:rsidP="007D6A71" w:rsidRDefault="00EC76D1" w14:paraId="799E4B90" w14:textId="3E4726A4">
      <w:r w:rsidRPr="00EC76D1">
        <w:t>Kunt u bevestigen dat in 2023 een exportvergunning voor tien radar- en communicatiesystemen voor Egyptische marineschepen voorlag? Kunt u bevestigen dat ambtenaren van het ministerie van Buitenlandse Zaken stelden dat er een duidelijk risico was dat de marineschepen en de Nederlandse radars bij nieuwe mensenrechtenschendingen gebruikt zouden worden, en dus tegen de vergunningverlening adviseerden?</w:t>
      </w:r>
    </w:p>
    <w:p w:rsidR="00EC76D1" w:rsidP="007D6A71" w:rsidRDefault="00EC76D1" w14:paraId="0BAA7131" w14:textId="77777777"/>
    <w:p w:rsidR="007D6A71" w:rsidP="007D6A71" w:rsidRDefault="007D6A71" w14:paraId="2954417F" w14:textId="72C53775">
      <w:r>
        <w:rPr>
          <w:b/>
        </w:rPr>
        <w:t>Vraag 9</w:t>
      </w:r>
    </w:p>
    <w:p w:rsidR="007D6A71" w:rsidP="007D6A71" w:rsidRDefault="00EC76D1" w14:paraId="53C7973B" w14:textId="561D3C86">
      <w:r w:rsidRPr="00EC76D1">
        <w:t>In haar brief van 24 mei 2023 aan de Kamer</w:t>
      </w:r>
      <w:r w:rsidR="003631D8">
        <w:rPr>
          <w:rStyle w:val="FootnoteReference"/>
        </w:rPr>
        <w:footnoteReference w:id="11"/>
      </w:r>
      <w:r w:rsidRPr="00EC76D1">
        <w:t xml:space="preserve"> stelde toenmalig minister voor Buitenlandse Handel Schreinemacher dat ‘niet kan worden vastgesteld’ of hetzelfde type schip was gebruikt bij de eerdere mensenrechtenschendingen, en of de Egyptische marine de schepen en de te leveren radarsystemen zou gaan inzetten bij begaan van mensenrechtenschendingen. De beslisnota</w:t>
      </w:r>
      <w:r w:rsidR="003631D8">
        <w:rPr>
          <w:rStyle w:val="FootnoteReference"/>
        </w:rPr>
        <w:footnoteReference w:id="12"/>
      </w:r>
      <w:r w:rsidRPr="00EC76D1">
        <w:t xml:space="preserve"> biedt de minister twee opties, en stelt dat er geen ambtelijke overeenstemming is over de afweging van informatie. </w:t>
      </w:r>
      <w:r w:rsidRPr="000535D5">
        <w:t>Deelt u de conclusie dat, met het zwaarder laten wegen van de noodzaak voor bewijslast, de juridische norm die het voorkomen van risico vooropstelt, niet wordt gerespecteerd? Zo nee, waarom niet?</w:t>
      </w:r>
    </w:p>
    <w:p w:rsidR="00EC76D1" w:rsidP="007D6A71" w:rsidRDefault="00EC76D1" w14:paraId="65244733" w14:textId="77777777"/>
    <w:p w:rsidR="001E274F" w:rsidP="001E274F" w:rsidRDefault="001E274F" w14:paraId="20D8C538" w14:textId="78BA72D3">
      <w:r>
        <w:rPr>
          <w:b/>
        </w:rPr>
        <w:t xml:space="preserve">Antwoord </w:t>
      </w:r>
      <w:r w:rsidR="00E200A5">
        <w:rPr>
          <w:b/>
        </w:rPr>
        <w:t xml:space="preserve">op </w:t>
      </w:r>
      <w:r>
        <w:rPr>
          <w:b/>
        </w:rPr>
        <w:t>vraag 8</w:t>
      </w:r>
      <w:r w:rsidR="00E200A5">
        <w:rPr>
          <w:b/>
        </w:rPr>
        <w:t xml:space="preserve"> en</w:t>
      </w:r>
      <w:r>
        <w:rPr>
          <w:b/>
        </w:rPr>
        <w:t xml:space="preserve"> 9</w:t>
      </w:r>
    </w:p>
    <w:p w:rsidR="00BE0FB6" w:rsidP="00BE0FB6" w:rsidRDefault="00BE0FB6" w14:paraId="144FD1C5" w14:textId="2F6D8148">
      <w:r>
        <w:t xml:space="preserve">In verband met </w:t>
      </w:r>
      <w:r w:rsidR="0098202A">
        <w:t xml:space="preserve">de </w:t>
      </w:r>
      <w:r>
        <w:t xml:space="preserve">bedrijfsvertrouwelijk </w:t>
      </w:r>
      <w:r w:rsidR="0098202A">
        <w:t xml:space="preserve">aard van deze </w:t>
      </w:r>
      <w:r>
        <w:t>informatie doet het kabinet geen uitspraken over aantallen goederen</w:t>
      </w:r>
      <w:r w:rsidR="0098202A">
        <w:t xml:space="preserve"> binnen vergunningaanvragen</w:t>
      </w:r>
      <w:r w:rsidR="005D3CD7">
        <w:t>.</w:t>
      </w:r>
    </w:p>
    <w:p w:rsidR="00BE0FB6" w:rsidP="00BE0FB6" w:rsidRDefault="00BE0FB6" w14:paraId="0BDD1309" w14:textId="08FAB073">
      <w:r>
        <w:t xml:space="preserve">   </w:t>
      </w:r>
    </w:p>
    <w:p w:rsidRPr="0080037E" w:rsidR="00E22CC7" w:rsidP="00E22CC7" w:rsidRDefault="00E22CC7" w14:paraId="1D34B941" w14:textId="77777777">
      <w:r>
        <w:t xml:space="preserve">Het kabinet toetst exportaanvragen voor militair goederen zorgvuldig en in lijn met de Europese kaders voor wapenexportcontrole. </w:t>
      </w:r>
      <w:r w:rsidRPr="001E274F">
        <w:t xml:space="preserve">Daar waar een duidelijk risico </w:t>
      </w:r>
      <w:r>
        <w:t>wordt vastgesteld</w:t>
      </w:r>
      <w:r w:rsidRPr="001E274F">
        <w:t xml:space="preserve"> dat militaire goederen gebruikt worden bij het begaan van ernstige schendingen van de mensenrechten, wordt een vergunningaanvraag afgewezen</w:t>
      </w:r>
      <w:r>
        <w:t xml:space="preserve">. </w:t>
      </w:r>
    </w:p>
    <w:p w:rsidR="00E22CC7" w:rsidP="00E22CC7" w:rsidRDefault="00E22CC7" w14:paraId="0AB3B36E" w14:textId="77777777"/>
    <w:p w:rsidR="00E22CC7" w:rsidP="00E22CC7" w:rsidRDefault="00E22CC7" w14:paraId="2AF73B02" w14:textId="094C58CC">
      <w:r>
        <w:t xml:space="preserve">De staatssecretaris van Buitenlandse Handel neemt op basis van (soms </w:t>
      </w:r>
      <w:r w:rsidR="00533465">
        <w:t xml:space="preserve">bij hoge uitzondering </w:t>
      </w:r>
      <w:r>
        <w:t xml:space="preserve">uiteenlopende) ambtelijke adviezen en op basis van een buitenlandpolitiek advies van de minister van Buitenlandse Zaken een besluit over uitvoer van militaire goederen. In geval van de twee vergunningen waarover uw Kamer op 24 mei 2023 is geïnformeerd kon geen duidelijk risico worden vastgesteld omdat de berichten over mogelijke schendingen onvoldoende specifiek waren. </w:t>
      </w:r>
    </w:p>
    <w:p w:rsidR="007D6A71" w:rsidP="007D6A71" w:rsidRDefault="007D6A71" w14:paraId="746F569C" w14:textId="74B5B061"/>
    <w:p w:rsidR="0080037E" w:rsidP="0080037E" w:rsidRDefault="0080037E" w14:paraId="47095E14" w14:textId="77777777">
      <w:r>
        <w:rPr>
          <w:b/>
        </w:rPr>
        <w:t>Vraag 10</w:t>
      </w:r>
    </w:p>
    <w:p w:rsidR="0080037E" w:rsidP="0080037E" w:rsidRDefault="0080037E" w14:paraId="4D6B1163" w14:textId="77777777">
      <w:r w:rsidRPr="00EC76D1">
        <w:t>Kunt u bevestigen dat diezelfde ambtenaren stelden dat het goedkeuren ervan kon ‘leiden tot vervolgorders’? Zo ja, is er al sprake van vervolgorders?</w:t>
      </w:r>
    </w:p>
    <w:p w:rsidR="0098202A" w:rsidP="0080037E" w:rsidRDefault="0098202A" w14:paraId="457A37D3" w14:textId="77777777"/>
    <w:p w:rsidR="0098202A" w:rsidP="0080037E" w:rsidRDefault="0098202A" w14:paraId="371C6B6B" w14:textId="206D0D54">
      <w:pPr>
        <w:rPr>
          <w:b/>
          <w:bCs/>
        </w:rPr>
      </w:pPr>
      <w:r>
        <w:rPr>
          <w:b/>
          <w:bCs/>
        </w:rPr>
        <w:t>Antwoord</w:t>
      </w:r>
    </w:p>
    <w:p w:rsidR="0098202A" w:rsidP="0080037E" w:rsidRDefault="0098202A" w14:paraId="5DE885BF" w14:textId="2BE7FA48">
      <w:r>
        <w:t xml:space="preserve">De betreffende passage is een veel voorkomende passage in beslisnota’s op het vlak van wapenexportcontrole. Het betreft een feitelijke vaststelling dat een goedgekeurde vergunningaanvraag kan leiden tot vervolgorders voor de aanvrager. </w:t>
      </w:r>
      <w:r w:rsidR="002B40D9">
        <w:t>Conform het EUGS mogen de lidstaten rekening houden met het effect van een voorgestelde uitvoer op economische en industriële belangen, maar deze factoren zijn niet van invloed op de toepassing van de wapenexportcriteria.</w:t>
      </w:r>
    </w:p>
    <w:p w:rsidRPr="0098202A" w:rsidR="0098202A" w:rsidP="0080037E" w:rsidRDefault="0098202A" w14:paraId="689EFA84" w14:textId="77777777"/>
    <w:p w:rsidR="0098202A" w:rsidP="0098202A" w:rsidRDefault="0098202A" w14:paraId="4A7EFF52" w14:textId="0A7A5162">
      <w:r>
        <w:lastRenderedPageBreak/>
        <w:t xml:space="preserve">In verband met bedrijfsvertrouwelijk informatie doet het kabinet geen uitspraken over eventuele vervolgorders. </w:t>
      </w:r>
    </w:p>
    <w:p w:rsidR="0080037E" w:rsidP="0080037E" w:rsidRDefault="0080037E" w14:paraId="47A4FB83" w14:textId="77777777"/>
    <w:p w:rsidR="007D6A71" w:rsidP="007D6A71" w:rsidRDefault="007D6A71" w14:paraId="176CF1C0" w14:textId="73183494">
      <w:r>
        <w:rPr>
          <w:b/>
        </w:rPr>
        <w:t>Vraag 11</w:t>
      </w:r>
    </w:p>
    <w:p w:rsidR="0080037E" w:rsidP="0080037E" w:rsidRDefault="00EC76D1" w14:paraId="15CE3AA5" w14:textId="77777777">
      <w:r w:rsidRPr="00EC76D1">
        <w:t>Kunt u aangeven in welke mate Europese samenwerking binnen het Verdrag van Aken, heeft meegespeeld in de beslissing om de vergunningverlening voor de export van de tien radar- en communicatiesystemen voor de Egyptische marine goed te keuren? Zo ja, kunt u toelichten welke argumenten daarvoor worden gehanteerd? Zo nee, op welke samenwerking doelden de ambtenaren in hun advies dat het niet verlenen van de vergunning de defensiesamenwerking binnen Europa in de weg zou staan?</w:t>
      </w:r>
    </w:p>
    <w:p w:rsidR="0080037E" w:rsidP="0080037E" w:rsidRDefault="0080037E" w14:paraId="2065C25D" w14:textId="77777777"/>
    <w:p w:rsidR="0080037E" w:rsidP="0080037E" w:rsidRDefault="0080037E" w14:paraId="4BCC31BB" w14:textId="55ACE151">
      <w:r>
        <w:rPr>
          <w:b/>
        </w:rPr>
        <w:t>Antwoord</w:t>
      </w:r>
    </w:p>
    <w:p w:rsidR="0080037E" w:rsidP="0080037E" w:rsidRDefault="0080037E" w14:paraId="7A1B7413" w14:textId="35D657C8">
      <w:r>
        <w:t xml:space="preserve">Het kabinet is van mening dat een vitale Nederlandse Defensie Technologische en Industriële basis van belang is voor een robuuste bijdrage aan de Europese Defensie Technologische en Industriële basis (EDTIB) als waarborg voor onze veiligheid, de bevordering van de internationale rechtsorde en </w:t>
      </w:r>
      <w:r w:rsidR="0076167E">
        <w:t xml:space="preserve">verbetering van het </w:t>
      </w:r>
      <w:r>
        <w:t xml:space="preserve">Europese </w:t>
      </w:r>
      <w:r w:rsidR="0076167E">
        <w:t>vermogen tot zelfstandig optreden</w:t>
      </w:r>
      <w:r>
        <w:t xml:space="preserve">. </w:t>
      </w:r>
      <w:r w:rsidR="00F0008D">
        <w:t xml:space="preserve">Om deze reden </w:t>
      </w:r>
      <w:r>
        <w:t>wil het kabinet Europese defensie-industrie samenwerking versterken en Nederlandse deelname aan deze projecten stimuleren. Dit vraagt om eerlijke concurrentie (een gelijk speelveld) en verdere convergentie van het wapenexportbeleid in Europa dat via toetreding tot het Verdrag inzake exportcontrole in het defensiedomein</w:t>
      </w:r>
      <w:r w:rsidR="00CB6034">
        <w:t xml:space="preserve"> (ook wel bekend als het Verdrag van Aken)</w:t>
      </w:r>
      <w:r>
        <w:t xml:space="preserve"> gerealiseerd kan worden. </w:t>
      </w:r>
    </w:p>
    <w:p w:rsidR="0080037E" w:rsidP="0080037E" w:rsidRDefault="0080037E" w14:paraId="3ED6AF50" w14:textId="77777777"/>
    <w:p w:rsidR="00E3678A" w:rsidP="0080037E" w:rsidRDefault="00366C32" w14:paraId="05E4F74D" w14:textId="73B8410F">
      <w:r w:rsidRPr="00366C32">
        <w:t>De criteria van het EU</w:t>
      </w:r>
      <w:r w:rsidR="00533465">
        <w:t xml:space="preserve"> </w:t>
      </w:r>
      <w:r w:rsidRPr="00366C32">
        <w:t>G</w:t>
      </w:r>
      <w:r w:rsidR="00533465">
        <w:t xml:space="preserve">emeenschappelijk </w:t>
      </w:r>
      <w:r w:rsidRPr="00366C32">
        <w:t>S</w:t>
      </w:r>
      <w:r w:rsidR="00533465">
        <w:t>tandpunt inzake wapenexportcontrole</w:t>
      </w:r>
      <w:r w:rsidRPr="00366C32">
        <w:t xml:space="preserve"> zijn het toetsingskader op basis waarvan een vergunningaanvraag wordt beoordeeld. De reden om over te gaan tot het verlenen van een exportvergunning was de </w:t>
      </w:r>
      <w:r w:rsidR="00533465">
        <w:t xml:space="preserve">positieve </w:t>
      </w:r>
      <w:r w:rsidRPr="00366C32">
        <w:t xml:space="preserve">beoordeling van de aanvraag aan de hand van het </w:t>
      </w:r>
      <w:r>
        <w:t>EUGS</w:t>
      </w:r>
      <w:r w:rsidRPr="00366C32">
        <w:t xml:space="preserve">. Wel kunnen overige overwegingen bij een vergunningaanvraag worden meegegeven. </w:t>
      </w:r>
      <w:r w:rsidR="004B2AB5">
        <w:t xml:space="preserve">Zoals aangegeven </w:t>
      </w:r>
      <w:r w:rsidR="00533465">
        <w:t>in</w:t>
      </w:r>
      <w:r w:rsidR="004B2AB5">
        <w:t xml:space="preserve"> het antwoord op vraag 10, mogen l</w:t>
      </w:r>
      <w:r w:rsidR="0080037E">
        <w:t>idstaten</w:t>
      </w:r>
      <w:r w:rsidR="004B2AB5">
        <w:t xml:space="preserve"> </w:t>
      </w:r>
      <w:r w:rsidR="0080037E">
        <w:t xml:space="preserve">conform artikel 10 van het EUGS bij de toetsing van exportaanvragen </w:t>
      </w:r>
      <w:r w:rsidRPr="0080037E" w:rsidR="0080037E">
        <w:t>ook rekening houden met het effect van de voorgestelde uitvoer op hun economische, sociale, commerciële en industriële belangen. Echter</w:t>
      </w:r>
      <w:r w:rsidR="00E3678A">
        <w:t>,</w:t>
      </w:r>
      <w:r w:rsidRPr="0080037E" w:rsidR="0080037E">
        <w:t xml:space="preserve"> deze factoren zijn niet van invloed op de toepassing van de 8 criteria van het EUGS.</w:t>
      </w:r>
      <w:r>
        <w:t xml:space="preserve"> De voorgenomen toetreding tot het </w:t>
      </w:r>
      <w:r w:rsidRPr="00366C32">
        <w:t>Verdrag inzake exportcontrole in het defensiedomein</w:t>
      </w:r>
      <w:r>
        <w:t xml:space="preserve"> doet niet af aan de zorgvuldigheid van de toetsingspraktijk.</w:t>
      </w:r>
    </w:p>
    <w:p w:rsidR="00E3678A" w:rsidP="0080037E" w:rsidRDefault="00E3678A" w14:paraId="7C14E448" w14:textId="77777777"/>
    <w:p w:rsidR="007D6A71" w:rsidP="007D6A71" w:rsidRDefault="007D6A71" w14:paraId="5B3544D7" w14:textId="78DABE70">
      <w:r>
        <w:rPr>
          <w:b/>
        </w:rPr>
        <w:t>Vraag 12</w:t>
      </w:r>
    </w:p>
    <w:p w:rsidR="007D6A71" w:rsidP="007D6A71" w:rsidRDefault="00EC76D1" w14:paraId="58C053B4" w14:textId="45A0FE85">
      <w:r w:rsidRPr="00EC76D1">
        <w:t>Deelt u het standpunt van toenmalig minister Schreinemacher dat ‘toetreding [tot het Verdrag van Aken] zou ook betekenen dat de lat qua exportcontrole in Nederland behoorlijk naar beneden gaat’?</w:t>
      </w:r>
      <w:r w:rsidR="003631D8">
        <w:rPr>
          <w:rStyle w:val="FootnoteReference"/>
        </w:rPr>
        <w:footnoteReference w:id="13"/>
      </w:r>
      <w:r w:rsidRPr="00EC76D1">
        <w:t xml:space="preserve"> Zo nee, waarom niet?</w:t>
      </w:r>
    </w:p>
    <w:p w:rsidR="00EC76D1" w:rsidP="007D6A71" w:rsidRDefault="00EC76D1" w14:paraId="19B157B5" w14:textId="77777777"/>
    <w:p w:rsidR="007D6A71" w:rsidP="007D6A71" w:rsidRDefault="007D6A71" w14:paraId="655805EB" w14:textId="77777777">
      <w:r>
        <w:rPr>
          <w:b/>
        </w:rPr>
        <w:t>Antwoord</w:t>
      </w:r>
    </w:p>
    <w:p w:rsidR="00CB6034" w:rsidP="0080037E" w:rsidRDefault="0080037E" w14:paraId="21A02806" w14:textId="77777777">
      <w:r>
        <w:t>Zoals in Kamerbrief “Maatregelen ter bevordering van Europese Defensiesamenwerking en verdere Europese convergentie van het wapenexportbeleid”</w:t>
      </w:r>
      <w:r>
        <w:rPr>
          <w:rStyle w:val="FootnoteReference"/>
        </w:rPr>
        <w:footnoteReference w:id="14"/>
      </w:r>
      <w:r>
        <w:t xml:space="preserve"> van 14 juli 2023 </w:t>
      </w:r>
      <w:r w:rsidR="00CB6034">
        <w:t xml:space="preserve">is </w:t>
      </w:r>
      <w:r>
        <w:t>weergegeven</w:t>
      </w:r>
      <w:r w:rsidR="00CB6034">
        <w:t>,</w:t>
      </w:r>
      <w:r>
        <w:t xml:space="preserve"> is het kabinet van mening da</w:t>
      </w:r>
      <w:r w:rsidR="00CB6034">
        <w:t>t toetreding tot het Verdrag inzake exportcontrole in defensiedomein kan leiden tot ve</w:t>
      </w:r>
      <w:r>
        <w:t>rdere convergentie van het</w:t>
      </w:r>
      <w:r w:rsidR="00CB6034">
        <w:t xml:space="preserve"> </w:t>
      </w:r>
      <w:r>
        <w:t>wapenexportbeleid zodat de verdragspartijen dezelfde hoge standaarden ten aanzien van het wapenexportbeleid hanteren.</w:t>
      </w:r>
    </w:p>
    <w:p w:rsidR="00CB6034" w:rsidP="0080037E" w:rsidRDefault="00CB6034" w14:paraId="6C7F4FBD" w14:textId="77777777"/>
    <w:p w:rsidR="007D6A71" w:rsidP="007D6A71" w:rsidRDefault="007D6A71" w14:paraId="11851676" w14:textId="6541C1F5">
      <w:r>
        <w:rPr>
          <w:b/>
        </w:rPr>
        <w:t>Vraag 13</w:t>
      </w:r>
    </w:p>
    <w:p w:rsidR="007D6A71" w:rsidP="007D6A71" w:rsidRDefault="00EC76D1" w14:paraId="674320EB" w14:textId="7B2066ED">
      <w:r w:rsidRPr="00EC76D1">
        <w:t>Kunt u bevestigen dat uw departement voor 2017 ook exportvergunningen verleende voor de levering van militaire goederen aan andere landen in de regio waar mensenrechtenschendingen of risico’s daarop golden, zoals naar de Verenigde Ar</w:t>
      </w:r>
      <w:r>
        <w:t>a</w:t>
      </w:r>
      <w:r w:rsidRPr="00EC76D1">
        <w:t>bische Emiraten en Saudi-Arabië?</w:t>
      </w:r>
    </w:p>
    <w:p w:rsidR="00EC76D1" w:rsidP="007D6A71" w:rsidRDefault="00EC76D1" w14:paraId="19A6B26B" w14:textId="77777777"/>
    <w:p w:rsidR="007D6A71" w:rsidP="007D6A71" w:rsidRDefault="007D6A71" w14:paraId="1552D04F" w14:textId="77777777">
      <w:r>
        <w:rPr>
          <w:b/>
        </w:rPr>
        <w:t>Antwoord</w:t>
      </w:r>
    </w:p>
    <w:p w:rsidR="007D6A71" w:rsidP="007D6A71" w:rsidRDefault="0019339A" w14:paraId="2A0636E6" w14:textId="23A80CD9">
      <w:r>
        <w:t>Ook v</w:t>
      </w:r>
      <w:r w:rsidR="00BE0FB6">
        <w:t>óó</w:t>
      </w:r>
      <w:r>
        <w:t xml:space="preserve">r 2017 </w:t>
      </w:r>
      <w:r w:rsidR="00E3678A">
        <w:t>heeft Nederland</w:t>
      </w:r>
      <w:r>
        <w:t xml:space="preserve"> vergunningen </w:t>
      </w:r>
      <w:r w:rsidR="00E3678A">
        <w:t>toegekend</w:t>
      </w:r>
      <w:r>
        <w:t xml:space="preserve"> voor de uitvoer van militaire goederen naar de </w:t>
      </w:r>
      <w:r w:rsidRPr="00EC76D1">
        <w:t>Verenigde Ar</w:t>
      </w:r>
      <w:r>
        <w:t>a</w:t>
      </w:r>
      <w:r w:rsidRPr="00EC76D1">
        <w:t>bische Emiraten en Saudi-Arabië</w:t>
      </w:r>
      <w:r>
        <w:t xml:space="preserve">. </w:t>
      </w:r>
      <w:r w:rsidR="003B2EC5">
        <w:t xml:space="preserve">Deze informatie is eerder via diverse jaarrapporten met uw Kamer gecommuniceerd en is ook via de reguliere maandrapportages publiekelijk gerapporteerd. </w:t>
      </w:r>
      <w:r w:rsidR="001801D1">
        <w:t xml:space="preserve">Deze zijn alle getoetst aan de Europese kaders voor wapenexportcontrole. Eventuele zorgen over de mensenrechtensituatie in een land van bestemming zijn </w:t>
      </w:r>
      <w:r w:rsidR="005F7B20">
        <w:t>een belangrijk onderdeel van de toetsing van aanvragen voor een exportvergunning. Hierbij wordt e</w:t>
      </w:r>
      <w:r w:rsidR="001801D1">
        <w:t>lke aanvraag</w:t>
      </w:r>
      <w:r w:rsidR="00673034">
        <w:t xml:space="preserve"> </w:t>
      </w:r>
      <w:r w:rsidR="001801D1">
        <w:t>zorgvuldig getoetst met inachtneming van de aard van het goed, de eindbestemming, de eindgebruiker en het beoogd eindgebruik. Indien uit die analyse een duidelijk risico op gebruik van de uit te voeren goederen bij mensenrechtenschendingen volgt dan leidt dit tot een afwijzing.</w:t>
      </w:r>
    </w:p>
    <w:p w:rsidR="00673034" w:rsidP="007D6A71" w:rsidRDefault="00673034" w14:paraId="083F8BEC" w14:textId="77777777"/>
    <w:p w:rsidR="007D6A71" w:rsidP="007D6A71" w:rsidRDefault="007D6A71" w14:paraId="4B74E5CD" w14:textId="46688A8D">
      <w:r>
        <w:rPr>
          <w:b/>
        </w:rPr>
        <w:t>Vraag 14</w:t>
      </w:r>
    </w:p>
    <w:p w:rsidR="007D6A71" w:rsidP="007D6A71" w:rsidRDefault="00EC76D1" w14:paraId="5B88222B" w14:textId="131AA552">
      <w:r w:rsidRPr="00EC76D1">
        <w:t>Kunt u bevestigen dat het opheffen van de strikte beoordeling van vergunningen aan deze landen in 2023, is ingegeven vanuit de redenering dat de strikte benadering door Nederland, Europese defensiesamenwerking binnen het Verdrag van Aken in de weg staat?</w:t>
      </w:r>
    </w:p>
    <w:p w:rsidR="00EC76D1" w:rsidP="007D6A71" w:rsidRDefault="00EC76D1" w14:paraId="4AD12D1F" w14:textId="77777777"/>
    <w:p w:rsidR="007D6A71" w:rsidP="007D6A71" w:rsidRDefault="007D6A71" w14:paraId="1093B69F" w14:textId="77777777">
      <w:r>
        <w:rPr>
          <w:b/>
        </w:rPr>
        <w:t>Antwoord</w:t>
      </w:r>
    </w:p>
    <w:p w:rsidR="0019339A" w:rsidP="0019339A" w:rsidRDefault="0019339A" w14:paraId="22A2A481" w14:textId="205C3F6E">
      <w:r w:rsidRPr="0019339A">
        <w:t xml:space="preserve">Het aanvullend </w:t>
      </w:r>
      <w:r>
        <w:t xml:space="preserve">nationaal </w:t>
      </w:r>
      <w:r w:rsidRPr="0019339A">
        <w:t xml:space="preserve">beleid dat in juli 2023 is opgeheven gold ten aanzien van Saoedi-Arabië, de Verenigde Arabische Emiraten en Turkije in reactie op hun betrokkenheid in respectievelijk Jemen en Syrië. </w:t>
      </w:r>
      <w:r w:rsidR="001801D1">
        <w:t>De reden voor afschaffing van dit beleid was drieledig.</w:t>
      </w:r>
    </w:p>
    <w:p w:rsidR="0019339A" w:rsidP="0019339A" w:rsidRDefault="0019339A" w14:paraId="72E08362" w14:textId="77777777"/>
    <w:p w:rsidR="0019339A" w:rsidP="0019339A" w:rsidRDefault="001801D1" w14:paraId="1C06E241" w14:textId="5BBC26AA">
      <w:r>
        <w:t>Allereerst is het kabinet van mening dat, zoals ook</w:t>
      </w:r>
      <w:r w:rsidRPr="0019339A">
        <w:t xml:space="preserve"> </w:t>
      </w:r>
      <w:r w:rsidRPr="0019339A" w:rsidR="0019339A">
        <w:t xml:space="preserve">in </w:t>
      </w:r>
      <w:r>
        <w:t xml:space="preserve">de </w:t>
      </w:r>
      <w:r w:rsidRPr="0019339A" w:rsidR="0019339A">
        <w:t>Kamerbrief “Maatregelen ter bevordering van Europese Defensiesamenwerking en verdere Europese convergentie van het wapenexportbeleid”</w:t>
      </w:r>
      <w:r w:rsidRPr="0019339A" w:rsidR="0019339A">
        <w:rPr>
          <w:rStyle w:val="FootnoteReference"/>
        </w:rPr>
        <w:footnoteReference w:id="15"/>
      </w:r>
      <w:r w:rsidRPr="0019339A" w:rsidR="0019339A">
        <w:t xml:space="preserve"> van 14 juli 2023 </w:t>
      </w:r>
      <w:r>
        <w:t xml:space="preserve">is </w:t>
      </w:r>
      <w:r w:rsidRPr="0019339A" w:rsidR="0019339A">
        <w:t xml:space="preserve">vermeld, aanvullend nationaal beleid in de vorm van een </w:t>
      </w:r>
      <w:r w:rsidRPr="0019339A" w:rsidR="0019339A">
        <w:rPr>
          <w:i/>
          <w:iCs/>
        </w:rPr>
        <w:t>presumption of denial</w:t>
      </w:r>
      <w:r w:rsidRPr="0019339A" w:rsidR="0019339A">
        <w:t xml:space="preserve"> </w:t>
      </w:r>
      <w:r w:rsidR="00BE0FB6">
        <w:t xml:space="preserve">niet </w:t>
      </w:r>
      <w:r w:rsidRPr="0019339A" w:rsidR="0019339A">
        <w:t xml:space="preserve">noodzakelijk is om te voorkomen dat Nederlandse strategische goederen in Jemen of Syrië worden ingezet. Een toets van de transactie aan de acht criteria van het </w:t>
      </w:r>
      <w:r w:rsidR="0019339A">
        <w:t>EUGS</w:t>
      </w:r>
      <w:r w:rsidRPr="0019339A" w:rsidR="0019339A">
        <w:t>, in het bijzonder aan criteri</w:t>
      </w:r>
      <w:r w:rsidR="00D455BE">
        <w:t>um</w:t>
      </w:r>
      <w:r w:rsidRPr="0019339A" w:rsidR="0019339A">
        <w:t xml:space="preserve"> 2 “</w:t>
      </w:r>
      <w:r w:rsidRPr="00D455BE" w:rsidR="00D455BE">
        <w:t>Eerbiediging mensenrechten en naleving internationaal humanitair recht</w:t>
      </w:r>
      <w:r w:rsidRPr="0019339A" w:rsidR="0019339A">
        <w:t>” en 4 “</w:t>
      </w:r>
      <w:r w:rsidRPr="00D455BE" w:rsidR="00D455BE">
        <w:t>Handhaving van vrede, veiligheid en stabiliteit in de regio</w:t>
      </w:r>
      <w:r w:rsidRPr="0019339A" w:rsidR="0019339A">
        <w:t xml:space="preserve">”, heeft dezelfde uitkomst in geval van ongewenste transacties. </w:t>
      </w:r>
    </w:p>
    <w:p w:rsidR="00714376" w:rsidP="00714376" w:rsidRDefault="00714376" w14:paraId="0C433F97" w14:textId="77777777"/>
    <w:p w:rsidR="0019339A" w:rsidP="00714376" w:rsidRDefault="00714376" w14:paraId="3ACEE00D" w14:textId="26108569">
      <w:r>
        <w:t xml:space="preserve">Ten tweede kon de </w:t>
      </w:r>
      <w:r w:rsidRPr="00673034">
        <w:rPr>
          <w:i/>
          <w:iCs/>
        </w:rPr>
        <w:t>presumption of denial</w:t>
      </w:r>
      <w:r>
        <w:t xml:space="preserve"> </w:t>
      </w:r>
      <w:r w:rsidR="00533465">
        <w:t>tot de ongewenste situatie</w:t>
      </w:r>
      <w:r>
        <w:t xml:space="preserve"> leiden dat ook transacties die niet duidelijk in verband konden worden gebracht met Syrië en Jemen, maar tegemoetkwamen aan een legitieme veiligheidsbehoefte van eindgebruikers, moesten worden afgewezen.</w:t>
      </w:r>
    </w:p>
    <w:p w:rsidR="00451468" w:rsidP="0019339A" w:rsidRDefault="00451468" w14:paraId="5D8F47BF" w14:textId="77777777"/>
    <w:p w:rsidRPr="0019339A" w:rsidR="0019339A" w:rsidP="0019339A" w:rsidRDefault="00451468" w14:paraId="3CCA7279" w14:textId="0C1E6FE8">
      <w:r>
        <w:t>Ten derde</w:t>
      </w:r>
      <w:r w:rsidR="0019339A">
        <w:t xml:space="preserve"> past het hanteren van aanvullend nationaal </w:t>
      </w:r>
      <w:r w:rsidRPr="0019339A" w:rsidR="0019339A">
        <w:t xml:space="preserve">beleid niet goed bij de systematiek van het verdrag waarin verdragspartners vertrouwen op elkaars </w:t>
      </w:r>
      <w:r w:rsidRPr="0019339A" w:rsidR="0019339A">
        <w:lastRenderedPageBreak/>
        <w:t xml:space="preserve">exportcontroletoets. Het kabinet </w:t>
      </w:r>
      <w:r w:rsidR="0019339A">
        <w:t xml:space="preserve">heeft </w:t>
      </w:r>
      <w:r w:rsidRPr="0019339A" w:rsidR="0019339A">
        <w:t xml:space="preserve">met </w:t>
      </w:r>
      <w:r w:rsidR="006E73F7">
        <w:t xml:space="preserve">de </w:t>
      </w:r>
      <w:r w:rsidRPr="0019339A" w:rsidR="0019339A">
        <w:t>afschaffing van het aanvullend nationaal beleid bij</w:t>
      </w:r>
      <w:r w:rsidR="0019339A">
        <w:t>ge</w:t>
      </w:r>
      <w:r w:rsidRPr="0019339A" w:rsidR="0019339A">
        <w:t xml:space="preserve">dragen aan een gelijker speelveld </w:t>
      </w:r>
      <w:r w:rsidR="0019339A">
        <w:t xml:space="preserve">in Europa </w:t>
      </w:r>
      <w:r w:rsidRPr="0019339A" w:rsidR="0019339A">
        <w:t>zonder in te boeten op een strikte toets aan het EU</w:t>
      </w:r>
      <w:r w:rsidR="0019339A">
        <w:t>GS</w:t>
      </w:r>
      <w:r w:rsidR="006E73F7">
        <w:t xml:space="preserve">, waar ook de verdragspartijen van het Verdrag </w:t>
      </w:r>
      <w:r w:rsidRPr="00366C32" w:rsidR="000F78B2">
        <w:t>inzake exportcontrole in het defensiedomein</w:t>
      </w:r>
      <w:r w:rsidR="000F78B2">
        <w:t xml:space="preserve"> </w:t>
      </w:r>
      <w:r w:rsidR="006E73F7">
        <w:t>aan gebonden zijn</w:t>
      </w:r>
      <w:r w:rsidRPr="0019339A" w:rsidR="0019339A">
        <w:t>.</w:t>
      </w:r>
    </w:p>
    <w:p w:rsidRPr="0019339A" w:rsidR="0019339A" w:rsidP="0019339A" w:rsidRDefault="0019339A" w14:paraId="02F07597" w14:textId="77777777"/>
    <w:p w:rsidR="007D6A71" w:rsidP="007D6A71" w:rsidRDefault="007D6A71" w14:paraId="5DD96556" w14:textId="1D13B707">
      <w:r>
        <w:rPr>
          <w:b/>
        </w:rPr>
        <w:t>Vraag 15</w:t>
      </w:r>
    </w:p>
    <w:p w:rsidR="007D6A71" w:rsidP="007D6A71" w:rsidRDefault="00EC76D1" w14:paraId="533CA4D2" w14:textId="79B85B6F">
      <w:r w:rsidRPr="00EC76D1">
        <w:t>Kunt u deze vragen beantwoorden voor 31 augustus 2025, zodat de informatie gebruikt kan worden tijdens het commissiedebat ‘Wapenexportbeleid’ van 3 september 2025?</w:t>
      </w:r>
    </w:p>
    <w:p w:rsidR="00EC76D1" w:rsidP="007D6A71" w:rsidRDefault="00EC76D1" w14:paraId="574C6232" w14:textId="77777777"/>
    <w:p w:rsidR="007D6A71" w:rsidP="007D6A71" w:rsidRDefault="007D6A71" w14:paraId="588BF437" w14:textId="77777777">
      <w:r>
        <w:rPr>
          <w:b/>
        </w:rPr>
        <w:t>Antwoord</w:t>
      </w:r>
    </w:p>
    <w:p w:rsidR="007D6A71" w:rsidRDefault="00E200A5" w14:paraId="21522C84" w14:textId="1EABC087">
      <w:r>
        <w:t xml:space="preserve">U heeft de beantwoording ontvangen voorafgaand aan het </w:t>
      </w:r>
      <w:r w:rsidRPr="00EC76D1">
        <w:t>het commissiedebat ‘Wapenexportbeleid’ van 3 september 2025</w:t>
      </w:r>
      <w:r>
        <w:t>.</w:t>
      </w:r>
    </w:p>
    <w:sectPr w:rsidR="007D6A71" w:rsidSect="00A24917">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5C26" w14:textId="77777777" w:rsidR="00E3678A" w:rsidRDefault="00E3678A">
      <w:pPr>
        <w:spacing w:line="240" w:lineRule="auto"/>
      </w:pPr>
      <w:r>
        <w:separator/>
      </w:r>
    </w:p>
  </w:endnote>
  <w:endnote w:type="continuationSeparator" w:id="0">
    <w:p w14:paraId="241B3A42" w14:textId="77777777" w:rsidR="00E3678A" w:rsidRDefault="00E3678A">
      <w:pPr>
        <w:spacing w:line="240" w:lineRule="auto"/>
      </w:pPr>
      <w:r>
        <w:continuationSeparator/>
      </w:r>
    </w:p>
  </w:endnote>
  <w:endnote w:type="continuationNotice" w:id="1">
    <w:p w14:paraId="06C16F60" w14:textId="77777777" w:rsidR="00CD5F91" w:rsidRDefault="00CD5F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3C88" w14:textId="77777777" w:rsidR="005905FC" w:rsidRDefault="00590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44EA" w14:textId="77777777" w:rsidR="005905FC" w:rsidRDefault="00590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6B8" w14:textId="77777777" w:rsidR="005905FC" w:rsidRDefault="0059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1154" w14:textId="77777777" w:rsidR="00E3678A" w:rsidRDefault="00E3678A">
      <w:pPr>
        <w:spacing w:line="240" w:lineRule="auto"/>
      </w:pPr>
      <w:r>
        <w:separator/>
      </w:r>
    </w:p>
  </w:footnote>
  <w:footnote w:type="continuationSeparator" w:id="0">
    <w:p w14:paraId="1C8561BE" w14:textId="77777777" w:rsidR="00E3678A" w:rsidRDefault="00E3678A">
      <w:pPr>
        <w:spacing w:line="240" w:lineRule="auto"/>
      </w:pPr>
      <w:r>
        <w:continuationSeparator/>
      </w:r>
    </w:p>
  </w:footnote>
  <w:footnote w:type="continuationNotice" w:id="1">
    <w:p w14:paraId="53C7B017" w14:textId="77777777" w:rsidR="00CD5F91" w:rsidRDefault="00CD5F91">
      <w:pPr>
        <w:spacing w:line="240" w:lineRule="auto"/>
      </w:pPr>
    </w:p>
  </w:footnote>
  <w:footnote w:id="2">
    <w:p w14:paraId="70F0CDD8" w14:textId="0BB3A34A" w:rsidR="0094757C" w:rsidRPr="0094757C" w:rsidRDefault="0094757C">
      <w:pPr>
        <w:pStyle w:val="FootnoteText"/>
        <w:rPr>
          <w:lang w:val="en-US"/>
        </w:rPr>
      </w:pPr>
      <w:r>
        <w:rPr>
          <w:rStyle w:val="FootnoteReference"/>
        </w:rPr>
        <w:footnoteRef/>
      </w:r>
      <w:r w:rsidRPr="0094757C">
        <w:rPr>
          <w:lang w:val="en-US"/>
        </w:rPr>
        <w:t xml:space="preserve"> </w:t>
      </w:r>
      <w:r w:rsidRPr="0094757C">
        <w:rPr>
          <w:sz w:val="16"/>
          <w:szCs w:val="16"/>
          <w:lang w:val="en-US"/>
        </w:rPr>
        <w:t>Follow the Money, 11 juli 2025, https://www.ftm.nl/artikelen/nederland-levert-militair-materieel-aan-dubieuze-regimes.</w:t>
      </w:r>
    </w:p>
  </w:footnote>
  <w:footnote w:id="3">
    <w:p w14:paraId="47016893" w14:textId="19D92928" w:rsidR="00EC76D1" w:rsidRPr="00EC76D1" w:rsidRDefault="00EC76D1">
      <w:pPr>
        <w:pStyle w:val="FootnoteText"/>
        <w:rPr>
          <w:sz w:val="16"/>
          <w:szCs w:val="16"/>
          <w:lang w:val="en-US"/>
        </w:rPr>
      </w:pPr>
      <w:r w:rsidRPr="00EC76D1">
        <w:rPr>
          <w:rStyle w:val="FootnoteReference"/>
          <w:sz w:val="16"/>
          <w:szCs w:val="16"/>
        </w:rPr>
        <w:footnoteRef/>
      </w:r>
      <w:r w:rsidRPr="00EC76D1">
        <w:rPr>
          <w:sz w:val="16"/>
          <w:szCs w:val="16"/>
          <w:lang w:val="en-US"/>
        </w:rPr>
        <w:t xml:space="preserve"> https://wetten.overheid.nl/BWBV0006233/2014-12-24 </w:t>
      </w:r>
    </w:p>
  </w:footnote>
  <w:footnote w:id="4">
    <w:p w14:paraId="4939098C" w14:textId="22795A86" w:rsidR="00EC76D1" w:rsidRPr="00EC76D1" w:rsidRDefault="00EC76D1">
      <w:pPr>
        <w:pStyle w:val="FootnoteText"/>
        <w:rPr>
          <w:lang w:val="en-US"/>
        </w:rPr>
      </w:pPr>
      <w:r w:rsidRPr="00EC76D1">
        <w:rPr>
          <w:rStyle w:val="FootnoteReference"/>
          <w:sz w:val="16"/>
          <w:szCs w:val="16"/>
        </w:rPr>
        <w:footnoteRef/>
      </w:r>
      <w:r w:rsidRPr="00EC76D1">
        <w:rPr>
          <w:sz w:val="16"/>
          <w:szCs w:val="16"/>
          <w:lang w:val="en-US"/>
        </w:rPr>
        <w:t xml:space="preserve"> https://eur-lex.europa.eu/legal-content/NL/ALL/?uri=CELEX%3A32008E0944</w:t>
      </w:r>
    </w:p>
  </w:footnote>
  <w:footnote w:id="5">
    <w:p w14:paraId="51EBDE41" w14:textId="74EC7127" w:rsidR="00EC76D1" w:rsidRPr="00EC76D1" w:rsidRDefault="00EC76D1">
      <w:pPr>
        <w:pStyle w:val="FootnoteText"/>
      </w:pPr>
      <w:r w:rsidRPr="00EC76D1">
        <w:rPr>
          <w:rStyle w:val="FootnoteReference"/>
          <w:sz w:val="16"/>
          <w:szCs w:val="16"/>
        </w:rPr>
        <w:footnoteRef/>
      </w:r>
      <w:r w:rsidRPr="00EC76D1">
        <w:rPr>
          <w:sz w:val="16"/>
          <w:szCs w:val="16"/>
        </w:rPr>
        <w:t xml:space="preserve"> IOB, 1 september 2018, Beleidsdoorlichting Non-proliferatie, wapenbeheersing en exportcontrole van strategische goederen – Laveren met een vaste koers | Rapport | Directie Internationaal Onderzoek en Beleidsevaluatie (IOB)</w:t>
      </w:r>
    </w:p>
  </w:footnote>
  <w:footnote w:id="6">
    <w:p w14:paraId="5FBE2B55" w14:textId="670E260C" w:rsidR="008C50C3" w:rsidRPr="00D455BE" w:rsidRDefault="008C50C3">
      <w:pPr>
        <w:pStyle w:val="FootnoteText"/>
        <w:rPr>
          <w:sz w:val="16"/>
          <w:szCs w:val="16"/>
          <w:lang w:val="pt-PT"/>
        </w:rPr>
      </w:pPr>
      <w:r w:rsidRPr="008C50C3">
        <w:rPr>
          <w:rStyle w:val="FootnoteReference"/>
          <w:sz w:val="16"/>
          <w:szCs w:val="16"/>
        </w:rPr>
        <w:footnoteRef/>
      </w:r>
      <w:r w:rsidRPr="00D455BE">
        <w:rPr>
          <w:sz w:val="16"/>
          <w:szCs w:val="16"/>
          <w:lang w:val="pt-PT"/>
        </w:rPr>
        <w:t xml:space="preserve"> Idem, pagina 128.</w:t>
      </w:r>
    </w:p>
  </w:footnote>
  <w:footnote w:id="7">
    <w:p w14:paraId="4943B92B" w14:textId="2D9328C5" w:rsidR="00BD3CD4" w:rsidRPr="00673034" w:rsidRDefault="00BD3CD4">
      <w:pPr>
        <w:pStyle w:val="FootnoteText"/>
        <w:rPr>
          <w:lang w:val="pt-PT"/>
        </w:rPr>
      </w:pPr>
      <w:r w:rsidRPr="00673034">
        <w:rPr>
          <w:rStyle w:val="FootnoteReference"/>
          <w:sz w:val="16"/>
          <w:szCs w:val="16"/>
        </w:rPr>
        <w:footnoteRef/>
      </w:r>
      <w:r w:rsidRPr="00673034">
        <w:rPr>
          <w:sz w:val="16"/>
          <w:szCs w:val="16"/>
          <w:lang w:val="pt-PT"/>
        </w:rPr>
        <w:t xml:space="preserve"> https://www.iob-evaluatie.nl/documenten/2019/01/22/424-beleidsreactie</w:t>
      </w:r>
    </w:p>
  </w:footnote>
  <w:footnote w:id="8">
    <w:p w14:paraId="5D5E0125" w14:textId="77777777" w:rsidR="00734FAD" w:rsidRPr="00D455BE" w:rsidRDefault="00734FAD" w:rsidP="00734FAD">
      <w:pPr>
        <w:pStyle w:val="FootnoteText"/>
        <w:rPr>
          <w:lang w:val="pt-PT"/>
        </w:rPr>
      </w:pPr>
      <w:r>
        <w:rPr>
          <w:rStyle w:val="FootnoteReference"/>
        </w:rPr>
        <w:footnoteRef/>
      </w:r>
      <w:r w:rsidRPr="00D455BE">
        <w:rPr>
          <w:lang w:val="pt-PT"/>
        </w:rPr>
        <w:t xml:space="preserve"> </w:t>
      </w:r>
      <w:r w:rsidRPr="00D455BE">
        <w:rPr>
          <w:sz w:val="16"/>
          <w:szCs w:val="16"/>
          <w:lang w:val="pt-PT"/>
        </w:rPr>
        <w:t>https://www.rijksoverheid.nl/documenten/rapporten/2025/06/27/rapport-het-nederlandse-exportcontrolebeleid-in-2024</w:t>
      </w:r>
    </w:p>
  </w:footnote>
  <w:footnote w:id="9">
    <w:p w14:paraId="288C50D2" w14:textId="77777777" w:rsidR="00734FAD" w:rsidRPr="00D455BE" w:rsidRDefault="00734FAD" w:rsidP="00734FAD">
      <w:pPr>
        <w:pStyle w:val="FootnoteText"/>
        <w:rPr>
          <w:lang w:val="pt-PT"/>
        </w:rPr>
      </w:pPr>
      <w:r w:rsidRPr="009F52E6">
        <w:rPr>
          <w:rStyle w:val="FootnoteReference"/>
          <w:sz w:val="16"/>
          <w:szCs w:val="16"/>
        </w:rPr>
        <w:footnoteRef/>
      </w:r>
      <w:r w:rsidRPr="00D455BE">
        <w:rPr>
          <w:sz w:val="16"/>
          <w:szCs w:val="16"/>
          <w:lang w:val="pt-PT"/>
        </w:rPr>
        <w:t xml:space="preserve"> https://www.rijksoverheid.nl/documenten/rapporten/2024/11/22/het-nederlandse-exportcontrolebeleid-in-2023</w:t>
      </w:r>
    </w:p>
  </w:footnote>
  <w:footnote w:id="10">
    <w:p w14:paraId="190D26EC" w14:textId="195E63A8" w:rsidR="008C50C3" w:rsidRPr="008C50C3" w:rsidRDefault="008C50C3">
      <w:pPr>
        <w:pStyle w:val="FootnoteText"/>
        <w:rPr>
          <w:lang w:val="en-US"/>
        </w:rPr>
      </w:pPr>
      <w:r w:rsidRPr="008C50C3">
        <w:rPr>
          <w:rStyle w:val="FootnoteReference"/>
          <w:sz w:val="16"/>
          <w:szCs w:val="16"/>
        </w:rPr>
        <w:footnoteRef/>
      </w:r>
      <w:r w:rsidRPr="008C50C3">
        <w:rPr>
          <w:sz w:val="16"/>
          <w:szCs w:val="16"/>
          <w:lang w:val="en-US"/>
        </w:rPr>
        <w:t xml:space="preserve"> Amnesty International, Human Rights in Egypt, https://www.amnesty.org/en/location/middle-east-and-north-africa/north-africa/egypt/report-egypt/ https://www.hrw.org/world-report/2023/country-chapters/egypt.</w:t>
      </w:r>
    </w:p>
  </w:footnote>
  <w:footnote w:id="11">
    <w:p w14:paraId="3CBF6F65" w14:textId="62B5A395" w:rsidR="003631D8" w:rsidRPr="00D455BE" w:rsidRDefault="003631D8">
      <w:pPr>
        <w:pStyle w:val="FootnoteText"/>
      </w:pPr>
      <w:r>
        <w:rPr>
          <w:rStyle w:val="FootnoteReference"/>
        </w:rPr>
        <w:footnoteRef/>
      </w:r>
      <w:r>
        <w:t xml:space="preserve"> </w:t>
      </w:r>
      <w:r w:rsidRPr="003631D8">
        <w:rPr>
          <w:sz w:val="16"/>
          <w:szCs w:val="16"/>
        </w:rPr>
        <w:t>Kamerstuk 22054, nr. 391.</w:t>
      </w:r>
    </w:p>
  </w:footnote>
  <w:footnote w:id="12">
    <w:p w14:paraId="6DB68967" w14:textId="7BAE2A6A" w:rsidR="003631D8" w:rsidRPr="003631D8" w:rsidRDefault="003631D8">
      <w:pPr>
        <w:pStyle w:val="FootnoteText"/>
      </w:pPr>
      <w:r w:rsidRPr="003631D8">
        <w:rPr>
          <w:rStyle w:val="FootnoteReference"/>
          <w:sz w:val="16"/>
          <w:szCs w:val="16"/>
        </w:rPr>
        <w:footnoteRef/>
      </w:r>
      <w:r w:rsidRPr="003631D8">
        <w:rPr>
          <w:sz w:val="16"/>
          <w:szCs w:val="16"/>
        </w:rPr>
        <w:t xml:space="preserve"> Beslisnota bij Kamerstuk 22054, nr. 391</w:t>
      </w:r>
    </w:p>
  </w:footnote>
  <w:footnote w:id="13">
    <w:p w14:paraId="07136160" w14:textId="3ECF2764" w:rsidR="003631D8" w:rsidRPr="003631D8" w:rsidRDefault="003631D8">
      <w:pPr>
        <w:pStyle w:val="FootnoteText"/>
      </w:pPr>
      <w:r>
        <w:rPr>
          <w:rStyle w:val="FootnoteReference"/>
        </w:rPr>
        <w:footnoteRef/>
      </w:r>
      <w:r>
        <w:t xml:space="preserve"> </w:t>
      </w:r>
      <w:r w:rsidRPr="003631D8">
        <w:rPr>
          <w:sz w:val="16"/>
          <w:szCs w:val="16"/>
        </w:rPr>
        <w:t>https://open.overheid.nl/documenten/7e742751-fb02-460e-b83a-268536c7fa9e/file#page=8 (p.8).</w:t>
      </w:r>
    </w:p>
  </w:footnote>
  <w:footnote w:id="14">
    <w:p w14:paraId="4026B390" w14:textId="170FE7B0" w:rsidR="0080037E" w:rsidRPr="0080037E" w:rsidRDefault="0080037E">
      <w:pPr>
        <w:pStyle w:val="FootnoteText"/>
        <w:rPr>
          <w:lang w:val="en-US"/>
        </w:rPr>
      </w:pPr>
      <w:r>
        <w:rPr>
          <w:rStyle w:val="FootnoteReference"/>
        </w:rPr>
        <w:footnoteRef/>
      </w:r>
      <w:r>
        <w:t xml:space="preserve"> </w:t>
      </w:r>
      <w:r w:rsidRPr="0080037E">
        <w:rPr>
          <w:sz w:val="16"/>
          <w:szCs w:val="16"/>
        </w:rPr>
        <w:t>Kamerstuk 22 054, nr. 395</w:t>
      </w:r>
    </w:p>
  </w:footnote>
  <w:footnote w:id="15">
    <w:p w14:paraId="339D90DF" w14:textId="77777777" w:rsidR="0019339A" w:rsidRPr="0080037E" w:rsidRDefault="0019339A" w:rsidP="0019339A">
      <w:pPr>
        <w:pStyle w:val="FootnoteText"/>
        <w:rPr>
          <w:lang w:val="en-US"/>
        </w:rPr>
      </w:pPr>
      <w:r>
        <w:rPr>
          <w:rStyle w:val="FootnoteReference"/>
        </w:rPr>
        <w:footnoteRef/>
      </w:r>
      <w:r>
        <w:t xml:space="preserve"> </w:t>
      </w:r>
      <w:r w:rsidRPr="0080037E">
        <w:rPr>
          <w:sz w:val="16"/>
          <w:szCs w:val="16"/>
        </w:rPr>
        <w:t>Kamerstuk 22 054, nr. 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7F96" w14:textId="77777777" w:rsidR="005905FC" w:rsidRDefault="00590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E171" w14:textId="4AEF7624" w:rsidR="00FE621C" w:rsidRDefault="00E3678A">
    <w:r>
      <w:rPr>
        <w:noProof/>
      </w:rPr>
      <mc:AlternateContent>
        <mc:Choice Requires="wps">
          <w:drawing>
            <wp:anchor distT="0" distB="0" distL="0" distR="0" simplePos="0" relativeHeight="251658240" behindDoc="0" locked="1" layoutInCell="1" allowOverlap="1" wp14:anchorId="525FE175" wp14:editId="525FE176">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5FE1A5" w14:textId="77777777" w:rsidR="00FE621C" w:rsidRDefault="00E3678A">
                          <w:pPr>
                            <w:pStyle w:val="Referentiegegevensbold"/>
                          </w:pPr>
                          <w:r>
                            <w:t>Ministerie van Buitenlandse Zaken</w:t>
                          </w:r>
                        </w:p>
                        <w:p w14:paraId="525FE1A6" w14:textId="77777777" w:rsidR="00FE621C" w:rsidRDefault="00FE621C">
                          <w:pPr>
                            <w:pStyle w:val="WitregelW2"/>
                          </w:pPr>
                        </w:p>
                        <w:p w14:paraId="525FE1A7" w14:textId="77777777" w:rsidR="00FE621C" w:rsidRDefault="00E3678A">
                          <w:pPr>
                            <w:pStyle w:val="Referentiegegevensbold"/>
                          </w:pPr>
                          <w:r>
                            <w:t>Onze referentie</w:t>
                          </w:r>
                        </w:p>
                        <w:p w14:paraId="525FE1A8" w14:textId="77777777" w:rsidR="00FE621C" w:rsidRDefault="00E3678A">
                          <w:pPr>
                            <w:pStyle w:val="Referentiegegevens"/>
                          </w:pPr>
                          <w:r>
                            <w:t>BZ2518565</w:t>
                          </w:r>
                        </w:p>
                      </w:txbxContent>
                    </wps:txbx>
                    <wps:bodyPr vert="horz" wrap="square" lIns="0" tIns="0" rIns="0" bIns="0" anchor="t" anchorCtr="0"/>
                  </wps:wsp>
                </a:graphicData>
              </a:graphic>
            </wp:anchor>
          </w:drawing>
        </mc:Choice>
        <mc:Fallback>
          <w:pict>
            <v:shapetype w14:anchorId="525FE175"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5FE1A5" w14:textId="77777777" w:rsidR="00FE621C" w:rsidRDefault="00E3678A">
                    <w:pPr>
                      <w:pStyle w:val="Referentiegegevensbold"/>
                    </w:pPr>
                    <w:r>
                      <w:t>Ministerie van Buitenlandse Zaken</w:t>
                    </w:r>
                  </w:p>
                  <w:p w14:paraId="525FE1A6" w14:textId="77777777" w:rsidR="00FE621C" w:rsidRDefault="00FE621C">
                    <w:pPr>
                      <w:pStyle w:val="WitregelW2"/>
                    </w:pPr>
                  </w:p>
                  <w:p w14:paraId="525FE1A7" w14:textId="77777777" w:rsidR="00FE621C" w:rsidRDefault="00E3678A">
                    <w:pPr>
                      <w:pStyle w:val="Referentiegegevensbold"/>
                    </w:pPr>
                    <w:r>
                      <w:t>Onze referentie</w:t>
                    </w:r>
                  </w:p>
                  <w:p w14:paraId="525FE1A8" w14:textId="77777777" w:rsidR="00FE621C" w:rsidRDefault="00E3678A">
                    <w:pPr>
                      <w:pStyle w:val="Referentiegegevens"/>
                    </w:pPr>
                    <w:r>
                      <w:t>BZ2518565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25FE179" wp14:editId="5F942F7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5FE1AA" w14:textId="55855832" w:rsidR="00FE621C" w:rsidRDefault="00E3678A">
                          <w:pPr>
                            <w:pStyle w:val="Referentiegegevens"/>
                          </w:pPr>
                          <w:r>
                            <w:t xml:space="preserve">Pagina </w:t>
                          </w:r>
                          <w:r>
                            <w:fldChar w:fldCharType="begin"/>
                          </w:r>
                          <w:r>
                            <w:instrText>=</w:instrText>
                          </w:r>
                          <w:r>
                            <w:fldChar w:fldCharType="begin"/>
                          </w:r>
                          <w:r>
                            <w:instrText>PAGE</w:instrText>
                          </w:r>
                          <w:r>
                            <w:fldChar w:fldCharType="separate"/>
                          </w:r>
                          <w:r w:rsidR="00612146">
                            <w:rPr>
                              <w:noProof/>
                            </w:rPr>
                            <w:instrText>2</w:instrText>
                          </w:r>
                          <w:r>
                            <w:fldChar w:fldCharType="end"/>
                          </w:r>
                          <w:r>
                            <w:instrText>-1</w:instrText>
                          </w:r>
                          <w:r>
                            <w:fldChar w:fldCharType="separate"/>
                          </w:r>
                          <w:r w:rsidR="00612146">
                            <w:rPr>
                              <w:noProof/>
                            </w:rPr>
                            <w:t>1</w:t>
                          </w:r>
                          <w:r>
                            <w:fldChar w:fldCharType="end"/>
                          </w:r>
                          <w:r>
                            <w:t xml:space="preserve"> van </w:t>
                          </w:r>
                          <w:r>
                            <w:fldChar w:fldCharType="begin"/>
                          </w:r>
                          <w:r>
                            <w:instrText>=</w:instrText>
                          </w:r>
                          <w:r>
                            <w:fldChar w:fldCharType="begin"/>
                          </w:r>
                          <w:r>
                            <w:instrText>NUMPAGES</w:instrText>
                          </w:r>
                          <w:r>
                            <w:fldChar w:fldCharType="separate"/>
                          </w:r>
                          <w:r w:rsidR="00612146">
                            <w:rPr>
                              <w:noProof/>
                            </w:rPr>
                            <w:instrText>8</w:instrText>
                          </w:r>
                          <w:r>
                            <w:fldChar w:fldCharType="end"/>
                          </w:r>
                          <w:r>
                            <w:instrText>-1</w:instrText>
                          </w:r>
                          <w:r>
                            <w:fldChar w:fldCharType="separate"/>
                          </w:r>
                          <w:r w:rsidR="00612146">
                            <w:rPr>
                              <w:noProof/>
                            </w:rPr>
                            <w:t>7</w:t>
                          </w:r>
                          <w:r>
                            <w:fldChar w:fldCharType="end"/>
                          </w:r>
                        </w:p>
                      </w:txbxContent>
                    </wps:txbx>
                    <wps:bodyPr vert="horz" wrap="square" lIns="0" tIns="0" rIns="0" bIns="0" anchor="t" anchorCtr="0"/>
                  </wps:wsp>
                </a:graphicData>
              </a:graphic>
            </wp:anchor>
          </w:drawing>
        </mc:Choice>
        <mc:Fallback>
          <w:pict>
            <v:shape w14:anchorId="525FE179"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25FE1AA" w14:textId="55855832" w:rsidR="00FE621C" w:rsidRDefault="00E3678A">
                    <w:pPr>
                      <w:pStyle w:val="Referentiegegevens"/>
                    </w:pPr>
                    <w:r>
                      <w:t xml:space="preserve">Pagina </w:t>
                    </w:r>
                    <w:r>
                      <w:fldChar w:fldCharType="begin"/>
                    </w:r>
                    <w:r>
                      <w:instrText>=</w:instrText>
                    </w:r>
                    <w:r>
                      <w:fldChar w:fldCharType="begin"/>
                    </w:r>
                    <w:r>
                      <w:instrText>PAGE</w:instrText>
                    </w:r>
                    <w:r>
                      <w:fldChar w:fldCharType="separate"/>
                    </w:r>
                    <w:r w:rsidR="00612146">
                      <w:rPr>
                        <w:noProof/>
                      </w:rPr>
                      <w:instrText>2</w:instrText>
                    </w:r>
                    <w:r>
                      <w:fldChar w:fldCharType="end"/>
                    </w:r>
                    <w:r>
                      <w:instrText>-1</w:instrText>
                    </w:r>
                    <w:r>
                      <w:fldChar w:fldCharType="separate"/>
                    </w:r>
                    <w:r w:rsidR="00612146">
                      <w:rPr>
                        <w:noProof/>
                      </w:rPr>
                      <w:t>1</w:t>
                    </w:r>
                    <w:r>
                      <w:fldChar w:fldCharType="end"/>
                    </w:r>
                    <w:r>
                      <w:t xml:space="preserve"> van </w:t>
                    </w:r>
                    <w:r>
                      <w:fldChar w:fldCharType="begin"/>
                    </w:r>
                    <w:r>
                      <w:instrText>=</w:instrText>
                    </w:r>
                    <w:r>
                      <w:fldChar w:fldCharType="begin"/>
                    </w:r>
                    <w:r>
                      <w:instrText>NUMPAGES</w:instrText>
                    </w:r>
                    <w:r>
                      <w:fldChar w:fldCharType="separate"/>
                    </w:r>
                    <w:r w:rsidR="00612146">
                      <w:rPr>
                        <w:noProof/>
                      </w:rPr>
                      <w:instrText>8</w:instrText>
                    </w:r>
                    <w:r>
                      <w:fldChar w:fldCharType="end"/>
                    </w:r>
                    <w:r>
                      <w:instrText>-1</w:instrText>
                    </w:r>
                    <w:r>
                      <w:fldChar w:fldCharType="separate"/>
                    </w:r>
                    <w:r w:rsidR="00612146">
                      <w:rPr>
                        <w:noProof/>
                      </w:rPr>
                      <w:t>7</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E173" w14:textId="431F68E9" w:rsidR="00FE621C" w:rsidRDefault="00E3678A">
    <w:pPr>
      <w:spacing w:after="7131" w:line="14" w:lineRule="exact"/>
    </w:pPr>
    <w:r>
      <w:rPr>
        <w:noProof/>
      </w:rPr>
      <mc:AlternateContent>
        <mc:Choice Requires="wps">
          <w:drawing>
            <wp:anchor distT="0" distB="0" distL="0" distR="0" simplePos="0" relativeHeight="251658243" behindDoc="0" locked="1" layoutInCell="1" allowOverlap="1" wp14:anchorId="525FE17B" wp14:editId="525FE17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25FE1AB" w14:textId="77777777" w:rsidR="00E3678A" w:rsidRDefault="00E3678A"/>
                      </w:txbxContent>
                    </wps:txbx>
                    <wps:bodyPr vert="horz" wrap="square" lIns="0" tIns="0" rIns="0" bIns="0" anchor="t" anchorCtr="0"/>
                  </wps:wsp>
                </a:graphicData>
              </a:graphic>
            </wp:anchor>
          </w:drawing>
        </mc:Choice>
        <mc:Fallback>
          <w:pict>
            <v:shapetype w14:anchorId="525FE17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25FE1AB" w14:textId="77777777" w:rsidR="00E3678A" w:rsidRDefault="00E3678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5FE17D" wp14:editId="525FE17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5FE18C" w14:textId="77777777" w:rsidR="00FE621C" w:rsidRDefault="00E3678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25FE17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25FE18C" w14:textId="77777777" w:rsidR="00FE621C" w:rsidRDefault="00E3678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25FE17F" wp14:editId="525FE18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FE621C" w14:paraId="525FE18F" w14:textId="77777777">
                            <w:tc>
                              <w:tcPr>
                                <w:tcW w:w="903" w:type="dxa"/>
                              </w:tcPr>
                              <w:p w14:paraId="525FE18D" w14:textId="77777777" w:rsidR="00FE621C" w:rsidRDefault="00E3678A">
                                <w:r>
                                  <w:t>Datum</w:t>
                                </w:r>
                              </w:p>
                            </w:tc>
                            <w:tc>
                              <w:tcPr>
                                <w:tcW w:w="6626" w:type="dxa"/>
                              </w:tcPr>
                              <w:p w14:paraId="525FE18E" w14:textId="6DD4A4AE" w:rsidR="00FE621C" w:rsidRDefault="005905FC">
                                <w:r>
                                  <w:t>3</w:t>
                                </w:r>
                                <w:r w:rsidR="00E3678A">
                                  <w:t xml:space="preserve"> </w:t>
                                </w:r>
                                <w:r w:rsidR="00911894">
                                  <w:t>september</w:t>
                                </w:r>
                                <w:r w:rsidR="00E3678A">
                                  <w:t xml:space="preserve"> 2025</w:t>
                                </w:r>
                              </w:p>
                            </w:tc>
                          </w:tr>
                          <w:tr w:rsidR="00FE621C" w14:paraId="525FE194" w14:textId="77777777">
                            <w:tc>
                              <w:tcPr>
                                <w:tcW w:w="678" w:type="dxa"/>
                              </w:tcPr>
                              <w:p w14:paraId="525FE190" w14:textId="77777777" w:rsidR="00FE621C" w:rsidRDefault="00E3678A">
                                <w:r>
                                  <w:t>Betreft</w:t>
                                </w:r>
                              </w:p>
                              <w:p w14:paraId="525FE191" w14:textId="77777777" w:rsidR="00FE621C" w:rsidRDefault="00FE621C"/>
                            </w:tc>
                            <w:tc>
                              <w:tcPr>
                                <w:tcW w:w="6851" w:type="dxa"/>
                              </w:tcPr>
                              <w:p w14:paraId="525FE193" w14:textId="19A22324" w:rsidR="00FE621C" w:rsidRDefault="000B0BF9" w:rsidP="000B0BF9">
                                <w:r w:rsidRPr="000B0BF9">
                                  <w:t>Beantwoording vragen van de leden Hirsch (GL-PvdA) en Dobbe (SP) over het artikel 'Nederland levert militair materieel aan dubieuze regimes'</w:t>
                                </w:r>
                              </w:p>
                            </w:tc>
                          </w:tr>
                        </w:tbl>
                        <w:p w14:paraId="525FE195" w14:textId="77777777" w:rsidR="00FE621C" w:rsidRDefault="00FE621C"/>
                      </w:txbxContent>
                    </wps:txbx>
                    <wps:bodyPr vert="horz" wrap="square" lIns="0" tIns="0" rIns="0" bIns="0" anchor="t" anchorCtr="0"/>
                  </wps:wsp>
                </a:graphicData>
              </a:graphic>
            </wp:anchor>
          </w:drawing>
        </mc:Choice>
        <mc:Fallback>
          <w:pict>
            <v:shape w14:anchorId="525FE17F"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FE621C" w14:paraId="525FE18F" w14:textId="77777777">
                      <w:tc>
                        <w:tcPr>
                          <w:tcW w:w="903" w:type="dxa"/>
                        </w:tcPr>
                        <w:p w14:paraId="525FE18D" w14:textId="77777777" w:rsidR="00FE621C" w:rsidRDefault="00E3678A">
                          <w:r>
                            <w:t>Datum</w:t>
                          </w:r>
                        </w:p>
                      </w:tc>
                      <w:tc>
                        <w:tcPr>
                          <w:tcW w:w="6626" w:type="dxa"/>
                        </w:tcPr>
                        <w:p w14:paraId="525FE18E" w14:textId="6DD4A4AE" w:rsidR="00FE621C" w:rsidRDefault="005905FC">
                          <w:r>
                            <w:t>3</w:t>
                          </w:r>
                          <w:r w:rsidR="00E3678A">
                            <w:t xml:space="preserve"> </w:t>
                          </w:r>
                          <w:r w:rsidR="00911894">
                            <w:t>september</w:t>
                          </w:r>
                          <w:r w:rsidR="00E3678A">
                            <w:t xml:space="preserve"> 2025</w:t>
                          </w:r>
                        </w:p>
                      </w:tc>
                    </w:tr>
                    <w:tr w:rsidR="00FE621C" w14:paraId="525FE194" w14:textId="77777777">
                      <w:tc>
                        <w:tcPr>
                          <w:tcW w:w="678" w:type="dxa"/>
                        </w:tcPr>
                        <w:p w14:paraId="525FE190" w14:textId="77777777" w:rsidR="00FE621C" w:rsidRDefault="00E3678A">
                          <w:r>
                            <w:t>Betreft</w:t>
                          </w:r>
                        </w:p>
                        <w:p w14:paraId="525FE191" w14:textId="77777777" w:rsidR="00FE621C" w:rsidRDefault="00FE621C"/>
                      </w:tc>
                      <w:tc>
                        <w:tcPr>
                          <w:tcW w:w="6851" w:type="dxa"/>
                        </w:tcPr>
                        <w:p w14:paraId="525FE193" w14:textId="19A22324" w:rsidR="00FE621C" w:rsidRDefault="000B0BF9" w:rsidP="000B0BF9">
                          <w:r w:rsidRPr="000B0BF9">
                            <w:t>Beantwoording vragen van de leden Hirsch (GL-PvdA) en Dobbe (SP) over het artikel 'Nederland levert militair materieel aan dubieuze regimes'</w:t>
                          </w:r>
                        </w:p>
                      </w:tc>
                    </w:tr>
                  </w:tbl>
                  <w:p w14:paraId="525FE195" w14:textId="77777777" w:rsidR="00FE621C" w:rsidRDefault="00FE621C"/>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5FE181" wp14:editId="525FE182">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5FE196" w14:textId="77777777" w:rsidR="00FE621C" w:rsidRDefault="00E3678A">
                          <w:pPr>
                            <w:pStyle w:val="Referentiegegevensbold"/>
                          </w:pPr>
                          <w:r>
                            <w:t>Ministerie van Buitenlandse Zaken</w:t>
                          </w:r>
                        </w:p>
                        <w:p w14:paraId="525FE197" w14:textId="77777777" w:rsidR="00FE621C" w:rsidRDefault="00FE621C">
                          <w:pPr>
                            <w:pStyle w:val="WitregelW1"/>
                          </w:pPr>
                        </w:p>
                        <w:p w14:paraId="525FE198" w14:textId="48E0AAF8" w:rsidR="00FE621C" w:rsidRPr="00871B69" w:rsidRDefault="00871B69">
                          <w:pPr>
                            <w:pStyle w:val="Referentiegegevens"/>
                          </w:pPr>
                          <w:r w:rsidRPr="00871B69">
                            <w:t>Rijnstraat 8</w:t>
                          </w:r>
                        </w:p>
                        <w:p w14:paraId="6D0D7120" w14:textId="11BD8B39" w:rsidR="00871B69" w:rsidRPr="00A24917" w:rsidRDefault="00871B69" w:rsidP="00871B69">
                          <w:pPr>
                            <w:rPr>
                              <w:sz w:val="13"/>
                              <w:szCs w:val="13"/>
                              <w:lang w:val="da-DK"/>
                            </w:rPr>
                          </w:pPr>
                          <w:r w:rsidRPr="00A24917">
                            <w:rPr>
                              <w:sz w:val="13"/>
                              <w:szCs w:val="13"/>
                              <w:lang w:val="da-DK"/>
                            </w:rPr>
                            <w:t>2515XP Den Haag</w:t>
                          </w:r>
                        </w:p>
                        <w:p w14:paraId="461BD173" w14:textId="3FDCC90F" w:rsidR="00871B69" w:rsidRPr="00A24917" w:rsidRDefault="00871B69" w:rsidP="00871B69">
                          <w:pPr>
                            <w:rPr>
                              <w:sz w:val="13"/>
                              <w:szCs w:val="13"/>
                              <w:lang w:val="da-DK"/>
                            </w:rPr>
                          </w:pPr>
                          <w:r w:rsidRPr="00A24917">
                            <w:rPr>
                              <w:sz w:val="13"/>
                              <w:szCs w:val="13"/>
                              <w:lang w:val="da-DK"/>
                            </w:rPr>
                            <w:t>Postbus 20061</w:t>
                          </w:r>
                        </w:p>
                        <w:p w14:paraId="26AB3387" w14:textId="58030E12" w:rsidR="00871B69" w:rsidRPr="00A24917" w:rsidRDefault="00871B69" w:rsidP="00871B69">
                          <w:pPr>
                            <w:rPr>
                              <w:sz w:val="13"/>
                              <w:szCs w:val="13"/>
                              <w:lang w:val="da-DK"/>
                            </w:rPr>
                          </w:pPr>
                          <w:r w:rsidRPr="00A24917">
                            <w:rPr>
                              <w:sz w:val="13"/>
                              <w:szCs w:val="13"/>
                              <w:lang w:val="da-DK"/>
                            </w:rPr>
                            <w:t>Nederland</w:t>
                          </w:r>
                        </w:p>
                        <w:p w14:paraId="525FE199" w14:textId="77777777" w:rsidR="00FE621C" w:rsidRPr="00A24917" w:rsidRDefault="00E3678A">
                          <w:pPr>
                            <w:pStyle w:val="Referentiegegevens"/>
                            <w:rPr>
                              <w:lang w:val="da-DK"/>
                            </w:rPr>
                          </w:pPr>
                          <w:r w:rsidRPr="00A24917">
                            <w:rPr>
                              <w:lang w:val="da-DK"/>
                            </w:rPr>
                            <w:t>www.minbuza.nl</w:t>
                          </w:r>
                        </w:p>
                        <w:p w14:paraId="525FE19A" w14:textId="77777777" w:rsidR="00FE621C" w:rsidRPr="00A24917" w:rsidRDefault="00FE621C">
                          <w:pPr>
                            <w:pStyle w:val="WitregelW2"/>
                            <w:rPr>
                              <w:lang w:val="da-DK"/>
                            </w:rPr>
                          </w:pPr>
                        </w:p>
                        <w:p w14:paraId="525FE19B" w14:textId="77777777" w:rsidR="00FE621C" w:rsidRDefault="00E3678A">
                          <w:pPr>
                            <w:pStyle w:val="Referentiegegevensbold"/>
                          </w:pPr>
                          <w:r>
                            <w:t>Onze referentie</w:t>
                          </w:r>
                        </w:p>
                        <w:p w14:paraId="525FE19C" w14:textId="77777777" w:rsidR="00FE621C" w:rsidRDefault="00E3678A">
                          <w:pPr>
                            <w:pStyle w:val="Referentiegegevens"/>
                          </w:pPr>
                          <w:r>
                            <w:t>BZ2518565</w:t>
                          </w:r>
                        </w:p>
                        <w:p w14:paraId="525FE19D" w14:textId="77777777" w:rsidR="00FE621C" w:rsidRDefault="00FE621C">
                          <w:pPr>
                            <w:pStyle w:val="WitregelW1"/>
                          </w:pPr>
                        </w:p>
                        <w:p w14:paraId="525FE19E" w14:textId="77777777" w:rsidR="00FE621C" w:rsidRDefault="00E3678A">
                          <w:pPr>
                            <w:pStyle w:val="Referentiegegevensbold"/>
                          </w:pPr>
                          <w:r>
                            <w:t>Uw referentie</w:t>
                          </w:r>
                        </w:p>
                        <w:p w14:paraId="525FE19F" w14:textId="77777777" w:rsidR="00FE621C" w:rsidRDefault="00E3678A">
                          <w:pPr>
                            <w:pStyle w:val="Referentiegegevens"/>
                          </w:pPr>
                          <w:r>
                            <w:t>2025Z14730</w:t>
                          </w:r>
                        </w:p>
                        <w:p w14:paraId="525FE1A0" w14:textId="77777777" w:rsidR="00FE621C" w:rsidRDefault="00FE621C">
                          <w:pPr>
                            <w:pStyle w:val="WitregelW1"/>
                          </w:pPr>
                        </w:p>
                        <w:p w14:paraId="525FE1A1" w14:textId="77777777" w:rsidR="00FE621C" w:rsidRDefault="00E3678A">
                          <w:pPr>
                            <w:pStyle w:val="Referentiegegevensbold"/>
                          </w:pPr>
                          <w:r>
                            <w:t>Bijlage(n)</w:t>
                          </w:r>
                        </w:p>
                        <w:p w14:paraId="525FE1A2" w14:textId="77777777" w:rsidR="00FE621C" w:rsidRDefault="00E3678A">
                          <w:pPr>
                            <w:pStyle w:val="Referentiegegevens"/>
                          </w:pPr>
                          <w:r>
                            <w:t>-</w:t>
                          </w:r>
                        </w:p>
                      </w:txbxContent>
                    </wps:txbx>
                    <wps:bodyPr vert="horz" wrap="square" lIns="0" tIns="0" rIns="0" bIns="0" anchor="t" anchorCtr="0"/>
                  </wps:wsp>
                </a:graphicData>
              </a:graphic>
            </wp:anchor>
          </w:drawing>
        </mc:Choice>
        <mc:Fallback>
          <w:pict>
            <v:shape w14:anchorId="525FE181"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25FE196" w14:textId="77777777" w:rsidR="00FE621C" w:rsidRDefault="00E3678A">
                    <w:pPr>
                      <w:pStyle w:val="Referentiegegevensbold"/>
                    </w:pPr>
                    <w:r>
                      <w:t>Ministerie van Buitenlandse Zaken</w:t>
                    </w:r>
                  </w:p>
                  <w:p w14:paraId="525FE197" w14:textId="77777777" w:rsidR="00FE621C" w:rsidRDefault="00FE621C">
                    <w:pPr>
                      <w:pStyle w:val="WitregelW1"/>
                    </w:pPr>
                  </w:p>
                  <w:p w14:paraId="525FE198" w14:textId="48E0AAF8" w:rsidR="00FE621C" w:rsidRPr="00871B69" w:rsidRDefault="00871B69">
                    <w:pPr>
                      <w:pStyle w:val="Referentiegegevens"/>
                    </w:pPr>
                    <w:r w:rsidRPr="00871B69">
                      <w:t>Rijnstraat 8</w:t>
                    </w:r>
                  </w:p>
                  <w:p w14:paraId="6D0D7120" w14:textId="11BD8B39" w:rsidR="00871B69" w:rsidRPr="00A24917" w:rsidRDefault="00871B69" w:rsidP="00871B69">
                    <w:pPr>
                      <w:rPr>
                        <w:sz w:val="13"/>
                        <w:szCs w:val="13"/>
                        <w:lang w:val="da-DK"/>
                      </w:rPr>
                    </w:pPr>
                    <w:r w:rsidRPr="00A24917">
                      <w:rPr>
                        <w:sz w:val="13"/>
                        <w:szCs w:val="13"/>
                        <w:lang w:val="da-DK"/>
                      </w:rPr>
                      <w:t>2515XP Den Haag</w:t>
                    </w:r>
                  </w:p>
                  <w:p w14:paraId="461BD173" w14:textId="3FDCC90F" w:rsidR="00871B69" w:rsidRPr="00A24917" w:rsidRDefault="00871B69" w:rsidP="00871B69">
                    <w:pPr>
                      <w:rPr>
                        <w:sz w:val="13"/>
                        <w:szCs w:val="13"/>
                        <w:lang w:val="da-DK"/>
                      </w:rPr>
                    </w:pPr>
                    <w:r w:rsidRPr="00A24917">
                      <w:rPr>
                        <w:sz w:val="13"/>
                        <w:szCs w:val="13"/>
                        <w:lang w:val="da-DK"/>
                      </w:rPr>
                      <w:t>Postbus 20061</w:t>
                    </w:r>
                  </w:p>
                  <w:p w14:paraId="26AB3387" w14:textId="58030E12" w:rsidR="00871B69" w:rsidRPr="00A24917" w:rsidRDefault="00871B69" w:rsidP="00871B69">
                    <w:pPr>
                      <w:rPr>
                        <w:sz w:val="13"/>
                        <w:szCs w:val="13"/>
                        <w:lang w:val="da-DK"/>
                      </w:rPr>
                    </w:pPr>
                    <w:r w:rsidRPr="00A24917">
                      <w:rPr>
                        <w:sz w:val="13"/>
                        <w:szCs w:val="13"/>
                        <w:lang w:val="da-DK"/>
                      </w:rPr>
                      <w:t>Nederland</w:t>
                    </w:r>
                  </w:p>
                  <w:p w14:paraId="525FE199" w14:textId="77777777" w:rsidR="00FE621C" w:rsidRPr="00A24917" w:rsidRDefault="00E3678A">
                    <w:pPr>
                      <w:pStyle w:val="Referentiegegevens"/>
                      <w:rPr>
                        <w:lang w:val="da-DK"/>
                      </w:rPr>
                    </w:pPr>
                    <w:r w:rsidRPr="00A24917">
                      <w:rPr>
                        <w:lang w:val="da-DK"/>
                      </w:rPr>
                      <w:t>www.minbuza.nl</w:t>
                    </w:r>
                  </w:p>
                  <w:p w14:paraId="525FE19A" w14:textId="77777777" w:rsidR="00FE621C" w:rsidRPr="00A24917" w:rsidRDefault="00FE621C">
                    <w:pPr>
                      <w:pStyle w:val="WitregelW2"/>
                      <w:rPr>
                        <w:lang w:val="da-DK"/>
                      </w:rPr>
                    </w:pPr>
                  </w:p>
                  <w:p w14:paraId="525FE19B" w14:textId="77777777" w:rsidR="00FE621C" w:rsidRDefault="00E3678A">
                    <w:pPr>
                      <w:pStyle w:val="Referentiegegevensbold"/>
                    </w:pPr>
                    <w:r>
                      <w:t>Onze referentie</w:t>
                    </w:r>
                  </w:p>
                  <w:p w14:paraId="525FE19C" w14:textId="77777777" w:rsidR="00FE621C" w:rsidRDefault="00E3678A">
                    <w:pPr>
                      <w:pStyle w:val="Referentiegegevens"/>
                    </w:pPr>
                    <w:r>
                      <w:t>BZ2518565</w:t>
                    </w:r>
                  </w:p>
                  <w:p w14:paraId="525FE19D" w14:textId="77777777" w:rsidR="00FE621C" w:rsidRDefault="00FE621C">
                    <w:pPr>
                      <w:pStyle w:val="WitregelW1"/>
                    </w:pPr>
                  </w:p>
                  <w:p w14:paraId="525FE19E" w14:textId="77777777" w:rsidR="00FE621C" w:rsidRDefault="00E3678A">
                    <w:pPr>
                      <w:pStyle w:val="Referentiegegevensbold"/>
                    </w:pPr>
                    <w:r>
                      <w:t>Uw referentie</w:t>
                    </w:r>
                  </w:p>
                  <w:p w14:paraId="525FE19F" w14:textId="77777777" w:rsidR="00FE621C" w:rsidRDefault="00E3678A">
                    <w:pPr>
                      <w:pStyle w:val="Referentiegegevens"/>
                    </w:pPr>
                    <w:r>
                      <w:t>2025Z14730</w:t>
                    </w:r>
                  </w:p>
                  <w:p w14:paraId="525FE1A0" w14:textId="77777777" w:rsidR="00FE621C" w:rsidRDefault="00FE621C">
                    <w:pPr>
                      <w:pStyle w:val="WitregelW1"/>
                    </w:pPr>
                  </w:p>
                  <w:p w14:paraId="525FE1A1" w14:textId="77777777" w:rsidR="00FE621C" w:rsidRDefault="00E3678A">
                    <w:pPr>
                      <w:pStyle w:val="Referentiegegevensbold"/>
                    </w:pPr>
                    <w:r>
                      <w:t>Bijlage(n)</w:t>
                    </w:r>
                  </w:p>
                  <w:p w14:paraId="525FE1A2" w14:textId="77777777" w:rsidR="00FE621C" w:rsidRDefault="00E3678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25FE185" wp14:editId="27089C4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5FE1B1" w14:textId="77777777" w:rsidR="00E3678A" w:rsidRDefault="00E3678A"/>
                      </w:txbxContent>
                    </wps:txbx>
                    <wps:bodyPr vert="horz" wrap="square" lIns="0" tIns="0" rIns="0" bIns="0" anchor="t" anchorCtr="0"/>
                  </wps:wsp>
                </a:graphicData>
              </a:graphic>
            </wp:anchor>
          </w:drawing>
        </mc:Choice>
        <mc:Fallback>
          <w:pict>
            <v:shape w14:anchorId="525FE18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25FE1B1" w14:textId="77777777" w:rsidR="00E3678A" w:rsidRDefault="00E3678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25FE187" wp14:editId="525FE18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5FE1B3" w14:textId="77777777" w:rsidR="00E3678A" w:rsidRDefault="00E3678A"/>
                      </w:txbxContent>
                    </wps:txbx>
                    <wps:bodyPr vert="horz" wrap="square" lIns="0" tIns="0" rIns="0" bIns="0" anchor="t" anchorCtr="0"/>
                  </wps:wsp>
                </a:graphicData>
              </a:graphic>
            </wp:anchor>
          </w:drawing>
        </mc:Choice>
        <mc:Fallback>
          <w:pict>
            <v:shape w14:anchorId="525FE18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25FE1B3" w14:textId="77777777" w:rsidR="00E3678A" w:rsidRDefault="00E3678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25FE189" wp14:editId="525FE18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5FE1A4" w14:textId="77777777" w:rsidR="00FE621C" w:rsidRDefault="00E3678A">
                          <w:pPr>
                            <w:spacing w:line="240" w:lineRule="auto"/>
                          </w:pPr>
                          <w:r>
                            <w:rPr>
                              <w:noProof/>
                            </w:rPr>
                            <w:drawing>
                              <wp:inline distT="0" distB="0" distL="0" distR="0" wp14:anchorId="525FE1AB" wp14:editId="525FE1A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5FE18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25FE1A4" w14:textId="77777777" w:rsidR="00FE621C" w:rsidRDefault="00E3678A">
                    <w:pPr>
                      <w:spacing w:line="240" w:lineRule="auto"/>
                    </w:pPr>
                    <w:r>
                      <w:rPr>
                        <w:noProof/>
                      </w:rPr>
                      <w:drawing>
                        <wp:inline distT="0" distB="0" distL="0" distR="0" wp14:anchorId="525FE1AB" wp14:editId="525FE1A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1B0470"/>
    <w:multiLevelType w:val="multilevel"/>
    <w:tmpl w:val="392E8B0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CDB007"/>
    <w:multiLevelType w:val="multilevel"/>
    <w:tmpl w:val="5C5B9B3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952F01B"/>
    <w:multiLevelType w:val="multilevel"/>
    <w:tmpl w:val="1A3B99F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41554DE"/>
    <w:multiLevelType w:val="multilevel"/>
    <w:tmpl w:val="C83A15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7BD3718"/>
    <w:multiLevelType w:val="hybridMultilevel"/>
    <w:tmpl w:val="A2C4E370"/>
    <w:lvl w:ilvl="0" w:tplc="023E6380">
      <w:start w:val="1"/>
      <w:numFmt w:val="decimal"/>
      <w:lvlText w:val="%1."/>
      <w:lvlJc w:val="left"/>
      <w:pPr>
        <w:ind w:left="1020" w:hanging="360"/>
      </w:pPr>
    </w:lvl>
    <w:lvl w:ilvl="1" w:tplc="C516794E">
      <w:start w:val="1"/>
      <w:numFmt w:val="decimal"/>
      <w:lvlText w:val="%2."/>
      <w:lvlJc w:val="left"/>
      <w:pPr>
        <w:ind w:left="1020" w:hanging="360"/>
      </w:pPr>
    </w:lvl>
    <w:lvl w:ilvl="2" w:tplc="2F6A7F32">
      <w:start w:val="1"/>
      <w:numFmt w:val="decimal"/>
      <w:lvlText w:val="%3."/>
      <w:lvlJc w:val="left"/>
      <w:pPr>
        <w:ind w:left="1020" w:hanging="360"/>
      </w:pPr>
    </w:lvl>
    <w:lvl w:ilvl="3" w:tplc="416E6622">
      <w:start w:val="1"/>
      <w:numFmt w:val="decimal"/>
      <w:lvlText w:val="%4."/>
      <w:lvlJc w:val="left"/>
      <w:pPr>
        <w:ind w:left="1020" w:hanging="360"/>
      </w:pPr>
    </w:lvl>
    <w:lvl w:ilvl="4" w:tplc="8FBC963A">
      <w:start w:val="1"/>
      <w:numFmt w:val="decimal"/>
      <w:lvlText w:val="%5."/>
      <w:lvlJc w:val="left"/>
      <w:pPr>
        <w:ind w:left="1020" w:hanging="360"/>
      </w:pPr>
    </w:lvl>
    <w:lvl w:ilvl="5" w:tplc="92E8662E">
      <w:start w:val="1"/>
      <w:numFmt w:val="decimal"/>
      <w:lvlText w:val="%6."/>
      <w:lvlJc w:val="left"/>
      <w:pPr>
        <w:ind w:left="1020" w:hanging="360"/>
      </w:pPr>
    </w:lvl>
    <w:lvl w:ilvl="6" w:tplc="7A3A6138">
      <w:start w:val="1"/>
      <w:numFmt w:val="decimal"/>
      <w:lvlText w:val="%7."/>
      <w:lvlJc w:val="left"/>
      <w:pPr>
        <w:ind w:left="1020" w:hanging="360"/>
      </w:pPr>
    </w:lvl>
    <w:lvl w:ilvl="7" w:tplc="FD02F720">
      <w:start w:val="1"/>
      <w:numFmt w:val="decimal"/>
      <w:lvlText w:val="%8."/>
      <w:lvlJc w:val="left"/>
      <w:pPr>
        <w:ind w:left="1020" w:hanging="360"/>
      </w:pPr>
    </w:lvl>
    <w:lvl w:ilvl="8" w:tplc="0AE2E4E0">
      <w:start w:val="1"/>
      <w:numFmt w:val="decimal"/>
      <w:lvlText w:val="%9."/>
      <w:lvlJc w:val="left"/>
      <w:pPr>
        <w:ind w:left="1020" w:hanging="360"/>
      </w:pPr>
    </w:lvl>
  </w:abstractNum>
  <w:abstractNum w:abstractNumId="5" w15:restartNumberingAfterBreak="0">
    <w:nsid w:val="7192ED5A"/>
    <w:multiLevelType w:val="multilevel"/>
    <w:tmpl w:val="695B7C2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67755321">
    <w:abstractNumId w:val="2"/>
  </w:num>
  <w:num w:numId="2" w16cid:durableId="1357271930">
    <w:abstractNumId w:val="1"/>
  </w:num>
  <w:num w:numId="3" w16cid:durableId="1682126274">
    <w:abstractNumId w:val="3"/>
  </w:num>
  <w:num w:numId="4" w16cid:durableId="1846624392">
    <w:abstractNumId w:val="5"/>
  </w:num>
  <w:num w:numId="5" w16cid:durableId="695958870">
    <w:abstractNumId w:val="0"/>
  </w:num>
  <w:num w:numId="6" w16cid:durableId="93787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1C"/>
    <w:rsid w:val="0000640C"/>
    <w:rsid w:val="00053026"/>
    <w:rsid w:val="000535D5"/>
    <w:rsid w:val="000B0BF9"/>
    <w:rsid w:val="000D527C"/>
    <w:rsid w:val="000E3E2A"/>
    <w:rsid w:val="000F50A5"/>
    <w:rsid w:val="000F78B2"/>
    <w:rsid w:val="00105430"/>
    <w:rsid w:val="0014117F"/>
    <w:rsid w:val="001801D1"/>
    <w:rsid w:val="0019339A"/>
    <w:rsid w:val="001C05EE"/>
    <w:rsid w:val="001D762E"/>
    <w:rsid w:val="001E274F"/>
    <w:rsid w:val="00224BBA"/>
    <w:rsid w:val="00237901"/>
    <w:rsid w:val="00253DBA"/>
    <w:rsid w:val="00270FF5"/>
    <w:rsid w:val="00293818"/>
    <w:rsid w:val="002B40D9"/>
    <w:rsid w:val="002C6F02"/>
    <w:rsid w:val="002E0ED7"/>
    <w:rsid w:val="002E4F04"/>
    <w:rsid w:val="003321B9"/>
    <w:rsid w:val="0034449A"/>
    <w:rsid w:val="003631D8"/>
    <w:rsid w:val="00365FD8"/>
    <w:rsid w:val="00366C32"/>
    <w:rsid w:val="003B0D9D"/>
    <w:rsid w:val="003B2EC5"/>
    <w:rsid w:val="003D0B6B"/>
    <w:rsid w:val="003D10E9"/>
    <w:rsid w:val="003D5069"/>
    <w:rsid w:val="003F2FBA"/>
    <w:rsid w:val="00410161"/>
    <w:rsid w:val="00410372"/>
    <w:rsid w:val="0044224A"/>
    <w:rsid w:val="00451468"/>
    <w:rsid w:val="00456224"/>
    <w:rsid w:val="00465D72"/>
    <w:rsid w:val="00475D8E"/>
    <w:rsid w:val="004B2AB5"/>
    <w:rsid w:val="004C2AC6"/>
    <w:rsid w:val="004E42FF"/>
    <w:rsid w:val="004F63EE"/>
    <w:rsid w:val="00533465"/>
    <w:rsid w:val="005431FD"/>
    <w:rsid w:val="005905FC"/>
    <w:rsid w:val="005A4EF7"/>
    <w:rsid w:val="005D33A5"/>
    <w:rsid w:val="005D3CD7"/>
    <w:rsid w:val="005D5D7F"/>
    <w:rsid w:val="005F7B20"/>
    <w:rsid w:val="00605242"/>
    <w:rsid w:val="00612146"/>
    <w:rsid w:val="00630BE2"/>
    <w:rsid w:val="006367CF"/>
    <w:rsid w:val="00673034"/>
    <w:rsid w:val="006D10A9"/>
    <w:rsid w:val="006E73F7"/>
    <w:rsid w:val="00712B3B"/>
    <w:rsid w:val="00714376"/>
    <w:rsid w:val="00734FAD"/>
    <w:rsid w:val="00742673"/>
    <w:rsid w:val="0076167E"/>
    <w:rsid w:val="00776F8C"/>
    <w:rsid w:val="007868BE"/>
    <w:rsid w:val="007900AC"/>
    <w:rsid w:val="00794EE4"/>
    <w:rsid w:val="007D6A5D"/>
    <w:rsid w:val="007D6A71"/>
    <w:rsid w:val="007E3B5F"/>
    <w:rsid w:val="007F32A3"/>
    <w:rsid w:val="0080037E"/>
    <w:rsid w:val="00814F2F"/>
    <w:rsid w:val="00830351"/>
    <w:rsid w:val="00844FBA"/>
    <w:rsid w:val="00871B69"/>
    <w:rsid w:val="008B4A7C"/>
    <w:rsid w:val="008C50C3"/>
    <w:rsid w:val="00911894"/>
    <w:rsid w:val="00941017"/>
    <w:rsid w:val="00944D7A"/>
    <w:rsid w:val="00946DEB"/>
    <w:rsid w:val="0094757C"/>
    <w:rsid w:val="00950B07"/>
    <w:rsid w:val="00956D43"/>
    <w:rsid w:val="00980D48"/>
    <w:rsid w:val="0098202A"/>
    <w:rsid w:val="009F52E6"/>
    <w:rsid w:val="009F5562"/>
    <w:rsid w:val="00A22D74"/>
    <w:rsid w:val="00A24917"/>
    <w:rsid w:val="00A25800"/>
    <w:rsid w:val="00A31C50"/>
    <w:rsid w:val="00A33D12"/>
    <w:rsid w:val="00A62899"/>
    <w:rsid w:val="00A81E64"/>
    <w:rsid w:val="00A93F12"/>
    <w:rsid w:val="00AD6214"/>
    <w:rsid w:val="00B15891"/>
    <w:rsid w:val="00B32725"/>
    <w:rsid w:val="00B375E6"/>
    <w:rsid w:val="00B74EFB"/>
    <w:rsid w:val="00BA46D5"/>
    <w:rsid w:val="00BA7E53"/>
    <w:rsid w:val="00BD3CD4"/>
    <w:rsid w:val="00BE0FB6"/>
    <w:rsid w:val="00BF3E42"/>
    <w:rsid w:val="00C11DDE"/>
    <w:rsid w:val="00C35023"/>
    <w:rsid w:val="00C73C44"/>
    <w:rsid w:val="00C75996"/>
    <w:rsid w:val="00CB6034"/>
    <w:rsid w:val="00CD5F91"/>
    <w:rsid w:val="00D26FBC"/>
    <w:rsid w:val="00D455BE"/>
    <w:rsid w:val="00D5618A"/>
    <w:rsid w:val="00D9524A"/>
    <w:rsid w:val="00DA48F7"/>
    <w:rsid w:val="00DA6385"/>
    <w:rsid w:val="00DA7D12"/>
    <w:rsid w:val="00DD6C17"/>
    <w:rsid w:val="00E200A5"/>
    <w:rsid w:val="00E22CC7"/>
    <w:rsid w:val="00E3678A"/>
    <w:rsid w:val="00E718E7"/>
    <w:rsid w:val="00EB2B5E"/>
    <w:rsid w:val="00EB4234"/>
    <w:rsid w:val="00EC19DE"/>
    <w:rsid w:val="00EC76D1"/>
    <w:rsid w:val="00ED5A3E"/>
    <w:rsid w:val="00F0008D"/>
    <w:rsid w:val="00F06A99"/>
    <w:rsid w:val="00F17877"/>
    <w:rsid w:val="00F85899"/>
    <w:rsid w:val="00F85B96"/>
    <w:rsid w:val="00FC2C20"/>
    <w:rsid w:val="00FD2284"/>
    <w:rsid w:val="00FE6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5FE149"/>
  <w15:docId w15:val="{516CBC3B-0A83-4EEB-ABF5-8B35DD74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94757C"/>
    <w:pPr>
      <w:spacing w:line="240" w:lineRule="auto"/>
    </w:pPr>
    <w:rPr>
      <w:sz w:val="20"/>
      <w:szCs w:val="20"/>
    </w:rPr>
  </w:style>
  <w:style w:type="character" w:customStyle="1" w:styleId="FootnoteTextChar">
    <w:name w:val="Footnote Text Char"/>
    <w:basedOn w:val="DefaultParagraphFont"/>
    <w:link w:val="FootnoteText"/>
    <w:uiPriority w:val="99"/>
    <w:semiHidden/>
    <w:rsid w:val="0094757C"/>
    <w:rPr>
      <w:rFonts w:ascii="Verdana" w:hAnsi="Verdana"/>
      <w:color w:val="000000"/>
    </w:rPr>
  </w:style>
  <w:style w:type="character" w:styleId="FootnoteReference">
    <w:name w:val="footnote reference"/>
    <w:basedOn w:val="DefaultParagraphFont"/>
    <w:uiPriority w:val="99"/>
    <w:semiHidden/>
    <w:unhideWhenUsed/>
    <w:rsid w:val="0094757C"/>
    <w:rPr>
      <w:vertAlign w:val="superscript"/>
    </w:rPr>
  </w:style>
  <w:style w:type="character" w:styleId="UnresolvedMention">
    <w:name w:val="Unresolved Mention"/>
    <w:basedOn w:val="DefaultParagraphFont"/>
    <w:uiPriority w:val="99"/>
    <w:semiHidden/>
    <w:unhideWhenUsed/>
    <w:rsid w:val="00EC76D1"/>
    <w:rPr>
      <w:color w:val="605E5C"/>
      <w:shd w:val="clear" w:color="auto" w:fill="E1DFDD"/>
    </w:rPr>
  </w:style>
  <w:style w:type="character" w:styleId="CommentReference">
    <w:name w:val="annotation reference"/>
    <w:basedOn w:val="DefaultParagraphFont"/>
    <w:uiPriority w:val="99"/>
    <w:semiHidden/>
    <w:unhideWhenUsed/>
    <w:rsid w:val="00FD2284"/>
    <w:rPr>
      <w:sz w:val="16"/>
      <w:szCs w:val="16"/>
    </w:rPr>
  </w:style>
  <w:style w:type="paragraph" w:styleId="CommentText">
    <w:name w:val="annotation text"/>
    <w:basedOn w:val="Normal"/>
    <w:link w:val="CommentTextChar"/>
    <w:uiPriority w:val="99"/>
    <w:unhideWhenUsed/>
    <w:rsid w:val="00FD2284"/>
    <w:pPr>
      <w:spacing w:line="240" w:lineRule="auto"/>
    </w:pPr>
    <w:rPr>
      <w:sz w:val="20"/>
      <w:szCs w:val="20"/>
    </w:rPr>
  </w:style>
  <w:style w:type="character" w:customStyle="1" w:styleId="CommentTextChar">
    <w:name w:val="Comment Text Char"/>
    <w:basedOn w:val="DefaultParagraphFont"/>
    <w:link w:val="CommentText"/>
    <w:uiPriority w:val="99"/>
    <w:rsid w:val="00FD228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D2284"/>
    <w:rPr>
      <w:b/>
      <w:bCs/>
    </w:rPr>
  </w:style>
  <w:style w:type="character" w:customStyle="1" w:styleId="CommentSubjectChar">
    <w:name w:val="Comment Subject Char"/>
    <w:basedOn w:val="CommentTextChar"/>
    <w:link w:val="CommentSubject"/>
    <w:uiPriority w:val="99"/>
    <w:semiHidden/>
    <w:rsid w:val="00FD2284"/>
    <w:rPr>
      <w:rFonts w:ascii="Verdana" w:hAnsi="Verdana"/>
      <w:b/>
      <w:bCs/>
      <w:color w:val="000000"/>
    </w:rPr>
  </w:style>
  <w:style w:type="paragraph" w:styleId="Revision">
    <w:name w:val="Revision"/>
    <w:hidden/>
    <w:uiPriority w:val="99"/>
    <w:semiHidden/>
    <w:rsid w:val="00ED5A3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CD5F91"/>
    <w:pPr>
      <w:tabs>
        <w:tab w:val="center" w:pos="4513"/>
        <w:tab w:val="right" w:pos="9026"/>
      </w:tabs>
      <w:spacing w:line="240" w:lineRule="auto"/>
    </w:pPr>
  </w:style>
  <w:style w:type="character" w:customStyle="1" w:styleId="HeaderChar">
    <w:name w:val="Header Char"/>
    <w:basedOn w:val="DefaultParagraphFont"/>
    <w:link w:val="Header"/>
    <w:uiPriority w:val="99"/>
    <w:rsid w:val="00CD5F91"/>
    <w:rPr>
      <w:rFonts w:ascii="Verdana" w:hAnsi="Verdana"/>
      <w:color w:val="000000"/>
      <w:sz w:val="18"/>
      <w:szCs w:val="18"/>
    </w:rPr>
  </w:style>
  <w:style w:type="paragraph" w:styleId="Footer">
    <w:name w:val="footer"/>
    <w:basedOn w:val="Normal"/>
    <w:link w:val="FooterChar"/>
    <w:uiPriority w:val="99"/>
    <w:unhideWhenUsed/>
    <w:rsid w:val="00CD5F91"/>
    <w:pPr>
      <w:tabs>
        <w:tab w:val="center" w:pos="4513"/>
        <w:tab w:val="right" w:pos="9026"/>
      </w:tabs>
      <w:spacing w:line="240" w:lineRule="auto"/>
    </w:pPr>
  </w:style>
  <w:style w:type="character" w:customStyle="1" w:styleId="FooterChar">
    <w:name w:val="Footer Char"/>
    <w:basedOn w:val="DefaultParagraphFont"/>
    <w:link w:val="Footer"/>
    <w:uiPriority w:val="99"/>
    <w:rsid w:val="00CD5F9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2597</ap:Words>
  <ap:Characters>14289</ap:Characters>
  <ap:DocSecurity>0</ap:DocSecurity>
  <ap:Lines>119</ap:Lines>
  <ap:Paragraphs>33</ap:Paragraphs>
  <ap:ScaleCrop>false</ap:ScaleCrop>
  <ap:HeadingPairs>
    <vt:vector baseType="variant" size="2">
      <vt:variant>
        <vt:lpstr>Title</vt:lpstr>
      </vt:variant>
      <vt:variant>
        <vt:i4>1</vt:i4>
      </vt:variant>
    </vt:vector>
  </ap:HeadingPairs>
  <ap:TitlesOfParts>
    <vt:vector baseType="lpstr" size="1">
      <vt:lpstr>het artikel 'Nederland levert militair materieel aan dubieuze regimes'</vt:lpstr>
    </vt:vector>
  </ap:TitlesOfParts>
  <ap:LinksUpToDate>false</ap:LinksUpToDate>
  <ap:CharactersWithSpaces>16853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2025-08-29T12:00:00.0000000Z</lastPrinted>
  <dcterms:created xsi:type="dcterms:W3CDTF">2025-09-03T09:47:00.0000000Z</dcterms:created>
  <dcterms:modified xsi:type="dcterms:W3CDTF">2025-09-03T09:47:00.0000000Z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f8098326-11e5-4896-9f3a-cda64a828091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