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661" w:rsidP="00586661" w:rsidRDefault="00586661" w14:paraId="5808754E" w14:textId="3474B9C7">
      <w:pPr>
        <w:rPr>
          <w:rFonts w:eastAsia="Aptos" w:cs="Times New Roman"/>
          <w:b/>
          <w:bCs/>
        </w:rPr>
      </w:pPr>
      <w:bookmarkStart w:name="_Hlk201058853" w:id="0"/>
      <w:r>
        <w:rPr>
          <w:rFonts w:eastAsia="Aptos" w:cs="Times New Roman"/>
          <w:b/>
          <w:bCs/>
        </w:rPr>
        <w:t>AH 2997</w:t>
      </w:r>
    </w:p>
    <w:p w:rsidR="00586661" w:rsidP="00586661" w:rsidRDefault="00586661" w14:paraId="3054FE0B" w14:textId="2CD6B8CB">
      <w:pPr>
        <w:rPr>
          <w:rFonts w:eastAsia="Aptos" w:cs="Times New Roman"/>
          <w:b/>
          <w:bCs/>
        </w:rPr>
      </w:pPr>
      <w:r>
        <w:rPr>
          <w:rFonts w:eastAsia="Aptos" w:cs="Times New Roman"/>
          <w:b/>
          <w:bCs/>
        </w:rPr>
        <w:t>2025Z11315</w:t>
      </w:r>
    </w:p>
    <w:p w:rsidR="00586661" w:rsidP="00586661" w:rsidRDefault="00586661" w14:paraId="6596B70C" w14:textId="456C97A5">
      <w:pPr>
        <w:rPr>
          <w:rFonts w:eastAsia="Aptos" w:cs="Times New Roman"/>
          <w:b/>
          <w:bCs/>
        </w:rPr>
      </w:pPr>
      <w:r w:rsidRPr="00586661">
        <w:rPr>
          <w:rFonts w:eastAsia="Aptos" w:cs="Times New Roman"/>
          <w:b/>
          <w:bCs/>
          <w:sz w:val="24"/>
          <w:szCs w:val="24"/>
        </w:rPr>
        <w:t>Antwoord van minister Van Weel (Justitie en Veiligheid) (ontvangen</w:t>
      </w:r>
      <w:r>
        <w:rPr>
          <w:rFonts w:eastAsia="Aptos" w:cs="Times New Roman"/>
          <w:b/>
          <w:bCs/>
          <w:sz w:val="24"/>
          <w:szCs w:val="24"/>
        </w:rPr>
        <w:t xml:space="preserve"> 3 september 2025)</w:t>
      </w:r>
    </w:p>
    <w:p w:rsidR="00586661" w:rsidP="00586661" w:rsidRDefault="00586661" w14:paraId="77C4D5F1" w14:textId="70E51F3D">
      <w:pPr>
        <w:rPr>
          <w:rFonts w:eastAsia="Aptos" w:cs="Times New Roman"/>
          <w:b/>
          <w:bCs/>
        </w:rPr>
      </w:pPr>
      <w:r w:rsidRPr="00586661">
        <w:rPr>
          <w:rFonts w:eastAsia="Aptos" w:cs="Times New Roman"/>
          <w:b/>
          <w:bCs/>
          <w:sz w:val="24"/>
        </w:rPr>
        <w:t>Zie ook Aanhangsel Handelingen, vergaderjaar 2024-2025, nr.</w:t>
      </w:r>
      <w:r>
        <w:rPr>
          <w:rFonts w:eastAsia="Aptos" w:cs="Times New Roman"/>
          <w:b/>
          <w:bCs/>
        </w:rPr>
        <w:t xml:space="preserve"> 2537</w:t>
      </w:r>
    </w:p>
    <w:p w:rsidRPr="00DB0F0B" w:rsidR="00586661" w:rsidP="00586661" w:rsidRDefault="00586661" w14:paraId="0B2F92EB" w14:textId="57891DC2">
      <w:pPr>
        <w:rPr>
          <w:rFonts w:eastAsia="Aptos" w:cs="Times New Roman"/>
          <w:b/>
          <w:bCs/>
        </w:rPr>
      </w:pPr>
      <w:r>
        <w:rPr>
          <w:rFonts w:eastAsia="Aptos" w:cs="Times New Roman"/>
          <w:b/>
          <w:bCs/>
        </w:rPr>
        <w:br/>
      </w:r>
      <w:r w:rsidRPr="00DB0F0B">
        <w:rPr>
          <w:rFonts w:eastAsia="Aptos" w:cs="Times New Roman"/>
          <w:b/>
          <w:bCs/>
        </w:rPr>
        <w:t>Vraag van het lid Van Houwelingen (FVD) aan de minister van Justitie en Veiligheid over de NAVO ‘resilience requirements’.</w:t>
      </w:r>
    </w:p>
    <w:p w:rsidR="00586661" w:rsidP="00586661" w:rsidRDefault="00586661" w14:paraId="3B23E9AF" w14:textId="77777777">
      <w:pPr>
        <w:rPr>
          <w:rFonts w:eastAsia="Aptos" w:cs="Times New Roman"/>
          <w:b/>
          <w:bCs/>
        </w:rPr>
      </w:pPr>
      <w:r w:rsidRPr="00DB0F0B">
        <w:rPr>
          <w:rFonts w:eastAsia="Aptos" w:cs="Times New Roman"/>
          <w:b/>
          <w:bCs/>
        </w:rPr>
        <w:t>Vraag 1</w:t>
      </w:r>
      <w:r w:rsidRPr="00DB0F0B">
        <w:rPr>
          <w:rFonts w:eastAsia="Aptos" w:cs="Times New Roman"/>
          <w:b/>
          <w:bCs/>
        </w:rPr>
        <w:br/>
        <w:t>Onder welk van de zeven NAVO ‘resilience requirements’ valt ‘pandemische paraatheid’?</w:t>
      </w:r>
    </w:p>
    <w:p w:rsidRPr="00DB0F0B" w:rsidR="00586661" w:rsidP="00586661" w:rsidRDefault="00586661" w14:paraId="6BC8ADC5" w14:textId="77777777">
      <w:pPr>
        <w:rPr>
          <w:rFonts w:eastAsia="Aptos" w:cs="Times New Roman"/>
          <w:b/>
          <w:bCs/>
        </w:rPr>
      </w:pPr>
      <w:r>
        <w:rPr>
          <w:rFonts w:eastAsia="Aptos" w:cs="Times New Roman"/>
          <w:b/>
          <w:bCs/>
        </w:rPr>
        <w:t>Antwoord op vraag 1</w:t>
      </w:r>
    </w:p>
    <w:p w:rsidR="00586661" w:rsidP="00586661" w:rsidRDefault="00586661" w14:paraId="0CBF5E8C" w14:textId="77777777">
      <w:pPr>
        <w:spacing w:line="240" w:lineRule="auto"/>
        <w:rPr>
          <w:rFonts w:eastAsia="Aptos" w:cs="Times New Roman"/>
        </w:rPr>
      </w:pPr>
      <w:bookmarkStart w:name="_Hlk201168261" w:id="1"/>
      <w:r w:rsidRPr="008533B4">
        <w:rPr>
          <w:rFonts w:eastAsia="Aptos" w:cs="Times New Roman"/>
        </w:rPr>
        <w:t xml:space="preserve">Het kabinet houdt rekening met een breed scala aan dreigingen, zoals hybride aanvallen of een militair conflict, maar ook met andere crises of rampen, zoals grootschalige overstromingen, een pandemie of langdurige uitval van vitale processen. Deze dreigingen vragen om versterking van de weerbaarheid van de gezondheidszorg. Verschillende typen rampspoed kunnen zich ook tegelijkertijd voordoen en de impact daarvan stapelt zich op. </w:t>
      </w:r>
      <w:r>
        <w:rPr>
          <w:rFonts w:eastAsia="Aptos" w:cs="Times New Roman"/>
        </w:rPr>
        <w:t>Om hierop voorbereid te zijn is ook van groot belang voor de NAVO.</w:t>
      </w:r>
    </w:p>
    <w:p w:rsidR="00586661" w:rsidP="00586661" w:rsidRDefault="00586661" w14:paraId="249ADDA1" w14:textId="77777777">
      <w:pPr>
        <w:spacing w:line="240" w:lineRule="auto"/>
        <w:rPr>
          <w:rFonts w:eastAsia="Aptos" w:cs="Times New Roman"/>
        </w:rPr>
      </w:pPr>
    </w:p>
    <w:p w:rsidR="00586661" w:rsidP="00586661" w:rsidRDefault="00586661" w14:paraId="643528E0" w14:textId="77777777">
      <w:pPr>
        <w:spacing w:line="240" w:lineRule="auto"/>
        <w:rPr>
          <w:rFonts w:eastAsia="Aptos" w:cs="Times New Roman"/>
        </w:rPr>
      </w:pPr>
      <w:r>
        <w:rPr>
          <w:rFonts w:eastAsia="Aptos" w:cs="Times New Roman"/>
        </w:rPr>
        <w:t>Pandemische paraatheid is op zichzelf geen doelstelling van de NAVO. Wel dragen veel van de</w:t>
      </w:r>
      <w:r w:rsidRPr="00EB52BA">
        <w:rPr>
          <w:rFonts w:eastAsia="Aptos" w:cs="Times New Roman"/>
        </w:rPr>
        <w:t xml:space="preserve"> </w:t>
      </w:r>
      <w:r w:rsidRPr="008533B4">
        <w:rPr>
          <w:rFonts w:eastAsia="Aptos" w:cs="Times New Roman"/>
        </w:rPr>
        <w:t>maatregelen</w:t>
      </w:r>
      <w:r>
        <w:rPr>
          <w:rFonts w:eastAsia="Aptos" w:cs="Times New Roman"/>
        </w:rPr>
        <w:t>,</w:t>
      </w:r>
      <w:r w:rsidRPr="008533B4">
        <w:rPr>
          <w:rFonts w:eastAsia="Aptos" w:cs="Times New Roman"/>
        </w:rPr>
        <w:t xml:space="preserve"> die in het kader van pandemische paraatheid in gang zijn gezet</w:t>
      </w:r>
      <w:r>
        <w:rPr>
          <w:rFonts w:eastAsia="Aptos" w:cs="Times New Roman"/>
        </w:rPr>
        <w:t>, bij aan de maatschappelijke weerbaarheid in het geval van een militair conflict of hybride aanvallen.</w:t>
      </w:r>
      <w:r w:rsidRPr="008533B4">
        <w:rPr>
          <w:rFonts w:eastAsia="Aptos" w:cs="Times New Roman"/>
        </w:rPr>
        <w:t xml:space="preserve"> </w:t>
      </w:r>
      <w:r>
        <w:rPr>
          <w:rFonts w:eastAsia="Aptos" w:cs="Times New Roman"/>
        </w:rPr>
        <w:t xml:space="preserve">Zo is het bijvoorbeeld van belang dat een </w:t>
      </w:r>
      <w:r w:rsidRPr="008533B4">
        <w:rPr>
          <w:rFonts w:eastAsia="Aptos" w:cs="Times New Roman"/>
        </w:rPr>
        <w:t>flexibele en opschaalbare gezondheidszorg in staat is om een verhoogde zorgvraag tijdens (gezondheids-)crises op te vangen</w:t>
      </w:r>
      <w:r>
        <w:rPr>
          <w:rFonts w:eastAsia="Aptos" w:cs="Times New Roman"/>
        </w:rPr>
        <w:t>.</w:t>
      </w:r>
    </w:p>
    <w:p w:rsidR="00586661" w:rsidP="00586661" w:rsidRDefault="00586661" w14:paraId="666E0CD6" w14:textId="77777777">
      <w:pPr>
        <w:spacing w:line="240" w:lineRule="auto"/>
        <w:rPr>
          <w:rFonts w:eastAsia="Aptos" w:cs="Times New Roman"/>
        </w:rPr>
      </w:pPr>
    </w:p>
    <w:p w:rsidR="00586661" w:rsidP="00586661" w:rsidRDefault="00586661" w14:paraId="26EF6A6D" w14:textId="77777777">
      <w:pPr>
        <w:spacing w:line="240" w:lineRule="auto"/>
        <w:rPr>
          <w:rFonts w:eastAsia="Aptos" w:cs="Times New Roman"/>
        </w:rPr>
      </w:pPr>
      <w:r w:rsidRPr="00150166">
        <w:rPr>
          <w:rFonts w:eastAsia="Aptos" w:cs="Times New Roman"/>
        </w:rPr>
        <w:t>De NAVO-weerbaarheidsdoelstellingen betreffen een specificering van de eerder door de NAVO benoemde 7 baseline requirements die een basisniveau weergeven op zeven civiele paraatheidsgebieden: continuïteit van overheid, energievoorziening, grootschalige opvang van personen, levensbehoeften, opvang van gewonden, (tele)communicatie en transport, met als doel bij te dragen aan de continuïteit van overheid, de samenleving en de ondersteuning van bondgenootschappelijke verdediging</w:t>
      </w:r>
      <w:r>
        <w:rPr>
          <w:rFonts w:eastAsia="Aptos" w:cs="Times New Roman"/>
        </w:rPr>
        <w:t>.</w:t>
      </w:r>
    </w:p>
    <w:p w:rsidR="00586661" w:rsidP="00586661" w:rsidRDefault="00586661" w14:paraId="49D294AA" w14:textId="77777777">
      <w:pPr>
        <w:spacing w:line="240" w:lineRule="auto"/>
        <w:rPr>
          <w:rFonts w:eastAsia="Aptos" w:cs="Times New Roman"/>
        </w:rPr>
      </w:pPr>
    </w:p>
    <w:p w:rsidRPr="00150166" w:rsidR="00586661" w:rsidP="00586661" w:rsidRDefault="00586661" w14:paraId="2E9E1906" w14:textId="77777777">
      <w:pPr>
        <w:spacing w:line="240" w:lineRule="auto"/>
        <w:rPr>
          <w:rFonts w:eastAsia="Aptos" w:cs="Times New Roman"/>
        </w:rPr>
      </w:pPr>
      <w:r w:rsidRPr="00150166">
        <w:rPr>
          <w:rFonts w:eastAsia="Aptos" w:cs="Times New Roman"/>
        </w:rPr>
        <w:t>De uitwerking van de NAVO</w:t>
      </w:r>
      <w:r>
        <w:rPr>
          <w:rFonts w:eastAsia="Aptos" w:cs="Times New Roman"/>
        </w:rPr>
        <w:t xml:space="preserve">-weerbaarheidsdoelstellingen </w:t>
      </w:r>
      <w:r w:rsidRPr="00150166">
        <w:rPr>
          <w:rFonts w:eastAsia="Aptos" w:cs="Times New Roman"/>
        </w:rPr>
        <w:t xml:space="preserve">is meegenomen in de Kamerbrief Weerbaarheid tegen militaire en hybride dreigingen die op 6 december 2024 door de Minister van Defensie en de Minister van Justitie en Veiligheid aan uw </w:t>
      </w:r>
      <w:r w:rsidRPr="00150166">
        <w:rPr>
          <w:rFonts w:eastAsia="Aptos" w:cs="Times New Roman"/>
        </w:rPr>
        <w:lastRenderedPageBreak/>
        <w:t>Kamer is verstuurd</w:t>
      </w:r>
      <w:r>
        <w:rPr>
          <w:rStyle w:val="Voetnootmarkering"/>
          <w:rFonts w:eastAsia="Aptos" w:cs="Times New Roman"/>
        </w:rPr>
        <w:footnoteReference w:id="1"/>
      </w:r>
      <w:r>
        <w:rPr>
          <w:rFonts w:eastAsia="Aptos" w:cs="Times New Roman"/>
        </w:rPr>
        <w:t xml:space="preserve"> en de </w:t>
      </w:r>
      <w:r w:rsidRPr="00150166">
        <w:rPr>
          <w:rFonts w:eastAsia="Aptos" w:cs="Times New Roman"/>
        </w:rPr>
        <w:t xml:space="preserve">Kamerbrief </w:t>
      </w:r>
      <w:r>
        <w:rPr>
          <w:rFonts w:eastAsia="Aptos" w:cs="Times New Roman"/>
        </w:rPr>
        <w:t>Maatschappelijke w</w:t>
      </w:r>
      <w:r w:rsidRPr="00150166">
        <w:rPr>
          <w:rFonts w:eastAsia="Aptos" w:cs="Times New Roman"/>
        </w:rPr>
        <w:t xml:space="preserve">eerbaarheid </w:t>
      </w:r>
      <w:r>
        <w:rPr>
          <w:rFonts w:eastAsia="Aptos" w:cs="Times New Roman"/>
        </w:rPr>
        <w:t xml:space="preserve">en militaire paraatheid </w:t>
      </w:r>
      <w:r w:rsidRPr="00150166">
        <w:rPr>
          <w:rFonts w:eastAsia="Aptos" w:cs="Times New Roman"/>
        </w:rPr>
        <w:t xml:space="preserve">tegen militaire en hybride dreigingen die op </w:t>
      </w:r>
      <w:r>
        <w:rPr>
          <w:rFonts w:eastAsia="Aptos" w:cs="Times New Roman"/>
        </w:rPr>
        <w:t>11 juli 2025</w:t>
      </w:r>
      <w:r w:rsidRPr="00150166">
        <w:rPr>
          <w:rFonts w:eastAsia="Aptos" w:cs="Times New Roman"/>
        </w:rPr>
        <w:t xml:space="preserve"> door de Minister van Defensie</w:t>
      </w:r>
      <w:r>
        <w:rPr>
          <w:rFonts w:eastAsia="Aptos" w:cs="Times New Roman"/>
        </w:rPr>
        <w:t xml:space="preserve">, </w:t>
      </w:r>
      <w:r w:rsidRPr="00150166">
        <w:rPr>
          <w:rFonts w:eastAsia="Aptos" w:cs="Times New Roman"/>
        </w:rPr>
        <w:t xml:space="preserve">de Minister van Justitie en Veiligheid </w:t>
      </w:r>
      <w:r>
        <w:rPr>
          <w:rFonts w:eastAsia="Aptos" w:cs="Times New Roman"/>
        </w:rPr>
        <w:t xml:space="preserve">en de Staatssecretaris van Defensie </w:t>
      </w:r>
      <w:r w:rsidRPr="00150166">
        <w:rPr>
          <w:rFonts w:eastAsia="Aptos" w:cs="Times New Roman"/>
        </w:rPr>
        <w:t>aan uw Kamer is verstuurd</w:t>
      </w:r>
      <w:r>
        <w:rPr>
          <w:rFonts w:eastAsia="Aptos" w:cs="Times New Roman"/>
        </w:rPr>
        <w:t>.</w:t>
      </w:r>
      <w:r>
        <w:rPr>
          <w:rStyle w:val="Voetnootmarkering"/>
          <w:rFonts w:eastAsia="Aptos" w:cs="Times New Roman"/>
        </w:rPr>
        <w:footnoteReference w:id="2"/>
      </w:r>
    </w:p>
    <w:p w:rsidRPr="00150166" w:rsidR="00586661" w:rsidP="00586661" w:rsidRDefault="00586661" w14:paraId="0232B7CD" w14:textId="77777777">
      <w:pPr>
        <w:spacing w:line="240" w:lineRule="auto"/>
        <w:rPr>
          <w:rFonts w:eastAsia="Aptos" w:cs="Times New Roman"/>
        </w:rPr>
      </w:pPr>
    </w:p>
    <w:bookmarkEnd w:id="0"/>
    <w:bookmarkEnd w:id="1"/>
    <w:p w:rsidR="00586661" w:rsidP="00586661" w:rsidRDefault="00586661" w14:paraId="6EC1E4EC" w14:textId="77777777">
      <w:pPr>
        <w:spacing w:line="240" w:lineRule="auto"/>
        <w:rPr>
          <w:rFonts w:eastAsia="Aptos" w:cs="Times New Roman"/>
        </w:rPr>
      </w:pPr>
    </w:p>
    <w:p w:rsidRPr="008533B4" w:rsidR="00586661" w:rsidP="00586661" w:rsidRDefault="00586661" w14:paraId="1F782D72" w14:textId="77777777">
      <w:pPr>
        <w:spacing w:line="240" w:lineRule="auto"/>
        <w:rPr>
          <w:rFonts w:eastAsia="Aptos" w:cs="Times New Roman"/>
        </w:rPr>
      </w:pPr>
    </w:p>
    <w:p w:rsidR="00856314" w:rsidRDefault="00856314" w14:paraId="6074349F" w14:textId="77777777"/>
    <w:sectPr w:rsidR="00856314" w:rsidSect="0058666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DBC0" w14:textId="77777777" w:rsidR="00586661" w:rsidRDefault="00586661" w:rsidP="00586661">
      <w:pPr>
        <w:spacing w:after="0" w:line="240" w:lineRule="auto"/>
      </w:pPr>
      <w:r>
        <w:separator/>
      </w:r>
    </w:p>
  </w:endnote>
  <w:endnote w:type="continuationSeparator" w:id="0">
    <w:p w14:paraId="43FA2390" w14:textId="77777777" w:rsidR="00586661" w:rsidRDefault="00586661" w:rsidP="0058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63C" w14:textId="77777777" w:rsidR="00586661" w:rsidRPr="00586661" w:rsidRDefault="00586661" w:rsidP="005866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0759" w14:textId="77777777" w:rsidR="00586661" w:rsidRPr="00586661" w:rsidRDefault="00586661" w:rsidP="005866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CAC6" w14:textId="77777777" w:rsidR="00586661" w:rsidRPr="00586661" w:rsidRDefault="00586661" w:rsidP="005866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2B57" w14:textId="77777777" w:rsidR="00586661" w:rsidRDefault="00586661" w:rsidP="00586661">
      <w:pPr>
        <w:spacing w:after="0" w:line="240" w:lineRule="auto"/>
      </w:pPr>
      <w:r>
        <w:separator/>
      </w:r>
    </w:p>
  </w:footnote>
  <w:footnote w:type="continuationSeparator" w:id="0">
    <w:p w14:paraId="3CB40604" w14:textId="77777777" w:rsidR="00586661" w:rsidRDefault="00586661" w:rsidP="00586661">
      <w:pPr>
        <w:spacing w:after="0" w:line="240" w:lineRule="auto"/>
      </w:pPr>
      <w:r>
        <w:continuationSeparator/>
      </w:r>
    </w:p>
  </w:footnote>
  <w:footnote w:id="1">
    <w:p w14:paraId="2A3E39E8" w14:textId="77777777" w:rsidR="00586661" w:rsidRDefault="00586661" w:rsidP="00586661">
      <w:pPr>
        <w:pStyle w:val="Voetnoottekst"/>
      </w:pPr>
      <w:r>
        <w:rPr>
          <w:rStyle w:val="Voetnootmarkering"/>
        </w:rPr>
        <w:footnoteRef/>
      </w:r>
      <w:r>
        <w:t xml:space="preserve"> </w:t>
      </w:r>
      <w:r w:rsidRPr="00B22A8F">
        <w:t>Tweede Kamer 2024-2025, 30821, nr. 249</w:t>
      </w:r>
    </w:p>
  </w:footnote>
  <w:footnote w:id="2">
    <w:p w14:paraId="3040438A" w14:textId="77777777" w:rsidR="00586661" w:rsidRDefault="00586661" w:rsidP="00586661">
      <w:pPr>
        <w:pStyle w:val="Voetnoottekst"/>
      </w:pPr>
      <w:r>
        <w:rPr>
          <w:rStyle w:val="Voetnootmarkering"/>
        </w:rPr>
        <w:footnoteRef/>
      </w:r>
      <w:r>
        <w:t xml:space="preserve"> </w:t>
      </w:r>
      <w:r w:rsidRPr="00B22A8F">
        <w:t>Tweede Kamer 2024-2025,</w:t>
      </w:r>
      <w:r>
        <w:t xml:space="preserve"> 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DA87" w14:textId="77777777" w:rsidR="00586661" w:rsidRPr="00586661" w:rsidRDefault="00586661" w:rsidP="005866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B8E" w14:textId="77777777" w:rsidR="00586661" w:rsidRPr="00586661" w:rsidRDefault="00586661" w:rsidP="005866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9D3D" w14:textId="77777777" w:rsidR="00586661" w:rsidRPr="00586661" w:rsidRDefault="00586661" w:rsidP="005866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61"/>
    <w:rsid w:val="00586661"/>
    <w:rsid w:val="00856314"/>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F51F"/>
  <w15:chartTrackingRefBased/>
  <w15:docId w15:val="{BD20B599-2280-4F0C-8233-104E44B0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6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66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66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66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6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6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66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66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66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66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6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661"/>
    <w:rPr>
      <w:rFonts w:eastAsiaTheme="majorEastAsia" w:cstheme="majorBidi"/>
      <w:color w:val="272727" w:themeColor="text1" w:themeTint="D8"/>
    </w:rPr>
  </w:style>
  <w:style w:type="paragraph" w:styleId="Titel">
    <w:name w:val="Title"/>
    <w:basedOn w:val="Standaard"/>
    <w:next w:val="Standaard"/>
    <w:link w:val="TitelChar"/>
    <w:uiPriority w:val="10"/>
    <w:qFormat/>
    <w:rsid w:val="00586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661"/>
    <w:rPr>
      <w:i/>
      <w:iCs/>
      <w:color w:val="404040" w:themeColor="text1" w:themeTint="BF"/>
    </w:rPr>
  </w:style>
  <w:style w:type="paragraph" w:styleId="Lijstalinea">
    <w:name w:val="List Paragraph"/>
    <w:basedOn w:val="Standaard"/>
    <w:uiPriority w:val="34"/>
    <w:qFormat/>
    <w:rsid w:val="00586661"/>
    <w:pPr>
      <w:ind w:left="720"/>
      <w:contextualSpacing/>
    </w:pPr>
  </w:style>
  <w:style w:type="character" w:styleId="Intensievebenadrukking">
    <w:name w:val="Intense Emphasis"/>
    <w:basedOn w:val="Standaardalinea-lettertype"/>
    <w:uiPriority w:val="21"/>
    <w:qFormat/>
    <w:rsid w:val="00586661"/>
    <w:rPr>
      <w:i/>
      <w:iCs/>
      <w:color w:val="2F5496" w:themeColor="accent1" w:themeShade="BF"/>
    </w:rPr>
  </w:style>
  <w:style w:type="paragraph" w:styleId="Duidelijkcitaat">
    <w:name w:val="Intense Quote"/>
    <w:basedOn w:val="Standaard"/>
    <w:next w:val="Standaard"/>
    <w:link w:val="DuidelijkcitaatChar"/>
    <w:uiPriority w:val="30"/>
    <w:qFormat/>
    <w:rsid w:val="00586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6661"/>
    <w:rPr>
      <w:i/>
      <w:iCs/>
      <w:color w:val="2F5496" w:themeColor="accent1" w:themeShade="BF"/>
    </w:rPr>
  </w:style>
  <w:style w:type="character" w:styleId="Intensieveverwijzing">
    <w:name w:val="Intense Reference"/>
    <w:basedOn w:val="Standaardalinea-lettertype"/>
    <w:uiPriority w:val="32"/>
    <w:qFormat/>
    <w:rsid w:val="00586661"/>
    <w:rPr>
      <w:b/>
      <w:bCs/>
      <w:smallCaps/>
      <w:color w:val="2F5496" w:themeColor="accent1" w:themeShade="BF"/>
      <w:spacing w:val="5"/>
    </w:rPr>
  </w:style>
  <w:style w:type="paragraph" w:styleId="Voettekst">
    <w:name w:val="footer"/>
    <w:basedOn w:val="Standaard"/>
    <w:next w:val="Standaard"/>
    <w:link w:val="VoettekstChar"/>
    <w:rsid w:val="0058666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8666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866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66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6661"/>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586661"/>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586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362</ap:Words>
  <ap:Characters>1991</ap:Characters>
  <ap:DocSecurity>0</ap:DocSecurity>
  <ap:Lines>16</ap:Lines>
  <ap:Paragraphs>4</ap:Paragraphs>
  <ap:ScaleCrop>false</ap:ScaleCrop>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2025-09-04T09:28:00.0000000Z</dcterms:created>
  <dcterms:modified xsi:type="dcterms:W3CDTF">2025-09-04T09:30:00.0000000Z</dcterms:modified>
  <version/>
  <category/>
</coreProperties>
</file>