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5262D2AA" w14:textId="77777777">
        <w:trPr>
          <w:cantSplit/>
        </w:trPr>
        <w:tc>
          <w:tcPr>
            <w:tcW w:w="9212" w:type="dxa"/>
            <w:gridSpan w:val="2"/>
          </w:tcPr>
          <w:p w:rsidR="003B4752" w:rsidRDefault="003B4752" w14:paraId="0ED9BE36" w14:textId="77777777">
            <w:pPr>
              <w:tabs>
                <w:tab w:val="left" w:pos="-1440"/>
                <w:tab w:val="left" w:pos="-720"/>
              </w:tabs>
              <w:suppressAutoHyphens/>
            </w:pPr>
          </w:p>
        </w:tc>
      </w:tr>
      <w:tr w:rsidR="009833D1" w14:paraId="5B1B8521" w14:textId="77777777">
        <w:tc>
          <w:tcPr>
            <w:tcW w:w="2622" w:type="dxa"/>
          </w:tcPr>
          <w:p w:rsidR="009833D1" w:rsidRDefault="00425056" w14:paraId="6180A553" w14:textId="6AA7B99E">
            <w:pPr>
              <w:widowControl w:val="0"/>
              <w:rPr>
                <w:b/>
              </w:rPr>
            </w:pPr>
            <w:r>
              <w:rPr>
                <w:b/>
              </w:rPr>
              <w:t>36 711</w:t>
            </w:r>
          </w:p>
        </w:tc>
        <w:tc>
          <w:tcPr>
            <w:tcW w:w="6590" w:type="dxa"/>
          </w:tcPr>
          <w:p w:rsidRPr="00425056" w:rsidR="009833D1" w:rsidP="00425056" w:rsidRDefault="00425056" w14:paraId="1F53561E" w14:textId="4B3CADF6">
            <w:pPr>
              <w:rPr>
                <w:b/>
                <w:bCs/>
                <w:szCs w:val="24"/>
              </w:rPr>
            </w:pPr>
            <w:r w:rsidRPr="00425056">
              <w:rPr>
                <w:b/>
                <w:bCs/>
                <w:szCs w:val="24"/>
              </w:rPr>
              <w:t>Wijziging van de Wet op het financieel toezicht, de Bankwet 1998 en enige andere wetten in verband met de goede werking van het chartale betalingsverkeer (Wet chartaal betalingsverkeer)</w:t>
            </w:r>
          </w:p>
        </w:tc>
      </w:tr>
      <w:tr w:rsidR="003B4752" w14:paraId="3E3435A4" w14:textId="77777777">
        <w:tc>
          <w:tcPr>
            <w:tcW w:w="2622" w:type="dxa"/>
          </w:tcPr>
          <w:p w:rsidR="003B4752" w:rsidRDefault="003B4752" w14:paraId="49CF20B9" w14:textId="77777777">
            <w:pPr>
              <w:tabs>
                <w:tab w:val="left" w:pos="284"/>
              </w:tabs>
              <w:rPr>
                <w:b/>
              </w:rPr>
            </w:pPr>
          </w:p>
        </w:tc>
        <w:tc>
          <w:tcPr>
            <w:tcW w:w="6590" w:type="dxa"/>
          </w:tcPr>
          <w:p w:rsidR="003B4752" w:rsidRDefault="003B4752" w14:paraId="2A273BF7" w14:textId="77777777">
            <w:pPr>
              <w:tabs>
                <w:tab w:val="left" w:pos="284"/>
              </w:tabs>
              <w:rPr>
                <w:b/>
              </w:rPr>
            </w:pPr>
          </w:p>
        </w:tc>
      </w:tr>
      <w:tr w:rsidR="003B4752" w14:paraId="12D700EE" w14:textId="77777777">
        <w:tc>
          <w:tcPr>
            <w:tcW w:w="2622" w:type="dxa"/>
          </w:tcPr>
          <w:p w:rsidR="003B4752" w:rsidRDefault="003B4752" w14:paraId="73FAB648" w14:textId="190ACC4A">
            <w:pPr>
              <w:tabs>
                <w:tab w:val="left" w:pos="284"/>
              </w:tabs>
              <w:rPr>
                <w:b/>
              </w:rPr>
            </w:pPr>
            <w:r>
              <w:rPr>
                <w:b/>
              </w:rPr>
              <w:t xml:space="preserve">Nr. </w:t>
            </w:r>
            <w:r w:rsidR="00425056">
              <w:rPr>
                <w:b/>
              </w:rPr>
              <w:t>7</w:t>
            </w:r>
          </w:p>
        </w:tc>
        <w:tc>
          <w:tcPr>
            <w:tcW w:w="6590" w:type="dxa"/>
          </w:tcPr>
          <w:p w:rsidR="003B4752" w:rsidRDefault="003B4752" w14:paraId="742FE2F6" w14:textId="77777777">
            <w:pPr>
              <w:tabs>
                <w:tab w:val="left" w:pos="284"/>
              </w:tabs>
              <w:rPr>
                <w:b/>
              </w:rPr>
            </w:pPr>
            <w:r>
              <w:rPr>
                <w:b/>
              </w:rPr>
              <w:t>NOTA VAN WIJZIGING</w:t>
            </w:r>
          </w:p>
          <w:p w:rsidR="003B4752" w:rsidP="009833D1" w:rsidRDefault="003B4752" w14:paraId="6C22EC7A" w14:textId="10EC323A">
            <w:pPr>
              <w:tabs>
                <w:tab w:val="left" w:pos="284"/>
              </w:tabs>
            </w:pPr>
            <w:r>
              <w:t xml:space="preserve">Ontvangen </w:t>
            </w:r>
            <w:r w:rsidRPr="00425056" w:rsidR="00425056">
              <w:rPr>
                <w:bCs/>
              </w:rPr>
              <w:t>5 september 2025</w:t>
            </w:r>
          </w:p>
        </w:tc>
      </w:tr>
    </w:tbl>
    <w:p w:rsidR="00A548B6" w:rsidP="00425056" w:rsidRDefault="00A548B6" w14:paraId="06FDBC06" w14:textId="77777777">
      <w:pPr>
        <w:tabs>
          <w:tab w:val="left" w:pos="284"/>
        </w:tabs>
      </w:pPr>
    </w:p>
    <w:p w:rsidRPr="00425056" w:rsidR="00425056" w:rsidP="00425056" w:rsidRDefault="00425056" w14:paraId="532BCF26" w14:textId="7AEA3B9C">
      <w:pPr>
        <w:tabs>
          <w:tab w:val="left" w:pos="284"/>
        </w:tabs>
      </w:pPr>
      <w:r>
        <w:tab/>
      </w:r>
      <w:r w:rsidRPr="00425056">
        <w:t>Het voorstel van wet wordt als volgt gewijzigd:</w:t>
      </w:r>
    </w:p>
    <w:p w:rsidRPr="00425056" w:rsidR="00425056" w:rsidP="00425056" w:rsidRDefault="00425056" w14:paraId="52B6CDA1" w14:textId="77777777">
      <w:pPr>
        <w:tabs>
          <w:tab w:val="left" w:pos="284"/>
        </w:tabs>
      </w:pPr>
    </w:p>
    <w:p w:rsidRPr="00425056" w:rsidR="00425056" w:rsidP="00425056" w:rsidRDefault="00425056" w14:paraId="49FB77BF" w14:textId="77777777">
      <w:pPr>
        <w:tabs>
          <w:tab w:val="left" w:pos="284"/>
        </w:tabs>
      </w:pPr>
      <w:r w:rsidRPr="00425056">
        <w:t>A</w:t>
      </w:r>
    </w:p>
    <w:p w:rsidRPr="00425056" w:rsidR="00425056" w:rsidP="00425056" w:rsidRDefault="00425056" w14:paraId="4F2DC78E" w14:textId="77777777">
      <w:pPr>
        <w:tabs>
          <w:tab w:val="left" w:pos="284"/>
        </w:tabs>
      </w:pPr>
    </w:p>
    <w:p w:rsidRPr="00425056" w:rsidR="00425056" w:rsidP="00425056" w:rsidRDefault="00425056" w14:paraId="2A4D8561" w14:textId="713B8F03">
      <w:pPr>
        <w:tabs>
          <w:tab w:val="left" w:pos="284"/>
        </w:tabs>
      </w:pPr>
      <w:r>
        <w:tab/>
      </w:r>
      <w:r w:rsidRPr="00425056">
        <w:t xml:space="preserve">Artikel I, onderdeel C, wordt als volgt gewijzigd: </w:t>
      </w:r>
    </w:p>
    <w:p w:rsidR="00425056" w:rsidP="00425056" w:rsidRDefault="00425056" w14:paraId="7CB41BD3" w14:textId="77777777">
      <w:pPr>
        <w:tabs>
          <w:tab w:val="left" w:pos="284"/>
        </w:tabs>
      </w:pPr>
    </w:p>
    <w:p w:rsidRPr="00425056" w:rsidR="00425056" w:rsidP="00425056" w:rsidRDefault="00425056" w14:paraId="7B029833" w14:textId="348A1995">
      <w:pPr>
        <w:tabs>
          <w:tab w:val="left" w:pos="284"/>
        </w:tabs>
      </w:pPr>
      <w:r>
        <w:tab/>
      </w:r>
      <w:r w:rsidRPr="00425056">
        <w:t>1. In het voorgestelde artikel 3:267m, derde lid, wordt “lid” vervangen door “artikel”.</w:t>
      </w:r>
    </w:p>
    <w:p w:rsidR="00425056" w:rsidP="00425056" w:rsidRDefault="00425056" w14:paraId="1E3DF2C2" w14:textId="77777777">
      <w:pPr>
        <w:tabs>
          <w:tab w:val="left" w:pos="284"/>
        </w:tabs>
      </w:pPr>
    </w:p>
    <w:p w:rsidRPr="00425056" w:rsidR="00425056" w:rsidP="00425056" w:rsidRDefault="00425056" w14:paraId="2D95E50C" w14:textId="4996AD7B">
      <w:pPr>
        <w:tabs>
          <w:tab w:val="left" w:pos="284"/>
        </w:tabs>
      </w:pPr>
      <w:r>
        <w:tab/>
      </w:r>
      <w:r w:rsidRPr="00425056">
        <w:t>2. In</w:t>
      </w:r>
      <w:r w:rsidRPr="00425056">
        <w:rPr>
          <w:bCs/>
        </w:rPr>
        <w:t xml:space="preserve"> het voorgestelde artikel 3:267l, vierde lid, wordt “Het eerste en tweede lid” vervangen door “Het eerste tot en met derde lid”. </w:t>
      </w:r>
    </w:p>
    <w:p w:rsidRPr="00425056" w:rsidR="00425056" w:rsidP="00425056" w:rsidRDefault="00425056" w14:paraId="6A80D566" w14:textId="77777777">
      <w:pPr>
        <w:tabs>
          <w:tab w:val="left" w:pos="284"/>
        </w:tabs>
        <w:rPr>
          <w:b/>
        </w:rPr>
      </w:pPr>
    </w:p>
    <w:p w:rsidRPr="00425056" w:rsidR="00425056" w:rsidP="00425056" w:rsidRDefault="00425056" w14:paraId="6B87944D" w14:textId="77777777">
      <w:pPr>
        <w:tabs>
          <w:tab w:val="left" w:pos="284"/>
        </w:tabs>
        <w:rPr>
          <w:bCs/>
        </w:rPr>
      </w:pPr>
      <w:r w:rsidRPr="00425056">
        <w:rPr>
          <w:bCs/>
        </w:rPr>
        <w:t>B</w:t>
      </w:r>
    </w:p>
    <w:p w:rsidRPr="00425056" w:rsidR="00425056" w:rsidP="00425056" w:rsidRDefault="00425056" w14:paraId="4B513D8A" w14:textId="77777777">
      <w:pPr>
        <w:tabs>
          <w:tab w:val="left" w:pos="284"/>
        </w:tabs>
        <w:rPr>
          <w:bCs/>
        </w:rPr>
      </w:pPr>
    </w:p>
    <w:p w:rsidRPr="00425056" w:rsidR="00425056" w:rsidP="00425056" w:rsidRDefault="00425056" w14:paraId="06B2C2CF" w14:textId="31043110">
      <w:pPr>
        <w:tabs>
          <w:tab w:val="left" w:pos="284"/>
        </w:tabs>
        <w:rPr>
          <w:bCs/>
        </w:rPr>
      </w:pPr>
      <w:r>
        <w:rPr>
          <w:bCs/>
        </w:rPr>
        <w:tab/>
      </w:r>
      <w:r w:rsidRPr="00425056">
        <w:rPr>
          <w:bCs/>
        </w:rPr>
        <w:t>Na artikel IV wordt een artikel ingevoegd, luidende:</w:t>
      </w:r>
    </w:p>
    <w:p w:rsidRPr="00425056" w:rsidR="00425056" w:rsidP="00425056" w:rsidRDefault="00425056" w14:paraId="12E8335A" w14:textId="77777777">
      <w:pPr>
        <w:tabs>
          <w:tab w:val="left" w:pos="284"/>
        </w:tabs>
      </w:pPr>
    </w:p>
    <w:p w:rsidR="5398EE64" w:rsidP="5398EE64" w:rsidRDefault="5398EE64" w14:paraId="59B7CEC3" w14:textId="1133C6BC">
      <w:pPr>
        <w:tabs>
          <w:tab w:val="left" w:pos="284"/>
        </w:tabs>
      </w:pPr>
    </w:p>
    <w:p w:rsidRPr="00425056" w:rsidR="00425056" w:rsidP="5398EE64" w:rsidRDefault="00425056" w14:paraId="7106C75A" w14:textId="4743F768">
      <w:pPr>
        <w:tabs>
          <w:tab w:val="left" w:pos="284"/>
        </w:tabs>
        <w:rPr>
          <w:b/>
          <w:bCs/>
        </w:rPr>
      </w:pPr>
      <w:r w:rsidRPr="5398EE64">
        <w:rPr>
          <w:b/>
          <w:bCs/>
        </w:rPr>
        <w:t>A</w:t>
      </w:r>
      <w:r w:rsidRPr="5398EE64" w:rsidR="5CF08CF1">
        <w:rPr>
          <w:b/>
          <w:bCs/>
        </w:rPr>
        <w:t xml:space="preserve">RTIKEL </w:t>
      </w:r>
      <w:r w:rsidRPr="5398EE64">
        <w:rPr>
          <w:b/>
          <w:bCs/>
        </w:rPr>
        <w:t>IVa</w:t>
      </w:r>
    </w:p>
    <w:p w:rsidRPr="00425056" w:rsidR="00425056" w:rsidP="00425056" w:rsidRDefault="00425056" w14:paraId="2C1AC8B9" w14:textId="77777777">
      <w:pPr>
        <w:tabs>
          <w:tab w:val="left" w:pos="284"/>
        </w:tabs>
        <w:rPr>
          <w:bCs/>
        </w:rPr>
      </w:pPr>
    </w:p>
    <w:p w:rsidRPr="00425056" w:rsidR="00425056" w:rsidP="00425056" w:rsidRDefault="00425056" w14:paraId="1A9332F5" w14:textId="08DAF4AE">
      <w:pPr>
        <w:tabs>
          <w:tab w:val="left" w:pos="284"/>
        </w:tabs>
        <w:rPr>
          <w:bCs/>
        </w:rPr>
      </w:pPr>
      <w:r>
        <w:rPr>
          <w:bCs/>
        </w:rPr>
        <w:tab/>
      </w:r>
      <w:r w:rsidRPr="00425056">
        <w:rPr>
          <w:bCs/>
        </w:rPr>
        <w:t>Onze Minister van Financiën zendt binnen vijf jaar na de inwerkingtreding van deze wet aan de Staten-Generaal een verslag over de doeltreffendheid en de effecten van deze wet in de praktijk.</w:t>
      </w:r>
    </w:p>
    <w:p w:rsidRPr="00425056" w:rsidR="00425056" w:rsidP="00425056" w:rsidRDefault="00425056" w14:paraId="1C169B00" w14:textId="77777777">
      <w:pPr>
        <w:tabs>
          <w:tab w:val="left" w:pos="284"/>
        </w:tabs>
        <w:rPr>
          <w:b/>
        </w:rPr>
      </w:pPr>
    </w:p>
    <w:p w:rsidRPr="00425056" w:rsidR="00425056" w:rsidP="00425056" w:rsidRDefault="00425056" w14:paraId="37E0ECF0" w14:textId="77777777">
      <w:pPr>
        <w:tabs>
          <w:tab w:val="left" w:pos="284"/>
        </w:tabs>
        <w:rPr>
          <w:b/>
        </w:rPr>
      </w:pPr>
      <w:r w:rsidRPr="00425056">
        <w:rPr>
          <w:b/>
        </w:rPr>
        <w:t>Toelichting</w:t>
      </w:r>
    </w:p>
    <w:p w:rsidRPr="00425056" w:rsidR="00425056" w:rsidP="00425056" w:rsidRDefault="00425056" w14:paraId="4AEE7BA5" w14:textId="77777777">
      <w:pPr>
        <w:tabs>
          <w:tab w:val="left" w:pos="284"/>
        </w:tabs>
      </w:pPr>
    </w:p>
    <w:p w:rsidRPr="00425056" w:rsidR="00425056" w:rsidP="00425056" w:rsidRDefault="00425056" w14:paraId="3A0A3538" w14:textId="77777777">
      <w:pPr>
        <w:tabs>
          <w:tab w:val="left" w:pos="284"/>
        </w:tabs>
      </w:pPr>
      <w:r w:rsidRPr="00425056">
        <w:t>A</w:t>
      </w:r>
    </w:p>
    <w:p w:rsidRPr="00425056" w:rsidR="00425056" w:rsidP="00425056" w:rsidRDefault="00425056" w14:paraId="34A87BBD" w14:textId="77777777">
      <w:pPr>
        <w:tabs>
          <w:tab w:val="left" w:pos="284"/>
        </w:tabs>
      </w:pPr>
    </w:p>
    <w:p w:rsidRPr="00425056" w:rsidR="00425056" w:rsidP="00425056" w:rsidRDefault="00425056" w14:paraId="3E9FC5B2" w14:textId="77777777">
      <w:pPr>
        <w:tabs>
          <w:tab w:val="left" w:pos="284"/>
        </w:tabs>
      </w:pPr>
      <w:r w:rsidRPr="00425056">
        <w:t xml:space="preserve">Dit onderdeel corrigeert onjuiste verwijzingen. </w:t>
      </w:r>
    </w:p>
    <w:p w:rsidRPr="00425056" w:rsidR="00425056" w:rsidP="00425056" w:rsidRDefault="00425056" w14:paraId="127014CF" w14:textId="77777777">
      <w:pPr>
        <w:tabs>
          <w:tab w:val="left" w:pos="284"/>
        </w:tabs>
      </w:pPr>
    </w:p>
    <w:p w:rsidRPr="00425056" w:rsidR="00425056" w:rsidP="00425056" w:rsidRDefault="00425056" w14:paraId="70DB0630" w14:textId="77777777">
      <w:pPr>
        <w:tabs>
          <w:tab w:val="left" w:pos="284"/>
        </w:tabs>
      </w:pPr>
      <w:r w:rsidRPr="00425056">
        <w:t>B</w:t>
      </w:r>
    </w:p>
    <w:p w:rsidRPr="00425056" w:rsidR="00425056" w:rsidP="00425056" w:rsidRDefault="00425056" w14:paraId="1D895A19" w14:textId="77777777">
      <w:pPr>
        <w:tabs>
          <w:tab w:val="left" w:pos="284"/>
        </w:tabs>
      </w:pPr>
      <w:bookmarkStart w:name="_Hlk202524727" w:id="0"/>
    </w:p>
    <w:p w:rsidR="009833D1" w:rsidP="00FE223B" w:rsidRDefault="00425056" w14:paraId="5D4B60A2" w14:textId="46E40E85">
      <w:pPr>
        <w:tabs>
          <w:tab w:val="left" w:pos="284"/>
        </w:tabs>
      </w:pPr>
      <w:r w:rsidRPr="00425056">
        <w:t>Aanvankelijk werd in het voorstel voor de evaluatie vertrouwd op het Maatschappelijk Overleg Betalingsverkeer (MOB). Naar aanleiding van het verslag is ervoor gekozen om alsnog een evaluatiebepaling in het wetsvoorstel op te nemen. De wet zal binnen vijf jaar geëvalueerd worden op haar doeltreffendheid en de effecten in de praktijk. Tegen die tijd kan overwogen worden om bij de evaluatie van het onderhavig wetsvoorstel ook de ontwikkelingen rond de acceptatieplicht te betrekken.</w:t>
      </w:r>
      <w:r w:rsidRPr="00425056">
        <w:rPr>
          <w:vertAlign w:val="superscript"/>
        </w:rPr>
        <w:footnoteReference w:id="1"/>
      </w:r>
      <w:bookmarkEnd w:id="0"/>
    </w:p>
    <w:p w:rsidR="00425056" w:rsidP="00FE223B" w:rsidRDefault="00425056" w14:paraId="5DBD69FB" w14:textId="77777777">
      <w:pPr>
        <w:tabs>
          <w:tab w:val="left" w:pos="284"/>
        </w:tabs>
      </w:pPr>
    </w:p>
    <w:p w:rsidR="00425056" w:rsidP="00FE223B" w:rsidRDefault="00425056" w14:paraId="44939DF6" w14:textId="78D7A2BD">
      <w:pPr>
        <w:tabs>
          <w:tab w:val="left" w:pos="284"/>
        </w:tabs>
      </w:pPr>
      <w:r>
        <w:t>De Minister van Financiën,</w:t>
      </w:r>
    </w:p>
    <w:p w:rsidR="00425056" w:rsidP="00FE223B" w:rsidRDefault="00425056" w14:paraId="0BD7DC63" w14:textId="5DB7E8D2">
      <w:pPr>
        <w:tabs>
          <w:tab w:val="left" w:pos="284"/>
        </w:tabs>
      </w:pPr>
      <w:r>
        <w:t>E. Heinen</w:t>
      </w:r>
    </w:p>
    <w:sectPr w:rsidR="00425056">
      <w:footerReference w:type="even" r:id="rId9"/>
      <w:footerReference w:type="default" r:id="rId10"/>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FB28A" w14:textId="77777777" w:rsidR="00425056" w:rsidRDefault="00425056">
      <w:r>
        <w:separator/>
      </w:r>
    </w:p>
  </w:endnote>
  <w:endnote w:type="continuationSeparator" w:id="0">
    <w:p w14:paraId="4BB7D755" w14:textId="77777777" w:rsidR="00425056" w:rsidRDefault="00425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82283"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3F0E9A9"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ED7F"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26261" w14:textId="77777777" w:rsidR="00425056" w:rsidRDefault="00425056">
      <w:r>
        <w:separator/>
      </w:r>
    </w:p>
  </w:footnote>
  <w:footnote w:type="continuationSeparator" w:id="0">
    <w:p w14:paraId="4245D8EC" w14:textId="77777777" w:rsidR="00425056" w:rsidRDefault="00425056">
      <w:r>
        <w:continuationSeparator/>
      </w:r>
    </w:p>
  </w:footnote>
  <w:footnote w:id="1">
    <w:p w14:paraId="42446E7C" w14:textId="77777777" w:rsidR="00425056" w:rsidRPr="00425056" w:rsidRDefault="00425056" w:rsidP="00425056">
      <w:pPr>
        <w:pStyle w:val="Voetnoottekst"/>
      </w:pPr>
      <w:r w:rsidRPr="00425056">
        <w:rPr>
          <w:rStyle w:val="Voetnootmarkering"/>
        </w:rPr>
        <w:footnoteRef/>
      </w:r>
      <w:r w:rsidRPr="00425056">
        <w:t xml:space="preserve"> Zie amendement-Flach/Dijk betreffende de acceptatieplicht van contant geld, Kamerstukken II 2023/24, 36228, nr. 19.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056"/>
    <w:rsid w:val="000B70F9"/>
    <w:rsid w:val="003B4752"/>
    <w:rsid w:val="00425056"/>
    <w:rsid w:val="004D5FF9"/>
    <w:rsid w:val="007C02C8"/>
    <w:rsid w:val="009833D1"/>
    <w:rsid w:val="00A548B6"/>
    <w:rsid w:val="00CA6792"/>
    <w:rsid w:val="00F2660A"/>
    <w:rsid w:val="00FE223B"/>
    <w:rsid w:val="5398EE64"/>
    <w:rsid w:val="5CF08C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702AC"/>
  <w15:docId w15:val="{641B8109-2CC1-4F62-ACBA-D308D2E65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Voetnoottekst">
    <w:name w:val="footnote text"/>
    <w:basedOn w:val="Standaard"/>
    <w:link w:val="VoetnoottekstChar"/>
    <w:rsid w:val="00425056"/>
    <w:rPr>
      <w:sz w:val="20"/>
    </w:rPr>
  </w:style>
  <w:style w:type="character" w:customStyle="1" w:styleId="VoetnoottekstChar">
    <w:name w:val="Voetnoottekst Char"/>
    <w:basedOn w:val="Standaardalinea-lettertype"/>
    <w:link w:val="Voetnoottekst"/>
    <w:rsid w:val="00425056"/>
  </w:style>
  <w:style w:type="character" w:styleId="Voetnootmarkering">
    <w:name w:val="footnote reference"/>
    <w:basedOn w:val="Standaardalinea-lettertype"/>
    <w:uiPriority w:val="99"/>
    <w:rsid w:val="00425056"/>
    <w:rPr>
      <w:vertAlign w:val="superscript"/>
    </w:rPr>
  </w:style>
  <w:style w:type="paragraph" w:styleId="Koptekst">
    <w:name w:val="header"/>
    <w:basedOn w:val="Standaard"/>
    <w:link w:val="KoptekstChar"/>
    <w:rsid w:val="00CA6792"/>
    <w:pPr>
      <w:tabs>
        <w:tab w:val="center" w:pos="4536"/>
        <w:tab w:val="right" w:pos="9072"/>
      </w:tabs>
    </w:pPr>
  </w:style>
  <w:style w:type="character" w:customStyle="1" w:styleId="KoptekstChar">
    <w:name w:val="Koptekst Char"/>
    <w:basedOn w:val="Standaardalinea-lettertype"/>
    <w:link w:val="Koptekst"/>
    <w:rsid w:val="00CA679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222</ap:Words>
  <ap:Characters>1222</ap:Characters>
  <ap:DocSecurity>0</ap:DocSecurity>
  <ap:Lines>10</ap:Lines>
  <ap:Paragraphs>2</ap:Paragraphs>
  <ap:ScaleCrop>false</ap:ScaleCrop>
  <ap:LinksUpToDate>false</ap:LinksUpToDate>
  <ap:CharactersWithSpaces>1442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2025-09-09T15:06:00.0000000Z</dcterms:created>
  <dcterms:modified xsi:type="dcterms:W3CDTF">2025-09-09T15:06:00.0000000Z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