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54C6E" w:rsidR="00D2661E" w:rsidRDefault="00D2661E" w14:paraId="71A4B7B6" w14:textId="21E3AE4B">
      <w:bookmarkStart w:name="_GoBack" w:id="0"/>
      <w:bookmarkEnd w:id="0"/>
      <w:r w:rsidRPr="00354C6E">
        <w:t>Geachte voorzitter,</w:t>
      </w:r>
    </w:p>
    <w:p w:rsidRPr="00354C6E" w:rsidR="00D2661E" w:rsidP="00D2661E" w:rsidRDefault="00D2661E" w14:paraId="697EB325" w14:textId="500C1C90">
      <w:pPr>
        <w:pStyle w:val="Slotzin"/>
      </w:pPr>
      <w:r w:rsidRPr="00354C6E">
        <w:t>Met belangstelling heb ik kennisgenomen van</w:t>
      </w:r>
      <w:r w:rsidRPr="00354C6E" w:rsidR="00A3065F">
        <w:t xml:space="preserve"> de vragen </w:t>
      </w:r>
      <w:r w:rsidR="0087090B">
        <w:t>van</w:t>
      </w:r>
      <w:r w:rsidRPr="00354C6E" w:rsidR="00A3065F">
        <w:t xml:space="preserve"> de leden van de fracties van GL-PvdA, VVD, CU en SGP </w:t>
      </w:r>
      <w:r w:rsidRPr="00354C6E">
        <w:t xml:space="preserve">van de vaste commissie van Infrastructuur en Waterstaat van 17 </w:t>
      </w:r>
      <w:r w:rsidRPr="00354C6E" w:rsidR="00A3065F">
        <w:t>juli</w:t>
      </w:r>
      <w:r w:rsidRPr="00354C6E">
        <w:t xml:space="preserve"> 2025 met betrekking tot </w:t>
      </w:r>
      <w:r w:rsidRPr="00354C6E" w:rsidR="00A3065F">
        <w:t>de wijziging van het Besluit energie vervoer en het Besluit brandstoffen luchtverontreiniging i.v.m. de implementatie van RED-III</w:t>
      </w:r>
      <w:r w:rsidRPr="00354C6E">
        <w:t xml:space="preserve"> (Kamerstuk 2024-2025, </w:t>
      </w:r>
      <w:r w:rsidRPr="00354C6E" w:rsidR="00A3065F">
        <w:t>32 813</w:t>
      </w:r>
      <w:r w:rsidRPr="00354C6E">
        <w:t xml:space="preserve">, nr. </w:t>
      </w:r>
      <w:r w:rsidRPr="00354C6E" w:rsidR="00A3065F">
        <w:t>1</w:t>
      </w:r>
      <w:r w:rsidRPr="00354C6E">
        <w:t>5</w:t>
      </w:r>
      <w:r w:rsidRPr="00354C6E" w:rsidR="00A3065F">
        <w:t>18</w:t>
      </w:r>
      <w:r w:rsidRPr="00354C6E">
        <w:t xml:space="preserve">). </w:t>
      </w:r>
    </w:p>
    <w:p w:rsidRPr="00354C6E" w:rsidR="00D2661E" w:rsidP="00CC33FB" w:rsidRDefault="00D2661E" w14:paraId="38C22AC0" w14:textId="60DE6A0F">
      <w:pPr>
        <w:pStyle w:val="Slotzin"/>
      </w:pPr>
      <w:r w:rsidRPr="00354C6E">
        <w:t>In het navolgende ga ik in op de vragen en opmerkingen in het verslag, waarbij de volg</w:t>
      </w:r>
      <w:r w:rsidRPr="00354C6E" w:rsidR="0080498E">
        <w:t>ende onderwerpen aan de orde komen:</w:t>
      </w:r>
    </w:p>
    <w:p w:rsidRPr="00354C6E" w:rsidR="00254FEC" w:rsidP="00D2661E" w:rsidRDefault="00254FEC" w14:paraId="73C235DA" w14:textId="78ED8BE3">
      <w:pPr>
        <w:pStyle w:val="ListParagraph"/>
        <w:numPr>
          <w:ilvl w:val="0"/>
          <w:numId w:val="24"/>
        </w:numPr>
      </w:pPr>
      <w:r w:rsidRPr="00354C6E">
        <w:t>Maatregelen om de lucht- en scheepvaartsectoren te verduurzamen</w:t>
      </w:r>
    </w:p>
    <w:p w:rsidRPr="007E30EB" w:rsidR="007E30EB" w:rsidP="007E30EB" w:rsidRDefault="007E30EB" w14:paraId="1BA23A2E" w14:textId="77777777">
      <w:pPr>
        <w:pStyle w:val="ListParagraph"/>
        <w:numPr>
          <w:ilvl w:val="0"/>
          <w:numId w:val="24"/>
        </w:numPr>
        <w:rPr>
          <w:color w:val="auto"/>
        </w:rPr>
      </w:pPr>
      <w:r w:rsidRPr="007E30EB">
        <w:rPr>
          <w:color w:val="auto"/>
        </w:rPr>
        <w:t>Biobrandstoffenblends</w:t>
      </w:r>
    </w:p>
    <w:p w:rsidRPr="00354C6E" w:rsidR="00A04E5C" w:rsidP="00D2661E" w:rsidRDefault="00A04E5C" w14:paraId="6951EEB3" w14:textId="29E56326">
      <w:pPr>
        <w:pStyle w:val="ListParagraph"/>
        <w:numPr>
          <w:ilvl w:val="0"/>
          <w:numId w:val="24"/>
        </w:numPr>
      </w:pPr>
      <w:r w:rsidRPr="00354C6E">
        <w:t>Grondstoffen voor de productie van biobrandstoffen</w:t>
      </w:r>
    </w:p>
    <w:p w:rsidRPr="00354C6E" w:rsidR="00A93B6E" w:rsidP="00D2661E" w:rsidRDefault="00A93B6E" w14:paraId="24F7E919" w14:textId="60EAE480">
      <w:pPr>
        <w:pStyle w:val="ListParagraph"/>
        <w:numPr>
          <w:ilvl w:val="0"/>
          <w:numId w:val="24"/>
        </w:numPr>
      </w:pPr>
      <w:r w:rsidRPr="00354C6E">
        <w:t>Uitvoering en handhaving</w:t>
      </w:r>
    </w:p>
    <w:p w:rsidRPr="00354C6E" w:rsidR="00354C6E" w:rsidP="00354C6E" w:rsidRDefault="00354C6E" w14:paraId="6BE6FA2E" w14:textId="77777777">
      <w:pPr>
        <w:pStyle w:val="ListParagraph"/>
        <w:numPr>
          <w:ilvl w:val="0"/>
          <w:numId w:val="24"/>
        </w:numPr>
      </w:pPr>
      <w:r w:rsidRPr="00354C6E">
        <w:t>Effecten op de prijs aan de pomp</w:t>
      </w:r>
    </w:p>
    <w:p w:rsidRPr="00856AB5" w:rsidR="00DA17EA" w:rsidP="00354C6E" w:rsidRDefault="00856AB5" w14:paraId="2657F143" w14:textId="642DCB9F">
      <w:pPr>
        <w:pStyle w:val="ListParagraph"/>
        <w:numPr>
          <w:ilvl w:val="0"/>
          <w:numId w:val="24"/>
        </w:numPr>
        <w:rPr>
          <w:lang w:val="en-US"/>
        </w:rPr>
      </w:pPr>
      <w:r w:rsidRPr="00856AB5">
        <w:rPr>
          <w:rFonts w:eastAsia="Times New Roman" w:cs="Times New Roman"/>
          <w:lang w:val="en-US"/>
        </w:rPr>
        <w:t>Renewable fuels of non-biological origin</w:t>
      </w:r>
      <w:r>
        <w:rPr>
          <w:rFonts w:eastAsia="Times New Roman" w:cs="Times New Roman"/>
          <w:lang w:val="en-US"/>
        </w:rPr>
        <w:t xml:space="preserve"> (</w:t>
      </w:r>
      <w:r w:rsidRPr="00856AB5">
        <w:rPr>
          <w:lang w:val="en-US"/>
        </w:rPr>
        <w:t>RFNBO’s</w:t>
      </w:r>
      <w:r>
        <w:rPr>
          <w:lang w:val="en-US"/>
        </w:rPr>
        <w:t>)</w:t>
      </w:r>
    </w:p>
    <w:p w:rsidRPr="00354C6E" w:rsidR="0053171A" w:rsidP="00D2661E" w:rsidRDefault="0080498E" w14:paraId="086B8083" w14:textId="5FE874FB">
      <w:pPr>
        <w:pStyle w:val="ListParagraph"/>
        <w:numPr>
          <w:ilvl w:val="0"/>
          <w:numId w:val="24"/>
        </w:numPr>
      </w:pPr>
      <w:r w:rsidRPr="00354C6E">
        <w:t xml:space="preserve">Onderwerpen die niet in dit </w:t>
      </w:r>
      <w:r w:rsidR="007E30EB">
        <w:t>Besluit</w:t>
      </w:r>
      <w:r w:rsidRPr="00354C6E">
        <w:t xml:space="preserve"> geregeld worden</w:t>
      </w:r>
    </w:p>
    <w:p w:rsidRPr="00354C6E" w:rsidR="00CC33FB" w:rsidP="00CC33FB" w:rsidRDefault="00CC33FB" w14:paraId="366FC654" w14:textId="77777777">
      <w:pPr>
        <w:rPr>
          <w:b/>
          <w:bCs/>
        </w:rPr>
      </w:pPr>
    </w:p>
    <w:p w:rsidRPr="00354C6E" w:rsidR="00254FEC" w:rsidP="00DB3069" w:rsidRDefault="00254FEC" w14:paraId="7BD495CC" w14:textId="2F219A68">
      <w:pPr>
        <w:pStyle w:val="ListParagraph"/>
        <w:numPr>
          <w:ilvl w:val="0"/>
          <w:numId w:val="25"/>
        </w:numPr>
        <w:ind w:left="360"/>
        <w:rPr>
          <w:b/>
          <w:bCs/>
        </w:rPr>
      </w:pPr>
      <w:r w:rsidRPr="00354C6E">
        <w:rPr>
          <w:b/>
          <w:bCs/>
        </w:rPr>
        <w:t>Maatregelen om de lucht- en scheepvaartsectoren te verduurzamen</w:t>
      </w:r>
    </w:p>
    <w:p w:rsidRPr="00354C6E" w:rsidR="00DB3069" w:rsidP="00DB3069" w:rsidRDefault="00DB3069" w14:paraId="7D043D14" w14:textId="77777777">
      <w:pPr>
        <w:pStyle w:val="ListParagraph"/>
        <w:ind w:left="360"/>
        <w:rPr>
          <w:b/>
          <w:bCs/>
        </w:rPr>
      </w:pPr>
    </w:p>
    <w:p w:rsidRPr="00354C6E" w:rsidR="008329D1" w:rsidP="008329D1" w:rsidRDefault="0087090B" w14:paraId="18410261" w14:textId="4BE975F7">
      <w:pPr>
        <w:pStyle w:val="ListParagraph"/>
        <w:numPr>
          <w:ilvl w:val="0"/>
          <w:numId w:val="26"/>
        </w:numPr>
        <w:autoSpaceDN/>
        <w:spacing w:line="240" w:lineRule="auto"/>
        <w:textAlignment w:val="auto"/>
        <w:rPr>
          <w:rFonts w:eastAsia="Times New Roman" w:cs="Times New Roman"/>
          <w:i/>
          <w:iCs/>
        </w:rPr>
      </w:pPr>
      <w:r>
        <w:rPr>
          <w:rFonts w:eastAsia="Times New Roman" w:cs="Times New Roman"/>
          <w:i/>
          <w:iCs/>
        </w:rPr>
        <w:t>D</w:t>
      </w:r>
      <w:r w:rsidRPr="00354C6E">
        <w:rPr>
          <w:rFonts w:eastAsia="Times New Roman" w:cs="Times New Roman"/>
          <w:i/>
          <w:iCs/>
        </w:rPr>
        <w:t xml:space="preserve">e leden van de GroenLinks-PvdA-fractie </w:t>
      </w:r>
      <w:r w:rsidRPr="00354C6E" w:rsidR="008329D1">
        <w:rPr>
          <w:rFonts w:eastAsia="Times New Roman" w:cs="Times New Roman"/>
          <w:i/>
          <w:iCs/>
        </w:rPr>
        <w:t>vinden het erg bezwaarlijk als sectoren worden uitgesloten of de mogelijkheid krijgen om hun aandeel uit te plaatsen naar andere sectoren. De luchtvaart en de zeevaart zijn bij uitstek de sectoren die fors achterlopen in het nemen van stappen naar een klimaatneutrale operatie. Het doel van bijmenging is immers niet alleen het op korte termijn verminderen van een klein percentage klimaatschadelijke emissies, maar ook en vooral het aanjagen van de transitie naar die klimaatneutrale operatie. Dat vergt niet alleen brandstoffen met een lagere impact, maar aanpassing in de hele keten, van productie naar bunkerbedrijven, motortechniek et cetera. Is de staatssecretaris het met deze leden eens dat schuilen achter concurrentieargumenten, het betalen van een aflaat of een deal met andere sectoren, niets bijdraagt aan het versnellen van de transitie van de lucht- en scheepvaart? Welke additionele maatregelen gaat de staatssecretaris deze sectoren opleggen om ze te dwingen tot een andere werkwijze en toch tijdig in 2050 klimaatneutraal te opereren?</w:t>
      </w:r>
    </w:p>
    <w:p w:rsidRPr="00354C6E" w:rsidR="00381A31" w:rsidP="00254FEC" w:rsidRDefault="00381A31" w14:paraId="2D5C1823" w14:textId="77777777"/>
    <w:p w:rsidR="00C73909" w:rsidP="0087090B" w:rsidRDefault="00254FEC" w14:paraId="3C12E03D" w14:textId="156C71FF">
      <w:r w:rsidRPr="00354C6E">
        <w:lastRenderedPageBreak/>
        <w:t xml:space="preserve">Brandstofleveranciers aan de zeevaartsector worden met dit voorstel verplicht om hernieuwbare energie te leveren. </w:t>
      </w:r>
      <w:r w:rsidR="004645DD">
        <w:t>Er wordt nog altijd ingezet op het behalen van het</w:t>
      </w:r>
      <w:r w:rsidRPr="00354C6E">
        <w:t xml:space="preserve"> doel om in 2050 klimaatneutraal te opereren, en dit voorstel draagt daaraan bij. </w:t>
      </w:r>
    </w:p>
    <w:p w:rsidRPr="004645DD" w:rsidR="00A04E5C" w:rsidP="0087090B" w:rsidRDefault="00F33281" w14:paraId="4D49FA76" w14:textId="4903973A">
      <w:bookmarkStart w:name="_Hlk206080208" w:id="1"/>
      <w:r>
        <w:t>Er is geen</w:t>
      </w:r>
      <w:r w:rsidRPr="00354C6E" w:rsidR="00254FEC">
        <w:t xml:space="preserve"> nationale competentie om </w:t>
      </w:r>
      <w:r w:rsidR="00C73909">
        <w:t xml:space="preserve">binnen de RED </w:t>
      </w:r>
      <w:r w:rsidRPr="00354C6E" w:rsidR="00254FEC">
        <w:t xml:space="preserve">een brandstoftransitieverplichting op te leggen aan brandstofleveranciers aan de luchtvaartsector, omdat dit </w:t>
      </w:r>
      <w:r w:rsidR="00C73909">
        <w:t xml:space="preserve">al wordt gereguleerd door </w:t>
      </w:r>
      <w:r w:rsidRPr="00193B9C" w:rsidR="00C73909">
        <w:t>een aparte Europese verordening (ReFuelEU Aviation</w:t>
      </w:r>
      <w:r w:rsidR="00C73909">
        <w:t xml:space="preserve">; </w:t>
      </w:r>
      <w:r w:rsidRPr="000B4A4F" w:rsidR="00C73909">
        <w:rPr>
          <w:i/>
          <w:iCs/>
        </w:rPr>
        <w:t>lex specialis</w:t>
      </w:r>
      <w:r w:rsidR="00C73909">
        <w:rPr>
          <w:i/>
          <w:iCs/>
        </w:rPr>
        <w:t xml:space="preserve"> </w:t>
      </w:r>
      <w:r w:rsidRPr="000B4A4F" w:rsidR="00C73909">
        <w:t>ten opzichte van de RED III</w:t>
      </w:r>
      <w:r w:rsidR="00C73909">
        <w:t xml:space="preserve">). </w:t>
      </w:r>
      <w:bookmarkEnd w:id="1"/>
      <w:r w:rsidR="0087090B">
        <w:t xml:space="preserve">De Nederlandse ambitie </w:t>
      </w:r>
      <w:r w:rsidR="00C73909">
        <w:t>was</w:t>
      </w:r>
      <w:r w:rsidR="0087090B">
        <w:t xml:space="preserve"> om hogere doelen te stellen</w:t>
      </w:r>
      <w:r w:rsidR="00CF3D39">
        <w:t xml:space="preserve"> voor de luchtvaartsector</w:t>
      </w:r>
      <w:r w:rsidR="0087090B">
        <w:t xml:space="preserve">, maar </w:t>
      </w:r>
      <w:r w:rsidR="00C73909">
        <w:t xml:space="preserve">met de RED-instrumentaria is </w:t>
      </w:r>
      <w:r w:rsidR="0087090B">
        <w:t xml:space="preserve">dit niet mogelijk. </w:t>
      </w:r>
      <w:r w:rsidRPr="00354C6E" w:rsidDel="0087090B" w:rsidR="00254FEC">
        <w:t xml:space="preserve"> </w:t>
      </w:r>
    </w:p>
    <w:p w:rsidRPr="00354C6E" w:rsidR="00762EBF" w:rsidP="00254FEC" w:rsidRDefault="00762EBF" w14:paraId="7AE323C5" w14:textId="77777777"/>
    <w:p w:rsidRPr="00354C6E" w:rsidR="00A93B6E" w:rsidP="00DB3069" w:rsidRDefault="00A93B6E" w14:paraId="114BFB6E" w14:textId="77777777">
      <w:pPr>
        <w:pStyle w:val="ListParagraph"/>
        <w:numPr>
          <w:ilvl w:val="0"/>
          <w:numId w:val="26"/>
        </w:numPr>
        <w:autoSpaceDN/>
        <w:spacing w:line="240" w:lineRule="auto"/>
        <w:textAlignment w:val="auto"/>
        <w:rPr>
          <w:rFonts w:eastAsia="Times New Roman" w:cs="Times New Roman"/>
          <w:i/>
          <w:iCs/>
        </w:rPr>
      </w:pPr>
      <w:r w:rsidRPr="00354C6E">
        <w:rPr>
          <w:rFonts w:eastAsia="Times New Roman" w:cs="Times New Roman"/>
          <w:i/>
          <w:iCs/>
        </w:rPr>
        <w:t>De leden van de VVD-fractie merken op dat het conceptbesluit Annex IXb-brandstoffen uitsluit van toepassing in de zeevaart. Dit leidt tot verlies van de meest kostenefficiënte oplossing en tast de Nederlandse bunkerpositie aan. Deze leden vragen de staatssecretaris waarom hij ervoor kiest om gebruik van IXb-brandstoffen niet toe te staan in de zeevaart, maar dit wel zonder beperkingen toe te staan in de luchtvaart voor compliance doeleinden in andere EU-landen, die daarnaast ook volledig meetellen voor de RED III, ReFuelEU Luchtvaart de doelen van het Europese Unie Emissions Trading System (EU-ETS). Hoe verhoudt deze keuze voor RED III zich tot de mogelijkheden die FuelEU Zeevaart en EU-ETS bieden, waar Annex IXb-brandstoffen voor zeevaart juist worden toegestaan? Hoe moeten bunkeraars omgaan met de marktvraag enerzijds naar IXb-brandstoffen, die hun klanten wel helpt verduurzamen, maar die zij vervolgens niet mogen meetellen in hun verduurzamingsdoelstelling? Heeft de staatssecretaris gekeken naar de gevolgen van het verschil tussen de Nederlandse RED III-regels voor zeevaart en de Europese FuelEU-verplichtingen? Daarnaast, is het uitsluiten van IXb-brandstoffen daarbij meegenomen, met het oog op de concurrentiepositie van Rotterdam als bunkerhaven?</w:t>
      </w:r>
    </w:p>
    <w:p w:rsidRPr="00354C6E" w:rsidR="00A93B6E" w:rsidP="00DB3069" w:rsidRDefault="00375DDB" w14:paraId="7F16F604" w14:textId="77777777">
      <w:pPr>
        <w:pStyle w:val="ListParagraph"/>
        <w:numPr>
          <w:ilvl w:val="0"/>
          <w:numId w:val="26"/>
        </w:numPr>
        <w:autoSpaceDN/>
        <w:spacing w:line="240" w:lineRule="auto"/>
        <w:textAlignment w:val="auto"/>
        <w:rPr>
          <w:rFonts w:eastAsia="Times New Roman" w:cs="Times New Roman"/>
          <w:i/>
          <w:iCs/>
        </w:rPr>
      </w:pPr>
      <w:r w:rsidRPr="00354C6E">
        <w:rPr>
          <w:rFonts w:eastAsia="Times New Roman" w:cs="Times New Roman"/>
          <w:i/>
          <w:iCs/>
        </w:rPr>
        <w:t xml:space="preserve">De leden van de VVD-fractie merken op dat de limiet op het gebruik van Annex IXb-biobrandstoffen in RED III is vastgesteld op 1,7%, terwijl lidstaten onder voorwaarden hiervan mogen afwijken. Tegelijkertijd is de lijst met toegestane grondstoffen binnen Annex IXb uitgebreid, maar is de limiet zelf niet verhoogd. In het Nederlandse voorstel geldt bovendien dat minimaal de hoeveelheid die in 2023 in het wegvervoer is ingezet, beschikbaar moet blijven voor deze sector, terwijl de resterende ruimte onder de limiet wordt verdeeld over land en binnenvaart. Deze leden vragen of de staatssecretaris van mening is dat deze benadering recht doet aan de verbreding van de grondstoffenbasis en voldoende ruimte biedt om het potentieel van deze duurzame brandstoffensector te benutten. Kan de staatssecretaris uitleggen waarom hij ervoor heeft gekozen de limiet niet te verhogen, terwijl het aanbod (en potentieel duurzaam gebruik) juist is toegenomen? </w:t>
      </w:r>
    </w:p>
    <w:p w:rsidRPr="00354C6E" w:rsidR="00375DDB" w:rsidP="00DB3069" w:rsidRDefault="00375DDB" w14:paraId="745686DA" w14:textId="4C94AF54">
      <w:pPr>
        <w:pStyle w:val="ListParagraph"/>
        <w:numPr>
          <w:ilvl w:val="0"/>
          <w:numId w:val="26"/>
        </w:numPr>
        <w:autoSpaceDN/>
        <w:spacing w:line="240" w:lineRule="auto"/>
        <w:textAlignment w:val="auto"/>
        <w:rPr>
          <w:rFonts w:eastAsia="Times New Roman" w:cs="Times New Roman"/>
          <w:i/>
          <w:iCs/>
        </w:rPr>
      </w:pPr>
      <w:r w:rsidRPr="00354C6E">
        <w:rPr>
          <w:rFonts w:eastAsia="Times New Roman" w:cs="Times New Roman"/>
          <w:i/>
          <w:iCs/>
        </w:rPr>
        <w:t>De leden van de VVD-factie constateren dat Bijlage IX-B van de RED recent is uitgebreid met grondstoffen. Is de staatssecretaris het met deze leden eens dat daarom de hoogte van de limiet moet worden herzien? Kan de additionele nationale ambitie die voortkomt uit de Voorjaarsnota 2025 hiervoor worden benut? Kan de staatssecretaris bevestigen dat biobrandstoffen geproduceerd uit afval- en residustromen die zijn vermeld op Bijlage IX-B van de RED ongelimiteerd bijdragen aan de verplichting opgenomen in de FuelEU Maritieme Verordening? Is de staatssecretaris het eens met deze leden dat het wenselijk is om deze biobrandstoffen niet geheel uit te zonderen van de brandstoftransitieverplichting voor de zeevaart maar, eventueel beperkt, te accepteren met het oog op mogelijke opschaling van de inzet in deze sector?</w:t>
      </w:r>
    </w:p>
    <w:p w:rsidRPr="00354C6E" w:rsidR="00381A31" w:rsidP="00DB3069" w:rsidRDefault="00381A31" w14:paraId="2C5703B3" w14:textId="77777777"/>
    <w:p w:rsidRPr="00354C6E" w:rsidR="00375DDB" w:rsidP="00DB3069" w:rsidRDefault="00375DDB" w14:paraId="0F72F07E" w14:textId="00205956">
      <w:r w:rsidRPr="00354C6E">
        <w:t xml:space="preserve">In Europees verband is een limiet gesteld op Annex IXb-grondstoffen. </w:t>
      </w:r>
      <w:r w:rsidRPr="00354C6E" w:rsidR="006D0A10">
        <w:t>Nederland zit al boven deze limiet</w:t>
      </w:r>
      <w:r w:rsidRPr="00354C6E" w:rsidR="007755E8">
        <w:t xml:space="preserve">, waardoor er </w:t>
      </w:r>
      <w:r w:rsidRPr="00354C6E" w:rsidR="008A194D">
        <w:t>op nationaal niveau</w:t>
      </w:r>
      <w:r w:rsidRPr="00354C6E" w:rsidR="007755E8">
        <w:t xml:space="preserve"> </w:t>
      </w:r>
      <w:r w:rsidRPr="00354C6E" w:rsidR="008A194D">
        <w:t xml:space="preserve">een keuze gemaakt moet worden </w:t>
      </w:r>
      <w:r w:rsidR="000F1944">
        <w:t xml:space="preserve">over de toegestane inzet van </w:t>
      </w:r>
      <w:r w:rsidRPr="00354C6E" w:rsidR="008A194D">
        <w:t xml:space="preserve">deze brandstoffen </w:t>
      </w:r>
      <w:r w:rsidR="000F1944">
        <w:t>per sector</w:t>
      </w:r>
      <w:r w:rsidRPr="00354C6E" w:rsidR="008A194D">
        <w:t xml:space="preserve"> (en tot op welke hoogte)</w:t>
      </w:r>
      <w:r w:rsidRPr="00354C6E" w:rsidR="006D0A10">
        <w:t xml:space="preserve">. </w:t>
      </w:r>
      <w:r w:rsidRPr="00354C6E">
        <w:t xml:space="preserve">Het is van belang om Annex IXb-grondstoffen te blijven inzetten in de wegsector, om een stijging van de prijs aan de pomp te voorkomen. </w:t>
      </w:r>
      <w:r w:rsidR="00CF3D39">
        <w:t xml:space="preserve">Daarom wordt de huidige inzet van Annex IXb-grondstoffen in de wegsector doorgezet. </w:t>
      </w:r>
      <w:r w:rsidRPr="00354C6E">
        <w:t>Het resterende potentieel binnen de limiet wordt ingezet in de binnenvaar</w:t>
      </w:r>
      <w:r w:rsidRPr="00354C6E" w:rsidR="006F5D33">
        <w:t>t</w:t>
      </w:r>
      <w:r w:rsidRPr="00354C6E">
        <w:t>sector, omdat deze sector aan het begin van de verduurzaming staat.</w:t>
      </w:r>
      <w:r w:rsidRPr="00354C6E" w:rsidR="006F5D33">
        <w:t xml:space="preserve"> </w:t>
      </w:r>
      <w:r w:rsidRPr="00354C6E" w:rsidR="00A0231C">
        <w:t xml:space="preserve">Er is </w:t>
      </w:r>
      <w:r w:rsidR="000F1944">
        <w:t>er</w:t>
      </w:r>
      <w:r w:rsidRPr="00354C6E" w:rsidR="00A0231C">
        <w:t xml:space="preserve">voor gekozen om </w:t>
      </w:r>
      <w:r w:rsidR="000F1944">
        <w:t>Annex IXb grondstoffen</w:t>
      </w:r>
      <w:r w:rsidRPr="00354C6E" w:rsidR="00A0231C">
        <w:t xml:space="preserve"> niet inboekbaar te maken voor de zeevaart</w:t>
      </w:r>
      <w:r w:rsidRPr="00354C6E" w:rsidR="007755E8">
        <w:t xml:space="preserve">. </w:t>
      </w:r>
      <w:r w:rsidR="000F1944">
        <w:t>Dit is</w:t>
      </w:r>
      <w:r w:rsidRPr="00354C6E" w:rsidR="007755E8">
        <w:t xml:space="preserve"> een voortzetting van de huidige situatie, waarin de levering aan zeevaart ook geen Annex IXb-grondstoffen kunnen worden ingeboekt. </w:t>
      </w:r>
      <w:r w:rsidR="009B139B">
        <w:t>Daarnaast heeft</w:t>
      </w:r>
      <w:r w:rsidRPr="00354C6E" w:rsidDel="009B139B" w:rsidR="007755E8">
        <w:t xml:space="preserve"> </w:t>
      </w:r>
      <w:r w:rsidRPr="00354C6E" w:rsidR="007755E8">
        <w:t xml:space="preserve">de zeevaart een lagere procentuele verplichting dan de andere sectoren. In </w:t>
      </w:r>
      <w:r w:rsidR="00B41366">
        <w:t xml:space="preserve">het </w:t>
      </w:r>
      <w:r w:rsidR="002C6010">
        <w:t>Memorandum of Understanding (</w:t>
      </w:r>
      <w:r w:rsidR="00B41366">
        <w:t>MoU</w:t>
      </w:r>
      <w:r w:rsidR="002C6010">
        <w:t>)</w:t>
      </w:r>
      <w:r w:rsidRPr="00354C6E" w:rsidR="007755E8">
        <w:t xml:space="preserve"> met België is het uitsluiten van Annex IXb-grondstoffen </w:t>
      </w:r>
      <w:r w:rsidRPr="00DA1DE5" w:rsidR="00B41366">
        <w:t xml:space="preserve">in de invulling van het hernieuwbare gedeelte van de verplichting </w:t>
      </w:r>
      <w:r w:rsidRPr="00354C6E" w:rsidR="007755E8">
        <w:t>meegenomen.</w:t>
      </w:r>
    </w:p>
    <w:p w:rsidRPr="00354C6E" w:rsidR="000F1944" w:rsidP="00DB3069" w:rsidRDefault="000F1944" w14:paraId="51889AFA" w14:textId="77777777"/>
    <w:p w:rsidRPr="00354C6E" w:rsidR="007755E8" w:rsidP="00DB3069" w:rsidRDefault="00381A31" w14:paraId="67BBE280" w14:textId="306009CD">
      <w:r w:rsidRPr="00354C6E">
        <w:t>D</w:t>
      </w:r>
      <w:r w:rsidRPr="00354C6E" w:rsidR="00375DDB">
        <w:t>e limiet op Annex IXb-biobrandstoffen is op Europees niveau vastgelegd. Dit betekent dat deze limiet in Europees verband verhoogd kan worden. Annex IXb-grondstoffen</w:t>
      </w:r>
      <w:r w:rsidR="009B139B">
        <w:t xml:space="preserve"> zijn van belang</w:t>
      </w:r>
      <w:r w:rsidRPr="00354C6E" w:rsidR="00375DDB">
        <w:t xml:space="preserve"> </w:t>
      </w:r>
      <w:r w:rsidR="00A7625D">
        <w:t>voor</w:t>
      </w:r>
      <w:r w:rsidRPr="00354C6E" w:rsidR="00375DDB">
        <w:t xml:space="preserve"> de opschaling van hernieuwbare brandstoffen. Daarom is Nederland voor</w:t>
      </w:r>
      <w:r w:rsidR="002B0DBD">
        <w:t>stander van</w:t>
      </w:r>
      <w:r w:rsidRPr="00354C6E" w:rsidR="00375DDB">
        <w:t xml:space="preserve"> het verhogen van de limiet in Europees verband.</w:t>
      </w:r>
      <w:r w:rsidR="00A7625D">
        <w:t xml:space="preserve"> </w:t>
      </w:r>
      <w:r w:rsidR="00FC4A6B">
        <w:t>Aan de andere kant leidt de limiet ertoe dat rest- en afvalstromen uit Annex IXa</w:t>
      </w:r>
      <w:r w:rsidR="007E30EB">
        <w:t>-</w:t>
      </w:r>
      <w:r w:rsidR="00FC4A6B">
        <w:t xml:space="preserve">grondstoffen worden opgeschaald. </w:t>
      </w:r>
      <w:r w:rsidRPr="00354C6E" w:rsidR="007755E8">
        <w:t>Voor de invulling van de verplichting</w:t>
      </w:r>
      <w:r w:rsidRPr="00354C6E" w:rsidR="00E62799">
        <w:t xml:space="preserve">en die scheepvaartmaatschappijen hebben binnen </w:t>
      </w:r>
      <w:r w:rsidRPr="00354C6E" w:rsidR="007755E8">
        <w:t>FuelEU M</w:t>
      </w:r>
      <w:r w:rsidRPr="00354C6E" w:rsidR="00E62799">
        <w:t xml:space="preserve">aritime en EU-ETS </w:t>
      </w:r>
      <w:r w:rsidRPr="00354C6E" w:rsidR="004B46C6">
        <w:t>zijn deze voorwaarden niet van toepassing</w:t>
      </w:r>
      <w:r w:rsidRPr="00354C6E" w:rsidR="00E62799">
        <w:t>. Een scheepvaartmaatschappij kan nultelling krijgen binnen EU-ETS als de gebruikte hernieuwbare brandstoffen voldoen aan de vereisten van de Richtlijn hernieuwbare energie. Binnen FuelEU Maritime mogen hernieuwbare brandstoffen die voldoen aan deze vereisten meegerekend worden</w:t>
      </w:r>
      <w:r w:rsidRPr="00354C6E" w:rsidR="00821B08">
        <w:t xml:space="preserve"> voor een lagere broeikasgasintensiteit. Dit is ook mogelijk binnen FuelEU Maritime voor bijvoorbeeld fossiele brandstoffen met een lagere broeikasgasintensiteit, zoals LNG.</w:t>
      </w:r>
      <w:r w:rsidRPr="00354C6E" w:rsidR="00E62799">
        <w:t xml:space="preserve"> </w:t>
      </w:r>
    </w:p>
    <w:p w:rsidRPr="00354C6E" w:rsidR="000F1944" w:rsidP="00DB3069" w:rsidRDefault="000F1944" w14:paraId="2E9A47AB" w14:textId="77777777"/>
    <w:p w:rsidRPr="00354C6E" w:rsidR="00354C6E" w:rsidP="00354C6E" w:rsidRDefault="00996DCA" w14:paraId="7E68C8F7" w14:textId="037C3FA2">
      <w:pPr>
        <w:pStyle w:val="ListParagraph"/>
        <w:numPr>
          <w:ilvl w:val="0"/>
          <w:numId w:val="25"/>
        </w:numPr>
        <w:ind w:left="360"/>
        <w:rPr>
          <w:b/>
          <w:bCs/>
        </w:rPr>
      </w:pPr>
      <w:bookmarkStart w:name="_Hlk206075308" w:id="2"/>
      <w:r>
        <w:rPr>
          <w:b/>
          <w:bCs/>
        </w:rPr>
        <w:t>Biobrandstoffenblends</w:t>
      </w:r>
    </w:p>
    <w:p w:rsidRPr="00354C6E" w:rsidR="00354C6E" w:rsidP="00354C6E" w:rsidRDefault="00354C6E" w14:paraId="14F2B8AC" w14:textId="77777777">
      <w:pPr>
        <w:pStyle w:val="ListParagraph"/>
        <w:autoSpaceDN/>
        <w:spacing w:line="240" w:lineRule="auto"/>
        <w:textAlignment w:val="auto"/>
        <w:rPr>
          <w:rFonts w:eastAsia="Times New Roman" w:cs="Times New Roman"/>
        </w:rPr>
      </w:pPr>
    </w:p>
    <w:p w:rsidRPr="00354C6E" w:rsidR="00354C6E" w:rsidP="00354C6E" w:rsidRDefault="00354C6E" w14:paraId="3EA36B96" w14:textId="77777777">
      <w:pPr>
        <w:pStyle w:val="ListParagraph"/>
        <w:numPr>
          <w:ilvl w:val="0"/>
          <w:numId w:val="26"/>
        </w:numPr>
        <w:autoSpaceDN/>
        <w:spacing w:line="240" w:lineRule="auto"/>
        <w:textAlignment w:val="auto"/>
        <w:rPr>
          <w:rFonts w:eastAsia="Times New Roman" w:cs="Times New Roman"/>
        </w:rPr>
      </w:pPr>
      <w:r w:rsidRPr="00354C6E">
        <w:rPr>
          <w:i/>
          <w:iCs/>
        </w:rPr>
        <w:t>De leden van de VVD-fractie stellen dat FAME (biodiesel uit afval) een van de meest kosteneffectieve middelen is om CO₂-uitstoot in het wegvervoer te reduceren. In de wijziging van het Besluit brandstoffen luchtverontreiniging wordt het maximumaandeel biogebaseerde bestanddelen in FAME verhoogd van B7 (7%) naar B10 (10%). Dit levert een extra broeikasgasreductie van 36% op voor het hele dieselsegment. Met deze B10-norm is er een kans om verduurzaming via bestaande infrastructuur (aan de pomp) op te schalen. Erkent de staatssecretaris dat het aanpassen van de FAME-bijmengverplichting van B7 naar B10 een zeer grote, onmiddellijke bijdrage kan leveren aan de nationale transportdoelen voor personenauto’s, maar vooral in het zwaar wegtransport, en dat deze opschaling relatief kostenneutraal is voor huishoudens? Is de staatssecretaris bereid deze kosteneffectieve oplossing actief te ondersteunen, bijvoorbeeld via technologieneutrale stimulering of een verplichte (gefaseerde) uitrol van B10 aan de pomp, zodat een gelijk speelveld ontstaat met omliggende landen zoals Duitsland waar B10 al breed beschikbaar is aan de pomp voor alle transportsegmenten?</w:t>
      </w:r>
    </w:p>
    <w:p w:rsidRPr="00354C6E" w:rsidR="00354C6E" w:rsidP="00354C6E" w:rsidRDefault="00354C6E" w14:paraId="1E632FD0" w14:textId="77777777">
      <w:pPr>
        <w:autoSpaceDN/>
        <w:spacing w:line="240" w:lineRule="auto"/>
        <w:textAlignment w:val="auto"/>
        <w:rPr>
          <w:rFonts w:eastAsia="Times New Roman" w:cs="Times New Roman"/>
        </w:rPr>
      </w:pPr>
    </w:p>
    <w:p w:rsidRPr="00B430B1" w:rsidR="00354C6E" w:rsidP="00354C6E" w:rsidRDefault="00354C6E" w14:paraId="2621EC08" w14:textId="2E8DD0E0">
      <w:pPr>
        <w:autoSpaceDN/>
        <w:spacing w:line="240" w:lineRule="auto"/>
        <w:textAlignment w:val="auto"/>
        <w:rPr>
          <w:rFonts w:eastAsia="Times New Roman" w:cs="Times New Roman"/>
          <w:color w:val="auto"/>
        </w:rPr>
      </w:pPr>
      <w:r w:rsidRPr="00B430B1">
        <w:rPr>
          <w:rFonts w:eastAsia="Times New Roman" w:cs="Times New Roman"/>
          <w:color w:val="auto"/>
        </w:rPr>
        <w:t xml:space="preserve">De Europese </w:t>
      </w:r>
      <w:r w:rsidR="00B430B1">
        <w:rPr>
          <w:rFonts w:eastAsia="Times New Roman" w:cs="Times New Roman"/>
          <w:color w:val="auto"/>
        </w:rPr>
        <w:t>R</w:t>
      </w:r>
      <w:r w:rsidRPr="00B430B1">
        <w:rPr>
          <w:rFonts w:eastAsia="Times New Roman" w:cs="Times New Roman"/>
          <w:color w:val="auto"/>
        </w:rPr>
        <w:t>ichtlijn brandstofkwaliteit verplicht brandstofleveranciers om in ieder geval B7 op de markt te brengen</w:t>
      </w:r>
      <w:r w:rsidRPr="00B430B1" w:rsidR="007F6EB7">
        <w:rPr>
          <w:rFonts w:eastAsia="Times New Roman" w:cs="Times New Roman"/>
          <w:color w:val="auto"/>
        </w:rPr>
        <w:t xml:space="preserve">, maar </w:t>
      </w:r>
      <w:r w:rsidRPr="00B430B1" w:rsidR="00B430B1">
        <w:rPr>
          <w:rFonts w:eastAsia="Times New Roman" w:cs="Times New Roman"/>
          <w:color w:val="auto"/>
        </w:rPr>
        <w:t xml:space="preserve">maakt het voor brandstofleveranciers </w:t>
      </w:r>
      <w:r w:rsidRPr="00B430B1" w:rsidR="007F6EB7">
        <w:rPr>
          <w:rFonts w:eastAsia="Times New Roman" w:cs="Times New Roman"/>
          <w:color w:val="auto"/>
        </w:rPr>
        <w:t xml:space="preserve">daarnaast </w:t>
      </w:r>
      <w:r w:rsidRPr="00B430B1" w:rsidR="00B430B1">
        <w:rPr>
          <w:rFonts w:eastAsia="Times New Roman" w:cs="Times New Roman"/>
          <w:color w:val="auto"/>
        </w:rPr>
        <w:t xml:space="preserve">mogelijk </w:t>
      </w:r>
      <w:r w:rsidRPr="00B430B1" w:rsidR="007F6EB7">
        <w:rPr>
          <w:rFonts w:eastAsia="Times New Roman" w:cs="Times New Roman"/>
          <w:color w:val="auto"/>
        </w:rPr>
        <w:t>om ook een diesel met een maximum FAME-gehalte van 10% te leveren</w:t>
      </w:r>
      <w:r w:rsidRPr="00B430B1">
        <w:rPr>
          <w:rFonts w:eastAsia="Times New Roman" w:cs="Times New Roman"/>
          <w:color w:val="auto"/>
        </w:rPr>
        <w:t>. Tankstations die meerdere soorten diesel aanbieden zullen naar alle waarschijnlijkheid dus ook B</w:t>
      </w:r>
      <w:r w:rsidRPr="00B430B1" w:rsidR="00B430B1">
        <w:rPr>
          <w:rFonts w:eastAsia="Times New Roman" w:cs="Times New Roman"/>
          <w:color w:val="auto"/>
        </w:rPr>
        <w:t>10</w:t>
      </w:r>
      <w:r w:rsidRPr="00B430B1">
        <w:rPr>
          <w:rFonts w:eastAsia="Times New Roman" w:cs="Times New Roman"/>
          <w:color w:val="auto"/>
        </w:rPr>
        <w:t xml:space="preserve"> gaan aanbieden, naast een eigen premium-diesel. </w:t>
      </w:r>
      <w:r w:rsidRPr="00B430B1" w:rsidR="00B430B1">
        <w:rPr>
          <w:color w:val="auto"/>
        </w:rPr>
        <w:t xml:space="preserve">Een deel van het wagenpark kan door technische aspecten momenteel niet rijden op B10. </w:t>
      </w:r>
      <w:r w:rsidRPr="00B430B1">
        <w:rPr>
          <w:rFonts w:eastAsia="Times New Roman" w:cs="Times New Roman"/>
          <w:color w:val="auto"/>
        </w:rPr>
        <w:t xml:space="preserve">Een verplichte uitrol van B10 aan de pomp </w:t>
      </w:r>
      <w:r w:rsidRPr="00B430B1" w:rsidR="00B430B1">
        <w:rPr>
          <w:color w:val="auto"/>
        </w:rPr>
        <w:t>is hierdoor geen haalbare stimulans voor de transitie van de wegsector</w:t>
      </w:r>
      <w:r w:rsidRPr="00B430B1">
        <w:rPr>
          <w:rFonts w:eastAsia="Times New Roman" w:cs="Times New Roman"/>
          <w:color w:val="auto"/>
        </w:rPr>
        <w:t xml:space="preserve">. </w:t>
      </w:r>
      <w:r w:rsidRPr="00B430B1" w:rsidR="002C6010">
        <w:rPr>
          <w:rFonts w:eastAsia="Times New Roman" w:cs="Times New Roman"/>
          <w:color w:val="auto"/>
        </w:rPr>
        <w:t xml:space="preserve">De regering </w:t>
      </w:r>
      <w:r w:rsidRPr="00B430B1" w:rsidR="009B41FE">
        <w:rPr>
          <w:rFonts w:eastAsia="Times New Roman" w:cs="Times New Roman"/>
          <w:color w:val="auto"/>
        </w:rPr>
        <w:t xml:space="preserve">ziet het belang van hogere blends in diesel om de opschaling van hernieuwbare brandstoffen te bevorderen. </w:t>
      </w:r>
    </w:p>
    <w:p w:rsidRPr="00354C6E" w:rsidR="00A04E5C" w:rsidP="00254FEC" w:rsidRDefault="00A04E5C" w14:paraId="1FF62041" w14:textId="77777777"/>
    <w:bookmarkEnd w:id="2"/>
    <w:p w:rsidRPr="00354C6E" w:rsidR="00A04E5C" w:rsidP="00DB3069" w:rsidRDefault="00A04E5C" w14:paraId="531B4B6A" w14:textId="77777777">
      <w:pPr>
        <w:pStyle w:val="ListParagraph"/>
        <w:numPr>
          <w:ilvl w:val="0"/>
          <w:numId w:val="25"/>
        </w:numPr>
        <w:ind w:left="360"/>
        <w:rPr>
          <w:b/>
          <w:bCs/>
        </w:rPr>
      </w:pPr>
      <w:r w:rsidRPr="00354C6E">
        <w:rPr>
          <w:b/>
          <w:bCs/>
        </w:rPr>
        <w:t>Grondstoffen voor de productie van biobrandstoffen</w:t>
      </w:r>
    </w:p>
    <w:p w:rsidRPr="00354C6E" w:rsidR="00DB3069" w:rsidP="00DB3069" w:rsidRDefault="00DB3069" w14:paraId="484C97DA" w14:textId="77777777">
      <w:pPr>
        <w:pStyle w:val="ListParagraph"/>
        <w:ind w:left="360"/>
        <w:rPr>
          <w:b/>
          <w:bCs/>
        </w:rPr>
      </w:pPr>
    </w:p>
    <w:p w:rsidRPr="00354C6E" w:rsidR="00A93B6E" w:rsidP="00A93B6E" w:rsidRDefault="00A93B6E" w14:paraId="41403D6E" w14:textId="77777777">
      <w:pPr>
        <w:pStyle w:val="ListParagraph"/>
        <w:numPr>
          <w:ilvl w:val="0"/>
          <w:numId w:val="26"/>
        </w:numPr>
        <w:autoSpaceDN/>
        <w:spacing w:line="240" w:lineRule="auto"/>
        <w:textAlignment w:val="auto"/>
        <w:rPr>
          <w:rFonts w:eastAsia="Times New Roman" w:cs="Times New Roman"/>
        </w:rPr>
      </w:pPr>
      <w:r w:rsidRPr="00354C6E">
        <w:rPr>
          <w:rFonts w:eastAsia="Times New Roman" w:cs="Times New Roman"/>
          <w:i/>
          <w:iCs/>
        </w:rPr>
        <w:t>De leden van de GroenLinks-PvdA-fractie ondersteunen het uitgangspunt dat niet de bijgemengde hoeveelheid biobrandstof van belang is, maar de klimaateffecten. Wijziging van het oude systeem kan daarom rekenen op de steun van deze leden. Zij gaan er ook van uit dat hiermee een groter potentieel ontstaat van nieuwe alternatieve brandstoffen met hopelijk een kleinere voetafdruk en een groter potentieel voor opschaling. Is de staatssecretaris het met deze leden eens, dat verdere opschaling van de productie van klassieke niet-problematische biobrandstoffen zeer beperkt is? De hoeveelheid afgewerkte frituurolie zal immers niet exponentieel toenemen en de concurrentie met voedsel en voedergewassen, of natuur is nu al veel te hoog.</w:t>
      </w:r>
    </w:p>
    <w:p w:rsidRPr="00354C6E" w:rsidR="00381A31" w:rsidP="00A93B6E" w:rsidRDefault="00381A31" w14:paraId="4B94F60C" w14:textId="77777777">
      <w:pPr>
        <w:autoSpaceDN/>
        <w:spacing w:line="240" w:lineRule="auto"/>
        <w:textAlignment w:val="auto"/>
        <w:rPr>
          <w:rFonts w:eastAsia="Times New Roman" w:cs="Times New Roman"/>
        </w:rPr>
      </w:pPr>
    </w:p>
    <w:p w:rsidRPr="00354C6E" w:rsidR="0059349B" w:rsidP="00A93B6E" w:rsidRDefault="0059349B" w14:paraId="4426B58F" w14:textId="47589FCA">
      <w:pPr>
        <w:autoSpaceDN/>
        <w:spacing w:line="240" w:lineRule="auto"/>
        <w:textAlignment w:val="auto"/>
        <w:rPr>
          <w:rFonts w:eastAsia="Times New Roman" w:cs="Times New Roman"/>
        </w:rPr>
      </w:pPr>
      <w:r w:rsidRPr="00354C6E">
        <w:rPr>
          <w:rFonts w:eastAsia="Times New Roman" w:cs="Times New Roman"/>
        </w:rPr>
        <w:t xml:space="preserve">Voor de inzet van grondstoffen voor de productie van biobrandstoffen gelden strenge duurzaamheidseisen. </w:t>
      </w:r>
      <w:r w:rsidRPr="00354C6E" w:rsidR="00C85403">
        <w:rPr>
          <w:rFonts w:eastAsia="Times New Roman" w:cs="Times New Roman"/>
        </w:rPr>
        <w:t xml:space="preserve">Deze houden onder andere in dat het gebruik van grondstoffen voor biobrandstofproductie niet mag leiden tot concurrentie met </w:t>
      </w:r>
      <w:r w:rsidR="00C85403">
        <w:rPr>
          <w:rFonts w:eastAsia="Times New Roman" w:cs="Times New Roman"/>
        </w:rPr>
        <w:t>landgebruik</w:t>
      </w:r>
      <w:r w:rsidRPr="00354C6E" w:rsidR="00C85403">
        <w:rPr>
          <w:rFonts w:eastAsia="Times New Roman" w:cs="Times New Roman"/>
        </w:rPr>
        <w:t xml:space="preserve"> voor voedsel- en voedergewassen of natuur</w:t>
      </w:r>
      <w:r w:rsidR="00740161">
        <w:rPr>
          <w:rFonts w:eastAsia="Times New Roman" w:cs="Times New Roman"/>
        </w:rPr>
        <w:t xml:space="preserve"> of tot verstoring van de biodiversiteit</w:t>
      </w:r>
      <w:r w:rsidRPr="00354C6E" w:rsidR="00C85403">
        <w:rPr>
          <w:rFonts w:eastAsia="Times New Roman" w:cs="Times New Roman"/>
        </w:rPr>
        <w:t xml:space="preserve">. </w:t>
      </w:r>
      <w:r w:rsidRPr="00F510D4" w:rsidR="00F510D4">
        <w:rPr>
          <w:rFonts w:eastAsia="Times New Roman" w:cs="Times New Roman"/>
          <w:color w:val="auto"/>
        </w:rPr>
        <w:t xml:space="preserve">De grondstoffen die onder de categorie 'conventioneel' ingeboekt kunnen worden hebben een laag risico op indirecte landsgebruiksveranderingen. </w:t>
      </w:r>
      <w:r w:rsidRPr="00354C6E">
        <w:rPr>
          <w:rFonts w:eastAsia="Times New Roman" w:cs="Times New Roman"/>
        </w:rPr>
        <w:t>(ILUC: Indirect Land-Use Change</w:t>
      </w:r>
      <w:r w:rsidRPr="00A93B6E" w:rsidR="00992573">
        <w:rPr>
          <w:rFonts w:eastAsia="Times New Roman" w:cs="Times New Roman"/>
        </w:rPr>
        <w:t>).</w:t>
      </w:r>
      <w:r w:rsidRPr="00354C6E">
        <w:rPr>
          <w:rFonts w:eastAsia="Times New Roman" w:cs="Times New Roman"/>
        </w:rPr>
        <w:t xml:space="preserve"> Echter, door de limiet op voedsel- en voedergewassen is de inzet van grondstoffen met een risico op indirecte veranderingen in landgebruik laag.</w:t>
      </w:r>
      <w:r w:rsidR="007A40B5">
        <w:rPr>
          <w:rFonts w:eastAsia="Times New Roman" w:cs="Times New Roman"/>
        </w:rPr>
        <w:t xml:space="preserve"> </w:t>
      </w:r>
      <w:r w:rsidR="00992573">
        <w:rPr>
          <w:rFonts w:eastAsia="Times New Roman" w:cs="Times New Roman"/>
        </w:rPr>
        <w:t xml:space="preserve">Op dit vlak is Nederland strenger dan andere Europese landen, onder andere omdat het een lagere limiet stelt op brandstoffen geproduceerd uit conventionele grondstoffen. Daarnaast </w:t>
      </w:r>
      <w:r w:rsidR="00F510D4">
        <w:rPr>
          <w:rFonts w:eastAsia="Times New Roman" w:cs="Times New Roman"/>
        </w:rPr>
        <w:t>is,</w:t>
      </w:r>
      <w:r w:rsidR="00992573">
        <w:rPr>
          <w:rFonts w:eastAsia="Times New Roman" w:cs="Times New Roman"/>
        </w:rPr>
        <w:t xml:space="preserve"> </w:t>
      </w:r>
      <w:r w:rsidR="00F510D4">
        <w:rPr>
          <w:rFonts w:eastAsia="Times New Roman" w:cs="Times New Roman"/>
        </w:rPr>
        <w:t>n.a.v.</w:t>
      </w:r>
      <w:r w:rsidR="00D90C1F">
        <w:rPr>
          <w:rFonts w:eastAsia="Times New Roman" w:cs="Times New Roman"/>
        </w:rPr>
        <w:t xml:space="preserve"> </w:t>
      </w:r>
      <w:r w:rsidR="00F510D4">
        <w:rPr>
          <w:rFonts w:eastAsia="Times New Roman" w:cs="Times New Roman"/>
        </w:rPr>
        <w:t>afspraken in het</w:t>
      </w:r>
      <w:r w:rsidR="00D90C1F">
        <w:rPr>
          <w:rFonts w:eastAsia="Times New Roman" w:cs="Times New Roman"/>
        </w:rPr>
        <w:t xml:space="preserve"> Klimaatakkoord</w:t>
      </w:r>
      <w:r w:rsidR="00F510D4">
        <w:rPr>
          <w:rFonts w:eastAsia="Times New Roman" w:cs="Times New Roman"/>
        </w:rPr>
        <w:t xml:space="preserve">, de </w:t>
      </w:r>
      <w:r w:rsidR="00C85403">
        <w:rPr>
          <w:rFonts w:eastAsia="Times New Roman" w:cs="Times New Roman"/>
        </w:rPr>
        <w:t>inzet</w:t>
      </w:r>
      <w:r w:rsidR="00F510D4">
        <w:rPr>
          <w:rFonts w:eastAsia="Times New Roman" w:cs="Times New Roman"/>
        </w:rPr>
        <w:t xml:space="preserve"> </w:t>
      </w:r>
      <w:r w:rsidR="00CB5B11">
        <w:rPr>
          <w:rFonts w:eastAsia="Times New Roman" w:cs="Times New Roman"/>
        </w:rPr>
        <w:t xml:space="preserve">van </w:t>
      </w:r>
      <w:r w:rsidR="00D90C1F">
        <w:rPr>
          <w:rFonts w:eastAsia="Times New Roman" w:cs="Times New Roman"/>
        </w:rPr>
        <w:t>biobrandstoffen uit soja en palmolie</w:t>
      </w:r>
      <w:r w:rsidR="00F510D4">
        <w:rPr>
          <w:rFonts w:eastAsia="Times New Roman" w:cs="Times New Roman"/>
        </w:rPr>
        <w:t xml:space="preserve"> wettelijk uitgesloten. </w:t>
      </w:r>
      <w:r w:rsidR="00D90C1F">
        <w:rPr>
          <w:rFonts w:eastAsia="Times New Roman" w:cs="Times New Roman"/>
        </w:rPr>
        <w:t xml:space="preserve"> </w:t>
      </w:r>
    </w:p>
    <w:p w:rsidRPr="00354C6E" w:rsidR="00A325FD" w:rsidP="00A93B6E" w:rsidRDefault="00A325FD" w14:paraId="19150CA6" w14:textId="77777777">
      <w:pPr>
        <w:autoSpaceDN/>
        <w:spacing w:line="240" w:lineRule="auto"/>
        <w:textAlignment w:val="auto"/>
        <w:rPr>
          <w:rFonts w:eastAsia="Times New Roman" w:cs="Times New Roman"/>
        </w:rPr>
      </w:pPr>
    </w:p>
    <w:p w:rsidRPr="00354C6E" w:rsidR="0059349B" w:rsidP="00DB3069" w:rsidRDefault="0059349B" w14:paraId="5039E3A6" w14:textId="0938453C">
      <w:pPr>
        <w:autoSpaceDN/>
        <w:spacing w:line="240" w:lineRule="auto"/>
        <w:textAlignment w:val="auto"/>
        <w:rPr>
          <w:rFonts w:eastAsia="Times New Roman" w:cs="Times New Roman"/>
        </w:rPr>
      </w:pPr>
      <w:r w:rsidRPr="00354C6E">
        <w:rPr>
          <w:rFonts w:eastAsia="Times New Roman" w:cs="Times New Roman"/>
        </w:rPr>
        <w:t>De overstap op een nieuw systeem leidt op verschillende manieren tot een groter opschaalpotentieel van biobrandstoffen anders dan conventionele biobrandstoffen. Ten eerste zijn er extra grondstoffen toegevoegd op de Annex IXa-lijst, waarvoor een sub-verplichting geldt. Ten tweede vervalt de dubbeltelling van Annex IXa</w:t>
      </w:r>
      <w:r w:rsidR="007E30EB">
        <w:rPr>
          <w:rFonts w:eastAsia="Times New Roman" w:cs="Times New Roman"/>
        </w:rPr>
        <w:t>-,</w:t>
      </w:r>
      <w:r w:rsidRPr="00354C6E">
        <w:rPr>
          <w:rFonts w:eastAsia="Times New Roman" w:cs="Times New Roman"/>
        </w:rPr>
        <w:t xml:space="preserve"> en Annex IXb</w:t>
      </w:r>
      <w:r w:rsidR="007E30EB">
        <w:rPr>
          <w:rFonts w:eastAsia="Times New Roman" w:cs="Times New Roman"/>
        </w:rPr>
        <w:t>-</w:t>
      </w:r>
      <w:r w:rsidRPr="00354C6E">
        <w:rPr>
          <w:rFonts w:eastAsia="Times New Roman" w:cs="Times New Roman"/>
        </w:rPr>
        <w:t xml:space="preserve">grondstoffen, waardoor grondstoffen uit categorie ‘overig’ </w:t>
      </w:r>
      <w:r w:rsidR="00826B6F">
        <w:rPr>
          <w:rFonts w:eastAsia="Times New Roman" w:cs="Times New Roman"/>
        </w:rPr>
        <w:t xml:space="preserve">meer </w:t>
      </w:r>
      <w:r w:rsidRPr="00354C6E">
        <w:rPr>
          <w:rFonts w:eastAsia="Times New Roman" w:cs="Times New Roman"/>
        </w:rPr>
        <w:t>waard worden</w:t>
      </w:r>
      <w:r w:rsidR="00826B6F">
        <w:rPr>
          <w:rFonts w:eastAsia="Times New Roman" w:cs="Times New Roman"/>
        </w:rPr>
        <w:t>.</w:t>
      </w:r>
      <w:r w:rsidRPr="00354C6E">
        <w:rPr>
          <w:rFonts w:eastAsia="Times New Roman" w:cs="Times New Roman"/>
        </w:rPr>
        <w:t xml:space="preserve"> Dit maakt dat een aanzienlijke groep grondstoffen anders dan voedsel- en voedergewassen aantrekkelijker wordt voor biobrandstofproductie. Ten derde wordt met de overstap op CO</w:t>
      </w:r>
      <w:r w:rsidRPr="00CE6FA4">
        <w:rPr>
          <w:rFonts w:eastAsia="Times New Roman" w:cs="Times New Roman"/>
          <w:vertAlign w:val="subscript"/>
        </w:rPr>
        <w:t>2</w:t>
      </w:r>
      <w:r w:rsidRPr="00354C6E">
        <w:rPr>
          <w:rFonts w:eastAsia="Times New Roman" w:cs="Times New Roman"/>
        </w:rPr>
        <w:t xml:space="preserve">-ketenemissiesturing biobrandstoffen uit afvalstromen en residuen aantrekkelijker voor </w:t>
      </w:r>
      <w:r w:rsidRPr="00F510D4">
        <w:rPr>
          <w:rFonts w:eastAsia="Times New Roman" w:cs="Times New Roman"/>
          <w:color w:val="auto"/>
        </w:rPr>
        <w:t>biobrandstofproductie. A</w:t>
      </w:r>
      <w:r w:rsidR="002B0DBD">
        <w:rPr>
          <w:rFonts w:eastAsia="Times New Roman" w:cs="Times New Roman"/>
          <w:color w:val="auto"/>
        </w:rPr>
        <w:t xml:space="preserve">fsluitend </w:t>
      </w:r>
      <w:r w:rsidRPr="00F510D4">
        <w:rPr>
          <w:rFonts w:eastAsia="Times New Roman" w:cs="Times New Roman"/>
          <w:color w:val="auto"/>
        </w:rPr>
        <w:t xml:space="preserve">leidt </w:t>
      </w:r>
      <w:r w:rsidRPr="00354C6E">
        <w:rPr>
          <w:rFonts w:eastAsia="Times New Roman" w:cs="Times New Roman"/>
        </w:rPr>
        <w:t xml:space="preserve">ook de verhoging van de brandstoftransitieverplichting, terwijl de limiet op conventionele grondstoffen gelijk blijft, resulterend uit de voorjaarsnota </w:t>
      </w:r>
      <w:r w:rsidRPr="00354C6E" w:rsidR="00CB5B11">
        <w:rPr>
          <w:rFonts w:eastAsia="Times New Roman" w:cs="Times New Roman"/>
        </w:rPr>
        <w:t>jl.</w:t>
      </w:r>
      <w:r w:rsidR="002C6010">
        <w:rPr>
          <w:rFonts w:eastAsia="Times New Roman" w:cs="Times New Roman"/>
        </w:rPr>
        <w:t>,</w:t>
      </w:r>
      <w:r w:rsidRPr="00354C6E">
        <w:rPr>
          <w:rFonts w:eastAsia="Times New Roman" w:cs="Times New Roman"/>
        </w:rPr>
        <w:t xml:space="preserve"> tot het grote opschaalpotentieel van dergelijke biobrandstoffen.</w:t>
      </w:r>
    </w:p>
    <w:p w:rsidRPr="00354C6E" w:rsidR="00C65364" w:rsidP="0059349B" w:rsidRDefault="00C65364" w14:paraId="0C3438F3" w14:textId="77777777"/>
    <w:p w:rsidRPr="00354C6E" w:rsidR="00C65364" w:rsidP="00DB3069" w:rsidRDefault="00C65364" w14:paraId="26C81102" w14:textId="77777777">
      <w:pPr>
        <w:pStyle w:val="ListParagraph"/>
        <w:numPr>
          <w:ilvl w:val="0"/>
          <w:numId w:val="26"/>
        </w:numPr>
        <w:autoSpaceDN/>
        <w:spacing w:line="240" w:lineRule="auto"/>
        <w:textAlignment w:val="auto"/>
        <w:rPr>
          <w:rFonts w:eastAsia="Times New Roman" w:cs="Times New Roman"/>
          <w:i/>
          <w:iCs/>
        </w:rPr>
      </w:pPr>
      <w:r w:rsidRPr="00354C6E">
        <w:rPr>
          <w:rFonts w:eastAsia="Times New Roman" w:cs="Times New Roman"/>
          <w:i/>
          <w:iCs/>
        </w:rPr>
        <w:t>De leden van de VVD-fractie willen graag weten in hoeverre het benutten van voedsel- en voedergewassen kan bijdragen aan betaalbaarheid. Is het uit het oogpunt van betaalbaarheid en het voorkomen van bunkertoerisme niet wenselijk om in de binnenvaart een beperkt aandeel voedsel- en voedergewassen te benutten? Kan Nederland dit maximale aandeel op grond van de RED III verhogen ten opzichte van de limiet die is opgenomen in het conceptbesluit? Herkent de staatssecretaris dat het accepteren van deze grondstoffen kan bijdragen aan meer duurzaam geteelde gewassen uit Europa waarvan de opbrengst ten goede komt aan eiwitvoorziening voor diervoeders en tegelijk aan duurzame biobrandstoffen?</w:t>
      </w:r>
    </w:p>
    <w:p w:rsidRPr="00354C6E" w:rsidR="00381A31" w:rsidP="00DB3069" w:rsidRDefault="00381A31" w14:paraId="4EEC044E" w14:textId="77777777">
      <w:pPr>
        <w:autoSpaceDN/>
        <w:spacing w:line="240" w:lineRule="auto"/>
        <w:textAlignment w:val="auto"/>
        <w:rPr>
          <w:rFonts w:eastAsia="Times New Roman" w:cs="Times New Roman"/>
        </w:rPr>
      </w:pPr>
    </w:p>
    <w:p w:rsidRPr="00354C6E" w:rsidR="00C65364" w:rsidP="00DB3069" w:rsidRDefault="00C65364" w14:paraId="25476DD2" w14:textId="0DDC13B0">
      <w:pPr>
        <w:autoSpaceDN/>
        <w:spacing w:line="240" w:lineRule="auto"/>
        <w:textAlignment w:val="auto"/>
        <w:rPr>
          <w:rFonts w:eastAsia="Times New Roman" w:cs="Times New Roman"/>
        </w:rPr>
      </w:pPr>
      <w:r w:rsidRPr="00354C6E">
        <w:rPr>
          <w:rFonts w:eastAsia="Times New Roman" w:cs="Times New Roman"/>
        </w:rPr>
        <w:t xml:space="preserve">In het Klimaatakkoord is afgesproken </w:t>
      </w:r>
      <w:r w:rsidRPr="00354C6E" w:rsidR="00F75F5B">
        <w:rPr>
          <w:rFonts w:eastAsia="Times New Roman" w:cs="Times New Roman"/>
        </w:rPr>
        <w:t>om niet meer voedsel- en voedergewassen in te zetten voor de productie van biobrandstoffen dan het niveau van 2020, en in plaats daarvan in te zetten op biobrandstoffen uit rest- en afvalstromen. Daarnaast is de lijn van het duurzaamheidskader biogrondstoffen om biogrondstoffen zo hoog mogelijk in te zetten. Bovendien nemen</w:t>
      </w:r>
      <w:r w:rsidRPr="00354C6E" w:rsidR="00D218EF">
        <w:rPr>
          <w:rFonts w:eastAsia="Times New Roman" w:cs="Times New Roman"/>
        </w:rPr>
        <w:t xml:space="preserve"> gewassen veel ruimte in beslag in vergelijking met rest- en afvalstromen. Deze grond is onder andere nodig om circulaire bouwmaterialen te kweken en om de natuur te herstellen. Alternatieve grondstoffen uit de landbouwsector met meer potentie voor biobrandstofproductie zijn bijvoorbeeld tussengewassen, vanggewassen en reststromen van landbouwgewassen.</w:t>
      </w:r>
    </w:p>
    <w:p w:rsidRPr="00354C6E" w:rsidR="00ED6B71" w:rsidP="00DB3069" w:rsidRDefault="00ED6B71" w14:paraId="17EECA16" w14:textId="77777777">
      <w:pPr>
        <w:autoSpaceDN/>
        <w:spacing w:line="240" w:lineRule="auto"/>
        <w:textAlignment w:val="auto"/>
        <w:rPr>
          <w:rFonts w:eastAsia="Times New Roman" w:cs="Times New Roman"/>
        </w:rPr>
      </w:pPr>
    </w:p>
    <w:p w:rsidRPr="00354C6E" w:rsidR="00A04E5C" w:rsidP="00DB3069" w:rsidRDefault="00C65364" w14:paraId="2405ACE8" w14:textId="751F7C11">
      <w:pPr>
        <w:autoSpaceDN/>
        <w:spacing w:line="240" w:lineRule="auto"/>
        <w:textAlignment w:val="auto"/>
        <w:rPr>
          <w:rFonts w:eastAsia="Times New Roman" w:cs="Times New Roman"/>
        </w:rPr>
      </w:pPr>
      <w:r w:rsidRPr="00354C6E">
        <w:rPr>
          <w:rFonts w:eastAsia="Times New Roman" w:cs="Times New Roman"/>
        </w:rPr>
        <w:t xml:space="preserve">Omdat het aandeel voedsel- en voedergewassen voorheen </w:t>
      </w:r>
      <w:r w:rsidRPr="00354C6E" w:rsidR="00D218EF">
        <w:rPr>
          <w:rFonts w:eastAsia="Times New Roman" w:cs="Times New Roman"/>
        </w:rPr>
        <w:t>werd ingezet</w:t>
      </w:r>
      <w:r w:rsidRPr="00354C6E">
        <w:rPr>
          <w:rFonts w:eastAsia="Times New Roman" w:cs="Times New Roman"/>
        </w:rPr>
        <w:t xml:space="preserve"> in de wegsector, is ervoor gekozen om deze situatie te behouden. Het verlagen van de </w:t>
      </w:r>
      <w:r w:rsidRPr="00354C6E" w:rsidR="00225C12">
        <w:rPr>
          <w:rFonts w:eastAsia="Times New Roman" w:cs="Times New Roman"/>
        </w:rPr>
        <w:t>inzet</w:t>
      </w:r>
      <w:r w:rsidRPr="00354C6E">
        <w:rPr>
          <w:rFonts w:eastAsia="Times New Roman" w:cs="Times New Roman"/>
        </w:rPr>
        <w:t xml:space="preserve"> in de wegsector en het verhogen van de </w:t>
      </w:r>
      <w:r w:rsidRPr="00354C6E" w:rsidR="00225C12">
        <w:rPr>
          <w:rFonts w:eastAsia="Times New Roman" w:cs="Times New Roman"/>
        </w:rPr>
        <w:t>inzet</w:t>
      </w:r>
      <w:r w:rsidRPr="00354C6E">
        <w:rPr>
          <w:rFonts w:eastAsia="Times New Roman" w:cs="Times New Roman"/>
        </w:rPr>
        <w:t xml:space="preserve"> in de binnenvaartsector zou kunnen leiden tot verhoging van </w:t>
      </w:r>
      <w:r w:rsidRPr="00354C6E" w:rsidR="00225C12">
        <w:rPr>
          <w:rFonts w:eastAsia="Times New Roman" w:cs="Times New Roman"/>
        </w:rPr>
        <w:t>de prijs</w:t>
      </w:r>
      <w:r w:rsidRPr="00354C6E">
        <w:rPr>
          <w:rFonts w:eastAsia="Times New Roman" w:cs="Times New Roman"/>
        </w:rPr>
        <w:t xml:space="preserve"> aan de pomp.  </w:t>
      </w:r>
    </w:p>
    <w:p w:rsidRPr="00354C6E" w:rsidR="00DB3069" w:rsidP="00DB3069" w:rsidRDefault="00DB3069" w14:paraId="04A9B114" w14:textId="77777777">
      <w:pPr>
        <w:autoSpaceDN/>
        <w:spacing w:line="240" w:lineRule="auto"/>
        <w:textAlignment w:val="auto"/>
        <w:rPr>
          <w:rFonts w:eastAsia="Times New Roman" w:cs="Times New Roman"/>
        </w:rPr>
      </w:pPr>
    </w:p>
    <w:p w:rsidRPr="00354C6E" w:rsidR="00A93B6E" w:rsidP="00DB3069" w:rsidRDefault="00A93B6E" w14:paraId="5731D5D1" w14:textId="7FD383D5">
      <w:pPr>
        <w:pStyle w:val="ListParagraph"/>
        <w:numPr>
          <w:ilvl w:val="0"/>
          <w:numId w:val="25"/>
        </w:numPr>
        <w:ind w:left="360"/>
        <w:rPr>
          <w:b/>
          <w:bCs/>
        </w:rPr>
      </w:pPr>
      <w:r w:rsidRPr="00354C6E">
        <w:rPr>
          <w:b/>
          <w:bCs/>
        </w:rPr>
        <w:t xml:space="preserve">Uitvoering en handhaving </w:t>
      </w:r>
    </w:p>
    <w:p w:rsidRPr="00354C6E" w:rsidR="00381A31" w:rsidP="00381A31" w:rsidRDefault="00381A31" w14:paraId="3496F8A1" w14:textId="77777777">
      <w:pPr>
        <w:pStyle w:val="ListParagraph"/>
        <w:autoSpaceDN/>
        <w:spacing w:line="240" w:lineRule="auto"/>
        <w:textAlignment w:val="auto"/>
        <w:rPr>
          <w:rFonts w:eastAsia="Times New Roman" w:cs="Times New Roman"/>
          <w:i/>
          <w:iCs/>
        </w:rPr>
      </w:pPr>
    </w:p>
    <w:p w:rsidRPr="00354C6E" w:rsidR="00A93B6E" w:rsidP="00A93B6E" w:rsidRDefault="00A93B6E" w14:paraId="26915FA1" w14:textId="3754358B">
      <w:pPr>
        <w:pStyle w:val="ListParagraph"/>
        <w:numPr>
          <w:ilvl w:val="0"/>
          <w:numId w:val="26"/>
        </w:numPr>
        <w:autoSpaceDN/>
        <w:spacing w:line="240" w:lineRule="auto"/>
        <w:textAlignment w:val="auto"/>
        <w:rPr>
          <w:rFonts w:eastAsia="Times New Roman" w:cs="Times New Roman"/>
          <w:i/>
          <w:iCs/>
        </w:rPr>
      </w:pPr>
      <w:r w:rsidRPr="00354C6E">
        <w:rPr>
          <w:rFonts w:eastAsia="Times New Roman" w:cs="Times New Roman"/>
          <w:i/>
          <w:iCs/>
        </w:rPr>
        <w:t>De leden van de GroenLinks-PvdA-fractie lazen afgelopen week in de media over de grootschalige fraude met biobrandstoffen. Als de Nederlandse Emissieautoriteit (NEa) naar eigen zeggen ‘geen idee’ heeft hoeveel er wordt gefraudeerd, hoe kunnen we dan weten of bijmenging ook de klimaatdoelstellingen dient? Wat is de staatssecretaris van plan om te doen om fraude effectief te bestrijden?</w:t>
      </w:r>
    </w:p>
    <w:p w:rsidRPr="00354C6E" w:rsidR="00381A31" w:rsidP="00A93B6E" w:rsidRDefault="00A93B6E" w14:paraId="34501DAD" w14:textId="77777777">
      <w:pPr>
        <w:pStyle w:val="ListParagraph"/>
        <w:numPr>
          <w:ilvl w:val="0"/>
          <w:numId w:val="26"/>
        </w:numPr>
        <w:autoSpaceDN/>
        <w:spacing w:line="240" w:lineRule="auto"/>
        <w:textAlignment w:val="auto"/>
        <w:rPr>
          <w:rFonts w:eastAsia="Times New Roman" w:cs="Times New Roman"/>
          <w:i/>
          <w:iCs/>
        </w:rPr>
      </w:pPr>
      <w:r w:rsidRPr="00354C6E">
        <w:rPr>
          <w:rFonts w:eastAsia="Times New Roman" w:cs="Times New Roman"/>
          <w:i/>
          <w:iCs/>
        </w:rPr>
        <w:t>De leden van de GroenLinks-PvdA-fractie stellen dat de adviezen met betrekking tot de regeldruk wijzen op de toenemende complexiteit onder het nieuwe stelsel. De ervaring leert dat een grotere complexiteit van een systeem, bij een fors hogere vraag en gebrekkige transparantie en toezicht, leidt tot meer fraude. Deelt de staatssecretaris de zorg van deze leden? Hoe wordt voorkomen, dat de nieuwe regels leiden tot nieuwe vormen van fraude of een grotere last voor de controlerende instanties? Zijn deze instanties voldoende toegerust op de extra taken?</w:t>
      </w:r>
    </w:p>
    <w:p w:rsidRPr="00354C6E" w:rsidR="00381A31" w:rsidP="00381A31" w:rsidRDefault="00381A31" w14:paraId="0EBD6BA5" w14:textId="77777777">
      <w:pPr>
        <w:autoSpaceDN/>
        <w:spacing w:line="240" w:lineRule="auto"/>
        <w:textAlignment w:val="auto"/>
        <w:rPr>
          <w:color w:val="FF0000"/>
        </w:rPr>
      </w:pPr>
    </w:p>
    <w:p w:rsidR="0082636B" w:rsidP="00381A31" w:rsidRDefault="00BC52CC" w14:paraId="4F005774" w14:textId="42B87077">
      <w:pPr>
        <w:autoSpaceDN/>
        <w:spacing w:line="240" w:lineRule="auto"/>
        <w:textAlignment w:val="auto"/>
        <w:rPr>
          <w:color w:val="auto"/>
        </w:rPr>
      </w:pPr>
      <w:r>
        <w:rPr>
          <w:color w:val="auto"/>
        </w:rPr>
        <w:t>De</w:t>
      </w:r>
      <w:r w:rsidR="00733224">
        <w:rPr>
          <w:color w:val="auto"/>
        </w:rPr>
        <w:t xml:space="preserve"> inzet van hernieuwbare </w:t>
      </w:r>
      <w:r w:rsidR="00FB6BDE">
        <w:rPr>
          <w:color w:val="auto"/>
        </w:rPr>
        <w:t>biobrandstoffen</w:t>
      </w:r>
      <w:r w:rsidR="00733224">
        <w:rPr>
          <w:color w:val="auto"/>
        </w:rPr>
        <w:t xml:space="preserve"> </w:t>
      </w:r>
      <w:r w:rsidR="005C4C6A">
        <w:rPr>
          <w:color w:val="auto"/>
        </w:rPr>
        <w:t>in sectoren</w:t>
      </w:r>
      <w:r w:rsidR="003859D7">
        <w:rPr>
          <w:color w:val="auto"/>
        </w:rPr>
        <w:t xml:space="preserve"> </w:t>
      </w:r>
      <w:r>
        <w:rPr>
          <w:color w:val="auto"/>
        </w:rPr>
        <w:t xml:space="preserve">waar elektrificatie </w:t>
      </w:r>
      <w:r w:rsidR="005C4C6A">
        <w:rPr>
          <w:color w:val="auto"/>
        </w:rPr>
        <w:t xml:space="preserve">(nog) </w:t>
      </w:r>
      <w:r>
        <w:rPr>
          <w:color w:val="auto"/>
        </w:rPr>
        <w:t>niet mogelijk is</w:t>
      </w:r>
      <w:r w:rsidR="002C6010">
        <w:rPr>
          <w:color w:val="auto"/>
        </w:rPr>
        <w:t>,</w:t>
      </w:r>
      <w:r w:rsidR="005C4C6A">
        <w:rPr>
          <w:color w:val="auto"/>
        </w:rPr>
        <w:t xml:space="preserve"> is een goede manier om ook deze sectoren te verduurzamen. Daarbij dient de inzet van biobrandstoffen de klimaatdoelen.</w:t>
      </w:r>
      <w:r w:rsidR="00733224">
        <w:rPr>
          <w:color w:val="auto"/>
        </w:rPr>
        <w:t xml:space="preserve"> Deze brandstoffen vervangen namelijk de inzet van de fossiele variant. </w:t>
      </w:r>
      <w:r w:rsidR="00ED6B71">
        <w:rPr>
          <w:color w:val="auto"/>
        </w:rPr>
        <w:t>De frauderisico</w:t>
      </w:r>
      <w:r w:rsidR="00CD1C12">
        <w:rPr>
          <w:color w:val="auto"/>
        </w:rPr>
        <w:t>’</w:t>
      </w:r>
      <w:r w:rsidR="00ED6B71">
        <w:rPr>
          <w:color w:val="auto"/>
        </w:rPr>
        <w:t xml:space="preserve">s </w:t>
      </w:r>
      <w:r w:rsidR="00CD1C12">
        <w:rPr>
          <w:color w:val="auto"/>
        </w:rPr>
        <w:t xml:space="preserve">binnen de biobrandstoffenketen hebben niet betrekking op de vraag of een brandstof fossiel of hernieuwbaar is, </w:t>
      </w:r>
      <w:r w:rsidR="00D97E14">
        <w:rPr>
          <w:color w:val="auto"/>
        </w:rPr>
        <w:t xml:space="preserve">maar </w:t>
      </w:r>
      <w:r w:rsidR="00CD1C12">
        <w:rPr>
          <w:color w:val="auto"/>
        </w:rPr>
        <w:t>op de herkomst van de</w:t>
      </w:r>
      <w:r w:rsidR="00FB6BDE">
        <w:rPr>
          <w:color w:val="auto"/>
        </w:rPr>
        <w:t xml:space="preserve"> hernieuwbare grondstof</w:t>
      </w:r>
      <w:r w:rsidR="00CD1C12">
        <w:rPr>
          <w:color w:val="auto"/>
        </w:rPr>
        <w:t xml:space="preserve"> die wordt ingezet</w:t>
      </w:r>
      <w:r w:rsidR="00D97E14">
        <w:rPr>
          <w:color w:val="auto"/>
        </w:rPr>
        <w:t>.</w:t>
      </w:r>
      <w:r w:rsidR="00FB6BDE">
        <w:rPr>
          <w:color w:val="auto"/>
        </w:rPr>
        <w:t xml:space="preserve"> </w:t>
      </w:r>
      <w:r w:rsidR="00D97E14">
        <w:rPr>
          <w:color w:val="auto"/>
        </w:rPr>
        <w:t>Door</w:t>
      </w:r>
      <w:r w:rsidR="0061032F">
        <w:rPr>
          <w:color w:val="auto"/>
        </w:rPr>
        <w:t xml:space="preserve"> onder de RED</w:t>
      </w:r>
      <w:r w:rsidR="00740161">
        <w:rPr>
          <w:color w:val="auto"/>
        </w:rPr>
        <w:t xml:space="preserve"> </w:t>
      </w:r>
      <w:r w:rsidR="0061032F">
        <w:rPr>
          <w:color w:val="auto"/>
        </w:rPr>
        <w:t xml:space="preserve">III </w:t>
      </w:r>
      <w:r w:rsidR="00D97E14">
        <w:rPr>
          <w:color w:val="auto"/>
        </w:rPr>
        <w:t xml:space="preserve"> te</w:t>
      </w:r>
      <w:r w:rsidDel="003859D7" w:rsidR="00D97E14">
        <w:rPr>
          <w:color w:val="auto"/>
        </w:rPr>
        <w:t xml:space="preserve"> </w:t>
      </w:r>
      <w:r w:rsidR="00D97E14">
        <w:rPr>
          <w:color w:val="auto"/>
        </w:rPr>
        <w:t>sturen op ketenemissiereductie wordt de CO</w:t>
      </w:r>
      <w:r w:rsidRPr="00733224" w:rsidR="00D97E14">
        <w:rPr>
          <w:color w:val="auto"/>
          <w:vertAlign w:val="subscript"/>
        </w:rPr>
        <w:t>2</w:t>
      </w:r>
      <w:r w:rsidR="00D97E14">
        <w:rPr>
          <w:color w:val="auto"/>
        </w:rPr>
        <w:t>-reductie die de inzet van een hernieuwbare brandstof oplevert beloond</w:t>
      </w:r>
      <w:r w:rsidR="000C1FE8">
        <w:rPr>
          <w:color w:val="auto"/>
        </w:rPr>
        <w:t>, wat daarmee ook bijdraagt aan het behalen van de klimaatdoelstellingen</w:t>
      </w:r>
      <w:r w:rsidR="00D97E14">
        <w:rPr>
          <w:color w:val="auto"/>
        </w:rPr>
        <w:t>.</w:t>
      </w:r>
    </w:p>
    <w:p w:rsidR="0032620F" w:rsidP="00381A31" w:rsidRDefault="0032620F" w14:paraId="6B539283" w14:textId="77777777">
      <w:pPr>
        <w:autoSpaceDN/>
        <w:spacing w:line="240" w:lineRule="auto"/>
        <w:textAlignment w:val="auto"/>
        <w:rPr>
          <w:color w:val="auto"/>
        </w:rPr>
      </w:pPr>
    </w:p>
    <w:p w:rsidR="005C4C6A" w:rsidP="0032620F" w:rsidRDefault="0032620F" w14:paraId="1C35D9CB" w14:textId="77777777">
      <w:pPr>
        <w:autoSpaceDN/>
        <w:spacing w:line="240" w:lineRule="auto"/>
        <w:textAlignment w:val="auto"/>
        <w:rPr>
          <w:rFonts w:eastAsia="Times New Roman" w:cs="Times New Roman"/>
        </w:rPr>
      </w:pPr>
      <w:r w:rsidRPr="00193B9C">
        <w:rPr>
          <w:rFonts w:eastAsia="Times New Roman" w:cs="Times New Roman"/>
        </w:rPr>
        <w:t xml:space="preserve">Voor een robuust systeem </w:t>
      </w:r>
      <w:r>
        <w:rPr>
          <w:rFonts w:eastAsia="Times New Roman" w:cs="Times New Roman"/>
        </w:rPr>
        <w:t>zijn</w:t>
      </w:r>
      <w:r w:rsidRPr="00193B9C">
        <w:rPr>
          <w:rFonts w:eastAsia="Times New Roman" w:cs="Times New Roman"/>
        </w:rPr>
        <w:t xml:space="preserve"> transparantie in de biobrandstoffenketen en </w:t>
      </w:r>
      <w:r>
        <w:rPr>
          <w:rFonts w:eastAsia="Times New Roman" w:cs="Times New Roman"/>
        </w:rPr>
        <w:t>goed toezicht en effectieve</w:t>
      </w:r>
      <w:r w:rsidRPr="00193B9C">
        <w:rPr>
          <w:rFonts w:eastAsia="Times New Roman" w:cs="Times New Roman"/>
        </w:rPr>
        <w:t xml:space="preserve"> handhaving nodig.</w:t>
      </w:r>
      <w:r w:rsidRPr="00193B9C" w:rsidDel="009A64B8">
        <w:rPr>
          <w:rFonts w:eastAsia="Times New Roman" w:cs="Times New Roman"/>
        </w:rPr>
        <w:t xml:space="preserve"> </w:t>
      </w:r>
      <w:r>
        <w:rPr>
          <w:rFonts w:eastAsia="Times New Roman" w:cs="Times New Roman"/>
        </w:rPr>
        <w:t xml:space="preserve">Nederland zet zich in om het totale systeem van toezicht (privaat en publiek) zo sterk mogelijk te maken om misstanden vroegtijdig op te sporen, te voorkomen </w:t>
      </w:r>
      <w:r w:rsidR="0082636B">
        <w:rPr>
          <w:rFonts w:eastAsia="Times New Roman" w:cs="Times New Roman"/>
        </w:rPr>
        <w:t xml:space="preserve">en </w:t>
      </w:r>
      <w:r>
        <w:rPr>
          <w:rFonts w:eastAsia="Times New Roman" w:cs="Times New Roman"/>
        </w:rPr>
        <w:t xml:space="preserve">te bestraffen. </w:t>
      </w:r>
    </w:p>
    <w:p w:rsidR="005C4C6A" w:rsidP="0032620F" w:rsidRDefault="005C4C6A" w14:paraId="1524F54A" w14:textId="77777777">
      <w:pPr>
        <w:autoSpaceDN/>
        <w:spacing w:line="240" w:lineRule="auto"/>
        <w:textAlignment w:val="auto"/>
        <w:rPr>
          <w:rFonts w:eastAsia="Times New Roman" w:cs="Times New Roman"/>
        </w:rPr>
      </w:pPr>
    </w:p>
    <w:p w:rsidRPr="00193B9C" w:rsidR="0032620F" w:rsidP="0032620F" w:rsidRDefault="0032620F" w14:paraId="24398F8B" w14:textId="53C9BE9C">
      <w:pPr>
        <w:autoSpaceDN/>
        <w:spacing w:line="240" w:lineRule="auto"/>
        <w:textAlignment w:val="auto"/>
        <w:rPr>
          <w:rFonts w:eastAsia="Times New Roman" w:cs="Times New Roman"/>
        </w:rPr>
      </w:pPr>
      <w:r>
        <w:rPr>
          <w:rFonts w:eastAsia="Times New Roman" w:cs="Times New Roman"/>
        </w:rPr>
        <w:t xml:space="preserve">Momenteel heeft </w:t>
      </w:r>
      <w:r w:rsidRPr="00193B9C">
        <w:rPr>
          <w:rFonts w:eastAsia="Times New Roman" w:cs="Times New Roman"/>
        </w:rPr>
        <w:t xml:space="preserve">Nederland </w:t>
      </w:r>
      <w:r>
        <w:rPr>
          <w:rFonts w:eastAsia="Times New Roman" w:cs="Times New Roman"/>
        </w:rPr>
        <w:t>al</w:t>
      </w:r>
      <w:r w:rsidRPr="00193B9C">
        <w:rPr>
          <w:rFonts w:eastAsia="Times New Roman" w:cs="Times New Roman"/>
        </w:rPr>
        <w:t xml:space="preserve"> een sterk </w:t>
      </w:r>
      <w:r>
        <w:rPr>
          <w:rFonts w:eastAsia="Times New Roman" w:cs="Times New Roman"/>
        </w:rPr>
        <w:t xml:space="preserve">publiek </w:t>
      </w:r>
      <w:r w:rsidRPr="00193B9C">
        <w:rPr>
          <w:rFonts w:eastAsia="Times New Roman" w:cs="Times New Roman"/>
        </w:rPr>
        <w:t xml:space="preserve">controlesysteem voor de toeleveringsketen van biobrandstoffen, maar </w:t>
      </w:r>
      <w:r>
        <w:rPr>
          <w:rFonts w:eastAsia="Times New Roman" w:cs="Times New Roman"/>
        </w:rPr>
        <w:t>dat</w:t>
      </w:r>
      <w:r w:rsidRPr="00193B9C">
        <w:rPr>
          <w:rFonts w:eastAsia="Times New Roman" w:cs="Times New Roman"/>
        </w:rPr>
        <w:t xml:space="preserve"> heeft een beperkte </w:t>
      </w:r>
      <w:r>
        <w:rPr>
          <w:rFonts w:eastAsia="Times New Roman" w:cs="Times New Roman"/>
        </w:rPr>
        <w:t xml:space="preserve">(nationale) </w:t>
      </w:r>
      <w:r w:rsidRPr="00193B9C">
        <w:rPr>
          <w:rFonts w:eastAsia="Times New Roman" w:cs="Times New Roman"/>
        </w:rPr>
        <w:t xml:space="preserve">reikwijdte. </w:t>
      </w:r>
      <w:r>
        <w:rPr>
          <w:rFonts w:eastAsia="Times New Roman" w:cs="Times New Roman"/>
        </w:rPr>
        <w:t>De invoering van een</w:t>
      </w:r>
      <w:r w:rsidRPr="00193B9C">
        <w:rPr>
          <w:rFonts w:eastAsia="Times New Roman" w:cs="Times New Roman"/>
        </w:rPr>
        <w:t xml:space="preserve"> Europese databank (de Uniedatabank) zal de</w:t>
      </w:r>
      <w:r w:rsidR="0082636B">
        <w:rPr>
          <w:rFonts w:eastAsia="Times New Roman" w:cs="Times New Roman"/>
        </w:rPr>
        <w:t xml:space="preserve"> internationale</w:t>
      </w:r>
      <w:r w:rsidRPr="00193B9C">
        <w:rPr>
          <w:rFonts w:eastAsia="Times New Roman" w:cs="Times New Roman"/>
        </w:rPr>
        <w:t xml:space="preserve"> keten </w:t>
      </w:r>
      <w:r>
        <w:rPr>
          <w:rFonts w:eastAsia="Times New Roman" w:cs="Times New Roman"/>
        </w:rPr>
        <w:t>in de toekomst</w:t>
      </w:r>
      <w:r w:rsidRPr="00193B9C">
        <w:rPr>
          <w:rFonts w:eastAsia="Times New Roman" w:cs="Times New Roman"/>
        </w:rPr>
        <w:t xml:space="preserve"> transparanter maken</w:t>
      </w:r>
      <w:r>
        <w:rPr>
          <w:rFonts w:eastAsia="Times New Roman" w:cs="Times New Roman"/>
        </w:rPr>
        <w:t>.</w:t>
      </w:r>
      <w:r w:rsidR="005C4C6A">
        <w:rPr>
          <w:rFonts w:eastAsia="Times New Roman" w:cs="Times New Roman"/>
        </w:rPr>
        <w:t xml:space="preserve"> </w:t>
      </w:r>
      <w:r w:rsidRPr="00193B9C">
        <w:rPr>
          <w:rFonts w:eastAsia="Times New Roman" w:cs="Times New Roman"/>
        </w:rPr>
        <w:t xml:space="preserve">Om het publieke toezicht op de keten </w:t>
      </w:r>
      <w:r w:rsidR="005C4C6A">
        <w:rPr>
          <w:rFonts w:eastAsia="Times New Roman" w:cs="Times New Roman"/>
        </w:rPr>
        <w:t>nog verder</w:t>
      </w:r>
      <w:r w:rsidRPr="00193B9C">
        <w:rPr>
          <w:rFonts w:eastAsia="Times New Roman" w:cs="Times New Roman"/>
        </w:rPr>
        <w:t xml:space="preserve"> te verbeteren, heeft</w:t>
      </w:r>
      <w:r w:rsidDel="0082636B">
        <w:rPr>
          <w:rFonts w:eastAsia="Times New Roman" w:cs="Times New Roman"/>
        </w:rPr>
        <w:t xml:space="preserve"> </w:t>
      </w:r>
      <w:r w:rsidR="0082636B">
        <w:rPr>
          <w:rFonts w:eastAsia="Times New Roman" w:cs="Times New Roman"/>
        </w:rPr>
        <w:t xml:space="preserve">het ministerie samen met de NEa </w:t>
      </w:r>
      <w:r>
        <w:rPr>
          <w:rFonts w:eastAsia="Times New Roman" w:cs="Times New Roman"/>
        </w:rPr>
        <w:t>– in het kader van de wijzigingen</w:t>
      </w:r>
      <w:r w:rsidRPr="00193B9C">
        <w:rPr>
          <w:rFonts w:eastAsia="Times New Roman" w:cs="Times New Roman"/>
        </w:rPr>
        <w:t xml:space="preserve"> met </w:t>
      </w:r>
      <w:r>
        <w:rPr>
          <w:rFonts w:eastAsia="Times New Roman" w:cs="Times New Roman"/>
        </w:rPr>
        <w:t xml:space="preserve">betrekking tot </w:t>
      </w:r>
      <w:r w:rsidRPr="00193B9C">
        <w:rPr>
          <w:rFonts w:eastAsia="Times New Roman" w:cs="Times New Roman"/>
        </w:rPr>
        <w:t xml:space="preserve">de </w:t>
      </w:r>
      <w:r w:rsidRPr="00193B9C">
        <w:t xml:space="preserve">Europese uitvoeringsverordening </w:t>
      </w:r>
      <w:r w:rsidRPr="00193B9C">
        <w:rPr>
          <w:rFonts w:eastAsia="Times New Roman" w:cs="Times New Roman"/>
        </w:rPr>
        <w:t>2022/996</w:t>
      </w:r>
      <w:r>
        <w:t xml:space="preserve"> – de</w:t>
      </w:r>
      <w:r w:rsidRPr="00193B9C">
        <w:rPr>
          <w:rFonts w:eastAsia="Times New Roman" w:cs="Times New Roman"/>
        </w:rPr>
        <w:t xml:space="preserve"> Europese Commissie opgeroepen tot het opzetten van een Europees </w:t>
      </w:r>
      <w:r>
        <w:rPr>
          <w:rFonts w:eastAsia="Times New Roman" w:cs="Times New Roman"/>
        </w:rPr>
        <w:t>samenwerkingsverband</w:t>
      </w:r>
      <w:r w:rsidRPr="00193B9C">
        <w:rPr>
          <w:rFonts w:eastAsia="Times New Roman" w:cs="Times New Roman"/>
        </w:rPr>
        <w:t xml:space="preserve"> van nationale toezichthouders. Dit verband moet de middelen en het mandaat hebben om onderzoek uit te voeren</w:t>
      </w:r>
      <w:r>
        <w:rPr>
          <w:rFonts w:eastAsia="Times New Roman" w:cs="Times New Roman"/>
        </w:rPr>
        <w:t xml:space="preserve"> en</w:t>
      </w:r>
      <w:r w:rsidRPr="00193B9C">
        <w:rPr>
          <w:rFonts w:eastAsia="Times New Roman" w:cs="Times New Roman"/>
        </w:rPr>
        <w:t xml:space="preserve"> toezicht te houden op de </w:t>
      </w:r>
      <w:r>
        <w:rPr>
          <w:rFonts w:eastAsia="Times New Roman" w:cs="Times New Roman"/>
        </w:rPr>
        <w:t xml:space="preserve">private </w:t>
      </w:r>
      <w:r w:rsidRPr="00193B9C">
        <w:rPr>
          <w:rFonts w:eastAsia="Times New Roman" w:cs="Times New Roman"/>
        </w:rPr>
        <w:t>certificeringsorganisaties</w:t>
      </w:r>
      <w:r>
        <w:rPr>
          <w:rFonts w:eastAsia="Times New Roman" w:cs="Times New Roman"/>
        </w:rPr>
        <w:t xml:space="preserve"> (</w:t>
      </w:r>
      <w:r w:rsidRPr="00193B9C">
        <w:rPr>
          <w:rFonts w:eastAsia="Times New Roman" w:cs="Times New Roman"/>
        </w:rPr>
        <w:t>vrijwillige schema’s</w:t>
      </w:r>
      <w:r>
        <w:rPr>
          <w:rFonts w:eastAsia="Times New Roman" w:cs="Times New Roman"/>
        </w:rPr>
        <w:t>)</w:t>
      </w:r>
      <w:r w:rsidRPr="00193B9C">
        <w:rPr>
          <w:rFonts w:eastAsia="Times New Roman" w:cs="Times New Roman"/>
        </w:rPr>
        <w:t xml:space="preserve">. In het geval van fraudevermoedens moet dit verband actie kunnen ondernemen. Dit geldt voor </w:t>
      </w:r>
      <w:r>
        <w:rPr>
          <w:rFonts w:eastAsia="Times New Roman" w:cs="Times New Roman"/>
        </w:rPr>
        <w:t xml:space="preserve">fraudevermoedens binnen </w:t>
      </w:r>
      <w:r w:rsidRPr="00193B9C">
        <w:rPr>
          <w:rFonts w:eastAsia="Times New Roman" w:cs="Times New Roman"/>
        </w:rPr>
        <w:t xml:space="preserve">Europese stromen en productiefaciliteiten, maar ook </w:t>
      </w:r>
      <w:r>
        <w:rPr>
          <w:rFonts w:eastAsia="Times New Roman" w:cs="Times New Roman"/>
        </w:rPr>
        <w:t xml:space="preserve">voor situaties </w:t>
      </w:r>
      <w:r w:rsidRPr="00193B9C">
        <w:rPr>
          <w:rFonts w:eastAsia="Times New Roman" w:cs="Times New Roman"/>
        </w:rPr>
        <w:t xml:space="preserve">buiten Europa. Nederland </w:t>
      </w:r>
      <w:r>
        <w:rPr>
          <w:rFonts w:eastAsia="Times New Roman" w:cs="Times New Roman"/>
        </w:rPr>
        <w:t>is</w:t>
      </w:r>
      <w:r w:rsidRPr="00193B9C">
        <w:rPr>
          <w:rFonts w:eastAsia="Times New Roman" w:cs="Times New Roman"/>
        </w:rPr>
        <w:t xml:space="preserve"> nauw betrokken bij het wijzigingstraject van de </w:t>
      </w:r>
      <w:r w:rsidRPr="00193B9C">
        <w:t>Europese uitvoeringsverordening 2022/996</w:t>
      </w:r>
      <w:r>
        <w:t>. De Nederlandse voorstellen worden zorgvuldig door de Commissie meegenomen.</w:t>
      </w:r>
      <w:r w:rsidRPr="00193B9C" w:rsidDel="001F0BA7">
        <w:t xml:space="preserve"> </w:t>
      </w:r>
      <w:r w:rsidRPr="00193B9C">
        <w:t xml:space="preserve">Naar verwachting is de verordening eind 2025 afgerond. </w:t>
      </w:r>
      <w:r>
        <w:rPr>
          <w:rFonts w:eastAsia="Times New Roman" w:cs="Times New Roman"/>
        </w:rPr>
        <w:t>Uw</w:t>
      </w:r>
      <w:r w:rsidRPr="00193B9C">
        <w:rPr>
          <w:rFonts w:eastAsia="Times New Roman" w:cs="Times New Roman"/>
        </w:rPr>
        <w:t xml:space="preserve"> Kamer </w:t>
      </w:r>
      <w:r>
        <w:rPr>
          <w:rFonts w:eastAsia="Times New Roman" w:cs="Times New Roman"/>
        </w:rPr>
        <w:t xml:space="preserve">zal hiervan </w:t>
      </w:r>
      <w:r w:rsidRPr="00193B9C">
        <w:rPr>
          <w:rFonts w:eastAsia="Times New Roman" w:cs="Times New Roman"/>
        </w:rPr>
        <w:t>op de hoogte</w:t>
      </w:r>
      <w:r>
        <w:rPr>
          <w:rFonts w:eastAsia="Times New Roman" w:cs="Times New Roman"/>
        </w:rPr>
        <w:t xml:space="preserve"> worden</w:t>
      </w:r>
      <w:r w:rsidRPr="00193B9C">
        <w:rPr>
          <w:rFonts w:eastAsia="Times New Roman" w:cs="Times New Roman"/>
        </w:rPr>
        <w:t xml:space="preserve"> </w:t>
      </w:r>
      <w:r>
        <w:rPr>
          <w:rFonts w:eastAsia="Times New Roman" w:cs="Times New Roman"/>
        </w:rPr>
        <w:t>ge</w:t>
      </w:r>
      <w:r w:rsidRPr="00193B9C">
        <w:rPr>
          <w:rFonts w:eastAsia="Times New Roman" w:cs="Times New Roman"/>
        </w:rPr>
        <w:t xml:space="preserve">houden. </w:t>
      </w:r>
      <w:r w:rsidRPr="00354C6E">
        <w:t>D</w:t>
      </w:r>
      <w:r>
        <w:t xml:space="preserve">aarnaast heeft de </w:t>
      </w:r>
      <w:r w:rsidRPr="00354C6E">
        <w:t xml:space="preserve">NEa de afgelopen jaren geïnvesteerd om het toezicht en de samenwerkingen met andere instanties zoals de ILT en de Douane te versterken. </w:t>
      </w:r>
      <w:r>
        <w:t>De NEa</w:t>
      </w:r>
      <w:r w:rsidRPr="00354C6E">
        <w:t xml:space="preserve"> werkt</w:t>
      </w:r>
      <w:r>
        <w:t xml:space="preserve"> aanvullend </w:t>
      </w:r>
      <w:r w:rsidRPr="00354C6E">
        <w:t>aan de ontwikkeling van haar toezichtinstrumenten.</w:t>
      </w:r>
    </w:p>
    <w:p w:rsidR="00ED6B71" w:rsidP="00381A31" w:rsidRDefault="00ED6B71" w14:paraId="0359FB35" w14:textId="77777777">
      <w:pPr>
        <w:autoSpaceDN/>
        <w:spacing w:line="240" w:lineRule="auto"/>
        <w:textAlignment w:val="auto"/>
        <w:rPr>
          <w:color w:val="auto"/>
        </w:rPr>
      </w:pPr>
    </w:p>
    <w:p w:rsidR="0032620F" w:rsidP="0032620F" w:rsidRDefault="0032620F" w14:paraId="06651E26" w14:textId="3D0AD257">
      <w:pPr>
        <w:autoSpaceDN/>
        <w:spacing w:line="240" w:lineRule="auto"/>
        <w:textAlignment w:val="auto"/>
        <w:rPr>
          <w:rFonts w:eastAsia="Times New Roman" w:cs="Times New Roman"/>
          <w:color w:val="auto"/>
        </w:rPr>
      </w:pPr>
      <w:r w:rsidRPr="00193B9C">
        <w:rPr>
          <w:rFonts w:eastAsia="Times New Roman" w:cs="Times New Roman"/>
        </w:rPr>
        <w:t xml:space="preserve">Naast het versterken van het </w:t>
      </w:r>
      <w:r>
        <w:rPr>
          <w:rFonts w:eastAsia="Times New Roman" w:cs="Times New Roman"/>
        </w:rPr>
        <w:t>publieke</w:t>
      </w:r>
      <w:r w:rsidRPr="00193B9C">
        <w:rPr>
          <w:rFonts w:eastAsia="Times New Roman" w:cs="Times New Roman"/>
        </w:rPr>
        <w:t xml:space="preserve"> toezicht, wordt er ook gewerkt aan het versterken van het private toezicht. Onafhankelijke certificeringsorganisaties en audits </w:t>
      </w:r>
      <w:r>
        <w:rPr>
          <w:rFonts w:eastAsia="Times New Roman" w:cs="Times New Roman"/>
        </w:rPr>
        <w:t>vormen een systeem van privaat toezicht</w:t>
      </w:r>
      <w:r w:rsidRPr="00193B9C">
        <w:rPr>
          <w:rFonts w:eastAsia="Times New Roman" w:cs="Times New Roman"/>
        </w:rPr>
        <w:t xml:space="preserve">. </w:t>
      </w:r>
      <w:r w:rsidR="00EB1EE3">
        <w:rPr>
          <w:rFonts w:eastAsia="Times New Roman" w:cs="Times New Roman"/>
        </w:rPr>
        <w:t xml:space="preserve">Naar aanleiding van zorgen over fraude heeft </w:t>
      </w:r>
      <w:r w:rsidRPr="00193B9C">
        <w:rPr>
          <w:rFonts w:eastAsia="Times New Roman" w:cs="Times New Roman"/>
        </w:rPr>
        <w:t xml:space="preserve">ISCC, het grootste vrijwillige schema ter wereld, </w:t>
      </w:r>
      <w:r w:rsidRPr="007360C9">
        <w:rPr>
          <w:rFonts w:eastAsia="Times New Roman" w:cs="Times New Roman"/>
          <w:color w:val="auto"/>
        </w:rPr>
        <w:t>diverse maatregelen gepresenteerd om het</w:t>
      </w:r>
      <w:r>
        <w:rPr>
          <w:rFonts w:eastAsia="Times New Roman" w:cs="Times New Roman"/>
          <w:color w:val="auto"/>
        </w:rPr>
        <w:t xml:space="preserve"> private</w:t>
      </w:r>
      <w:r w:rsidRPr="007360C9">
        <w:rPr>
          <w:rFonts w:eastAsia="Times New Roman" w:cs="Times New Roman"/>
          <w:color w:val="auto"/>
        </w:rPr>
        <w:t xml:space="preserve"> toezicht te versterken. </w:t>
      </w:r>
    </w:p>
    <w:p w:rsidR="0032620F" w:rsidP="0032620F" w:rsidRDefault="0032620F" w14:paraId="528424E8" w14:textId="77777777">
      <w:pPr>
        <w:autoSpaceDN/>
        <w:spacing w:line="240" w:lineRule="auto"/>
        <w:textAlignment w:val="auto"/>
        <w:rPr>
          <w:rFonts w:eastAsia="Times New Roman" w:cs="Times New Roman"/>
          <w:color w:val="auto"/>
        </w:rPr>
      </w:pPr>
    </w:p>
    <w:p w:rsidR="0061032F" w:rsidP="00354C6E" w:rsidRDefault="003859D7" w14:paraId="3D2E774B" w14:textId="448B49E3">
      <w:r>
        <w:rPr>
          <w:color w:val="auto"/>
        </w:rPr>
        <w:t xml:space="preserve">In diverse HUF-toetsen heeft de NEa haar conclusies en adviezen gedeeld over de fraudebestendigheid van de voorstellen. </w:t>
      </w:r>
      <w:r w:rsidR="005609CC">
        <w:rPr>
          <w:color w:val="auto"/>
        </w:rPr>
        <w:t xml:space="preserve">De NEa concludeert dat de voorstellen fraudebestendig zijn, mits hun adviezen opgevolgd worden, zoals het schrappen van dubbeltelling. De dubbeltelling is inmiddels geschrapt. </w:t>
      </w:r>
    </w:p>
    <w:p w:rsidRPr="00354C6E" w:rsidR="00354C6E" w:rsidP="00A93B6E" w:rsidRDefault="00354C6E" w14:paraId="6D9507D0" w14:textId="77777777">
      <w:pPr>
        <w:rPr>
          <w:color w:val="FF0000"/>
        </w:rPr>
      </w:pPr>
    </w:p>
    <w:p w:rsidRPr="00354C6E" w:rsidR="0085500D" w:rsidP="0085500D" w:rsidRDefault="0085500D" w14:paraId="5AABDA55" w14:textId="4996D5F1">
      <w:pPr>
        <w:pStyle w:val="ListParagraph"/>
        <w:numPr>
          <w:ilvl w:val="0"/>
          <w:numId w:val="26"/>
        </w:numPr>
        <w:autoSpaceDN/>
        <w:spacing w:line="240" w:lineRule="auto"/>
        <w:textAlignment w:val="auto"/>
        <w:rPr>
          <w:rFonts w:eastAsia="Times New Roman" w:cs="Times New Roman"/>
          <w:i/>
          <w:iCs/>
        </w:rPr>
      </w:pPr>
      <w:r w:rsidRPr="00354C6E">
        <w:rPr>
          <w:rFonts w:eastAsia="Times New Roman" w:cs="Times New Roman"/>
          <w:i/>
          <w:iCs/>
        </w:rPr>
        <w:t>De leden van de VVD-fractie constateren dat</w:t>
      </w:r>
      <w:r w:rsidRPr="00354C6E" w:rsidDel="00456097">
        <w:rPr>
          <w:rFonts w:eastAsia="Times New Roman" w:cs="Times New Roman"/>
          <w:i/>
          <w:iCs/>
        </w:rPr>
        <w:t xml:space="preserve"> </w:t>
      </w:r>
      <w:r w:rsidRPr="00354C6E">
        <w:rPr>
          <w:rFonts w:eastAsia="Times New Roman" w:cs="Times New Roman"/>
          <w:i/>
          <w:iCs/>
        </w:rPr>
        <w:t>in de ARA-regio (havengebied van de steden Amsterdam, Rotterdam en Antwerpen) momenteel goedkope T1 bio-bunkerleveringen worden verricht met hernieuwbare brandstoffen uit China. Door de T1-status zijn deze leveringen ‘niet in de EU’ en daarmee niet onderworpen aan EU-invoerrechten, noch aan rechten op grond van EU-handelsbeschermingsinstrumenten (antidumping, antisubsidie of vrijwaringsmaatregelen). Deze non-EU biobrandstoffen worden gebruikt voor het vervullen van meerdere andere Europese doelstellingen, zoals FuelEU Zeevaart en EU-ETS. Zo profiteert zulke hernieuwbare brandstof dubbel: het telt mee voor de EU-doelstellingen voor hernieuwbare energie, maar ontduikt tegelijkertijd de opgelegde EU-handelsregels. Deze praktijk creëert een zeer ongelijk speelveld en zet daarmee Nederlandse en Europese producenten op achterstand. Deze leden vragen of de staatssecretaris ermee bekend is dat dergelijke leveringen (ook) niet in lijn zijn met het gevoerde massabalans- en anti-dumpingbeleid van de Europese Commissie. Klopt het dat leveringen onder het T1-regime niet meetellen voor de nationale rapportage naar Brussel vanwege hun fiscale status? Hoe verhoudt dit zich tot de eis vanuit RED III dat zeevaart energieverbruik maar beperkt mag meetellen voor de RED III-doelstelling? Is de staatssecretaris het met deze leden eens dat T1-bunkerleveringen van hernieuwbare brandstoffen, Nederlandse en Europese hernieuwbarebrandstofproducenten op oneerlijke wijze op achterstand zetten en daarom beleidsmatig ongewenst zijn? Deelt de staatssecretaris daarnaast ook de gedachte dat T1-leveringen strijdig zijn met het kabinetsvoornemen om nationale productie van hernieuwbare energie actief te ondersteunen, zoals vastgelegd in het regeerakkoord? Zou Nederland er niet wijs aan doen om alleen T2-biobrandstofleveringen toe te staan voor alle Europese beleidsdoelstellingen, omdat alleen zo kan worden bewerkstelligd dat Europese partijen niet op oneerlijke wijze op achterstand worden gezet, en de producten ook daadwerkelijk op de Europese markt worden gezet? Welke maatregelen neemt de staatssecretaris om ervoor te zorgen dat het toekomstige RED III-subsysteem voor de zeevaart eerlijk, transparant en goed functioneert, nu de overheid de accijnswetgeving als grondslag voor het beleid specifiek voor zeevaart lijkt te verlaten, ten faveure van een ticketingsysteem op basis van een bunkerleveringsverklaring?</w:t>
      </w:r>
    </w:p>
    <w:p w:rsidRPr="00354C6E" w:rsidR="0085500D" w:rsidP="0085500D" w:rsidRDefault="0085500D" w14:paraId="608F0118" w14:textId="75DE2E26">
      <w:pPr>
        <w:pStyle w:val="ListParagraph"/>
        <w:numPr>
          <w:ilvl w:val="0"/>
          <w:numId w:val="26"/>
        </w:numPr>
        <w:autoSpaceDN/>
        <w:spacing w:line="240" w:lineRule="auto"/>
        <w:textAlignment w:val="auto"/>
        <w:rPr>
          <w:rFonts w:eastAsia="Times New Roman" w:cs="Times New Roman"/>
          <w:i/>
          <w:iCs/>
        </w:rPr>
      </w:pPr>
      <w:r w:rsidRPr="00354C6E">
        <w:rPr>
          <w:rFonts w:eastAsia="Times New Roman" w:cs="Times New Roman"/>
          <w:i/>
          <w:iCs/>
        </w:rPr>
        <w:t xml:space="preserve">De leden van de SGP-fractie vragen graag aandacht voor (conventionele) biobrandstoffen die als zogenaamde T1-goederen niet de Europese markt opgaan, gevrijwaard zijn van invoerheffingen en in havengebieden opgeslagen worden. Is de veronderstelling juist dat deze biobrandstoffen wel ingezet worden om aan Europese doelstellingen en regelgeving te voldoen, zoals FuelEU Zeevaart en ETS? Deelt de staatssecretaris de analyse dat dit in strijd is met de door de Europese Commissie voorgestane massabalansmethode en het anti-dumpingbeleid? Deelt de staatssecretaris de mening dat deze handelwijze ongewenst is en dat Nederlandse en Europese producenten van biobrandstoffen hierdoor op achterstand gezet worden? Hoe gaat de staatssecretaris ervoor zorgen dat inzet van T1-biobrandstoffen om te voldoen aan Europese en nationale doelstellingen en regels, zoveel mogelijk voorkomen wordt, zo vragen deze leden.  </w:t>
      </w:r>
    </w:p>
    <w:p w:rsidRPr="00354C6E" w:rsidR="0085500D" w:rsidP="0085500D" w:rsidRDefault="0085500D" w14:paraId="01B26FD9" w14:textId="77777777">
      <w:pPr>
        <w:autoSpaceDN/>
        <w:spacing w:line="240" w:lineRule="auto"/>
        <w:textAlignment w:val="auto"/>
        <w:rPr>
          <w:rFonts w:eastAsia="Times New Roman" w:cs="Times New Roman"/>
        </w:rPr>
      </w:pPr>
    </w:p>
    <w:p w:rsidR="00740161" w:rsidP="00740161" w:rsidRDefault="00675D15" w14:paraId="6B0DD482" w14:textId="77777777">
      <w:pPr>
        <w:rPr>
          <w:color w:val="auto"/>
        </w:rPr>
      </w:pPr>
      <w:r w:rsidRPr="00354C6E">
        <w:rPr>
          <w:color w:val="auto"/>
        </w:rPr>
        <w:t xml:space="preserve">Voor de Europese verplichtingen voor scheepvaartondernemingen, binnen FuelEU Maritime en EU-ETS, is de </w:t>
      </w:r>
      <w:r w:rsidR="00A51153">
        <w:rPr>
          <w:color w:val="auto"/>
        </w:rPr>
        <w:t>reikwijdte</w:t>
      </w:r>
      <w:r w:rsidRPr="00354C6E" w:rsidR="00A51153">
        <w:rPr>
          <w:color w:val="auto"/>
        </w:rPr>
        <w:t xml:space="preserve"> </w:t>
      </w:r>
      <w:r w:rsidRPr="00354C6E">
        <w:rPr>
          <w:color w:val="auto"/>
        </w:rPr>
        <w:t>bepaald op</w:t>
      </w:r>
      <w:r w:rsidRPr="00354C6E" w:rsidR="00455BBF">
        <w:rPr>
          <w:color w:val="auto"/>
        </w:rPr>
        <w:t xml:space="preserve"> basis van</w:t>
      </w:r>
      <w:r w:rsidRPr="00354C6E">
        <w:rPr>
          <w:color w:val="auto"/>
        </w:rPr>
        <w:t xml:space="preserve"> de reizen </w:t>
      </w:r>
      <w:r w:rsidRPr="00354C6E" w:rsidR="00455BBF">
        <w:rPr>
          <w:color w:val="auto"/>
        </w:rPr>
        <w:t xml:space="preserve">van een schip </w:t>
      </w:r>
      <w:r w:rsidRPr="00354C6E">
        <w:rPr>
          <w:color w:val="auto"/>
        </w:rPr>
        <w:t>(kortweg tellen reizen binnen de EU volledig mee, reizen tussen een EU- en niet-EU-haven voor 50%), en niet de locatie van bunkering. Brandstoffen tellen</w:t>
      </w:r>
      <w:r w:rsidRPr="00354C6E" w:rsidR="00455BBF">
        <w:rPr>
          <w:color w:val="auto"/>
        </w:rPr>
        <w:t xml:space="preserve"> daarin</w:t>
      </w:r>
      <w:r w:rsidRPr="00354C6E">
        <w:rPr>
          <w:color w:val="auto"/>
        </w:rPr>
        <w:t xml:space="preserve"> mee, ongeacht waar deze gebunkerd zijn en onder welk douaneregime. Echter moeten hernieuwbare brandstoffen wel voldoen aan de vereisten van de Richtlijn hernieuwbare energie voor de duurzaamheid en broeikasgasemissiereductie</w:t>
      </w:r>
      <w:r w:rsidRPr="00354C6E" w:rsidR="00825C1E">
        <w:rPr>
          <w:color w:val="auto"/>
        </w:rPr>
        <w:t>, om ook als hernieuwbare brandstoffen mee te tellen</w:t>
      </w:r>
      <w:r w:rsidRPr="00354C6E">
        <w:rPr>
          <w:color w:val="auto"/>
        </w:rPr>
        <w:t>.</w:t>
      </w:r>
      <w:r w:rsidRPr="00354C6E" w:rsidR="00825C1E">
        <w:rPr>
          <w:color w:val="auto"/>
        </w:rPr>
        <w:t xml:space="preserve"> </w:t>
      </w:r>
    </w:p>
    <w:p w:rsidR="00740161" w:rsidP="00740161" w:rsidRDefault="00740161" w14:paraId="295615D0" w14:textId="77777777">
      <w:pPr>
        <w:rPr>
          <w:color w:val="auto"/>
        </w:rPr>
      </w:pPr>
    </w:p>
    <w:p w:rsidRPr="00740161" w:rsidR="00F0305D" w:rsidP="00740161" w:rsidRDefault="00455BBF" w14:paraId="63DE0625" w14:textId="5DD31CB9">
      <w:pPr>
        <w:rPr>
          <w:color w:val="auto"/>
        </w:rPr>
      </w:pPr>
      <w:r w:rsidRPr="00354C6E">
        <w:rPr>
          <w:color w:val="auto"/>
        </w:rPr>
        <w:t xml:space="preserve">Voor </w:t>
      </w:r>
      <w:r w:rsidR="00740161">
        <w:rPr>
          <w:color w:val="auto"/>
        </w:rPr>
        <w:t xml:space="preserve">de wettelijke systematiek </w:t>
      </w:r>
      <w:r w:rsidRPr="00354C6E">
        <w:rPr>
          <w:color w:val="auto"/>
        </w:rPr>
        <w:t xml:space="preserve">Energie Vervoer </w:t>
      </w:r>
      <w:r w:rsidR="00AF4220">
        <w:rPr>
          <w:color w:val="auto"/>
        </w:rPr>
        <w:t xml:space="preserve">van titel 9.7 van de Wet milieubeheer </w:t>
      </w:r>
      <w:r w:rsidRPr="00354C6E">
        <w:rPr>
          <w:color w:val="auto"/>
        </w:rPr>
        <w:t xml:space="preserve">is de uitgangspositie dat op alle leveringen in Nederland, ongeacht de douanestatus ervan, een verplichting wordt gelegd. Voor de levering van biobrandstoffen kunnen wel voorwaarden worden gesteld voor het inboeken binnen de Regeling energie vervoer. </w:t>
      </w:r>
      <w:r w:rsidRPr="00354C6E" w:rsidR="00F0305D">
        <w:rPr>
          <w:color w:val="auto"/>
        </w:rPr>
        <w:t>Op basis van de signalen vanuit de biobrandstofproducenten wordt er gekeken naar deze specifieke leveringen van biobrandstoffen, de wenselijkheid en mogelijkheid van het inboeken van deze biobrandstoffen</w:t>
      </w:r>
      <w:r w:rsidRPr="00354C6E">
        <w:rPr>
          <w:color w:val="auto"/>
        </w:rPr>
        <w:t xml:space="preserve"> binnen Energie Vervoer.</w:t>
      </w:r>
      <w:r w:rsidRPr="00354C6E" w:rsidR="00F0305D">
        <w:rPr>
          <w:color w:val="auto"/>
        </w:rPr>
        <w:t xml:space="preserve"> </w:t>
      </w:r>
      <w:r w:rsidRPr="00354C6E">
        <w:rPr>
          <w:color w:val="auto"/>
        </w:rPr>
        <w:t>Hie</w:t>
      </w:r>
      <w:r w:rsidRPr="00354C6E" w:rsidR="00F0305D">
        <w:rPr>
          <w:color w:val="auto"/>
        </w:rPr>
        <w:t xml:space="preserve">rbij wordt meegenomen hoe </w:t>
      </w:r>
      <w:r w:rsidRPr="00354C6E">
        <w:rPr>
          <w:color w:val="auto"/>
        </w:rPr>
        <w:t>deze leveringen</w:t>
      </w:r>
      <w:r w:rsidRPr="00354C6E" w:rsidR="00F0305D">
        <w:rPr>
          <w:color w:val="auto"/>
        </w:rPr>
        <w:t xml:space="preserve"> binnen de vereisten van de R</w:t>
      </w:r>
      <w:r w:rsidR="00AF4220">
        <w:rPr>
          <w:color w:val="auto"/>
        </w:rPr>
        <w:t>ED</w:t>
      </w:r>
      <w:r w:rsidRPr="00354C6E" w:rsidR="00F0305D">
        <w:rPr>
          <w:color w:val="auto"/>
        </w:rPr>
        <w:t xml:space="preserve"> passen.</w:t>
      </w:r>
      <w:r w:rsidRPr="00B41366" w:rsidR="00B41366">
        <w:t xml:space="preserve"> </w:t>
      </w:r>
      <w:r w:rsidRPr="00A246BB" w:rsidR="00B41366">
        <w:t xml:space="preserve">Er wordt hierbij rekening gehouden met het uitgangspunt van ‘behoud concurrentiepositie’, zoals beschreven in de Nota van Toelichting van </w:t>
      </w:r>
      <w:r w:rsidR="00AF4220">
        <w:t>de voorgehangen ontwerpwijziging B</w:t>
      </w:r>
      <w:r w:rsidRPr="00A246BB" w:rsidR="00B41366">
        <w:t>esluit</w:t>
      </w:r>
      <w:r w:rsidR="00AF4220">
        <w:t xml:space="preserve"> energie vervoer</w:t>
      </w:r>
      <w:r w:rsidRPr="00A246BB" w:rsidR="00B41366">
        <w:t xml:space="preserve">, </w:t>
      </w:r>
      <w:r w:rsidR="00B41366">
        <w:t>zodat</w:t>
      </w:r>
      <w:r w:rsidRPr="00A246BB" w:rsidR="00B41366">
        <w:t xml:space="preserve"> er geen ongelijk speelveld ontstaat.</w:t>
      </w:r>
    </w:p>
    <w:p w:rsidRPr="00354C6E" w:rsidR="00A93B6E" w:rsidP="00A93B6E" w:rsidRDefault="00A93B6E" w14:paraId="6CE4F4D4" w14:textId="77777777">
      <w:pPr>
        <w:pStyle w:val="ListParagraph"/>
        <w:ind w:left="360"/>
        <w:rPr>
          <w:b/>
          <w:bCs/>
        </w:rPr>
      </w:pPr>
    </w:p>
    <w:p w:rsidRPr="00354C6E" w:rsidR="00381A31" w:rsidP="00381A31" w:rsidRDefault="00354C6E" w14:paraId="5A1236AB" w14:textId="4681BA88">
      <w:pPr>
        <w:pStyle w:val="ListParagraph"/>
        <w:numPr>
          <w:ilvl w:val="0"/>
          <w:numId w:val="25"/>
        </w:numPr>
        <w:ind w:left="360"/>
        <w:rPr>
          <w:b/>
          <w:bCs/>
        </w:rPr>
      </w:pPr>
      <w:r>
        <w:rPr>
          <w:b/>
          <w:bCs/>
        </w:rPr>
        <w:t>Effecten op de prijs aan de pomp</w:t>
      </w:r>
    </w:p>
    <w:p w:rsidRPr="00354C6E" w:rsidR="00381A31" w:rsidP="00381A31" w:rsidRDefault="00381A31" w14:paraId="6D5ACFAB" w14:textId="77777777">
      <w:pPr>
        <w:autoSpaceDN/>
        <w:spacing w:line="240" w:lineRule="auto"/>
        <w:textAlignment w:val="auto"/>
        <w:rPr>
          <w:i/>
          <w:iCs/>
        </w:rPr>
      </w:pPr>
    </w:p>
    <w:p w:rsidRPr="00354C6E" w:rsidR="00A93B6E" w:rsidP="00381A31" w:rsidRDefault="00A93B6E" w14:paraId="4E7E2C40" w14:textId="6F24AF02">
      <w:pPr>
        <w:pStyle w:val="ListParagraph"/>
        <w:numPr>
          <w:ilvl w:val="0"/>
          <w:numId w:val="26"/>
        </w:numPr>
        <w:autoSpaceDN/>
        <w:spacing w:line="240" w:lineRule="auto"/>
        <w:textAlignment w:val="auto"/>
        <w:rPr>
          <w:i/>
          <w:iCs/>
        </w:rPr>
      </w:pPr>
      <w:r w:rsidRPr="00354C6E">
        <w:rPr>
          <w:i/>
          <w:iCs/>
        </w:rPr>
        <w:t>De leden van de VVD-fractie achten het van groot belang dat de energietransitie in de vervoerssector niet leidt tot onevenredige prijsstijgingen aan de pomp. In dit kader hebben deze leden kennisgenomen van het CE Delft-onderzoek waarin de prijseffecten van de RED III-implementatie worden geschat op een prijsdaling van 1 tot 3 cent per liter benzine (zonder btw) en een prijsstijging van 7 tot 11 cent per liter diesel (zonder btw) in 2030. Tegelijkertijd is in de voortgangsbrief aangegeven dat veel aannames onzeker zijn en dat de werkelijke impact afhankelijk is van toekomstige keuzes en marktdynamiek. Hoe beoordeelt de staatssecretaris de kans dat de uiteindelijke effecten op de prijs aan de pomp groter uitvallen dan in het CE Delft-model is berekend? Welke monitoring wordt opgezet om dat in de praktijk te volgen en op welk moment wordt overwogen om maatregelen te treffen als de betaalbaarheid voor consumenten alsnog onder druk komt te staan?</w:t>
      </w:r>
    </w:p>
    <w:p w:rsidRPr="00354C6E" w:rsidR="00A93B6E" w:rsidP="00A93B6E" w:rsidRDefault="00A93B6E" w14:paraId="59747508" w14:textId="1CE99AF7">
      <w:pPr>
        <w:pStyle w:val="ListParagraph"/>
        <w:numPr>
          <w:ilvl w:val="0"/>
          <w:numId w:val="26"/>
        </w:numPr>
        <w:autoSpaceDN/>
        <w:spacing w:line="240" w:lineRule="auto"/>
        <w:textAlignment w:val="auto"/>
        <w:rPr>
          <w:i/>
          <w:iCs/>
        </w:rPr>
      </w:pPr>
      <w:r w:rsidRPr="00354C6E">
        <w:rPr>
          <w:i/>
          <w:iCs/>
        </w:rPr>
        <w:t>De leden van de VVD-fractie vinden het belangrijk dat consumenten begrijpen waarom de brandstofprijs verandert en welk deel daarvan te maken heeft met klimaatbeleid. Dit is cruciaal voor draagvlak en transparantie. Welke mogelijkheden ziet de staatssecretaris om in de toekomst transparanter te communiceren over het aandeel van klimaatbeleid in de prijs aan de pomp? Kan hij toezeggen dat bij toekomstige aanpassingen aan de brandstoftransitieverplichting vooraf ook de consumentenimpact expliciet wordt meegewogen en gedeeld?</w:t>
      </w:r>
    </w:p>
    <w:p w:rsidRPr="00354C6E" w:rsidR="00381A31" w:rsidP="00A93B6E" w:rsidRDefault="00381A31" w14:paraId="334921CA" w14:textId="77777777"/>
    <w:p w:rsidR="00F14A87" w:rsidP="00A93B6E" w:rsidRDefault="0098771D" w14:paraId="30D763A4" w14:textId="4EC4D049">
      <w:r>
        <w:t xml:space="preserve">Het voorspellen van de prijzen aan de pomp is </w:t>
      </w:r>
      <w:r w:rsidR="00CB5B11">
        <w:t>complex</w:t>
      </w:r>
      <w:r>
        <w:t xml:space="preserve"> door de onzekerheden over toekomstige ontwikkelingen. CE Delft heeft in opdracht van het ministerie en de RVO een onderzoek uitgevoerd naar de effecten van de verplichting die de RED</w:t>
      </w:r>
      <w:r w:rsidR="005C54A3">
        <w:t xml:space="preserve"> </w:t>
      </w:r>
      <w:r>
        <w:t xml:space="preserve">III oplegt aan brandstofleveranciers. Hernieuwbare brandstoffen zijn op dit moment duurder dan fossiele brandstoffen. </w:t>
      </w:r>
      <w:r w:rsidRPr="00354C6E" w:rsidR="00A93B6E">
        <w:t>De verplichting leidt</w:t>
      </w:r>
      <w:r w:rsidR="00F14A87">
        <w:t>, zoals de leden van de VVD-fractie aangeven,</w:t>
      </w:r>
      <w:r w:rsidRPr="00354C6E" w:rsidR="00A93B6E">
        <w:t xml:space="preserve"> tot een </w:t>
      </w:r>
      <w:r w:rsidRPr="00354C6E" w:rsidR="78731B04">
        <w:t>prijsstijging</w:t>
      </w:r>
      <w:r w:rsidRPr="00354C6E" w:rsidR="00A93B6E">
        <w:t xml:space="preserve"> aan de pomp</w:t>
      </w:r>
      <w:r w:rsidRPr="00354C6E" w:rsidR="78731B04">
        <w:t xml:space="preserve">. </w:t>
      </w:r>
      <w:r w:rsidR="00F33414">
        <w:t>Dat is onder meer beschreven in</w:t>
      </w:r>
      <w:r w:rsidR="00B25D45">
        <w:t xml:space="preserve"> de meest recente voortgangsbrief. </w:t>
      </w:r>
      <w:r w:rsidRPr="00354C6E" w:rsidR="00A93B6E">
        <w:t>Uit het onderzoek van CE-Delft blijkt dat de prijsstijgingen aan de pomp als gevolg van OPEC-landen die aan de oliekraan draaien</w:t>
      </w:r>
      <w:r w:rsidR="002B0DBD">
        <w:t>,</w:t>
      </w:r>
      <w:r w:rsidRPr="00354C6E" w:rsidR="00A93B6E">
        <w:t xml:space="preserve"> groter zijn. </w:t>
      </w:r>
      <w:r w:rsidR="00FF37A7">
        <w:t xml:space="preserve">De ontwikkelingen van de brandstofprijzen worden gemonitord. </w:t>
      </w:r>
      <w:r w:rsidRPr="00354C6E" w:rsidDel="00FF37A7" w:rsidR="00A93B6E">
        <w:t>Door meer hernieuwbare energie te gebruiken wordt Nederland minder afhankelijk van deze landen.</w:t>
      </w:r>
    </w:p>
    <w:p w:rsidR="00FF37A7" w:rsidP="00A93B6E" w:rsidRDefault="00FF37A7" w14:paraId="37646843" w14:textId="77777777"/>
    <w:p w:rsidR="00A93B6E" w:rsidP="00A93B6E" w:rsidRDefault="00F14A87" w14:paraId="55756F33" w14:textId="4BD5A57B">
      <w:r>
        <w:t>Aanvullend</w:t>
      </w:r>
      <w:r w:rsidRPr="00354C6E" w:rsidR="00A93B6E">
        <w:t xml:space="preserve"> op het onderzoek </w:t>
      </w:r>
      <w:r>
        <w:t xml:space="preserve">heeft CE Delft </w:t>
      </w:r>
      <w:r w:rsidRPr="00354C6E" w:rsidR="00A93B6E">
        <w:t>een rekenmodel ontwikkel</w:t>
      </w:r>
      <w:r w:rsidR="00F33414">
        <w:t>d</w:t>
      </w:r>
      <w:r>
        <w:t>,</w:t>
      </w:r>
      <w:r w:rsidR="0098771D">
        <w:t xml:space="preserve"> </w:t>
      </w:r>
      <w:r w:rsidRPr="00354C6E" w:rsidR="00A93B6E">
        <w:t xml:space="preserve">zodat </w:t>
      </w:r>
      <w:r>
        <w:t>de</w:t>
      </w:r>
      <w:r w:rsidRPr="00354C6E" w:rsidR="00A93B6E">
        <w:t xml:space="preserve"> RVO in de toekomst ontwikkelingen en veranderende beleidskeuzes kan doorberekenen.</w:t>
      </w:r>
      <w:r w:rsidR="001069B6">
        <w:t xml:space="preserve"> </w:t>
      </w:r>
      <w:r w:rsidR="00B25D45">
        <w:t>Dit kan dus inderdaad gebruikt worden bij toekomstige aanpassingen van de brandstoftransitieverplichtingen.</w:t>
      </w:r>
    </w:p>
    <w:p w:rsidRPr="00354C6E" w:rsidR="00A93B6E" w:rsidDel="00E02482" w:rsidP="00A93B6E" w:rsidRDefault="00A93B6E" w14:paraId="79E1B135" w14:textId="1B739668"/>
    <w:p w:rsidRPr="00856AB5" w:rsidR="00A93B6E" w:rsidP="00DA17EA" w:rsidRDefault="00856AB5" w14:paraId="71C8051B" w14:textId="041E0894">
      <w:pPr>
        <w:pStyle w:val="ListParagraph"/>
        <w:numPr>
          <w:ilvl w:val="0"/>
          <w:numId w:val="25"/>
        </w:numPr>
        <w:ind w:left="360"/>
        <w:rPr>
          <w:b/>
          <w:bCs/>
          <w:lang w:val="en-US"/>
        </w:rPr>
      </w:pPr>
      <w:r w:rsidRPr="00856AB5">
        <w:rPr>
          <w:rFonts w:eastAsia="Times New Roman" w:cs="Times New Roman"/>
          <w:b/>
          <w:bCs/>
          <w:lang w:val="en-US"/>
        </w:rPr>
        <w:t>Renewable fuels of non-biological origin</w:t>
      </w:r>
      <w:r>
        <w:rPr>
          <w:rFonts w:eastAsia="Times New Roman" w:cs="Times New Roman"/>
          <w:b/>
          <w:bCs/>
          <w:lang w:val="en-US"/>
        </w:rPr>
        <w:t xml:space="preserve"> (</w:t>
      </w:r>
      <w:r w:rsidRPr="00856AB5" w:rsidR="00DA17EA">
        <w:rPr>
          <w:b/>
          <w:bCs/>
          <w:lang w:val="en-US"/>
        </w:rPr>
        <w:t>RFNBO’s</w:t>
      </w:r>
      <w:r>
        <w:rPr>
          <w:b/>
          <w:bCs/>
          <w:lang w:val="en-US"/>
        </w:rPr>
        <w:t>)</w:t>
      </w:r>
    </w:p>
    <w:p w:rsidRPr="00856AB5" w:rsidR="005C54A3" w:rsidDel="00E02482" w:rsidP="005C54A3" w:rsidRDefault="005C54A3" w14:paraId="332B235C" w14:textId="77777777">
      <w:pPr>
        <w:pStyle w:val="ListParagraph"/>
        <w:ind w:left="360"/>
        <w:rPr>
          <w:b/>
          <w:bCs/>
          <w:lang w:val="en-US"/>
        </w:rPr>
      </w:pPr>
    </w:p>
    <w:p w:rsidRPr="00354C6E" w:rsidR="00E72640" w:rsidDel="00E02482" w:rsidP="00DA17EA" w:rsidRDefault="00DA17EA" w14:paraId="4FC4785A" w14:textId="31EC3D60">
      <w:pPr>
        <w:pStyle w:val="ListParagraph"/>
        <w:numPr>
          <w:ilvl w:val="0"/>
          <w:numId w:val="26"/>
        </w:numPr>
        <w:rPr>
          <w:i/>
          <w:iCs/>
        </w:rPr>
      </w:pPr>
      <w:r w:rsidRPr="00DA17EA">
        <w:rPr>
          <w:i/>
          <w:iCs/>
        </w:rPr>
        <w:t>De</w:t>
      </w:r>
      <w:r>
        <w:rPr>
          <w:i/>
          <w:iCs/>
        </w:rPr>
        <w:t xml:space="preserve"> </w:t>
      </w:r>
      <w:r w:rsidRPr="00DA17EA">
        <w:rPr>
          <w:i/>
          <w:iCs/>
        </w:rPr>
        <w:t xml:space="preserve">leden </w:t>
      </w:r>
      <w:r>
        <w:rPr>
          <w:i/>
          <w:iCs/>
        </w:rPr>
        <w:t xml:space="preserve">van de ChristenUnie </w:t>
      </w:r>
      <w:r w:rsidRPr="00DA17EA">
        <w:rPr>
          <w:i/>
          <w:iCs/>
        </w:rPr>
        <w:t>vragen op basis waarvan de staatssecretaris heeft gekozen voor een verhoging van het aantal PJ van 4 naar 7,5. Ziet de staatssecretaris mogelijkheid om de verhoging van 4 PJ naar 7,5 PJ verder door te trekken, om meer zekerheid te creëren in voldoende vraag en, in lijn met het principe van vraagcreatie, ook het aanbod van groene waterstof? Kan de staatssecretaris in dit kader ook een update geven over de uitvoering van de motie-Grinwis c.s. (Kamerstuk 31239, nr. 409) die de regering verzoekt om in Europees verband en in de verdere uitwerking van de Clean Industrial Deal te pleiten voor stimulering van de vraagkant, onder meer met normen die het gebruik van hernieuwbare waterstof verderop in de keten bevorderen?</w:t>
      </w:r>
    </w:p>
    <w:p w:rsidR="00DA17EA" w:rsidP="00DA17EA" w:rsidRDefault="00DA17EA" w14:paraId="1D6E6FAC" w14:textId="77777777">
      <w:pPr>
        <w:rPr>
          <w:i/>
          <w:iCs/>
        </w:rPr>
      </w:pPr>
    </w:p>
    <w:p w:rsidR="00DA17EA" w:rsidP="00DA17EA" w:rsidRDefault="00DA17EA" w14:paraId="5AF17521" w14:textId="7D6A6EFB">
      <w:r w:rsidRPr="00DA17EA">
        <w:t xml:space="preserve">De verhoging van 4 naar 7,5 </w:t>
      </w:r>
      <w:r w:rsidR="005C54A3">
        <w:t xml:space="preserve">PJ </w:t>
      </w:r>
      <w:r w:rsidR="001E1F43">
        <w:t>is</w:t>
      </w:r>
      <w:r>
        <w:t xml:space="preserve"> voorgesteld op basis van het onderzoek van TNO, waarin is berekend wat de impact op de prijs aan de pomp is van verschillende hoogtes van de subverplichting bij verschillende correctiefactoren. </w:t>
      </w:r>
      <w:r w:rsidR="0061067E">
        <w:t xml:space="preserve">Het ministerie heeft in samenspraak met het ministerie van Klimaat en Groene Groei, gezien </w:t>
      </w:r>
      <w:r>
        <w:t>het voorstel om de correctiefactor vast te stellen op 1,0</w:t>
      </w:r>
      <w:r w:rsidR="005C54A3">
        <w:t xml:space="preserve"> voor RFNBO’s in de raffinage</w:t>
      </w:r>
      <w:r w:rsidR="0061067E">
        <w:t xml:space="preserve">, </w:t>
      </w:r>
      <w:r>
        <w:t xml:space="preserve">bezien welke hoogte voor het subdoel een goede balans biedt tussen stimulering van hernieuwbare waterstofproductie en de impact op de prijs aan de pomp. Dit voorstel leidt tot een gelijke prijsverhoging aan de pomp als het eerdere voorstel van een correctiefactor 0,4 en biedt ruimte voor de t/m 2030 voorziene elektrolyseprojecten. Verdere verhoging zou leiden tot hogere kosten aan de pomp. </w:t>
      </w:r>
    </w:p>
    <w:p w:rsidR="005A0DEF" w:rsidP="00DA17EA" w:rsidRDefault="005A0DEF" w14:paraId="75560E9A" w14:textId="77777777"/>
    <w:p w:rsidRPr="00DA17EA" w:rsidR="005A0DEF" w:rsidP="00DA17EA" w:rsidRDefault="005A0DEF" w14:paraId="6BA295D8" w14:textId="77777777"/>
    <w:p w:rsidRPr="00354C6E" w:rsidR="00E72640" w:rsidP="00E72640" w:rsidRDefault="00E72640" w14:paraId="023E85F9" w14:textId="77777777"/>
    <w:p w:rsidRPr="00354C6E" w:rsidR="00A04E5C" w:rsidP="00DB3069" w:rsidRDefault="005C54A3" w14:paraId="769CDCD9" w14:textId="4339453F">
      <w:pPr>
        <w:pStyle w:val="ListParagraph"/>
        <w:numPr>
          <w:ilvl w:val="0"/>
          <w:numId w:val="25"/>
        </w:numPr>
        <w:ind w:left="360"/>
        <w:rPr>
          <w:b/>
          <w:bCs/>
        </w:rPr>
      </w:pPr>
      <w:r>
        <w:rPr>
          <w:b/>
          <w:bCs/>
        </w:rPr>
        <w:t>Overige o</w:t>
      </w:r>
      <w:r w:rsidRPr="00354C6E" w:rsidR="00CC33FB">
        <w:rPr>
          <w:b/>
          <w:bCs/>
        </w:rPr>
        <w:t>nderwerpen</w:t>
      </w:r>
    </w:p>
    <w:p w:rsidRPr="00354C6E" w:rsidR="00DB3069" w:rsidP="00CC33FB" w:rsidRDefault="00DB3069" w14:paraId="63B42A9E" w14:textId="77777777">
      <w:pPr>
        <w:rPr>
          <w:i/>
          <w:iCs/>
        </w:rPr>
      </w:pPr>
    </w:p>
    <w:p w:rsidRPr="00354C6E" w:rsidR="00CC33FB" w:rsidP="00CC33FB" w:rsidRDefault="00CC33FB" w14:paraId="70B096AA" w14:textId="0783BB46">
      <w:pPr>
        <w:rPr>
          <w:u w:val="single"/>
        </w:rPr>
      </w:pPr>
      <w:r w:rsidRPr="00354C6E">
        <w:rPr>
          <w:u w:val="single"/>
        </w:rPr>
        <w:t>Het verlengen van de brandstoftransitieverplichting tot 2040</w:t>
      </w:r>
    </w:p>
    <w:p w:rsidRPr="00354C6E" w:rsidR="00381A31" w:rsidP="00381A31" w:rsidRDefault="00381A31" w14:paraId="3745EC69" w14:textId="77777777">
      <w:pPr>
        <w:pStyle w:val="ListParagraph"/>
        <w:rPr>
          <w:i/>
          <w:iCs/>
        </w:rPr>
      </w:pPr>
    </w:p>
    <w:p w:rsidRPr="00354C6E" w:rsidR="008F4C24" w:rsidP="00DB3069" w:rsidRDefault="008F4C24" w14:paraId="098763B9" w14:textId="581BA2EB">
      <w:pPr>
        <w:pStyle w:val="ListParagraph"/>
        <w:numPr>
          <w:ilvl w:val="0"/>
          <w:numId w:val="26"/>
        </w:numPr>
        <w:rPr>
          <w:i/>
          <w:iCs/>
        </w:rPr>
      </w:pPr>
      <w:r w:rsidRPr="00354C6E">
        <w:rPr>
          <w:i/>
          <w:iCs/>
        </w:rPr>
        <w:t xml:space="preserve">De leden van de VVD-fractie hechten aan investeringszekerheid voor producenten van hernieuwbare brandstoffen. Veel projecten vergen langdurige voorbereiding en een lange terugverdientijd, en vragen om voorspelbaar en geloofwaardig overheidsbeleid. In het commissiedebat Duurzaam vervoer van 22 april 2025 gaf de staatssecretaris aan te verkennen of de brandstofverplichtingen kunnen worden doorgetrokken tot 2040. Deze leden vragen de staatssecretaris wat de uitkomsten uit deze verkenning zijn. </w:t>
      </w:r>
    </w:p>
    <w:p w:rsidRPr="00354C6E" w:rsidR="008F4C24" w:rsidP="008F4C24" w:rsidRDefault="008F4C24" w14:paraId="46D7C386" w14:textId="77777777">
      <w:pPr>
        <w:pStyle w:val="ListParagraph"/>
        <w:numPr>
          <w:ilvl w:val="0"/>
          <w:numId w:val="26"/>
        </w:numPr>
        <w:rPr>
          <w:i/>
          <w:iCs/>
        </w:rPr>
      </w:pPr>
      <w:r w:rsidRPr="00354C6E">
        <w:rPr>
          <w:i/>
          <w:iCs/>
        </w:rPr>
        <w:t xml:space="preserve">De leden van de VVD-fractie stellen dat net zoals eerder een tijdelijke verhoging van de jaarverplichting is ingevoerd om een terugval in de inzet van hernieuwbare brandstoffen te voorkomen, nu al overwogen zou kunnen worden om – vooruitlopend op een eventueel nieuwe Europese richtlijn (zoals RED IV) – de jaarverplichting ook na 2030 op niveau te houden. Duitsland heeft recentelijk al een voorstel gepresenteerd voor een groeipad tot 2038. Het doortrekken van de verplichting na 2030 voorkomt een beleidsmatige kloof, biedt de markt tijdig duidelijkheid over de verwachte beleidsrichting, draagt bij aan energie-onafhankelijkheid en versterking van de nationale productiecapaciteit. Deze leden vragen de staatssecretaris of hij het hiermee eens is. </w:t>
      </w:r>
    </w:p>
    <w:p w:rsidRPr="00354C6E" w:rsidR="008F4C24" w:rsidP="008F4C24" w:rsidRDefault="008F4C24" w14:paraId="42F51807" w14:textId="77777777">
      <w:pPr>
        <w:pStyle w:val="ListParagraph"/>
        <w:numPr>
          <w:ilvl w:val="0"/>
          <w:numId w:val="26"/>
        </w:numPr>
        <w:rPr>
          <w:i/>
          <w:iCs/>
        </w:rPr>
      </w:pPr>
      <w:r w:rsidRPr="00354C6E">
        <w:rPr>
          <w:i/>
          <w:iCs/>
        </w:rPr>
        <w:t>De leden van de VVD-fractie vragen of de staatssecretaris bereid is om in het kader van het Besluit energie vervoer al een indicatieve doorkijk op te nemen richting de periode na 2030, bijvoorbeeld in de vorm van groeipaden voor 2035 en 2040. Kan de staatssecretaris daarbij ook toelichten hoe andere lidstaten omgaan met het bieden van langetermijnzekerheid, en of het wenselijk is dat Nederland daarbij aansluit?</w:t>
      </w:r>
    </w:p>
    <w:p w:rsidRPr="00354C6E" w:rsidR="00381A31" w:rsidP="008F4C24" w:rsidRDefault="00381A31" w14:paraId="4A11B686" w14:textId="77777777">
      <w:pPr>
        <w:rPr>
          <w:rFonts w:eastAsia="Times New Roman" w:cs="Times New Roman"/>
        </w:rPr>
      </w:pPr>
    </w:p>
    <w:p w:rsidR="004F6533" w:rsidP="008F4C24" w:rsidRDefault="00CC33FB" w14:paraId="19889840" w14:textId="77777777">
      <w:pPr>
        <w:rPr>
          <w:rFonts w:eastAsia="Times New Roman" w:cs="Times New Roman"/>
        </w:rPr>
      </w:pPr>
      <w:r w:rsidRPr="00354C6E">
        <w:rPr>
          <w:rFonts w:eastAsia="Times New Roman" w:cs="Times New Roman"/>
        </w:rPr>
        <w:t xml:space="preserve">Inmiddels is duidelijk geworden dat Frankrijk en Duitsland de verplichtingen op brandstofleveranciers aan de weg- en scheepvaartsectoren doortrekken tot respectievelijk 2035 </w:t>
      </w:r>
      <w:r w:rsidR="00302EC3">
        <w:rPr>
          <w:rFonts w:eastAsia="Times New Roman" w:cs="Times New Roman"/>
        </w:rPr>
        <w:t>en</w:t>
      </w:r>
      <w:r w:rsidRPr="00354C6E">
        <w:rPr>
          <w:rFonts w:eastAsia="Times New Roman" w:cs="Times New Roman"/>
        </w:rPr>
        <w:t xml:space="preserve"> 2040. Om investeringszekerheid te bieden verken</w:t>
      </w:r>
      <w:r w:rsidR="0061067E">
        <w:rPr>
          <w:rFonts w:eastAsia="Times New Roman" w:cs="Times New Roman"/>
        </w:rPr>
        <w:t>t het ministerie</w:t>
      </w:r>
      <w:r w:rsidRPr="00354C6E" w:rsidDel="0061067E">
        <w:rPr>
          <w:rFonts w:eastAsia="Times New Roman" w:cs="Times New Roman"/>
        </w:rPr>
        <w:t xml:space="preserve"> </w:t>
      </w:r>
      <w:r w:rsidRPr="00354C6E">
        <w:rPr>
          <w:rFonts w:eastAsia="Times New Roman" w:cs="Times New Roman"/>
        </w:rPr>
        <w:t xml:space="preserve">de mogelijkheden </w:t>
      </w:r>
      <w:r w:rsidR="004F6533">
        <w:rPr>
          <w:rFonts w:eastAsia="Times New Roman" w:cs="Times New Roman"/>
        </w:rPr>
        <w:t>van een verlenging</w:t>
      </w:r>
      <w:r w:rsidRPr="00354C6E">
        <w:rPr>
          <w:rFonts w:eastAsia="Times New Roman" w:cs="Times New Roman"/>
        </w:rPr>
        <w:t xml:space="preserve">. </w:t>
      </w:r>
      <w:r w:rsidR="0061067E">
        <w:rPr>
          <w:rFonts w:eastAsia="Times New Roman" w:cs="Times New Roman"/>
        </w:rPr>
        <w:t>D</w:t>
      </w:r>
      <w:r w:rsidRPr="00354C6E">
        <w:rPr>
          <w:rFonts w:eastAsia="Times New Roman" w:cs="Times New Roman"/>
        </w:rPr>
        <w:t xml:space="preserve">e RVO </w:t>
      </w:r>
      <w:r w:rsidR="0061067E">
        <w:rPr>
          <w:rFonts w:eastAsia="Times New Roman" w:cs="Times New Roman"/>
        </w:rPr>
        <w:t xml:space="preserve">is </w:t>
      </w:r>
      <w:r w:rsidRPr="00354C6E">
        <w:rPr>
          <w:rFonts w:eastAsia="Times New Roman" w:cs="Times New Roman"/>
        </w:rPr>
        <w:t xml:space="preserve">gevraagd om scenario's met groeipaden te analyseren voor een verlenging van de brandstoftransitieverplichting tot en met 2040. </w:t>
      </w:r>
      <w:r w:rsidR="0061067E">
        <w:rPr>
          <w:rFonts w:eastAsia="Times New Roman" w:cs="Times New Roman"/>
        </w:rPr>
        <w:t>D</w:t>
      </w:r>
      <w:r w:rsidRPr="00354C6E">
        <w:rPr>
          <w:rFonts w:eastAsia="Times New Roman" w:cs="Times New Roman"/>
        </w:rPr>
        <w:t xml:space="preserve">eze verkenning </w:t>
      </w:r>
      <w:r w:rsidR="0061067E">
        <w:rPr>
          <w:rFonts w:eastAsia="Times New Roman" w:cs="Times New Roman"/>
        </w:rPr>
        <w:t>zal naar verwachting dit najaar afgerond worden</w:t>
      </w:r>
      <w:r w:rsidRPr="00354C6E">
        <w:rPr>
          <w:rFonts w:eastAsia="Times New Roman" w:cs="Times New Roman"/>
        </w:rPr>
        <w:t xml:space="preserve">, en </w:t>
      </w:r>
      <w:r w:rsidR="0061067E">
        <w:rPr>
          <w:rFonts w:eastAsia="Times New Roman" w:cs="Times New Roman"/>
        </w:rPr>
        <w:t>u</w:t>
      </w:r>
      <w:r w:rsidRPr="00354C6E">
        <w:rPr>
          <w:rFonts w:eastAsia="Times New Roman" w:cs="Times New Roman"/>
        </w:rPr>
        <w:t xml:space="preserve">w Kamer </w:t>
      </w:r>
      <w:r w:rsidR="0061067E">
        <w:rPr>
          <w:rFonts w:eastAsia="Times New Roman" w:cs="Times New Roman"/>
        </w:rPr>
        <w:t xml:space="preserve">zal </w:t>
      </w:r>
      <w:r w:rsidRPr="00354C6E">
        <w:rPr>
          <w:rFonts w:eastAsia="Times New Roman" w:cs="Times New Roman"/>
        </w:rPr>
        <w:t xml:space="preserve">daarna </w:t>
      </w:r>
      <w:r w:rsidR="0061067E">
        <w:rPr>
          <w:rFonts w:eastAsia="Times New Roman" w:cs="Times New Roman"/>
        </w:rPr>
        <w:t>geïnformeerd worden</w:t>
      </w:r>
      <w:r w:rsidRPr="00354C6E">
        <w:rPr>
          <w:rFonts w:eastAsia="Times New Roman" w:cs="Times New Roman"/>
        </w:rPr>
        <w:t xml:space="preserve">. </w:t>
      </w:r>
    </w:p>
    <w:p w:rsidR="004F6533" w:rsidP="008F4C24" w:rsidRDefault="004F6533" w14:paraId="11134473" w14:textId="77777777">
      <w:pPr>
        <w:rPr>
          <w:rFonts w:eastAsia="Times New Roman" w:cs="Times New Roman"/>
        </w:rPr>
      </w:pPr>
    </w:p>
    <w:p w:rsidR="00CC33FB" w:rsidP="008F4C24" w:rsidRDefault="00CC33FB" w14:paraId="4190E6BA" w14:textId="5132409C">
      <w:pPr>
        <w:rPr>
          <w:rFonts w:eastAsia="Times New Roman" w:cs="Times New Roman"/>
        </w:rPr>
      </w:pPr>
      <w:r w:rsidRPr="00354C6E">
        <w:rPr>
          <w:rFonts w:eastAsia="Times New Roman" w:cs="Times New Roman"/>
        </w:rPr>
        <w:t xml:space="preserve">Deze verlenging wordt niet meegenomen in deze implementatie, omdat deze implementatie al op 1 januari </w:t>
      </w:r>
      <w:r w:rsidR="00C91C05">
        <w:rPr>
          <w:rFonts w:eastAsia="Times New Roman" w:cs="Times New Roman"/>
        </w:rPr>
        <w:t>2026</w:t>
      </w:r>
      <w:r w:rsidRPr="00354C6E">
        <w:rPr>
          <w:rFonts w:eastAsia="Times New Roman" w:cs="Times New Roman"/>
        </w:rPr>
        <w:t xml:space="preserve"> in werking moet treden. Er is meer tijd nodig om de verlenging voor te bereiden.</w:t>
      </w:r>
      <w:r w:rsidRPr="00354C6E" w:rsidR="00254FEC">
        <w:rPr>
          <w:rFonts w:eastAsia="Times New Roman" w:cs="Times New Roman"/>
        </w:rPr>
        <w:t xml:space="preserve"> Het is belangrijk dat </w:t>
      </w:r>
      <w:r w:rsidR="0061067E">
        <w:rPr>
          <w:rFonts w:eastAsia="Times New Roman" w:cs="Times New Roman"/>
        </w:rPr>
        <w:t>de</w:t>
      </w:r>
      <w:r w:rsidRPr="00354C6E" w:rsidR="0061067E">
        <w:rPr>
          <w:rFonts w:eastAsia="Times New Roman" w:cs="Times New Roman"/>
        </w:rPr>
        <w:t xml:space="preserve"> </w:t>
      </w:r>
      <w:r w:rsidRPr="00354C6E" w:rsidR="00254FEC">
        <w:rPr>
          <w:rFonts w:eastAsia="Times New Roman" w:cs="Times New Roman"/>
        </w:rPr>
        <w:t xml:space="preserve">besluitvorming over het doortrekken van de brandstoftransitieverplichting zorgvuldig </w:t>
      </w:r>
      <w:r w:rsidR="0061067E">
        <w:rPr>
          <w:rFonts w:eastAsia="Times New Roman" w:cs="Times New Roman"/>
        </w:rPr>
        <w:t xml:space="preserve">wordt </w:t>
      </w:r>
      <w:r w:rsidRPr="00354C6E" w:rsidDel="0061067E" w:rsidR="00254FEC">
        <w:rPr>
          <w:rFonts w:eastAsia="Times New Roman" w:cs="Times New Roman"/>
        </w:rPr>
        <w:t>voorbereid</w:t>
      </w:r>
      <w:r w:rsidRPr="00354C6E" w:rsidR="00254FEC">
        <w:rPr>
          <w:rFonts w:eastAsia="Times New Roman" w:cs="Times New Roman"/>
        </w:rPr>
        <w:t>, juist ook om voldoende zekerheid te geven aan investerende partijen. Als</w:t>
      </w:r>
      <w:r w:rsidRPr="00354C6E" w:rsidDel="0061067E" w:rsidR="00254FEC">
        <w:rPr>
          <w:rFonts w:eastAsia="Times New Roman" w:cs="Times New Roman"/>
        </w:rPr>
        <w:t xml:space="preserve"> </w:t>
      </w:r>
      <w:r w:rsidR="005C54A3">
        <w:rPr>
          <w:rFonts w:eastAsia="Times New Roman" w:cs="Times New Roman"/>
        </w:rPr>
        <w:t xml:space="preserve">nu </w:t>
      </w:r>
      <w:r w:rsidRPr="00354C6E" w:rsidR="00254FEC">
        <w:rPr>
          <w:rFonts w:eastAsia="Times New Roman" w:cs="Times New Roman"/>
        </w:rPr>
        <w:t xml:space="preserve">een indicatief doel </w:t>
      </w:r>
      <w:r w:rsidR="0061067E">
        <w:rPr>
          <w:rFonts w:eastAsia="Times New Roman" w:cs="Times New Roman"/>
        </w:rPr>
        <w:t>wordt opgenomen</w:t>
      </w:r>
      <w:r w:rsidRPr="00354C6E" w:rsidR="0061067E">
        <w:rPr>
          <w:rFonts w:eastAsia="Times New Roman" w:cs="Times New Roman"/>
        </w:rPr>
        <w:t xml:space="preserve"> </w:t>
      </w:r>
      <w:r w:rsidRPr="00354C6E" w:rsidR="00254FEC">
        <w:rPr>
          <w:rFonts w:eastAsia="Times New Roman" w:cs="Times New Roman"/>
        </w:rPr>
        <w:t xml:space="preserve">in het Besluit </w:t>
      </w:r>
      <w:r w:rsidR="005C54A3">
        <w:rPr>
          <w:rFonts w:eastAsia="Times New Roman" w:cs="Times New Roman"/>
        </w:rPr>
        <w:t xml:space="preserve">energie vervoer </w:t>
      </w:r>
      <w:r w:rsidRPr="00354C6E" w:rsidR="00254FEC">
        <w:rPr>
          <w:rFonts w:eastAsia="Times New Roman" w:cs="Times New Roman"/>
        </w:rPr>
        <w:t xml:space="preserve">dat volgend jaar </w:t>
      </w:r>
      <w:r w:rsidR="005C54A3">
        <w:rPr>
          <w:rFonts w:eastAsia="Times New Roman" w:cs="Times New Roman"/>
        </w:rPr>
        <w:t>opnieuw zou moeten</w:t>
      </w:r>
      <w:r w:rsidRPr="00354C6E" w:rsidR="00254FEC">
        <w:rPr>
          <w:rFonts w:eastAsia="Times New Roman" w:cs="Times New Roman"/>
        </w:rPr>
        <w:t xml:space="preserve"> </w:t>
      </w:r>
      <w:r w:rsidR="0061067E">
        <w:rPr>
          <w:rFonts w:eastAsia="Times New Roman" w:cs="Times New Roman"/>
        </w:rPr>
        <w:t>word</w:t>
      </w:r>
      <w:r w:rsidR="005C54A3">
        <w:rPr>
          <w:rFonts w:eastAsia="Times New Roman" w:cs="Times New Roman"/>
        </w:rPr>
        <w:t>en</w:t>
      </w:r>
      <w:r w:rsidR="0061067E">
        <w:rPr>
          <w:rFonts w:eastAsia="Times New Roman" w:cs="Times New Roman"/>
        </w:rPr>
        <w:t xml:space="preserve"> aangepast</w:t>
      </w:r>
      <w:r w:rsidRPr="00354C6E" w:rsidR="00254FEC">
        <w:rPr>
          <w:rFonts w:eastAsia="Times New Roman" w:cs="Times New Roman"/>
        </w:rPr>
        <w:t xml:space="preserve">, </w:t>
      </w:r>
      <w:r w:rsidR="0061067E">
        <w:rPr>
          <w:rFonts w:eastAsia="Times New Roman" w:cs="Times New Roman"/>
        </w:rPr>
        <w:t xml:space="preserve">dan </w:t>
      </w:r>
      <w:r w:rsidRPr="00354C6E" w:rsidR="00254FEC">
        <w:rPr>
          <w:rFonts w:eastAsia="Times New Roman" w:cs="Times New Roman"/>
        </w:rPr>
        <w:t xml:space="preserve">kan geen bedrijf daarop een business case baseren. </w:t>
      </w:r>
      <w:r w:rsidR="0061067E">
        <w:rPr>
          <w:rFonts w:eastAsia="Times New Roman" w:cs="Times New Roman"/>
        </w:rPr>
        <w:t>D</w:t>
      </w:r>
      <w:r w:rsidRPr="00354C6E" w:rsidR="00254FEC">
        <w:rPr>
          <w:rFonts w:eastAsia="Times New Roman" w:cs="Times New Roman"/>
        </w:rPr>
        <w:t xml:space="preserve">e voorkeur </w:t>
      </w:r>
      <w:r w:rsidR="0061067E">
        <w:rPr>
          <w:rFonts w:eastAsia="Times New Roman" w:cs="Times New Roman"/>
        </w:rPr>
        <w:t xml:space="preserve">heeft daarom </w:t>
      </w:r>
      <w:r w:rsidRPr="00354C6E" w:rsidR="00254FEC">
        <w:rPr>
          <w:rFonts w:eastAsia="Times New Roman" w:cs="Times New Roman"/>
        </w:rPr>
        <w:t xml:space="preserve">om zo snel mogelijk volgend jaar </w:t>
      </w:r>
      <w:r w:rsidR="00C91C05">
        <w:rPr>
          <w:rFonts w:eastAsia="Times New Roman" w:cs="Times New Roman"/>
        </w:rPr>
        <w:t xml:space="preserve">de besluitvorming te laten plaatsvinden over het doortrekken van </w:t>
      </w:r>
      <w:r w:rsidRPr="00354C6E" w:rsidR="00254FEC">
        <w:rPr>
          <w:rFonts w:eastAsia="Times New Roman" w:cs="Times New Roman"/>
        </w:rPr>
        <w:t>de brandstoftransitieverplichting tot 2040.</w:t>
      </w:r>
    </w:p>
    <w:p w:rsidR="005A0DEF" w:rsidP="008F4C24" w:rsidRDefault="005A0DEF" w14:paraId="6A8BBA39" w14:textId="77777777">
      <w:pPr>
        <w:rPr>
          <w:rFonts w:eastAsia="Times New Roman" w:cs="Times New Roman"/>
        </w:rPr>
      </w:pPr>
    </w:p>
    <w:p w:rsidRPr="00354C6E" w:rsidR="005A0DEF" w:rsidP="008F4C24" w:rsidRDefault="005A0DEF" w14:paraId="35D17E81" w14:textId="77777777">
      <w:pPr>
        <w:rPr>
          <w:i/>
          <w:iCs/>
        </w:rPr>
      </w:pPr>
    </w:p>
    <w:p w:rsidRPr="00354C6E" w:rsidR="00CC33FB" w:rsidP="00CC33FB" w:rsidRDefault="00CC33FB" w14:paraId="6337D9EF" w14:textId="77777777">
      <w:pPr>
        <w:rPr>
          <w:b/>
          <w:bCs/>
        </w:rPr>
      </w:pPr>
    </w:p>
    <w:p w:rsidRPr="00354C6E" w:rsidR="00254FEC" w:rsidP="00CC33FB" w:rsidRDefault="00254FEC" w14:paraId="4ECF84B3" w14:textId="45674714">
      <w:pPr>
        <w:rPr>
          <w:u w:val="single"/>
        </w:rPr>
      </w:pPr>
      <w:r w:rsidRPr="00354C6E">
        <w:rPr>
          <w:u w:val="single"/>
        </w:rPr>
        <w:t xml:space="preserve">Toegestane grondstoffen in de </w:t>
      </w:r>
      <w:r w:rsidR="00302EC3">
        <w:rPr>
          <w:u w:val="single"/>
        </w:rPr>
        <w:t>scheep- en</w:t>
      </w:r>
      <w:r w:rsidRPr="00354C6E">
        <w:rPr>
          <w:u w:val="single"/>
        </w:rPr>
        <w:t xml:space="preserve"> luchtvaartsector</w:t>
      </w:r>
    </w:p>
    <w:p w:rsidRPr="00354C6E" w:rsidR="00381A31" w:rsidP="00381A31" w:rsidRDefault="00381A31" w14:paraId="5DD985B0" w14:textId="77777777">
      <w:pPr>
        <w:pStyle w:val="ListParagraph"/>
        <w:rPr>
          <w:i/>
          <w:iCs/>
        </w:rPr>
      </w:pPr>
    </w:p>
    <w:p w:rsidRPr="00354C6E" w:rsidR="00087BCD" w:rsidP="00DB3069" w:rsidRDefault="00087BCD" w14:paraId="623C76D5" w14:textId="6CC2E455">
      <w:pPr>
        <w:pStyle w:val="ListParagraph"/>
        <w:numPr>
          <w:ilvl w:val="0"/>
          <w:numId w:val="26"/>
        </w:numPr>
        <w:rPr>
          <w:i/>
          <w:iCs/>
        </w:rPr>
      </w:pPr>
      <w:r w:rsidRPr="00354C6E">
        <w:rPr>
          <w:i/>
          <w:iCs/>
        </w:rPr>
        <w:t>De leden van de SGP-fractie horen graag hoe de keus om het gebruik van annex IXb-biobrandstoffen niet toe te staan in de scheepvaart zich verhoudt tot de keus om dit wel toe te staan in de luchtvaart</w:t>
      </w:r>
    </w:p>
    <w:p w:rsidRPr="00354C6E" w:rsidR="00381A31" w:rsidP="00564A6B" w:rsidRDefault="00381A31" w14:paraId="496C210C" w14:textId="77777777"/>
    <w:p w:rsidRPr="00354C6E" w:rsidR="00564A6B" w:rsidP="00564A6B" w:rsidRDefault="00254FEC" w14:paraId="21E583DC" w14:textId="17C1CF1C">
      <w:r w:rsidRPr="00354C6E">
        <w:t>Er komt</w:t>
      </w:r>
      <w:r w:rsidRPr="00354C6E" w:rsidDel="0061067E">
        <w:t xml:space="preserve"> </w:t>
      </w:r>
      <w:r w:rsidRPr="00354C6E">
        <w:t xml:space="preserve">geen </w:t>
      </w:r>
      <w:r w:rsidR="0038727C">
        <w:t xml:space="preserve">RED-gerelateerde </w:t>
      </w:r>
      <w:r w:rsidRPr="00354C6E">
        <w:t>brandstoftransitieverplichting voor geleverde brandstoffen aan de luchtvaartsector</w:t>
      </w:r>
      <w:r w:rsidRPr="00354C6E" w:rsidR="0038727C">
        <w:t xml:space="preserve">, omdat dit </w:t>
      </w:r>
      <w:r w:rsidR="0038727C">
        <w:t xml:space="preserve">al wordt gereguleerd door </w:t>
      </w:r>
      <w:r w:rsidRPr="00193B9C" w:rsidR="0038727C">
        <w:t>een aparte Europese verordening (ReFuelEU Aviation</w:t>
      </w:r>
      <w:r w:rsidR="0038727C">
        <w:t xml:space="preserve">; </w:t>
      </w:r>
      <w:r w:rsidRPr="000B4A4F" w:rsidR="0038727C">
        <w:rPr>
          <w:i/>
          <w:iCs/>
        </w:rPr>
        <w:t>lex specialis</w:t>
      </w:r>
      <w:r w:rsidR="0038727C">
        <w:rPr>
          <w:i/>
          <w:iCs/>
        </w:rPr>
        <w:t xml:space="preserve"> </w:t>
      </w:r>
      <w:r w:rsidRPr="000B4A4F" w:rsidR="0038727C">
        <w:t>ten opzichte van de RED III</w:t>
      </w:r>
      <w:r w:rsidR="0038727C">
        <w:t>).</w:t>
      </w:r>
    </w:p>
    <w:p w:rsidRPr="00354C6E" w:rsidR="00564A6B" w:rsidP="00564A6B" w:rsidRDefault="00564A6B" w14:paraId="47EF2A1E" w14:textId="2774D41A">
      <w:r w:rsidRPr="00354C6E">
        <w:t xml:space="preserve">In </w:t>
      </w:r>
      <w:r w:rsidR="00302EC3">
        <w:t>zowel de luchtvaart- als scheepvaartsector</w:t>
      </w:r>
      <w:r w:rsidRPr="00354C6E">
        <w:t xml:space="preserve"> blijft het gebruik van </w:t>
      </w:r>
      <w:r w:rsidR="00302EC3">
        <w:t>Annex IXb</w:t>
      </w:r>
      <w:r w:rsidRPr="00354C6E">
        <w:t xml:space="preserve"> grondstoffen toegestaan. </w:t>
      </w:r>
      <w:r w:rsidR="00302EC3">
        <w:t>Echter, d</w:t>
      </w:r>
      <w:r w:rsidRPr="00354C6E">
        <w:t>oor de limiet op Annex IX</w:t>
      </w:r>
      <w:r w:rsidR="00302EC3">
        <w:t>b</w:t>
      </w:r>
      <w:r w:rsidRPr="00354C6E">
        <w:t>-grondstoffen is er nationaal voor gekozen om dit niet inboekbaar te maken (d.w.z. mee te laten tellen voor de invulling van de brandstoftransitieverplichting) voor de zeevaart. Omdat er geen verplichting komt voor luchtvaart zullen deze grondstoffen ook daar niet inboekbaar zijn</w:t>
      </w:r>
      <w:r w:rsidR="00302EC3">
        <w:t xml:space="preserve"> (maar dus wel worden toegestaan)</w:t>
      </w:r>
      <w:r w:rsidRPr="00354C6E">
        <w:t>.</w:t>
      </w:r>
    </w:p>
    <w:p w:rsidR="004B3D6C" w:rsidP="00D2661E" w:rsidRDefault="004B3D6C" w14:paraId="3F43D21C" w14:textId="77777777">
      <w:pPr>
        <w:pStyle w:val="Slotzin"/>
      </w:pPr>
    </w:p>
    <w:p w:rsidRPr="00354C6E" w:rsidR="006E085A" w:rsidP="00D2661E" w:rsidRDefault="005C496A" w14:paraId="20D5D6D3" w14:textId="03BE86BE">
      <w:pPr>
        <w:pStyle w:val="Slotzin"/>
      </w:pPr>
      <w:r w:rsidRPr="00354C6E">
        <w:t>Hoogachtend,</w:t>
      </w:r>
    </w:p>
    <w:p w:rsidRPr="00354C6E" w:rsidR="006E085A" w:rsidRDefault="005C496A" w14:paraId="469F2BDA" w14:textId="77777777">
      <w:pPr>
        <w:pStyle w:val="OndertekeningArea1"/>
      </w:pPr>
      <w:r w:rsidRPr="00354C6E">
        <w:t>DE STAATSSECRETARIS VAN INFRASTRUCTUUR EN WATERSTAAT - OPENBAAR VERVOER EN MILIEU,</w:t>
      </w:r>
    </w:p>
    <w:p w:rsidRPr="00354C6E" w:rsidR="006E085A" w:rsidRDefault="006E085A" w14:paraId="636223CF" w14:textId="77777777"/>
    <w:p w:rsidRPr="00354C6E" w:rsidR="006E085A" w:rsidRDefault="006E085A" w14:paraId="47049F54" w14:textId="77777777"/>
    <w:p w:rsidRPr="00354C6E" w:rsidR="006E085A" w:rsidRDefault="006E085A" w14:paraId="17613F45" w14:textId="77777777"/>
    <w:p w:rsidR="006E085A" w:rsidRDefault="006E085A" w14:paraId="08C5072C" w14:textId="77777777"/>
    <w:p w:rsidRPr="00354C6E" w:rsidR="0038727C" w:rsidRDefault="0038727C" w14:paraId="0D2C655F" w14:textId="77777777"/>
    <w:p w:rsidRPr="00354C6E" w:rsidR="006E085A" w:rsidRDefault="005C496A" w14:paraId="09B0D2F1" w14:textId="77777777">
      <w:r w:rsidRPr="00354C6E">
        <w:t>A.A. (Thierry) Aartsen</w:t>
      </w:r>
    </w:p>
    <w:sectPr w:rsidRPr="00354C6E" w:rsidR="006E085A">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A6AFA" w14:textId="77777777" w:rsidR="00247D0A" w:rsidRDefault="00247D0A">
      <w:pPr>
        <w:spacing w:line="240" w:lineRule="auto"/>
      </w:pPr>
      <w:r>
        <w:separator/>
      </w:r>
    </w:p>
  </w:endnote>
  <w:endnote w:type="continuationSeparator" w:id="0">
    <w:p w14:paraId="4FFFB05C" w14:textId="77777777" w:rsidR="00247D0A" w:rsidRDefault="00247D0A">
      <w:pPr>
        <w:spacing w:line="240" w:lineRule="auto"/>
      </w:pPr>
      <w:r>
        <w:continuationSeparator/>
      </w:r>
    </w:p>
  </w:endnote>
  <w:endnote w:type="continuationNotice" w:id="1">
    <w:p w14:paraId="4D033EDF" w14:textId="77777777" w:rsidR="00247D0A" w:rsidRDefault="00247D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776D" w14:textId="77777777" w:rsidR="00703215" w:rsidRDefault="00703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AA53" w14:textId="77777777" w:rsidR="00703215" w:rsidRDefault="00703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8F9E4" w14:textId="77777777" w:rsidR="00703215" w:rsidRDefault="00703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68EA6" w14:textId="77777777" w:rsidR="00247D0A" w:rsidRDefault="00247D0A">
      <w:pPr>
        <w:spacing w:line="240" w:lineRule="auto"/>
      </w:pPr>
      <w:r>
        <w:separator/>
      </w:r>
    </w:p>
  </w:footnote>
  <w:footnote w:type="continuationSeparator" w:id="0">
    <w:p w14:paraId="5CDB82D7" w14:textId="77777777" w:rsidR="00247D0A" w:rsidRDefault="00247D0A">
      <w:pPr>
        <w:spacing w:line="240" w:lineRule="auto"/>
      </w:pPr>
      <w:r>
        <w:continuationSeparator/>
      </w:r>
    </w:p>
  </w:footnote>
  <w:footnote w:type="continuationNotice" w:id="1">
    <w:p w14:paraId="209D1243" w14:textId="77777777" w:rsidR="00247D0A" w:rsidRDefault="00247D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ED15B" w14:textId="77777777" w:rsidR="00703215" w:rsidRDefault="00703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EBF3" w14:textId="77777777" w:rsidR="006E085A" w:rsidRDefault="005C496A">
    <w:r>
      <w:rPr>
        <w:noProof/>
        <w:lang w:val="en-GB" w:eastAsia="en-GB"/>
      </w:rPr>
      <mc:AlternateContent>
        <mc:Choice Requires="wps">
          <w:drawing>
            <wp:anchor distT="0" distB="0" distL="0" distR="0" simplePos="0" relativeHeight="251658240" behindDoc="0" locked="1" layoutInCell="1" allowOverlap="1" wp14:anchorId="0AEE7243" wp14:editId="78A2328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7D2BAFB" w14:textId="77777777" w:rsidR="006E085A" w:rsidRDefault="005C496A">
                          <w:pPr>
                            <w:pStyle w:val="AfzendgegevensKop0"/>
                          </w:pPr>
                          <w:r>
                            <w:t>Ministerie van Infrastructuur en Waterstaat</w:t>
                          </w:r>
                        </w:p>
                        <w:p w14:paraId="5A5BEF19" w14:textId="77777777" w:rsidR="006E085A" w:rsidRDefault="006E085A">
                          <w:pPr>
                            <w:pStyle w:val="WitregelW2"/>
                          </w:pPr>
                        </w:p>
                        <w:p w14:paraId="13F0699A" w14:textId="77777777" w:rsidR="006E085A" w:rsidRDefault="005C496A">
                          <w:pPr>
                            <w:pStyle w:val="Referentiegegevenskop"/>
                          </w:pPr>
                          <w:r>
                            <w:t>Ons kenmerk</w:t>
                          </w:r>
                        </w:p>
                        <w:p w14:paraId="21D88D26" w14:textId="2BC5D1CB" w:rsidR="00B9101C" w:rsidRDefault="00B9101C" w:rsidP="00B9101C">
                          <w:pPr>
                            <w:pStyle w:val="Referentiegegevens"/>
                          </w:pPr>
                          <w:r>
                            <w:t>I</w:t>
                          </w:r>
                          <w:r w:rsidR="004E6286">
                            <w:t>EN</w:t>
                          </w:r>
                          <w:r>
                            <w:t>W/BSK-2025/222557</w:t>
                          </w:r>
                        </w:p>
                        <w:p w14:paraId="090FF26B" w14:textId="26AEFACF" w:rsidR="006E085A" w:rsidRDefault="006E085A">
                          <w:pPr>
                            <w:pStyle w:val="Referentiegegevens"/>
                          </w:pPr>
                        </w:p>
                      </w:txbxContent>
                    </wps:txbx>
                    <wps:bodyPr vert="horz" wrap="square" lIns="0" tIns="0" rIns="0" bIns="0" anchor="t" anchorCtr="0"/>
                  </wps:wsp>
                </a:graphicData>
              </a:graphic>
            </wp:anchor>
          </w:drawing>
        </mc:Choice>
        <mc:Fallback>
          <w:pict>
            <v:shapetype w14:anchorId="0AEE724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7D2BAFB" w14:textId="77777777" w:rsidR="006E085A" w:rsidRDefault="005C496A">
                    <w:pPr>
                      <w:pStyle w:val="AfzendgegevensKop0"/>
                    </w:pPr>
                    <w:r>
                      <w:t>Ministerie van Infrastructuur en Waterstaat</w:t>
                    </w:r>
                  </w:p>
                  <w:p w14:paraId="5A5BEF19" w14:textId="77777777" w:rsidR="006E085A" w:rsidRDefault="006E085A">
                    <w:pPr>
                      <w:pStyle w:val="WitregelW2"/>
                    </w:pPr>
                  </w:p>
                  <w:p w14:paraId="13F0699A" w14:textId="77777777" w:rsidR="006E085A" w:rsidRDefault="005C496A">
                    <w:pPr>
                      <w:pStyle w:val="Referentiegegevenskop"/>
                    </w:pPr>
                    <w:r>
                      <w:t>Ons kenmerk</w:t>
                    </w:r>
                  </w:p>
                  <w:p w14:paraId="21D88D26" w14:textId="2BC5D1CB" w:rsidR="00B9101C" w:rsidRDefault="00B9101C" w:rsidP="00B9101C">
                    <w:pPr>
                      <w:pStyle w:val="Referentiegegevens"/>
                    </w:pPr>
                    <w:r>
                      <w:t>I</w:t>
                    </w:r>
                    <w:r w:rsidR="004E6286">
                      <w:t>EN</w:t>
                    </w:r>
                    <w:r>
                      <w:t>W/BSK-2025/222557</w:t>
                    </w:r>
                  </w:p>
                  <w:p w14:paraId="090FF26B" w14:textId="26AEFACF" w:rsidR="006E085A" w:rsidRDefault="006E085A">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01795C1C" wp14:editId="27CF436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7600ED" w14:textId="64643263" w:rsidR="006E085A" w:rsidRDefault="005C496A">
                          <w:pPr>
                            <w:pStyle w:val="Referentiegegevens"/>
                          </w:pPr>
                          <w:r>
                            <w:t xml:space="preserve">Pagina </w:t>
                          </w:r>
                          <w:r>
                            <w:fldChar w:fldCharType="begin"/>
                          </w:r>
                          <w:r>
                            <w:instrText>PAGE</w:instrText>
                          </w:r>
                          <w:r>
                            <w:fldChar w:fldCharType="separate"/>
                          </w:r>
                          <w:r w:rsidR="00D2661E">
                            <w:rPr>
                              <w:noProof/>
                            </w:rPr>
                            <w:t>2</w:t>
                          </w:r>
                          <w:r>
                            <w:fldChar w:fldCharType="end"/>
                          </w:r>
                          <w:r>
                            <w:t xml:space="preserve"> van </w:t>
                          </w:r>
                          <w:r>
                            <w:fldChar w:fldCharType="begin"/>
                          </w:r>
                          <w:r>
                            <w:instrText>NUMPAGES</w:instrText>
                          </w:r>
                          <w:r>
                            <w:fldChar w:fldCharType="separate"/>
                          </w:r>
                          <w:r w:rsidR="00D2661E">
                            <w:rPr>
                              <w:noProof/>
                            </w:rPr>
                            <w:t>1</w:t>
                          </w:r>
                          <w:r>
                            <w:fldChar w:fldCharType="end"/>
                          </w:r>
                        </w:p>
                      </w:txbxContent>
                    </wps:txbx>
                    <wps:bodyPr vert="horz" wrap="square" lIns="0" tIns="0" rIns="0" bIns="0" anchor="t" anchorCtr="0"/>
                  </wps:wsp>
                </a:graphicData>
              </a:graphic>
            </wp:anchor>
          </w:drawing>
        </mc:Choice>
        <mc:Fallback>
          <w:pict>
            <v:shape w14:anchorId="01795C1C"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B7600ED" w14:textId="64643263" w:rsidR="006E085A" w:rsidRDefault="005C496A">
                    <w:pPr>
                      <w:pStyle w:val="Referentiegegevens"/>
                    </w:pPr>
                    <w:r>
                      <w:t xml:space="preserve">Pagina </w:t>
                    </w:r>
                    <w:r>
                      <w:fldChar w:fldCharType="begin"/>
                    </w:r>
                    <w:r>
                      <w:instrText>PAGE</w:instrText>
                    </w:r>
                    <w:r>
                      <w:fldChar w:fldCharType="separate"/>
                    </w:r>
                    <w:r w:rsidR="00D2661E">
                      <w:rPr>
                        <w:noProof/>
                      </w:rPr>
                      <w:t>2</w:t>
                    </w:r>
                    <w:r>
                      <w:fldChar w:fldCharType="end"/>
                    </w:r>
                    <w:r>
                      <w:t xml:space="preserve"> van </w:t>
                    </w:r>
                    <w:r>
                      <w:fldChar w:fldCharType="begin"/>
                    </w:r>
                    <w:r>
                      <w:instrText>NUMPAGES</w:instrText>
                    </w:r>
                    <w:r>
                      <w:fldChar w:fldCharType="separate"/>
                    </w:r>
                    <w:r w:rsidR="00D2661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559F78C" wp14:editId="777AAA7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4371463" w14:textId="77777777" w:rsidR="005865CC" w:rsidRDefault="005865CC"/>
                      </w:txbxContent>
                    </wps:txbx>
                    <wps:bodyPr vert="horz" wrap="square" lIns="0" tIns="0" rIns="0" bIns="0" anchor="t" anchorCtr="0"/>
                  </wps:wsp>
                </a:graphicData>
              </a:graphic>
            </wp:anchor>
          </w:drawing>
        </mc:Choice>
        <mc:Fallback>
          <w:pict>
            <v:shape w14:anchorId="5559F78C"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4371463" w14:textId="77777777" w:rsidR="005865CC" w:rsidRDefault="005865C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37EB3981" wp14:editId="5609D76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10EB26" w14:textId="77777777" w:rsidR="005865CC" w:rsidRDefault="005865CC"/>
                      </w:txbxContent>
                    </wps:txbx>
                    <wps:bodyPr vert="horz" wrap="square" lIns="0" tIns="0" rIns="0" bIns="0" anchor="t" anchorCtr="0"/>
                  </wps:wsp>
                </a:graphicData>
              </a:graphic>
            </wp:anchor>
          </w:drawing>
        </mc:Choice>
        <mc:Fallback>
          <w:pict>
            <v:shape w14:anchorId="37EB3981"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910EB26" w14:textId="77777777" w:rsidR="005865CC" w:rsidRDefault="005865C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2DBB" w14:textId="77777777" w:rsidR="006E085A" w:rsidRDefault="005C496A">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5299D745" wp14:editId="72E4632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1D642B" w14:textId="77777777" w:rsidR="005865CC" w:rsidRDefault="005865CC"/>
                      </w:txbxContent>
                    </wps:txbx>
                    <wps:bodyPr vert="horz" wrap="square" lIns="0" tIns="0" rIns="0" bIns="0" anchor="t" anchorCtr="0"/>
                  </wps:wsp>
                </a:graphicData>
              </a:graphic>
            </wp:anchor>
          </w:drawing>
        </mc:Choice>
        <mc:Fallback>
          <w:pict>
            <v:shapetype w14:anchorId="5299D74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31D642B" w14:textId="77777777" w:rsidR="005865CC" w:rsidRDefault="005865C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3EBBECDD" wp14:editId="4A7AA82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C47793" w14:textId="1D037F35" w:rsidR="006E085A" w:rsidRDefault="005C496A">
                          <w:pPr>
                            <w:pStyle w:val="Referentiegegevens"/>
                          </w:pPr>
                          <w:r>
                            <w:t xml:space="preserve">Pagina </w:t>
                          </w:r>
                          <w:r>
                            <w:fldChar w:fldCharType="begin"/>
                          </w:r>
                          <w:r>
                            <w:instrText>PAGE</w:instrText>
                          </w:r>
                          <w:r>
                            <w:fldChar w:fldCharType="separate"/>
                          </w:r>
                          <w:r w:rsidR="003464F1">
                            <w:rPr>
                              <w:noProof/>
                            </w:rPr>
                            <w:t>1</w:t>
                          </w:r>
                          <w:r>
                            <w:fldChar w:fldCharType="end"/>
                          </w:r>
                          <w:r>
                            <w:t xml:space="preserve"> van </w:t>
                          </w:r>
                          <w:r>
                            <w:fldChar w:fldCharType="begin"/>
                          </w:r>
                          <w:r>
                            <w:instrText>NUMPAGES</w:instrText>
                          </w:r>
                          <w:r>
                            <w:fldChar w:fldCharType="separate"/>
                          </w:r>
                          <w:r w:rsidR="003464F1">
                            <w:rPr>
                              <w:noProof/>
                            </w:rPr>
                            <w:t>1</w:t>
                          </w:r>
                          <w:r>
                            <w:fldChar w:fldCharType="end"/>
                          </w:r>
                        </w:p>
                      </w:txbxContent>
                    </wps:txbx>
                    <wps:bodyPr vert="horz" wrap="square" lIns="0" tIns="0" rIns="0" bIns="0" anchor="t" anchorCtr="0"/>
                  </wps:wsp>
                </a:graphicData>
              </a:graphic>
            </wp:anchor>
          </w:drawing>
        </mc:Choice>
        <mc:Fallback>
          <w:pict>
            <v:shape w14:anchorId="3EBBECDD"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5C47793" w14:textId="1D037F35" w:rsidR="006E085A" w:rsidRDefault="005C496A">
                    <w:pPr>
                      <w:pStyle w:val="Referentiegegevens"/>
                    </w:pPr>
                    <w:r>
                      <w:t xml:space="preserve">Pagina </w:t>
                    </w:r>
                    <w:r>
                      <w:fldChar w:fldCharType="begin"/>
                    </w:r>
                    <w:r>
                      <w:instrText>PAGE</w:instrText>
                    </w:r>
                    <w:r>
                      <w:fldChar w:fldCharType="separate"/>
                    </w:r>
                    <w:r w:rsidR="003464F1">
                      <w:rPr>
                        <w:noProof/>
                      </w:rPr>
                      <w:t>1</w:t>
                    </w:r>
                    <w:r>
                      <w:fldChar w:fldCharType="end"/>
                    </w:r>
                    <w:r>
                      <w:t xml:space="preserve"> van </w:t>
                    </w:r>
                    <w:r>
                      <w:fldChar w:fldCharType="begin"/>
                    </w:r>
                    <w:r>
                      <w:instrText>NUMPAGES</w:instrText>
                    </w:r>
                    <w:r>
                      <w:fldChar w:fldCharType="separate"/>
                    </w:r>
                    <w:r w:rsidR="003464F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E9115FD" wp14:editId="7F056B7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8D2A05" w14:textId="77777777" w:rsidR="006E085A" w:rsidRDefault="005C496A">
                          <w:pPr>
                            <w:pStyle w:val="AfzendgegevensKop0"/>
                          </w:pPr>
                          <w:r>
                            <w:t>Ministerie van Infrastructuur en Waterstaat</w:t>
                          </w:r>
                        </w:p>
                        <w:p w14:paraId="1491F535" w14:textId="77777777" w:rsidR="006E085A" w:rsidRDefault="006E085A">
                          <w:pPr>
                            <w:pStyle w:val="WitregelW1"/>
                          </w:pPr>
                        </w:p>
                        <w:p w14:paraId="3E78C19A" w14:textId="77777777" w:rsidR="006E085A" w:rsidRDefault="005C496A">
                          <w:pPr>
                            <w:pStyle w:val="Afzendgegevens"/>
                          </w:pPr>
                          <w:r>
                            <w:t>Rijnstraat 8</w:t>
                          </w:r>
                        </w:p>
                        <w:p w14:paraId="39A8187F" w14:textId="77777777" w:rsidR="006E085A" w:rsidRPr="00D2661E" w:rsidRDefault="005C496A">
                          <w:pPr>
                            <w:pStyle w:val="Afzendgegevens"/>
                            <w:rPr>
                              <w:lang w:val="de-DE"/>
                            </w:rPr>
                          </w:pPr>
                          <w:r w:rsidRPr="00D2661E">
                            <w:rPr>
                              <w:lang w:val="de-DE"/>
                            </w:rPr>
                            <w:t>2515 XP  Den Haag</w:t>
                          </w:r>
                        </w:p>
                        <w:p w14:paraId="00C09B07" w14:textId="77777777" w:rsidR="006E085A" w:rsidRPr="00D2661E" w:rsidRDefault="005C496A">
                          <w:pPr>
                            <w:pStyle w:val="Afzendgegevens"/>
                            <w:rPr>
                              <w:lang w:val="de-DE"/>
                            </w:rPr>
                          </w:pPr>
                          <w:r w:rsidRPr="00D2661E">
                            <w:rPr>
                              <w:lang w:val="de-DE"/>
                            </w:rPr>
                            <w:t>Postbus 20901</w:t>
                          </w:r>
                        </w:p>
                        <w:p w14:paraId="78081BAE" w14:textId="77777777" w:rsidR="006E085A" w:rsidRPr="00D2661E" w:rsidRDefault="005C496A">
                          <w:pPr>
                            <w:pStyle w:val="Afzendgegevens"/>
                            <w:rPr>
                              <w:lang w:val="de-DE"/>
                            </w:rPr>
                          </w:pPr>
                          <w:r w:rsidRPr="00D2661E">
                            <w:rPr>
                              <w:lang w:val="de-DE"/>
                            </w:rPr>
                            <w:t>2500 EX Den Haag</w:t>
                          </w:r>
                        </w:p>
                        <w:p w14:paraId="6A1ACEA2" w14:textId="77777777" w:rsidR="006E085A" w:rsidRPr="00D2661E" w:rsidRDefault="006E085A">
                          <w:pPr>
                            <w:pStyle w:val="WitregelW1"/>
                            <w:rPr>
                              <w:lang w:val="de-DE"/>
                            </w:rPr>
                          </w:pPr>
                        </w:p>
                        <w:p w14:paraId="2175FBF0" w14:textId="77777777" w:rsidR="006E085A" w:rsidRPr="00D2661E" w:rsidRDefault="005C496A">
                          <w:pPr>
                            <w:pStyle w:val="Afzendgegevens"/>
                            <w:rPr>
                              <w:lang w:val="de-DE"/>
                            </w:rPr>
                          </w:pPr>
                          <w:r w:rsidRPr="00D2661E">
                            <w:rPr>
                              <w:lang w:val="de-DE"/>
                            </w:rPr>
                            <w:t>T   070-456 0000</w:t>
                          </w:r>
                        </w:p>
                        <w:p w14:paraId="464EECEB" w14:textId="77777777" w:rsidR="006E085A" w:rsidRDefault="005C496A">
                          <w:pPr>
                            <w:pStyle w:val="Afzendgegevens"/>
                          </w:pPr>
                          <w:r>
                            <w:t>F   070-456 1111</w:t>
                          </w:r>
                        </w:p>
                        <w:p w14:paraId="5CE3DF31" w14:textId="77777777" w:rsidR="006E085A" w:rsidRDefault="006E085A">
                          <w:pPr>
                            <w:pStyle w:val="WitregelW2"/>
                          </w:pPr>
                        </w:p>
                        <w:p w14:paraId="2CF64341" w14:textId="77777777" w:rsidR="006E085A" w:rsidRDefault="005C496A">
                          <w:pPr>
                            <w:pStyle w:val="Referentiegegevenskop"/>
                          </w:pPr>
                          <w:r>
                            <w:t>Ons kenmerk</w:t>
                          </w:r>
                        </w:p>
                        <w:p w14:paraId="7E7ED007" w14:textId="79FA9462" w:rsidR="006E085A" w:rsidRDefault="003A4236">
                          <w:pPr>
                            <w:pStyle w:val="Referentiegegevens"/>
                          </w:pPr>
                          <w:r>
                            <w:t>I</w:t>
                          </w:r>
                          <w:r w:rsidR="004E6286">
                            <w:t>EN</w:t>
                          </w:r>
                          <w:r>
                            <w:t>W/BSK-2025/222557</w:t>
                          </w:r>
                        </w:p>
                        <w:p w14:paraId="61FF9E51" w14:textId="77777777" w:rsidR="006E085A" w:rsidRDefault="006E085A">
                          <w:pPr>
                            <w:pStyle w:val="WitregelW1"/>
                          </w:pPr>
                        </w:p>
                        <w:p w14:paraId="26697A58" w14:textId="77777777" w:rsidR="006E085A" w:rsidRDefault="005C496A">
                          <w:pPr>
                            <w:pStyle w:val="Referentiegegevenskop"/>
                          </w:pPr>
                          <w:r>
                            <w:t>Uw kenmerk</w:t>
                          </w:r>
                        </w:p>
                        <w:p w14:paraId="3787518B" w14:textId="469CBC9E" w:rsidR="006E085A" w:rsidRDefault="005C496A">
                          <w:pPr>
                            <w:pStyle w:val="Referentiegegevens"/>
                          </w:pPr>
                          <w:r>
                            <w:t xml:space="preserve">Kamerstuk </w:t>
                          </w:r>
                          <w:r w:rsidR="00D2661E">
                            <w:t>3</w:t>
                          </w:r>
                          <w:r w:rsidR="00A3065F">
                            <w:t>2 813</w:t>
                          </w:r>
                          <w:r>
                            <w:t xml:space="preserve">, nr. </w:t>
                          </w:r>
                          <w:r w:rsidR="00A3065F">
                            <w:t>1518</w:t>
                          </w:r>
                        </w:p>
                        <w:p w14:paraId="50315592" w14:textId="77777777" w:rsidR="00A6611F" w:rsidRDefault="00A6611F" w:rsidP="00A6611F"/>
                        <w:p w14:paraId="6F34D242" w14:textId="55085256" w:rsidR="00A6611F" w:rsidRPr="00A6611F" w:rsidRDefault="00A6611F" w:rsidP="00A6611F">
                          <w:pPr>
                            <w:spacing w:line="276" w:lineRule="auto"/>
                            <w:rPr>
                              <w:b/>
                              <w:bCs/>
                              <w:sz w:val="13"/>
                              <w:szCs w:val="13"/>
                            </w:rPr>
                          </w:pPr>
                          <w:r w:rsidRPr="00A6611F">
                            <w:rPr>
                              <w:b/>
                              <w:bCs/>
                              <w:sz w:val="13"/>
                              <w:szCs w:val="13"/>
                            </w:rPr>
                            <w:t>Bijlage(n)</w:t>
                          </w:r>
                        </w:p>
                        <w:p w14:paraId="5A3C914D" w14:textId="609F220B" w:rsidR="00A6611F" w:rsidRPr="00A6611F" w:rsidRDefault="00A6611F" w:rsidP="00A6611F">
                          <w:pPr>
                            <w:spacing w:line="276" w:lineRule="auto"/>
                            <w:rPr>
                              <w:sz w:val="13"/>
                              <w:szCs w:val="13"/>
                            </w:rPr>
                          </w:pPr>
                          <w:r w:rsidRPr="00A6611F">
                            <w:rPr>
                              <w:sz w:val="13"/>
                              <w:szCs w:val="13"/>
                            </w:rPr>
                            <w:t>1</w:t>
                          </w:r>
                        </w:p>
                      </w:txbxContent>
                    </wps:txbx>
                    <wps:bodyPr vert="horz" wrap="square" lIns="0" tIns="0" rIns="0" bIns="0" anchor="t" anchorCtr="0"/>
                  </wps:wsp>
                </a:graphicData>
              </a:graphic>
            </wp:anchor>
          </w:drawing>
        </mc:Choice>
        <mc:Fallback>
          <w:pict>
            <v:shape w14:anchorId="5E9115FD"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A8D2A05" w14:textId="77777777" w:rsidR="006E085A" w:rsidRDefault="005C496A">
                    <w:pPr>
                      <w:pStyle w:val="AfzendgegevensKop0"/>
                    </w:pPr>
                    <w:r>
                      <w:t>Ministerie van Infrastructuur en Waterstaat</w:t>
                    </w:r>
                  </w:p>
                  <w:p w14:paraId="1491F535" w14:textId="77777777" w:rsidR="006E085A" w:rsidRDefault="006E085A">
                    <w:pPr>
                      <w:pStyle w:val="WitregelW1"/>
                    </w:pPr>
                  </w:p>
                  <w:p w14:paraId="3E78C19A" w14:textId="77777777" w:rsidR="006E085A" w:rsidRDefault="005C496A">
                    <w:pPr>
                      <w:pStyle w:val="Afzendgegevens"/>
                    </w:pPr>
                    <w:r>
                      <w:t>Rijnstraat 8</w:t>
                    </w:r>
                  </w:p>
                  <w:p w14:paraId="39A8187F" w14:textId="77777777" w:rsidR="006E085A" w:rsidRPr="00D2661E" w:rsidRDefault="005C496A">
                    <w:pPr>
                      <w:pStyle w:val="Afzendgegevens"/>
                      <w:rPr>
                        <w:lang w:val="de-DE"/>
                      </w:rPr>
                    </w:pPr>
                    <w:r w:rsidRPr="00D2661E">
                      <w:rPr>
                        <w:lang w:val="de-DE"/>
                      </w:rPr>
                      <w:t>2515 XP  Den Haag</w:t>
                    </w:r>
                  </w:p>
                  <w:p w14:paraId="00C09B07" w14:textId="77777777" w:rsidR="006E085A" w:rsidRPr="00D2661E" w:rsidRDefault="005C496A">
                    <w:pPr>
                      <w:pStyle w:val="Afzendgegevens"/>
                      <w:rPr>
                        <w:lang w:val="de-DE"/>
                      </w:rPr>
                    </w:pPr>
                    <w:r w:rsidRPr="00D2661E">
                      <w:rPr>
                        <w:lang w:val="de-DE"/>
                      </w:rPr>
                      <w:t>Postbus 20901</w:t>
                    </w:r>
                  </w:p>
                  <w:p w14:paraId="78081BAE" w14:textId="77777777" w:rsidR="006E085A" w:rsidRPr="00D2661E" w:rsidRDefault="005C496A">
                    <w:pPr>
                      <w:pStyle w:val="Afzendgegevens"/>
                      <w:rPr>
                        <w:lang w:val="de-DE"/>
                      </w:rPr>
                    </w:pPr>
                    <w:r w:rsidRPr="00D2661E">
                      <w:rPr>
                        <w:lang w:val="de-DE"/>
                      </w:rPr>
                      <w:t>2500 EX Den Haag</w:t>
                    </w:r>
                  </w:p>
                  <w:p w14:paraId="6A1ACEA2" w14:textId="77777777" w:rsidR="006E085A" w:rsidRPr="00D2661E" w:rsidRDefault="006E085A">
                    <w:pPr>
                      <w:pStyle w:val="WitregelW1"/>
                      <w:rPr>
                        <w:lang w:val="de-DE"/>
                      </w:rPr>
                    </w:pPr>
                  </w:p>
                  <w:p w14:paraId="2175FBF0" w14:textId="77777777" w:rsidR="006E085A" w:rsidRPr="00D2661E" w:rsidRDefault="005C496A">
                    <w:pPr>
                      <w:pStyle w:val="Afzendgegevens"/>
                      <w:rPr>
                        <w:lang w:val="de-DE"/>
                      </w:rPr>
                    </w:pPr>
                    <w:r w:rsidRPr="00D2661E">
                      <w:rPr>
                        <w:lang w:val="de-DE"/>
                      </w:rPr>
                      <w:t>T   070-456 0000</w:t>
                    </w:r>
                  </w:p>
                  <w:p w14:paraId="464EECEB" w14:textId="77777777" w:rsidR="006E085A" w:rsidRDefault="005C496A">
                    <w:pPr>
                      <w:pStyle w:val="Afzendgegevens"/>
                    </w:pPr>
                    <w:r>
                      <w:t>F   070-456 1111</w:t>
                    </w:r>
                  </w:p>
                  <w:p w14:paraId="5CE3DF31" w14:textId="77777777" w:rsidR="006E085A" w:rsidRDefault="006E085A">
                    <w:pPr>
                      <w:pStyle w:val="WitregelW2"/>
                    </w:pPr>
                  </w:p>
                  <w:p w14:paraId="2CF64341" w14:textId="77777777" w:rsidR="006E085A" w:rsidRDefault="005C496A">
                    <w:pPr>
                      <w:pStyle w:val="Referentiegegevenskop"/>
                    </w:pPr>
                    <w:r>
                      <w:t>Ons kenmerk</w:t>
                    </w:r>
                  </w:p>
                  <w:p w14:paraId="7E7ED007" w14:textId="79FA9462" w:rsidR="006E085A" w:rsidRDefault="003A4236">
                    <w:pPr>
                      <w:pStyle w:val="Referentiegegevens"/>
                    </w:pPr>
                    <w:r>
                      <w:t>I</w:t>
                    </w:r>
                    <w:r w:rsidR="004E6286">
                      <w:t>EN</w:t>
                    </w:r>
                    <w:r>
                      <w:t>W/BSK-2025/222557</w:t>
                    </w:r>
                  </w:p>
                  <w:p w14:paraId="61FF9E51" w14:textId="77777777" w:rsidR="006E085A" w:rsidRDefault="006E085A">
                    <w:pPr>
                      <w:pStyle w:val="WitregelW1"/>
                    </w:pPr>
                  </w:p>
                  <w:p w14:paraId="26697A58" w14:textId="77777777" w:rsidR="006E085A" w:rsidRDefault="005C496A">
                    <w:pPr>
                      <w:pStyle w:val="Referentiegegevenskop"/>
                    </w:pPr>
                    <w:r>
                      <w:t>Uw kenmerk</w:t>
                    </w:r>
                  </w:p>
                  <w:p w14:paraId="3787518B" w14:textId="469CBC9E" w:rsidR="006E085A" w:rsidRDefault="005C496A">
                    <w:pPr>
                      <w:pStyle w:val="Referentiegegevens"/>
                    </w:pPr>
                    <w:r>
                      <w:t xml:space="preserve">Kamerstuk </w:t>
                    </w:r>
                    <w:r w:rsidR="00D2661E">
                      <w:t>3</w:t>
                    </w:r>
                    <w:r w:rsidR="00A3065F">
                      <w:t>2 813</w:t>
                    </w:r>
                    <w:r>
                      <w:t xml:space="preserve">, nr. </w:t>
                    </w:r>
                    <w:r w:rsidR="00A3065F">
                      <w:t>1518</w:t>
                    </w:r>
                  </w:p>
                  <w:p w14:paraId="50315592" w14:textId="77777777" w:rsidR="00A6611F" w:rsidRDefault="00A6611F" w:rsidP="00A6611F"/>
                  <w:p w14:paraId="6F34D242" w14:textId="55085256" w:rsidR="00A6611F" w:rsidRPr="00A6611F" w:rsidRDefault="00A6611F" w:rsidP="00A6611F">
                    <w:pPr>
                      <w:spacing w:line="276" w:lineRule="auto"/>
                      <w:rPr>
                        <w:b/>
                        <w:bCs/>
                        <w:sz w:val="13"/>
                        <w:szCs w:val="13"/>
                      </w:rPr>
                    </w:pPr>
                    <w:r w:rsidRPr="00A6611F">
                      <w:rPr>
                        <w:b/>
                        <w:bCs/>
                        <w:sz w:val="13"/>
                        <w:szCs w:val="13"/>
                      </w:rPr>
                      <w:t>Bijlage(n)</w:t>
                    </w:r>
                  </w:p>
                  <w:p w14:paraId="5A3C914D" w14:textId="609F220B" w:rsidR="00A6611F" w:rsidRPr="00A6611F" w:rsidRDefault="00A6611F" w:rsidP="00A6611F">
                    <w:pPr>
                      <w:spacing w:line="276" w:lineRule="auto"/>
                      <w:rPr>
                        <w:sz w:val="13"/>
                        <w:szCs w:val="13"/>
                      </w:rPr>
                    </w:pPr>
                    <w:r w:rsidRPr="00A6611F">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DF99FC9" wp14:editId="3C73A1C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4A5CA61" w14:textId="77777777" w:rsidR="006E085A" w:rsidRDefault="005C496A">
                          <w:pPr>
                            <w:spacing w:line="240" w:lineRule="auto"/>
                          </w:pPr>
                          <w:r>
                            <w:rPr>
                              <w:noProof/>
                              <w:lang w:val="en-GB" w:eastAsia="en-GB"/>
                            </w:rPr>
                            <w:drawing>
                              <wp:inline distT="0" distB="0" distL="0" distR="0" wp14:anchorId="148AA0C5" wp14:editId="25465CC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F99FC9"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4A5CA61" w14:textId="77777777" w:rsidR="006E085A" w:rsidRDefault="005C496A">
                    <w:pPr>
                      <w:spacing w:line="240" w:lineRule="auto"/>
                    </w:pPr>
                    <w:r>
                      <w:rPr>
                        <w:noProof/>
                        <w:lang w:val="en-GB" w:eastAsia="en-GB"/>
                      </w:rPr>
                      <w:drawing>
                        <wp:inline distT="0" distB="0" distL="0" distR="0" wp14:anchorId="148AA0C5" wp14:editId="25465CC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B12659A" wp14:editId="4BD086A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134A25" w14:textId="77777777" w:rsidR="006E085A" w:rsidRDefault="005C496A">
                          <w:pPr>
                            <w:spacing w:line="240" w:lineRule="auto"/>
                          </w:pPr>
                          <w:r>
                            <w:rPr>
                              <w:noProof/>
                              <w:lang w:val="en-GB" w:eastAsia="en-GB"/>
                            </w:rPr>
                            <w:drawing>
                              <wp:inline distT="0" distB="0" distL="0" distR="0" wp14:anchorId="17628634" wp14:editId="39C3440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12659A"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9134A25" w14:textId="77777777" w:rsidR="006E085A" w:rsidRDefault="005C496A">
                    <w:pPr>
                      <w:spacing w:line="240" w:lineRule="auto"/>
                    </w:pPr>
                    <w:r>
                      <w:rPr>
                        <w:noProof/>
                        <w:lang w:val="en-GB" w:eastAsia="en-GB"/>
                      </w:rPr>
                      <w:drawing>
                        <wp:inline distT="0" distB="0" distL="0" distR="0" wp14:anchorId="17628634" wp14:editId="39C3440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19CAC056" wp14:editId="12416CE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B135A4C" w14:textId="77777777" w:rsidR="006E085A" w:rsidRDefault="005C496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9CAC056"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B135A4C" w14:textId="77777777" w:rsidR="006E085A" w:rsidRDefault="005C496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2FB7C3B" wp14:editId="34D9EAF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1E22F4F" w14:textId="77777777" w:rsidR="006E085A" w:rsidRDefault="005C496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FB7C3B"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1E22F4F" w14:textId="77777777" w:rsidR="006E085A" w:rsidRDefault="005C496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718694A" wp14:editId="060D83C4">
              <wp:simplePos x="0" y="0"/>
              <wp:positionH relativeFrom="margin">
                <wp:align>left</wp:align>
              </wp:positionH>
              <wp:positionV relativeFrom="page">
                <wp:posOffset>3602355</wp:posOffset>
              </wp:positionV>
              <wp:extent cx="4105275" cy="66611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6611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E085A" w14:paraId="1258DF38" w14:textId="77777777">
                            <w:trPr>
                              <w:trHeight w:val="200"/>
                            </w:trPr>
                            <w:tc>
                              <w:tcPr>
                                <w:tcW w:w="1140" w:type="dxa"/>
                              </w:tcPr>
                              <w:p w14:paraId="20BACDE7" w14:textId="77777777" w:rsidR="006E085A" w:rsidRDefault="006E085A"/>
                            </w:tc>
                            <w:tc>
                              <w:tcPr>
                                <w:tcW w:w="5400" w:type="dxa"/>
                              </w:tcPr>
                              <w:p w14:paraId="3979D7CE" w14:textId="77777777" w:rsidR="006E085A" w:rsidRDefault="006E085A"/>
                            </w:tc>
                          </w:tr>
                          <w:tr w:rsidR="006E085A" w14:paraId="26C7C548" w14:textId="77777777">
                            <w:trPr>
                              <w:trHeight w:val="240"/>
                            </w:trPr>
                            <w:tc>
                              <w:tcPr>
                                <w:tcW w:w="1140" w:type="dxa"/>
                              </w:tcPr>
                              <w:p w14:paraId="7678119A" w14:textId="65EEBCDC" w:rsidR="006E085A" w:rsidRDefault="005C496A">
                                <w:r>
                                  <w:t>Datum</w:t>
                                </w:r>
                                <w:r w:rsidR="005A0DEF">
                                  <w:t xml:space="preserve">            </w:t>
                                </w:r>
                              </w:p>
                            </w:tc>
                            <w:tc>
                              <w:tcPr>
                                <w:tcW w:w="5400" w:type="dxa"/>
                              </w:tcPr>
                              <w:p w14:paraId="77482BDD" w14:textId="7DF19DF7" w:rsidR="006E085A" w:rsidRDefault="00A6611F">
                                <w:r>
                                  <w:t>4 september 2025</w:t>
                                </w:r>
                              </w:p>
                            </w:tc>
                          </w:tr>
                          <w:tr w:rsidR="006E085A" w14:paraId="736B9604" w14:textId="77777777">
                            <w:trPr>
                              <w:trHeight w:val="240"/>
                            </w:trPr>
                            <w:tc>
                              <w:tcPr>
                                <w:tcW w:w="1140" w:type="dxa"/>
                              </w:tcPr>
                              <w:p w14:paraId="58E828B5" w14:textId="77777777" w:rsidR="006E085A" w:rsidRDefault="005C496A">
                                <w:r>
                                  <w:t>Betreft</w:t>
                                </w:r>
                              </w:p>
                            </w:tc>
                            <w:tc>
                              <w:tcPr>
                                <w:tcW w:w="5400" w:type="dxa"/>
                              </w:tcPr>
                              <w:p w14:paraId="5D6E8184" w14:textId="55E3A6BA" w:rsidR="006E085A" w:rsidRDefault="00A3065F">
                                <w:r>
                                  <w:t>Schriftelijk overleg wijziging Besluit energie vervoer en Besluit brandstoffen luchtverontreiniging i.v.m. RED</w:t>
                                </w:r>
                                <w:r w:rsidR="008A233E">
                                  <w:t xml:space="preserve"> </w:t>
                                </w:r>
                                <w:r>
                                  <w:t>III</w:t>
                                </w:r>
                              </w:p>
                            </w:tc>
                          </w:tr>
                          <w:tr w:rsidR="006E085A" w14:paraId="160F6C6D" w14:textId="77777777">
                            <w:trPr>
                              <w:trHeight w:val="200"/>
                            </w:trPr>
                            <w:tc>
                              <w:tcPr>
                                <w:tcW w:w="1140" w:type="dxa"/>
                              </w:tcPr>
                              <w:p w14:paraId="01671B55" w14:textId="77777777" w:rsidR="006E085A" w:rsidRDefault="006E085A"/>
                            </w:tc>
                            <w:tc>
                              <w:tcPr>
                                <w:tcW w:w="5400" w:type="dxa"/>
                              </w:tcPr>
                              <w:p w14:paraId="6B90335D" w14:textId="77777777" w:rsidR="006E085A" w:rsidRDefault="006E085A"/>
                            </w:tc>
                          </w:tr>
                        </w:tbl>
                        <w:p w14:paraId="68BF575B" w14:textId="77777777" w:rsidR="005865CC" w:rsidRDefault="005865C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18694A" id="7266255e-823c-11ee-8554-0242ac120003" o:spid="_x0000_s1037" type="#_x0000_t202" style="position:absolute;margin-left:0;margin-top:283.65pt;width:323.25pt;height:52.45pt;z-index:251658251;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6E085A" w14:paraId="1258DF38" w14:textId="77777777">
                      <w:trPr>
                        <w:trHeight w:val="200"/>
                      </w:trPr>
                      <w:tc>
                        <w:tcPr>
                          <w:tcW w:w="1140" w:type="dxa"/>
                        </w:tcPr>
                        <w:p w14:paraId="20BACDE7" w14:textId="77777777" w:rsidR="006E085A" w:rsidRDefault="006E085A"/>
                      </w:tc>
                      <w:tc>
                        <w:tcPr>
                          <w:tcW w:w="5400" w:type="dxa"/>
                        </w:tcPr>
                        <w:p w14:paraId="3979D7CE" w14:textId="77777777" w:rsidR="006E085A" w:rsidRDefault="006E085A"/>
                      </w:tc>
                    </w:tr>
                    <w:tr w:rsidR="006E085A" w14:paraId="26C7C548" w14:textId="77777777">
                      <w:trPr>
                        <w:trHeight w:val="240"/>
                      </w:trPr>
                      <w:tc>
                        <w:tcPr>
                          <w:tcW w:w="1140" w:type="dxa"/>
                        </w:tcPr>
                        <w:p w14:paraId="7678119A" w14:textId="65EEBCDC" w:rsidR="006E085A" w:rsidRDefault="005C496A">
                          <w:r>
                            <w:t>Datum</w:t>
                          </w:r>
                          <w:r w:rsidR="005A0DEF">
                            <w:t xml:space="preserve">            </w:t>
                          </w:r>
                        </w:p>
                      </w:tc>
                      <w:tc>
                        <w:tcPr>
                          <w:tcW w:w="5400" w:type="dxa"/>
                        </w:tcPr>
                        <w:p w14:paraId="77482BDD" w14:textId="7DF19DF7" w:rsidR="006E085A" w:rsidRDefault="00A6611F">
                          <w:r>
                            <w:t>4 september 2025</w:t>
                          </w:r>
                        </w:p>
                      </w:tc>
                    </w:tr>
                    <w:tr w:rsidR="006E085A" w14:paraId="736B9604" w14:textId="77777777">
                      <w:trPr>
                        <w:trHeight w:val="240"/>
                      </w:trPr>
                      <w:tc>
                        <w:tcPr>
                          <w:tcW w:w="1140" w:type="dxa"/>
                        </w:tcPr>
                        <w:p w14:paraId="58E828B5" w14:textId="77777777" w:rsidR="006E085A" w:rsidRDefault="005C496A">
                          <w:r>
                            <w:t>Betreft</w:t>
                          </w:r>
                        </w:p>
                      </w:tc>
                      <w:tc>
                        <w:tcPr>
                          <w:tcW w:w="5400" w:type="dxa"/>
                        </w:tcPr>
                        <w:p w14:paraId="5D6E8184" w14:textId="55E3A6BA" w:rsidR="006E085A" w:rsidRDefault="00A3065F">
                          <w:r>
                            <w:t>Schriftelijk overleg wijziging Besluit energie vervoer en Besluit brandstoffen luchtverontreiniging i.v.m. RED</w:t>
                          </w:r>
                          <w:r w:rsidR="008A233E">
                            <w:t xml:space="preserve"> </w:t>
                          </w:r>
                          <w:r>
                            <w:t>III</w:t>
                          </w:r>
                        </w:p>
                      </w:tc>
                    </w:tr>
                    <w:tr w:rsidR="006E085A" w14:paraId="160F6C6D" w14:textId="77777777">
                      <w:trPr>
                        <w:trHeight w:val="200"/>
                      </w:trPr>
                      <w:tc>
                        <w:tcPr>
                          <w:tcW w:w="1140" w:type="dxa"/>
                        </w:tcPr>
                        <w:p w14:paraId="01671B55" w14:textId="77777777" w:rsidR="006E085A" w:rsidRDefault="006E085A"/>
                      </w:tc>
                      <w:tc>
                        <w:tcPr>
                          <w:tcW w:w="5400" w:type="dxa"/>
                        </w:tcPr>
                        <w:p w14:paraId="6B90335D" w14:textId="77777777" w:rsidR="006E085A" w:rsidRDefault="006E085A"/>
                      </w:tc>
                    </w:tr>
                  </w:tbl>
                  <w:p w14:paraId="68BF575B" w14:textId="77777777" w:rsidR="005865CC" w:rsidRDefault="005865CC"/>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0D1C238D" wp14:editId="0B8C7E3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D4ABD1D" w14:textId="77777777" w:rsidR="005865CC" w:rsidRDefault="005865CC"/>
                      </w:txbxContent>
                    </wps:txbx>
                    <wps:bodyPr vert="horz" wrap="square" lIns="0" tIns="0" rIns="0" bIns="0" anchor="t" anchorCtr="0"/>
                  </wps:wsp>
                </a:graphicData>
              </a:graphic>
            </wp:anchor>
          </w:drawing>
        </mc:Choice>
        <mc:Fallback>
          <w:pict>
            <v:shape w14:anchorId="0D1C238D"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D4ABD1D" w14:textId="77777777" w:rsidR="005865CC" w:rsidRDefault="005865C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7A9054"/>
    <w:multiLevelType w:val="multilevel"/>
    <w:tmpl w:val="273678D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9AC5EC"/>
    <w:multiLevelType w:val="multilevel"/>
    <w:tmpl w:val="7A0112B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7275C7"/>
    <w:multiLevelType w:val="multilevel"/>
    <w:tmpl w:val="376D666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14DF0F"/>
    <w:multiLevelType w:val="multilevel"/>
    <w:tmpl w:val="78A46B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A0821E"/>
    <w:multiLevelType w:val="multilevel"/>
    <w:tmpl w:val="1833556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61B452"/>
    <w:multiLevelType w:val="multilevel"/>
    <w:tmpl w:val="DEB7175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FA5E85"/>
    <w:multiLevelType w:val="multilevel"/>
    <w:tmpl w:val="DAF4036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FBB614"/>
    <w:multiLevelType w:val="multilevel"/>
    <w:tmpl w:val="DB724AF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5436EF"/>
    <w:multiLevelType w:val="multilevel"/>
    <w:tmpl w:val="48302C8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4616B5"/>
    <w:multiLevelType w:val="multilevel"/>
    <w:tmpl w:val="416796B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288304"/>
    <w:multiLevelType w:val="multilevel"/>
    <w:tmpl w:val="037CCE2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714FA8"/>
    <w:multiLevelType w:val="hybridMultilevel"/>
    <w:tmpl w:val="32124FCC"/>
    <w:lvl w:ilvl="0" w:tplc="5066B744">
      <w:start w:val="2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894ED6"/>
    <w:multiLevelType w:val="multilevel"/>
    <w:tmpl w:val="B2D4B2A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B46757"/>
    <w:multiLevelType w:val="hybridMultilevel"/>
    <w:tmpl w:val="36ACB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744005"/>
    <w:multiLevelType w:val="hybridMultilevel"/>
    <w:tmpl w:val="8772C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D656A5"/>
    <w:multiLevelType w:val="hybridMultilevel"/>
    <w:tmpl w:val="973A34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54E512"/>
    <w:multiLevelType w:val="multilevel"/>
    <w:tmpl w:val="45F0784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704F28"/>
    <w:multiLevelType w:val="multilevel"/>
    <w:tmpl w:val="A48151A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A71876"/>
    <w:multiLevelType w:val="hybridMultilevel"/>
    <w:tmpl w:val="04C2EC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A5002E"/>
    <w:multiLevelType w:val="hybridMultilevel"/>
    <w:tmpl w:val="BF8268E0"/>
    <w:lvl w:ilvl="0" w:tplc="A1A0E9D8">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C32FD4"/>
    <w:multiLevelType w:val="hybridMultilevel"/>
    <w:tmpl w:val="6B8C6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F7788F"/>
    <w:multiLevelType w:val="multilevel"/>
    <w:tmpl w:val="5C4BC79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42ACC"/>
    <w:multiLevelType w:val="hybridMultilevel"/>
    <w:tmpl w:val="D51AFE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DB2A56"/>
    <w:multiLevelType w:val="multilevel"/>
    <w:tmpl w:val="79CDB82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3879CE"/>
    <w:multiLevelType w:val="multilevel"/>
    <w:tmpl w:val="7AC00A7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5E7DDD"/>
    <w:multiLevelType w:val="multilevel"/>
    <w:tmpl w:val="2C97068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15:restartNumberingAfterBreak="0">
    <w:nsid w:val="4E18B05C"/>
    <w:multiLevelType w:val="multilevel"/>
    <w:tmpl w:val="3E69EA1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AD5CD8"/>
    <w:multiLevelType w:val="multilevel"/>
    <w:tmpl w:val="03B8E04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15:restartNumberingAfterBreak="0">
    <w:nsid w:val="63BC6CDD"/>
    <w:multiLevelType w:val="multilevel"/>
    <w:tmpl w:val="1C1F98C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59E5F5"/>
    <w:multiLevelType w:val="multilevel"/>
    <w:tmpl w:val="78C4EC2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D6E2EF"/>
    <w:multiLevelType w:val="multilevel"/>
    <w:tmpl w:val="04707CB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C57728"/>
    <w:multiLevelType w:val="hybridMultilevel"/>
    <w:tmpl w:val="3B4C42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FB464B3"/>
    <w:multiLevelType w:val="hybridMultilevel"/>
    <w:tmpl w:val="377AB9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10"/>
  </w:num>
  <w:num w:numId="3">
    <w:abstractNumId w:val="6"/>
  </w:num>
  <w:num w:numId="4">
    <w:abstractNumId w:val="24"/>
  </w:num>
  <w:num w:numId="5">
    <w:abstractNumId w:val="27"/>
  </w:num>
  <w:num w:numId="6">
    <w:abstractNumId w:val="28"/>
  </w:num>
  <w:num w:numId="7">
    <w:abstractNumId w:val="3"/>
  </w:num>
  <w:num w:numId="8">
    <w:abstractNumId w:val="2"/>
  </w:num>
  <w:num w:numId="9">
    <w:abstractNumId w:val="12"/>
  </w:num>
  <w:num w:numId="10">
    <w:abstractNumId w:val="4"/>
  </w:num>
  <w:num w:numId="11">
    <w:abstractNumId w:val="0"/>
  </w:num>
  <w:num w:numId="12">
    <w:abstractNumId w:val="25"/>
  </w:num>
  <w:num w:numId="13">
    <w:abstractNumId w:val="1"/>
  </w:num>
  <w:num w:numId="14">
    <w:abstractNumId w:val="8"/>
  </w:num>
  <w:num w:numId="15">
    <w:abstractNumId w:val="9"/>
  </w:num>
  <w:num w:numId="16">
    <w:abstractNumId w:val="16"/>
  </w:num>
  <w:num w:numId="17">
    <w:abstractNumId w:val="21"/>
  </w:num>
  <w:num w:numId="18">
    <w:abstractNumId w:val="26"/>
  </w:num>
  <w:num w:numId="19">
    <w:abstractNumId w:val="30"/>
  </w:num>
  <w:num w:numId="20">
    <w:abstractNumId w:val="23"/>
  </w:num>
  <w:num w:numId="21">
    <w:abstractNumId w:val="5"/>
  </w:num>
  <w:num w:numId="22">
    <w:abstractNumId w:val="7"/>
  </w:num>
  <w:num w:numId="23">
    <w:abstractNumId w:val="17"/>
  </w:num>
  <w:num w:numId="24">
    <w:abstractNumId w:val="22"/>
  </w:num>
  <w:num w:numId="25">
    <w:abstractNumId w:val="18"/>
  </w:num>
  <w:num w:numId="26">
    <w:abstractNumId w:val="14"/>
  </w:num>
  <w:num w:numId="27">
    <w:abstractNumId w:val="32"/>
  </w:num>
  <w:num w:numId="28">
    <w:abstractNumId w:val="15"/>
  </w:num>
  <w:num w:numId="29">
    <w:abstractNumId w:val="13"/>
  </w:num>
  <w:num w:numId="30">
    <w:abstractNumId w:val="31"/>
  </w:num>
  <w:num w:numId="31">
    <w:abstractNumId w:val="19"/>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1E"/>
    <w:rsid w:val="000366AC"/>
    <w:rsid w:val="000419AD"/>
    <w:rsid w:val="00060182"/>
    <w:rsid w:val="00063068"/>
    <w:rsid w:val="000808E4"/>
    <w:rsid w:val="00087BCD"/>
    <w:rsid w:val="000C1FE8"/>
    <w:rsid w:val="000D67C8"/>
    <w:rsid w:val="000F1944"/>
    <w:rsid w:val="000F636F"/>
    <w:rsid w:val="001069B6"/>
    <w:rsid w:val="00116C39"/>
    <w:rsid w:val="00146C99"/>
    <w:rsid w:val="00182384"/>
    <w:rsid w:val="00182471"/>
    <w:rsid w:val="001A38FF"/>
    <w:rsid w:val="001B0C36"/>
    <w:rsid w:val="001C7C99"/>
    <w:rsid w:val="001D1F77"/>
    <w:rsid w:val="001D2F83"/>
    <w:rsid w:val="001D510B"/>
    <w:rsid w:val="001E1F43"/>
    <w:rsid w:val="002157C9"/>
    <w:rsid w:val="002210C7"/>
    <w:rsid w:val="002221C5"/>
    <w:rsid w:val="00225C12"/>
    <w:rsid w:val="00247D0A"/>
    <w:rsid w:val="00254FEC"/>
    <w:rsid w:val="00257C0A"/>
    <w:rsid w:val="00273A4B"/>
    <w:rsid w:val="002B0DBD"/>
    <w:rsid w:val="002C2622"/>
    <w:rsid w:val="002C6010"/>
    <w:rsid w:val="002F4129"/>
    <w:rsid w:val="002F5099"/>
    <w:rsid w:val="00302EC3"/>
    <w:rsid w:val="00324706"/>
    <w:rsid w:val="00324C58"/>
    <w:rsid w:val="0032620F"/>
    <w:rsid w:val="003347C6"/>
    <w:rsid w:val="003362A4"/>
    <w:rsid w:val="00340D65"/>
    <w:rsid w:val="00344501"/>
    <w:rsid w:val="00346089"/>
    <w:rsid w:val="003464F1"/>
    <w:rsid w:val="00350CC3"/>
    <w:rsid w:val="00354C6E"/>
    <w:rsid w:val="00375DDB"/>
    <w:rsid w:val="00381A31"/>
    <w:rsid w:val="003859D7"/>
    <w:rsid w:val="0038727C"/>
    <w:rsid w:val="00391999"/>
    <w:rsid w:val="00393E40"/>
    <w:rsid w:val="0039623E"/>
    <w:rsid w:val="003A4236"/>
    <w:rsid w:val="003B7F0A"/>
    <w:rsid w:val="003C30F2"/>
    <w:rsid w:val="003C7A71"/>
    <w:rsid w:val="003E1A2C"/>
    <w:rsid w:val="003F00F1"/>
    <w:rsid w:val="003F6CF1"/>
    <w:rsid w:val="004062CC"/>
    <w:rsid w:val="00413D14"/>
    <w:rsid w:val="004450E4"/>
    <w:rsid w:val="00455BBF"/>
    <w:rsid w:val="004645DD"/>
    <w:rsid w:val="00472450"/>
    <w:rsid w:val="00492C56"/>
    <w:rsid w:val="004A5F60"/>
    <w:rsid w:val="004B32C1"/>
    <w:rsid w:val="004B3D6C"/>
    <w:rsid w:val="004B46C6"/>
    <w:rsid w:val="004B4EE9"/>
    <w:rsid w:val="004C26CB"/>
    <w:rsid w:val="004C47E2"/>
    <w:rsid w:val="004C74CF"/>
    <w:rsid w:val="004D1941"/>
    <w:rsid w:val="004E6286"/>
    <w:rsid w:val="004F0D0F"/>
    <w:rsid w:val="004F15B6"/>
    <w:rsid w:val="004F6533"/>
    <w:rsid w:val="005033AB"/>
    <w:rsid w:val="0053171A"/>
    <w:rsid w:val="00552E9C"/>
    <w:rsid w:val="00554E86"/>
    <w:rsid w:val="005579F3"/>
    <w:rsid w:val="005609CC"/>
    <w:rsid w:val="005627DB"/>
    <w:rsid w:val="00564A6B"/>
    <w:rsid w:val="00567625"/>
    <w:rsid w:val="00575092"/>
    <w:rsid w:val="00576D4C"/>
    <w:rsid w:val="00583081"/>
    <w:rsid w:val="00583283"/>
    <w:rsid w:val="005865CC"/>
    <w:rsid w:val="0059349B"/>
    <w:rsid w:val="005A0DEF"/>
    <w:rsid w:val="005A2521"/>
    <w:rsid w:val="005A4135"/>
    <w:rsid w:val="005A6F87"/>
    <w:rsid w:val="005C2FB1"/>
    <w:rsid w:val="005C303A"/>
    <w:rsid w:val="005C496A"/>
    <w:rsid w:val="005C4C6A"/>
    <w:rsid w:val="005C54A3"/>
    <w:rsid w:val="005C6989"/>
    <w:rsid w:val="0061032F"/>
    <w:rsid w:val="0061067E"/>
    <w:rsid w:val="006264A1"/>
    <w:rsid w:val="006437D6"/>
    <w:rsid w:val="00647071"/>
    <w:rsid w:val="00647BCC"/>
    <w:rsid w:val="00650E2B"/>
    <w:rsid w:val="00657F90"/>
    <w:rsid w:val="00675D15"/>
    <w:rsid w:val="006816E2"/>
    <w:rsid w:val="00681BC4"/>
    <w:rsid w:val="006D0A10"/>
    <w:rsid w:val="006E085A"/>
    <w:rsid w:val="006E1719"/>
    <w:rsid w:val="006F5D33"/>
    <w:rsid w:val="00703215"/>
    <w:rsid w:val="007234EB"/>
    <w:rsid w:val="00731187"/>
    <w:rsid w:val="00733224"/>
    <w:rsid w:val="00734AB5"/>
    <w:rsid w:val="00740161"/>
    <w:rsid w:val="007558A7"/>
    <w:rsid w:val="00762BE8"/>
    <w:rsid w:val="00762EBF"/>
    <w:rsid w:val="007707AF"/>
    <w:rsid w:val="007755E8"/>
    <w:rsid w:val="00784A7A"/>
    <w:rsid w:val="00787EDE"/>
    <w:rsid w:val="00794ADA"/>
    <w:rsid w:val="007A40B5"/>
    <w:rsid w:val="007B6F36"/>
    <w:rsid w:val="007C054E"/>
    <w:rsid w:val="007E30EB"/>
    <w:rsid w:val="007E4BB5"/>
    <w:rsid w:val="007E6C54"/>
    <w:rsid w:val="007F1141"/>
    <w:rsid w:val="007F426E"/>
    <w:rsid w:val="007F6EB7"/>
    <w:rsid w:val="007F77B3"/>
    <w:rsid w:val="0080498E"/>
    <w:rsid w:val="00814EE2"/>
    <w:rsid w:val="0081657A"/>
    <w:rsid w:val="00820C48"/>
    <w:rsid w:val="00821B08"/>
    <w:rsid w:val="00825C1E"/>
    <w:rsid w:val="0082636B"/>
    <w:rsid w:val="00826B6F"/>
    <w:rsid w:val="008329D1"/>
    <w:rsid w:val="00843F1A"/>
    <w:rsid w:val="008533E8"/>
    <w:rsid w:val="0085500D"/>
    <w:rsid w:val="00856AB5"/>
    <w:rsid w:val="0087090B"/>
    <w:rsid w:val="008A194D"/>
    <w:rsid w:val="008A233E"/>
    <w:rsid w:val="008A2C04"/>
    <w:rsid w:val="008A6640"/>
    <w:rsid w:val="008C1F38"/>
    <w:rsid w:val="008C5E1C"/>
    <w:rsid w:val="008E11F0"/>
    <w:rsid w:val="008E2DEC"/>
    <w:rsid w:val="008F4C24"/>
    <w:rsid w:val="008F4C8F"/>
    <w:rsid w:val="008F7D17"/>
    <w:rsid w:val="0090153F"/>
    <w:rsid w:val="00904835"/>
    <w:rsid w:val="009145FD"/>
    <w:rsid w:val="00922DE2"/>
    <w:rsid w:val="00925362"/>
    <w:rsid w:val="00955D2A"/>
    <w:rsid w:val="00963526"/>
    <w:rsid w:val="00963E58"/>
    <w:rsid w:val="00976E9D"/>
    <w:rsid w:val="00986E59"/>
    <w:rsid w:val="0098771D"/>
    <w:rsid w:val="00992573"/>
    <w:rsid w:val="00996DCA"/>
    <w:rsid w:val="009B139B"/>
    <w:rsid w:val="009B41FE"/>
    <w:rsid w:val="009D049F"/>
    <w:rsid w:val="009F0134"/>
    <w:rsid w:val="00A0231C"/>
    <w:rsid w:val="00A04E5C"/>
    <w:rsid w:val="00A0763A"/>
    <w:rsid w:val="00A104E5"/>
    <w:rsid w:val="00A10A57"/>
    <w:rsid w:val="00A116C5"/>
    <w:rsid w:val="00A11BC1"/>
    <w:rsid w:val="00A15CBE"/>
    <w:rsid w:val="00A3065F"/>
    <w:rsid w:val="00A325FD"/>
    <w:rsid w:val="00A51153"/>
    <w:rsid w:val="00A53A52"/>
    <w:rsid w:val="00A57BE2"/>
    <w:rsid w:val="00A605EF"/>
    <w:rsid w:val="00A6497D"/>
    <w:rsid w:val="00A6611F"/>
    <w:rsid w:val="00A71E3E"/>
    <w:rsid w:val="00A7625D"/>
    <w:rsid w:val="00A80B41"/>
    <w:rsid w:val="00A84451"/>
    <w:rsid w:val="00A907EF"/>
    <w:rsid w:val="00A908CE"/>
    <w:rsid w:val="00A93B6E"/>
    <w:rsid w:val="00AA7D46"/>
    <w:rsid w:val="00AB2007"/>
    <w:rsid w:val="00AD0EA4"/>
    <w:rsid w:val="00AD0FA9"/>
    <w:rsid w:val="00AD60B2"/>
    <w:rsid w:val="00AD66C0"/>
    <w:rsid w:val="00AE6A2B"/>
    <w:rsid w:val="00AF4220"/>
    <w:rsid w:val="00AF4B08"/>
    <w:rsid w:val="00B25278"/>
    <w:rsid w:val="00B25D45"/>
    <w:rsid w:val="00B40F36"/>
    <w:rsid w:val="00B41366"/>
    <w:rsid w:val="00B430B1"/>
    <w:rsid w:val="00B504B8"/>
    <w:rsid w:val="00B72F23"/>
    <w:rsid w:val="00B76F38"/>
    <w:rsid w:val="00B9101C"/>
    <w:rsid w:val="00B9624D"/>
    <w:rsid w:val="00BC52CC"/>
    <w:rsid w:val="00BD272E"/>
    <w:rsid w:val="00BE247E"/>
    <w:rsid w:val="00BE41DF"/>
    <w:rsid w:val="00BF4B0B"/>
    <w:rsid w:val="00C0208F"/>
    <w:rsid w:val="00C13237"/>
    <w:rsid w:val="00C16036"/>
    <w:rsid w:val="00C6241A"/>
    <w:rsid w:val="00C65364"/>
    <w:rsid w:val="00C73909"/>
    <w:rsid w:val="00C752F9"/>
    <w:rsid w:val="00C85403"/>
    <w:rsid w:val="00C91C05"/>
    <w:rsid w:val="00CA4848"/>
    <w:rsid w:val="00CB5B11"/>
    <w:rsid w:val="00CC2CF5"/>
    <w:rsid w:val="00CC2EE7"/>
    <w:rsid w:val="00CC33FB"/>
    <w:rsid w:val="00CC4DBF"/>
    <w:rsid w:val="00CD0622"/>
    <w:rsid w:val="00CD1C12"/>
    <w:rsid w:val="00CE4F57"/>
    <w:rsid w:val="00CE6FA4"/>
    <w:rsid w:val="00CF3D39"/>
    <w:rsid w:val="00D01DFA"/>
    <w:rsid w:val="00D07DB1"/>
    <w:rsid w:val="00D218EF"/>
    <w:rsid w:val="00D2661E"/>
    <w:rsid w:val="00D268E9"/>
    <w:rsid w:val="00D46505"/>
    <w:rsid w:val="00D631F5"/>
    <w:rsid w:val="00D7665A"/>
    <w:rsid w:val="00D90C1F"/>
    <w:rsid w:val="00D922C6"/>
    <w:rsid w:val="00D92BF6"/>
    <w:rsid w:val="00D93459"/>
    <w:rsid w:val="00D97E14"/>
    <w:rsid w:val="00DA17EA"/>
    <w:rsid w:val="00DB3069"/>
    <w:rsid w:val="00DC7D2A"/>
    <w:rsid w:val="00DD4112"/>
    <w:rsid w:val="00DE1A83"/>
    <w:rsid w:val="00DF496F"/>
    <w:rsid w:val="00DF6DB6"/>
    <w:rsid w:val="00E02482"/>
    <w:rsid w:val="00E033D1"/>
    <w:rsid w:val="00E04582"/>
    <w:rsid w:val="00E402F6"/>
    <w:rsid w:val="00E44945"/>
    <w:rsid w:val="00E62799"/>
    <w:rsid w:val="00E72640"/>
    <w:rsid w:val="00E9273F"/>
    <w:rsid w:val="00E9545F"/>
    <w:rsid w:val="00EA76F2"/>
    <w:rsid w:val="00EB1EE3"/>
    <w:rsid w:val="00EB521C"/>
    <w:rsid w:val="00ED4895"/>
    <w:rsid w:val="00ED6B71"/>
    <w:rsid w:val="00ED76A6"/>
    <w:rsid w:val="00EF41D1"/>
    <w:rsid w:val="00F0305D"/>
    <w:rsid w:val="00F043EB"/>
    <w:rsid w:val="00F114A0"/>
    <w:rsid w:val="00F14128"/>
    <w:rsid w:val="00F14A87"/>
    <w:rsid w:val="00F25766"/>
    <w:rsid w:val="00F33281"/>
    <w:rsid w:val="00F33414"/>
    <w:rsid w:val="00F34421"/>
    <w:rsid w:val="00F410D9"/>
    <w:rsid w:val="00F510D4"/>
    <w:rsid w:val="00F63AAA"/>
    <w:rsid w:val="00F64F33"/>
    <w:rsid w:val="00F75F5B"/>
    <w:rsid w:val="00F80B9D"/>
    <w:rsid w:val="00F83CFD"/>
    <w:rsid w:val="00FB2CFB"/>
    <w:rsid w:val="00FB5525"/>
    <w:rsid w:val="00FB6BDE"/>
    <w:rsid w:val="00FC4A6B"/>
    <w:rsid w:val="00FD32DE"/>
    <w:rsid w:val="00FD7EB0"/>
    <w:rsid w:val="00FE4DC3"/>
    <w:rsid w:val="00FF37A7"/>
    <w:rsid w:val="00FF4120"/>
    <w:rsid w:val="23768DD3"/>
    <w:rsid w:val="314CF0A0"/>
    <w:rsid w:val="78731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0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2661E"/>
    <w:pPr>
      <w:tabs>
        <w:tab w:val="center" w:pos="4536"/>
        <w:tab w:val="right" w:pos="9072"/>
      </w:tabs>
      <w:spacing w:line="240" w:lineRule="auto"/>
    </w:pPr>
  </w:style>
  <w:style w:type="character" w:customStyle="1" w:styleId="HeaderChar">
    <w:name w:val="Header Char"/>
    <w:basedOn w:val="DefaultParagraphFont"/>
    <w:link w:val="Header"/>
    <w:uiPriority w:val="99"/>
    <w:rsid w:val="00D2661E"/>
    <w:rPr>
      <w:rFonts w:ascii="Verdana" w:hAnsi="Verdana"/>
      <w:color w:val="000000"/>
      <w:sz w:val="18"/>
      <w:szCs w:val="18"/>
    </w:rPr>
  </w:style>
  <w:style w:type="paragraph" w:styleId="Footer">
    <w:name w:val="footer"/>
    <w:basedOn w:val="Normal"/>
    <w:link w:val="FooterChar"/>
    <w:uiPriority w:val="99"/>
    <w:unhideWhenUsed/>
    <w:rsid w:val="00D2661E"/>
    <w:pPr>
      <w:tabs>
        <w:tab w:val="center" w:pos="4536"/>
        <w:tab w:val="right" w:pos="9072"/>
      </w:tabs>
      <w:spacing w:line="240" w:lineRule="auto"/>
    </w:pPr>
  </w:style>
  <w:style w:type="character" w:customStyle="1" w:styleId="FooterChar">
    <w:name w:val="Footer Char"/>
    <w:basedOn w:val="DefaultParagraphFont"/>
    <w:link w:val="Footer"/>
    <w:uiPriority w:val="99"/>
    <w:rsid w:val="00D2661E"/>
    <w:rPr>
      <w:rFonts w:ascii="Verdana" w:hAnsi="Verdana"/>
      <w:color w:val="000000"/>
      <w:sz w:val="18"/>
      <w:szCs w:val="18"/>
    </w:rPr>
  </w:style>
  <w:style w:type="paragraph" w:styleId="ListParagraph">
    <w:name w:val="List Paragraph"/>
    <w:basedOn w:val="Normal"/>
    <w:uiPriority w:val="34"/>
    <w:qFormat/>
    <w:rsid w:val="0080498E"/>
    <w:pPr>
      <w:ind w:left="720"/>
      <w:contextualSpacing/>
    </w:pPr>
  </w:style>
  <w:style w:type="character" w:styleId="CommentReference">
    <w:name w:val="annotation reference"/>
    <w:basedOn w:val="DefaultParagraphFont"/>
    <w:uiPriority w:val="99"/>
    <w:semiHidden/>
    <w:unhideWhenUsed/>
    <w:rsid w:val="00E72640"/>
    <w:rPr>
      <w:sz w:val="16"/>
      <w:szCs w:val="16"/>
    </w:rPr>
  </w:style>
  <w:style w:type="paragraph" w:styleId="CommentText">
    <w:name w:val="annotation text"/>
    <w:basedOn w:val="Normal"/>
    <w:link w:val="CommentTextChar"/>
    <w:uiPriority w:val="99"/>
    <w:unhideWhenUsed/>
    <w:rsid w:val="00E7264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72640"/>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A93B6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A93B6E"/>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F63AA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0901">
      <w:bodyDiv w:val="1"/>
      <w:marLeft w:val="0"/>
      <w:marRight w:val="0"/>
      <w:marTop w:val="0"/>
      <w:marBottom w:val="0"/>
      <w:divBdr>
        <w:top w:val="none" w:sz="0" w:space="0" w:color="auto"/>
        <w:left w:val="none" w:sz="0" w:space="0" w:color="auto"/>
        <w:bottom w:val="none" w:sz="0" w:space="0" w:color="auto"/>
        <w:right w:val="none" w:sz="0" w:space="0" w:color="auto"/>
      </w:divBdr>
    </w:div>
    <w:div w:id="120225302">
      <w:bodyDiv w:val="1"/>
      <w:marLeft w:val="0"/>
      <w:marRight w:val="0"/>
      <w:marTop w:val="0"/>
      <w:marBottom w:val="0"/>
      <w:divBdr>
        <w:top w:val="none" w:sz="0" w:space="0" w:color="auto"/>
        <w:left w:val="none" w:sz="0" w:space="0" w:color="auto"/>
        <w:bottom w:val="none" w:sz="0" w:space="0" w:color="auto"/>
        <w:right w:val="none" w:sz="0" w:space="0" w:color="auto"/>
      </w:divBdr>
    </w:div>
    <w:div w:id="356199422">
      <w:bodyDiv w:val="1"/>
      <w:marLeft w:val="0"/>
      <w:marRight w:val="0"/>
      <w:marTop w:val="0"/>
      <w:marBottom w:val="0"/>
      <w:divBdr>
        <w:top w:val="none" w:sz="0" w:space="0" w:color="auto"/>
        <w:left w:val="none" w:sz="0" w:space="0" w:color="auto"/>
        <w:bottom w:val="none" w:sz="0" w:space="0" w:color="auto"/>
        <w:right w:val="none" w:sz="0" w:space="0" w:color="auto"/>
      </w:divBdr>
    </w:div>
    <w:div w:id="458688119">
      <w:bodyDiv w:val="1"/>
      <w:marLeft w:val="0"/>
      <w:marRight w:val="0"/>
      <w:marTop w:val="0"/>
      <w:marBottom w:val="0"/>
      <w:divBdr>
        <w:top w:val="none" w:sz="0" w:space="0" w:color="auto"/>
        <w:left w:val="none" w:sz="0" w:space="0" w:color="auto"/>
        <w:bottom w:val="none" w:sz="0" w:space="0" w:color="auto"/>
        <w:right w:val="none" w:sz="0" w:space="0" w:color="auto"/>
      </w:divBdr>
    </w:div>
    <w:div w:id="531308354">
      <w:bodyDiv w:val="1"/>
      <w:marLeft w:val="0"/>
      <w:marRight w:val="0"/>
      <w:marTop w:val="0"/>
      <w:marBottom w:val="0"/>
      <w:divBdr>
        <w:top w:val="none" w:sz="0" w:space="0" w:color="auto"/>
        <w:left w:val="none" w:sz="0" w:space="0" w:color="auto"/>
        <w:bottom w:val="none" w:sz="0" w:space="0" w:color="auto"/>
        <w:right w:val="none" w:sz="0" w:space="0" w:color="auto"/>
      </w:divBdr>
    </w:div>
    <w:div w:id="549079587">
      <w:bodyDiv w:val="1"/>
      <w:marLeft w:val="0"/>
      <w:marRight w:val="0"/>
      <w:marTop w:val="0"/>
      <w:marBottom w:val="0"/>
      <w:divBdr>
        <w:top w:val="none" w:sz="0" w:space="0" w:color="auto"/>
        <w:left w:val="none" w:sz="0" w:space="0" w:color="auto"/>
        <w:bottom w:val="none" w:sz="0" w:space="0" w:color="auto"/>
        <w:right w:val="none" w:sz="0" w:space="0" w:color="auto"/>
      </w:divBdr>
    </w:div>
    <w:div w:id="790435151">
      <w:bodyDiv w:val="1"/>
      <w:marLeft w:val="0"/>
      <w:marRight w:val="0"/>
      <w:marTop w:val="0"/>
      <w:marBottom w:val="0"/>
      <w:divBdr>
        <w:top w:val="none" w:sz="0" w:space="0" w:color="auto"/>
        <w:left w:val="none" w:sz="0" w:space="0" w:color="auto"/>
        <w:bottom w:val="none" w:sz="0" w:space="0" w:color="auto"/>
        <w:right w:val="none" w:sz="0" w:space="0" w:color="auto"/>
      </w:divBdr>
    </w:div>
    <w:div w:id="1147935223">
      <w:bodyDiv w:val="1"/>
      <w:marLeft w:val="0"/>
      <w:marRight w:val="0"/>
      <w:marTop w:val="0"/>
      <w:marBottom w:val="0"/>
      <w:divBdr>
        <w:top w:val="none" w:sz="0" w:space="0" w:color="auto"/>
        <w:left w:val="none" w:sz="0" w:space="0" w:color="auto"/>
        <w:bottom w:val="none" w:sz="0" w:space="0" w:color="auto"/>
        <w:right w:val="none" w:sz="0" w:space="0" w:color="auto"/>
      </w:divBdr>
    </w:div>
    <w:div w:id="1169059101">
      <w:bodyDiv w:val="1"/>
      <w:marLeft w:val="0"/>
      <w:marRight w:val="0"/>
      <w:marTop w:val="0"/>
      <w:marBottom w:val="0"/>
      <w:divBdr>
        <w:top w:val="none" w:sz="0" w:space="0" w:color="auto"/>
        <w:left w:val="none" w:sz="0" w:space="0" w:color="auto"/>
        <w:bottom w:val="none" w:sz="0" w:space="0" w:color="auto"/>
        <w:right w:val="none" w:sz="0" w:space="0" w:color="auto"/>
      </w:divBdr>
    </w:div>
    <w:div w:id="1171337498">
      <w:bodyDiv w:val="1"/>
      <w:marLeft w:val="0"/>
      <w:marRight w:val="0"/>
      <w:marTop w:val="0"/>
      <w:marBottom w:val="0"/>
      <w:divBdr>
        <w:top w:val="none" w:sz="0" w:space="0" w:color="auto"/>
        <w:left w:val="none" w:sz="0" w:space="0" w:color="auto"/>
        <w:bottom w:val="none" w:sz="0" w:space="0" w:color="auto"/>
        <w:right w:val="none" w:sz="0" w:space="0" w:color="auto"/>
      </w:divBdr>
    </w:div>
    <w:div w:id="1371035583">
      <w:bodyDiv w:val="1"/>
      <w:marLeft w:val="0"/>
      <w:marRight w:val="0"/>
      <w:marTop w:val="0"/>
      <w:marBottom w:val="0"/>
      <w:divBdr>
        <w:top w:val="none" w:sz="0" w:space="0" w:color="auto"/>
        <w:left w:val="none" w:sz="0" w:space="0" w:color="auto"/>
        <w:bottom w:val="none" w:sz="0" w:space="0" w:color="auto"/>
        <w:right w:val="none" w:sz="0" w:space="0" w:color="auto"/>
      </w:divBdr>
    </w:div>
    <w:div w:id="1391802994">
      <w:bodyDiv w:val="1"/>
      <w:marLeft w:val="0"/>
      <w:marRight w:val="0"/>
      <w:marTop w:val="0"/>
      <w:marBottom w:val="0"/>
      <w:divBdr>
        <w:top w:val="none" w:sz="0" w:space="0" w:color="auto"/>
        <w:left w:val="none" w:sz="0" w:space="0" w:color="auto"/>
        <w:bottom w:val="none" w:sz="0" w:space="0" w:color="auto"/>
        <w:right w:val="none" w:sz="0" w:space="0" w:color="auto"/>
      </w:divBdr>
    </w:div>
    <w:div w:id="1906644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4684</ap:Words>
  <ap:Characters>26700</ap:Characters>
  <ap:DocSecurity>0</ap:DocSecurity>
  <ap:Lines>222</ap:Lines>
  <ap:Paragraphs>62</ap:Paragraphs>
  <ap:ScaleCrop>false</ap:ScaleCrop>
  <ap:HeadingPairs>
    <vt:vector baseType="variant" size="2">
      <vt:variant>
        <vt:lpstr>Titel</vt:lpstr>
      </vt:variant>
      <vt:variant>
        <vt:i4>1</vt:i4>
      </vt:variant>
    </vt:vector>
  </ap:HeadingPairs>
  <ap:TitlesOfParts>
    <vt:vector baseType="lpstr" size="1">
      <vt:lpstr>Brief aan Parlement - Nota naar aanleiding van het verslag</vt:lpstr>
    </vt:vector>
  </ap:TitlesOfParts>
  <ap:LinksUpToDate>false</ap:LinksUpToDate>
  <ap:CharactersWithSpaces>31322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2025-08-14T10:15:00.0000000Z</lastPrinted>
  <dcterms:created xsi:type="dcterms:W3CDTF">2025-09-04T09:43:00.0000000Z</dcterms:created>
  <dcterms:modified xsi:type="dcterms:W3CDTF">2025-09-04T09:43:00.0000000Z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Nota naar aanleiding van het verslag</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C.J. Fremouw</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0x0101002B478C6B66405B4394ABA0766868A5B4</vt:lpwstr>
  </property>
</Properties>
</file>