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3C7E" w:rsidR="00A828E3" w:rsidRDefault="00E02D08" w14:paraId="456DD30B" w14:textId="5125F41C">
      <w:pPr>
        <w:pStyle w:val="PlatteTekst"/>
        <w:sectPr w:rsidRPr="002B3C7E" w:rsidR="00A828E3" w:rsidSect="00BF62AD">
          <w:headerReference w:type="default" r:id="rId9"/>
          <w:footerReference w:type="default" r:id="rId10"/>
          <w:type w:val="continuous"/>
          <w:pgSz w:w="11907" w:h="16840" w:orient="portrait" w:code="9"/>
          <w:pgMar w:top="-2410" w:right="1361" w:bottom="1418" w:left="2211" w:header="2370" w:footer="992" w:gutter="0"/>
          <w:cols w:space="708"/>
          <w:docGrid w:type="lines" w:linePitch="284"/>
        </w:sectPr>
      </w:pPr>
    </w:p>
    <w:p w:rsidR="107B3C8D" w:rsidP="107B3C8D" w:rsidRDefault="107B3C8D" w14:paraId="56E35D22" w14:textId="57CE6208">
      <w:pPr>
        <w:rPr>
          <w:b w:val="1"/>
          <w:bCs w:val="1"/>
          <w:sz w:val="22"/>
          <w:szCs w:val="22"/>
        </w:rPr>
      </w:pPr>
    </w:p>
    <w:p w:rsidR="107B3C8D" w:rsidRDefault="107B3C8D" w14:paraId="26102D8F" w14:textId="17D23A3C"/>
    <w:p w:rsidR="107B3C8D" w:rsidP="107B3C8D" w:rsidRDefault="107B3C8D" w14:paraId="6E58DB10" w14:textId="5D36AF31">
      <w:pPr>
        <w:ind w:left="3545" w:firstLine="709"/>
      </w:pPr>
    </w:p>
    <w:p w:rsidR="6CAAA9A0" w:rsidP="107B3C8D" w:rsidRDefault="6CAAA9A0" w14:paraId="77632DD7" w14:textId="2FD74EA2">
      <w:pPr>
        <w:ind w:left="4963" w:firstLine="0"/>
        <w:rPr>
          <w:b w:val="1"/>
          <w:bCs w:val="1"/>
        </w:rPr>
      </w:pPr>
      <w:r w:rsidRPr="107B3C8D" w:rsidR="6CAAA9A0">
        <w:rPr>
          <w:b w:val="1"/>
          <w:bCs w:val="1"/>
        </w:rPr>
        <w:t xml:space="preserve">Commissie Buitenlandse Handel </w:t>
      </w:r>
      <w:r w:rsidRPr="107B3C8D" w:rsidR="6CAAA9A0">
        <w:rPr>
          <w:b w:val="1"/>
          <w:bCs w:val="1"/>
        </w:rPr>
        <w:t>e</w:t>
      </w:r>
      <w:r w:rsidRPr="107B3C8D" w:rsidR="6CAAA9A0">
        <w:rPr>
          <w:b w:val="1"/>
          <w:bCs w:val="1"/>
        </w:rPr>
        <w:t>n Ontwikkelingshulp</w:t>
      </w:r>
    </w:p>
    <w:p w:rsidR="107B3C8D" w:rsidP="107B3C8D" w:rsidRDefault="107B3C8D" w14:paraId="013F12C7" w14:textId="682EEF16">
      <w:pPr>
        <w:ind w:left="3545" w:firstLine="709"/>
        <w:rPr>
          <w:b w:val="1"/>
          <w:bCs w:val="1"/>
        </w:rPr>
      </w:pPr>
    </w:p>
    <w:p w:rsidR="6CAAA9A0" w:rsidP="107B3C8D" w:rsidRDefault="6CAAA9A0" w14:paraId="5D2E567F" w14:textId="3079F612">
      <w:pPr>
        <w:ind w:left="4254" w:firstLine="709"/>
        <w:rPr>
          <w:b w:val="1"/>
          <w:bCs w:val="1"/>
        </w:rPr>
      </w:pPr>
      <w:r w:rsidRPr="7D200872" w:rsidR="7F153B60">
        <w:rPr>
          <w:b w:val="1"/>
          <w:bCs w:val="1"/>
        </w:rPr>
        <w:t>3</w:t>
      </w:r>
      <w:r w:rsidRPr="7D200872" w:rsidR="6CAAA9A0">
        <w:rPr>
          <w:b w:val="1"/>
          <w:bCs w:val="1"/>
        </w:rPr>
        <w:t xml:space="preserve"> september 2025</w:t>
      </w:r>
    </w:p>
    <w:p w:rsidR="107B3C8D" w:rsidRDefault="107B3C8D" w14:paraId="724827F2" w14:textId="51CF131E"/>
    <w:p w:rsidR="107B3C8D" w:rsidP="107B3C8D" w:rsidRDefault="107B3C8D" w14:paraId="00E82A30" w14:textId="170869CA">
      <w:pPr>
        <w:rPr>
          <w:b w:val="1"/>
          <w:bCs w:val="1"/>
          <w:sz w:val="22"/>
          <w:szCs w:val="22"/>
        </w:rPr>
      </w:pPr>
    </w:p>
    <w:p w:rsidR="00E02D08" w:rsidP="00C727FA" w:rsidRDefault="00E02D08" w14:paraId="21462D5B" w14:textId="117D1BA2">
      <w:pPr/>
      <w:r w:rsidRPr="107B3C8D" w:rsidR="00E02D08">
        <w:rPr>
          <w:b w:val="1"/>
          <w:bCs w:val="1"/>
          <w:sz w:val="22"/>
          <w:szCs w:val="22"/>
        </w:rPr>
        <w:t>Lijst van nieuwe EU-voorstellen</w:t>
      </w:r>
      <w:r>
        <w:tab/>
      </w:r>
      <w:r>
        <w:tab/>
      </w:r>
      <w:r>
        <w:tab/>
      </w:r>
      <w:r w:rsidRPr="107B3C8D" w:rsidR="00E02D08">
        <w:rPr>
          <w:b w:val="1"/>
          <w:bCs w:val="1"/>
          <w:sz w:val="22"/>
          <w:szCs w:val="22"/>
        </w:rPr>
        <w:t xml:space="preserve"> </w:t>
      </w:r>
    </w:p>
    <w:p w:rsidRPr="00E02D08" w:rsidR="00E02D08" w:rsidP="30145D24" w:rsidRDefault="00E02D08" w14:paraId="1C46C62A" w14:textId="77777777">
      <w:pPr>
        <w:rPr>
          <w:b w:val="1"/>
          <w:bCs w:val="1"/>
          <w:sz w:val="22"/>
          <w:szCs w:val="22"/>
        </w:rPr>
      </w:pPr>
    </w:p>
    <w:p w:rsidRPr="00E02D08" w:rsidR="006F2511" w:rsidP="107B3C8D" w:rsidRDefault="006F2511" w14:paraId="622D0562" w14:textId="080233D1">
      <w:pPr>
        <w:pStyle w:val="Standaard"/>
        <w:rPr>
          <w:sz w:val="16"/>
          <w:szCs w:val="16"/>
        </w:rPr>
      </w:pPr>
      <w:r w:rsidRPr="00E02D08" w:rsidR="006F2511">
        <w:rPr>
          <w:sz w:val="16"/>
          <w:szCs w:val="16"/>
        </w:rPr>
        <w:t>De</w:t>
      </w:r>
      <w:r w:rsidRPr="107B3C8D" w:rsidR="006F2511">
        <w:rPr>
          <w:b w:val="1"/>
          <w:bCs w:val="1"/>
          <w:sz w:val="16"/>
          <w:szCs w:val="16"/>
        </w:rPr>
        <w:t xml:space="preserve"> </w:t>
      </w:r>
      <w:r w:rsidRPr="00E02D08" w:rsidR="006F2511">
        <w:rPr>
          <w:sz w:val="16"/>
          <w:szCs w:val="16"/>
        </w:rPr>
        <w:t xml:space="preserve">Europese Commissie heeft in de periode </w:t>
      </w:r>
      <w:r w:rsidR="001E0E15">
        <w:rPr>
          <w:sz w:val="16"/>
          <w:szCs w:val="16"/>
        </w:rPr>
        <w:t xml:space="preserve">van </w:t>
      </w:r>
      <w:r w:rsidRPr="00D25C7A" w:rsidR="00D25C7A">
        <w:rPr>
          <w:b w:val="1"/>
          <w:bCs w:val="1"/>
          <w:sz w:val="16"/>
          <w:szCs w:val="16"/>
        </w:rPr>
        <w:t>26 juni 2025</w:t>
      </w:r>
      <w:r w:rsidRPr="30145D24" w:rsidR="001E0E15">
        <w:rPr>
          <w:b w:val="1"/>
          <w:bCs w:val="1"/>
          <w:sz w:val="16"/>
          <w:szCs w:val="16"/>
        </w:rPr>
        <w:t xml:space="preserve"> tot en met </w:t>
      </w:r>
      <w:r w:rsidRPr="30145D24" w:rsidR="696CAA9E">
        <w:rPr>
          <w:b w:val="1"/>
          <w:bCs w:val="1"/>
          <w:sz w:val="16"/>
          <w:szCs w:val="16"/>
        </w:rPr>
        <w:t xml:space="preserve">7 augustus</w:t>
      </w:r>
      <w:r w:rsidRPr="30145D24" w:rsidR="00BD5BE5">
        <w:rPr>
          <w:b w:val="1"/>
          <w:bCs w:val="1"/>
          <w:sz w:val="16"/>
          <w:szCs w:val="16"/>
        </w:rPr>
        <w:t xml:space="preserve"> </w:t>
      </w:r>
      <w:r w:rsidRPr="30145D24" w:rsidR="001E0E15">
        <w:rPr>
          <w:b w:val="1"/>
          <w:bCs w:val="1"/>
          <w:sz w:val="16"/>
          <w:szCs w:val="16"/>
        </w:rPr>
        <w:t>2</w:t>
      </w:r>
      <w:r w:rsidRPr="30145D24" w:rsidR="001E0E15">
        <w:rPr>
          <w:b w:val="1"/>
          <w:bCs w:val="1"/>
          <w:sz w:val="16"/>
          <w:szCs w:val="16"/>
        </w:rPr>
        <w:t>02</w:t>
      </w:r>
      <w:r w:rsidRPr="30145D24" w:rsidR="00B719D3">
        <w:rPr>
          <w:b w:val="1"/>
          <w:bCs w:val="1"/>
          <w:sz w:val="16"/>
          <w:szCs w:val="16"/>
        </w:rPr>
        <w:t>5</w:t>
      </w:r>
      <w:r w:rsidRPr="00E02D08" w:rsidR="001E0E15">
        <w:rPr>
          <w:sz w:val="16"/>
          <w:szCs w:val="16"/>
        </w:rPr>
        <w:t xml:space="preserve"> </w:t>
      </w:r>
      <w:r w:rsidRPr="00E02D08" w:rsidR="006F2511">
        <w:rPr>
          <w:sz w:val="16"/>
          <w:szCs w:val="16"/>
        </w:rPr>
        <w:t xml:space="preserve">de volgende voor </w:t>
      </w:r>
      <w:r w:rsidRPr="00E02D08" w:rsidR="00E02D08">
        <w:rPr>
          <w:sz w:val="16"/>
          <w:szCs w:val="16"/>
        </w:rPr>
        <w:t>de</w:t>
      </w:r>
      <w:r w:rsidR="00405747">
        <w:rPr>
          <w:sz w:val="16"/>
          <w:szCs w:val="16"/>
        </w:rPr>
        <w:t>ze</w:t>
      </w:r>
      <w:r w:rsidRPr="00E02D08" w:rsidR="00E02D08">
        <w:rPr>
          <w:sz w:val="16"/>
          <w:szCs w:val="16"/>
        </w:rPr>
        <w:t xml:space="preserve"> </w:t>
      </w:r>
      <w:r w:rsidRPr="00405747" w:rsidR="006F2511">
        <w:rPr>
          <w:sz w:val="16"/>
          <w:szCs w:val="16"/>
        </w:rPr>
        <w:t>vaste commissie</w:t>
      </w:r>
      <w:r w:rsidRPr="107B3C8D" w:rsidR="006F2511">
        <w:rPr>
          <w:b w:val="1"/>
          <w:bCs w:val="1"/>
          <w:sz w:val="16"/>
          <w:szCs w:val="16"/>
        </w:rPr>
        <w:t xml:space="preserve"> </w:t>
      </w:r>
      <w:r w:rsidRPr="00E02D08" w:rsidR="006F2511">
        <w:rPr>
          <w:sz w:val="16"/>
          <w:szCs w:val="16"/>
        </w:rPr>
        <w:t>relevante voorstellen voor Europese wetgeving, besluiten en andere beleidsvormende documenten aan de Tweede Kamer gestuurd</w:t>
      </w:r>
      <w:r w:rsidR="002B21B2">
        <w:rPr>
          <w:rStyle w:val="Voetnootmarkering"/>
          <w:sz w:val="16"/>
          <w:szCs w:val="16"/>
        </w:rPr>
        <w:footnoteReference w:id="1"/>
      </w:r>
      <w:r w:rsidRPr="00E02D08" w:rsidR="006F2511">
        <w:rPr>
          <w:sz w:val="16"/>
          <w:szCs w:val="16"/>
        </w:rPr>
        <w:t xml:space="preserve">: </w:t>
      </w:r>
    </w:p>
    <w:p w:rsidR="00820149" w:rsidP="00C727FA" w:rsidRDefault="00820149" w14:paraId="74346F6B" w14:textId="77777777">
      <w:pPr>
        <w:rPr>
          <w:szCs w:val="18"/>
        </w:rPr>
      </w:pPr>
    </w:p>
    <w:p w:rsidRPr="00820149" w:rsidR="00820149" w:rsidP="00820149" w:rsidRDefault="00D27FE7" w14:paraId="1AA34E84" w14:textId="7777777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0607CE23"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8818B7" w:rsidR="001E0E15" w:rsidTr="30145D24" w14:paraId="4317672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Mar/>
          </w:tcPr>
          <w:p w:rsidRPr="002A4BD8" w:rsidR="001E0E15" w:rsidP="107B3C8D" w:rsidRDefault="001E0E15" w14:paraId="747BC052" w14:textId="77FB5C30">
            <w:pPr>
              <w:pStyle w:val="Lijstalinea"/>
              <w:numPr>
                <w:ilvl w:val="0"/>
                <w:numId w:val="10"/>
              </w:numPr>
              <w:spacing w:after="240"/>
              <w:ind w:left="312"/>
              <w:rPr>
                <w:color w:val="595959" w:themeColor="text1" w:themeTint="A6"/>
              </w:rPr>
            </w:pPr>
          </w:p>
        </w:tc>
        <w:tc>
          <w:tcPr>
            <w:tcW w:w="1035" w:type="dxa"/>
            <w:tcMar/>
          </w:tcPr>
          <w:p w:rsidRPr="007B2BAB" w:rsidR="001E0E15" w:rsidP="00495F7C" w:rsidRDefault="001E0E15" w14:paraId="4A8DFF0D" w14:textId="77777777">
            <w:pPr>
              <w:spacing w:after="240"/>
              <w:rPr>
                <w:szCs w:val="18"/>
              </w:rPr>
            </w:pPr>
            <w:r w:rsidRPr="007B2BAB">
              <w:rPr>
                <w:szCs w:val="18"/>
              </w:rPr>
              <w:t>Titel</w:t>
            </w:r>
          </w:p>
        </w:tc>
        <w:tc>
          <w:tcPr>
            <w:tcW w:w="6529" w:type="dxa"/>
            <w:tcMar/>
          </w:tcPr>
          <w:p w:rsidRPr="008C6B1F" w:rsidR="001E0E15" w:rsidP="107B3C8D" w:rsidRDefault="008C6B1F" w14:paraId="447E79E7" w14:textId="489EFC94">
            <w:pPr>
              <w:shd w:val="clear" w:color="auto" w:fill="FFFFFF" w:themeFill="background1"/>
              <w:spacing w:after="75"/>
              <w:rPr>
                <w:lang w:val="en-US"/>
              </w:rPr>
            </w:pPr>
            <w:r w:rsidRPr="107B3C8D" w:rsidR="6196364B">
              <w:rPr>
                <w:lang w:val="en-US"/>
              </w:rPr>
              <w:t xml:space="preserve">Proposal for a REGULATION OF THE EUROPEAN PARLIAMENT AND OF THE COUNCIL </w:t>
            </w:r>
            <w:r w:rsidRPr="107B3C8D" w:rsidR="6196364B">
              <w:rPr>
                <w:lang w:val="en-US"/>
              </w:rPr>
              <w:t xml:space="preserve">establishing Global Europe </w:t>
            </w:r>
            <w:hyperlink r:id="Ra2e650bf1e19441f">
              <w:r w:rsidRPr="107B3C8D" w:rsidR="6196364B">
                <w:rPr>
                  <w:rStyle w:val="Hyperlink"/>
                  <w:lang w:val="en-US"/>
                </w:rPr>
                <w:t>COM(2025)551</w:t>
              </w:r>
              <w:r>
                <w:br/>
              </w:r>
            </w:hyperlink>
          </w:p>
        </w:tc>
      </w:tr>
      <w:tr w:rsidR="001E0E15" w:rsidTr="30145D24" w14:paraId="0B5CCE3A" w14:textId="77777777">
        <w:trPr>
          <w:trHeight w:val="395"/>
        </w:trPr>
        <w:tc>
          <w:tcPr>
            <w:tcW w:w="421" w:type="dxa"/>
            <w:vMerge/>
            <w:tcBorders/>
            <w:tcMar/>
          </w:tcPr>
          <w:p w:rsidRPr="008C6B1F" w:rsidR="001E0E15" w:rsidP="00495F7C" w:rsidRDefault="001E0E15" w14:paraId="73DC89D8" w14:textId="77777777">
            <w:pPr>
              <w:spacing w:after="240"/>
              <w:rPr>
                <w:szCs w:val="18"/>
                <w:lang w:val="en-US"/>
              </w:rPr>
            </w:pPr>
          </w:p>
        </w:tc>
        <w:tc>
          <w:tcPr>
            <w:tcW w:w="1035" w:type="dxa"/>
            <w:tcMar/>
          </w:tcPr>
          <w:p w:rsidRPr="007B2BAB" w:rsidR="001E0E15" w:rsidP="00495F7C" w:rsidRDefault="001E0E15" w14:paraId="6EA12564" w14:textId="77777777">
            <w:pPr>
              <w:spacing w:after="240"/>
              <w:rPr>
                <w:szCs w:val="18"/>
              </w:rPr>
            </w:pPr>
            <w:r w:rsidRPr="007B2BAB">
              <w:rPr>
                <w:szCs w:val="18"/>
              </w:rPr>
              <w:t>Voorstel</w:t>
            </w:r>
          </w:p>
        </w:tc>
        <w:tc>
          <w:tcPr>
            <w:tcW w:w="6529" w:type="dxa"/>
            <w:tcMar/>
          </w:tcPr>
          <w:p w:rsidRPr="007B2BAB" w:rsidR="001E0E15" w:rsidP="107B3C8D" w:rsidRDefault="00707498" w14:paraId="37246C55" w14:textId="051AE997">
            <w:pPr>
              <w:spacing w:after="240"/>
            </w:pPr>
            <w:r w:rsidR="7A1456E5">
              <w:rPr/>
              <w:t xml:space="preserve">BNC-fiche </w:t>
            </w:r>
            <w:r w:rsidR="02A77316">
              <w:rPr/>
              <w:t>(na ontvangst) agenderen</w:t>
            </w:r>
            <w:r w:rsidR="03E9A66F">
              <w:rPr/>
              <w:t xml:space="preserve"> voor </w:t>
            </w:r>
            <w:r w:rsidR="095D2ED0">
              <w:rPr/>
              <w:t>een schriftelijk overleg over dit voorstel</w:t>
            </w:r>
            <w:r w:rsidR="594A58A2">
              <w:rPr/>
              <w:t>.</w:t>
            </w:r>
          </w:p>
        </w:tc>
      </w:tr>
      <w:tr w:rsidR="001E0E15" w:rsidTr="30145D24" w14:paraId="2531FBC8" w14:textId="77777777">
        <w:tc>
          <w:tcPr>
            <w:tcW w:w="421" w:type="dxa"/>
            <w:vMerge/>
            <w:tcBorders/>
            <w:tcMar/>
          </w:tcPr>
          <w:p w:rsidRPr="00D75535" w:rsidR="001E0E15" w:rsidP="00495F7C" w:rsidRDefault="001E0E15" w14:paraId="02603647" w14:textId="77777777">
            <w:pPr>
              <w:spacing w:after="240"/>
              <w:rPr>
                <w:color w:val="595959" w:themeColor="text1" w:themeTint="A6"/>
                <w:szCs w:val="18"/>
              </w:rPr>
            </w:pPr>
          </w:p>
        </w:tc>
        <w:tc>
          <w:tcPr>
            <w:tcW w:w="1035" w:type="dxa"/>
            <w:tcMar/>
          </w:tcPr>
          <w:p w:rsidRPr="007B2BAB" w:rsidR="001E0E15" w:rsidP="00495F7C" w:rsidRDefault="001E0E15" w14:paraId="400F05E7" w14:textId="77777777">
            <w:pPr>
              <w:spacing w:after="240"/>
              <w:rPr>
                <w:szCs w:val="18"/>
              </w:rPr>
            </w:pPr>
            <w:r w:rsidRPr="007B2BAB">
              <w:rPr>
                <w:szCs w:val="18"/>
              </w:rPr>
              <w:t>Noot</w:t>
            </w:r>
          </w:p>
        </w:tc>
        <w:tc>
          <w:tcPr>
            <w:tcW w:w="6529" w:type="dxa"/>
            <w:tcMar/>
          </w:tcPr>
          <w:p w:rsidRPr="007B2BAB" w:rsidR="001E0E15" w:rsidP="00495F7C" w:rsidRDefault="001E0E15" w14:paraId="0FFF7AF9" w14:textId="502170DD">
            <w:pPr>
              <w:spacing w:after="240"/>
            </w:pPr>
            <w:r w:rsidR="6C27C795">
              <w:rPr/>
              <w:t xml:space="preserve">Dit voorstel voor een </w:t>
            </w:r>
            <w:r w:rsidR="41C3EAB8">
              <w:rPr/>
              <w:t>Global Europe instrument</w:t>
            </w:r>
            <w:r w:rsidR="6C27C795">
              <w:rPr/>
              <w:t xml:space="preserve"> is onderdeel van de buitenlandpijler van het nieuwe Meerjarig Financieel Kader (MFK) </w:t>
            </w:r>
            <w:r w:rsidR="4A664FB5">
              <w:rPr/>
              <w:t>2028-20</w:t>
            </w:r>
            <w:r w:rsidR="3878CB84">
              <w:rPr/>
              <w:t>3</w:t>
            </w:r>
            <w:r w:rsidR="4A664FB5">
              <w:rPr/>
              <w:t>4.</w:t>
            </w:r>
            <w:r w:rsidR="186886E0">
              <w:rPr/>
              <w:t xml:space="preserve"> Deze verordening regelt </w:t>
            </w:r>
            <w:r w:rsidR="4A664FB5">
              <w:rPr/>
              <w:t xml:space="preserve">de financiering van </w:t>
            </w:r>
            <w:r w:rsidR="65CFE41A">
              <w:rPr/>
              <w:t xml:space="preserve">het extern optreden </w:t>
            </w:r>
            <w:r w:rsidR="6E56188A">
              <w:rPr/>
              <w:t>van de Unie</w:t>
            </w:r>
            <w:r w:rsidR="65CFE41A">
              <w:rPr/>
              <w:t xml:space="preserve">. </w:t>
            </w:r>
            <w:r w:rsidR="27143651">
              <w:rPr/>
              <w:t>De Commissie stelt een budget van ruim 200 miljard euro voor 2028-20</w:t>
            </w:r>
            <w:r w:rsidR="02384FC3">
              <w:rPr/>
              <w:t>34</w:t>
            </w:r>
            <w:r w:rsidR="27143651">
              <w:rPr/>
              <w:t xml:space="preserve"> </w:t>
            </w:r>
            <w:r w:rsidR="02384FC3">
              <w:rPr/>
              <w:t xml:space="preserve">voor. </w:t>
            </w:r>
            <w:r w:rsidR="0C2F52F4">
              <w:rPr/>
              <w:t xml:space="preserve">Daarnaast wordt financiering voor </w:t>
            </w:r>
            <w:r w:rsidR="7A9D8E4D">
              <w:rPr/>
              <w:t>Oekraïne</w:t>
            </w:r>
            <w:r w:rsidR="0C2F52F4">
              <w:rPr/>
              <w:t xml:space="preserve"> apart vastgelegd in het MFK. </w:t>
            </w:r>
          </w:p>
          <w:p w:rsidRPr="007B2BAB" w:rsidR="001E0E15" w:rsidP="107B3C8D" w:rsidRDefault="001E0E15" w14:paraId="1B624D08" w14:textId="35771475">
            <w:pPr>
              <w:spacing w:after="240"/>
            </w:pPr>
            <w:r w:rsidR="524ADC7D">
              <w:rPr/>
              <w:t xml:space="preserve">Het instrument is gebaseerd op vier principes. Ten eerste </w:t>
            </w:r>
            <w:r w:rsidR="62B68DD3">
              <w:rPr/>
              <w:t xml:space="preserve">voegt </w:t>
            </w:r>
            <w:r w:rsidR="3AAEF436">
              <w:rPr/>
              <w:t xml:space="preserve">Global Europe </w:t>
            </w:r>
            <w:r w:rsidR="524ADC7D">
              <w:rPr/>
              <w:t>financiering v</w:t>
            </w:r>
            <w:r w:rsidR="7325E2E7">
              <w:rPr/>
              <w:t>oor</w:t>
            </w:r>
            <w:r w:rsidR="524ADC7D">
              <w:rPr/>
              <w:t xml:space="preserve"> het </w:t>
            </w:r>
            <w:r w:rsidR="60FBC239">
              <w:rPr/>
              <w:t>EU-</w:t>
            </w:r>
            <w:r w:rsidR="524ADC7D">
              <w:rPr/>
              <w:t>extern optreden samen t</w:t>
            </w:r>
            <w:r w:rsidR="68FD4BD3">
              <w:rPr/>
              <w:t>ot</w:t>
            </w:r>
            <w:r w:rsidR="524ADC7D">
              <w:rPr/>
              <w:t xml:space="preserve"> één instrument</w:t>
            </w:r>
            <w:r w:rsidR="177D5DA3">
              <w:rPr/>
              <w:t xml:space="preserve">. </w:t>
            </w:r>
            <w:r w:rsidR="1D069B50">
              <w:rPr/>
              <w:t xml:space="preserve">Daarnaast is </w:t>
            </w:r>
            <w:r w:rsidR="177D5DA3">
              <w:rPr/>
              <w:t>er</w:t>
            </w:r>
            <w:r w:rsidR="1F5E4BB3">
              <w:rPr/>
              <w:t xml:space="preserve"> meer</w:t>
            </w:r>
            <w:r w:rsidR="177D5DA3">
              <w:rPr/>
              <w:t xml:space="preserve"> focus op coherentie van extern optreden</w:t>
            </w:r>
            <w:r w:rsidR="4A9097B5">
              <w:rPr/>
              <w:t xml:space="preserve"> en is het </w:t>
            </w:r>
            <w:r w:rsidR="7386D878">
              <w:rPr/>
              <w:t xml:space="preserve">instrument </w:t>
            </w:r>
            <w:r w:rsidR="4A9097B5">
              <w:rPr/>
              <w:t>flexibeler. Tenslotte moet het de i</w:t>
            </w:r>
            <w:r w:rsidR="05631759">
              <w:rPr/>
              <w:t xml:space="preserve">mpact </w:t>
            </w:r>
            <w:r w:rsidR="1427C8EB">
              <w:rPr/>
              <w:t xml:space="preserve">van </w:t>
            </w:r>
            <w:r w:rsidR="05631759">
              <w:rPr/>
              <w:t>EU</w:t>
            </w:r>
            <w:r w:rsidR="6A8F0F78">
              <w:rPr/>
              <w:t xml:space="preserve">- extern </w:t>
            </w:r>
            <w:r w:rsidR="05631759">
              <w:rPr/>
              <w:t>optreden</w:t>
            </w:r>
            <w:r w:rsidR="257176D8">
              <w:rPr/>
              <w:t xml:space="preserve"> vergroten</w:t>
            </w:r>
            <w:r w:rsidR="05631759">
              <w:rPr/>
              <w:t xml:space="preserve">. </w:t>
            </w:r>
            <w:r w:rsidR="07D9E002">
              <w:rPr/>
              <w:t xml:space="preserve">Global Europe </w:t>
            </w:r>
            <w:r w:rsidR="2768DB4D">
              <w:rPr/>
              <w:t xml:space="preserve">beslaat verschillende onderdelen van EU-extern optreden, waaronder uitbreiding, nabuurschapsbeleid, internationale partnerschappen en humanitaire hulp. </w:t>
            </w:r>
            <w:r w:rsidR="42911877">
              <w:rPr/>
              <w:t>Global Europe kan worden gezien als de opvolger van het NDICI</w:t>
            </w:r>
            <w:r w:rsidR="4A2D0106">
              <w:rPr/>
              <w:t>-</w:t>
            </w:r>
            <w:r w:rsidR="42911877">
              <w:rPr/>
              <w:t xml:space="preserve">Global Europe instrument, maar bouwt ook op het instrument </w:t>
            </w:r>
            <w:r w:rsidR="25FE91A1">
              <w:rPr/>
              <w:t xml:space="preserve">voor pretoetredingssteun, de </w:t>
            </w:r>
            <w:r w:rsidR="68B34874">
              <w:rPr/>
              <w:t>Oekraïne</w:t>
            </w:r>
            <w:r w:rsidR="25FE91A1">
              <w:rPr/>
              <w:t xml:space="preserve">faciliteit, </w:t>
            </w:r>
            <w:r w:rsidR="673CEBB7">
              <w:rPr/>
              <w:t>en de Hervormings- en Groeifaciliteit</w:t>
            </w:r>
            <w:r w:rsidR="12F2C0F2">
              <w:rPr/>
              <w:t>en</w:t>
            </w:r>
            <w:r w:rsidR="673CEBB7">
              <w:rPr/>
              <w:t xml:space="preserve"> voor de Westelijke Balkan en Moldavië.</w:t>
            </w:r>
          </w:p>
        </w:tc>
      </w:tr>
    </w:tbl>
    <w:p w:rsidR="00781BCD" w:rsidP="002A4BD8" w:rsidRDefault="00781BCD" w14:paraId="0994F343" w14:textId="77777777">
      <w:pPr>
        <w:rPr>
          <w:szCs w:val="18"/>
        </w:rPr>
      </w:pPr>
    </w:p>
    <w:p w:rsidRPr="00523902" w:rsidR="00820149" w:rsidP="00820149" w:rsidRDefault="00D27FE7" w14:paraId="32450F62" w14:textId="7777777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523902" w:rsidP="00523902" w:rsidRDefault="00523902" w14:paraId="5A36DA16" w14:textId="77777777">
      <w:pPr>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8861C4" w:rsidR="00523902" w:rsidTr="107B3C8D" w14:paraId="747BC0B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Mar/>
          </w:tcPr>
          <w:p w:rsidRPr="002A4BD8" w:rsidR="00523902" w:rsidP="107B3C8D" w:rsidRDefault="00523902" w14:paraId="005571DF" w14:textId="035D0BFD">
            <w:pPr>
              <w:pStyle w:val="Lijstalinea"/>
              <w:numPr>
                <w:ilvl w:val="0"/>
                <w:numId w:val="10"/>
              </w:numPr>
              <w:spacing w:after="240"/>
              <w:ind w:left="312"/>
              <w:rPr>
                <w:color w:val="595959" w:themeColor="text1" w:themeTint="A6"/>
              </w:rPr>
            </w:pPr>
          </w:p>
        </w:tc>
        <w:tc>
          <w:tcPr>
            <w:tcW w:w="1035" w:type="dxa"/>
            <w:tcMar/>
          </w:tcPr>
          <w:p w:rsidRPr="007B2BAB" w:rsidR="00523902" w:rsidP="002F4179" w:rsidRDefault="00523902" w14:paraId="68FE300E" w14:textId="77777777">
            <w:pPr>
              <w:spacing w:after="240"/>
              <w:rPr>
                <w:szCs w:val="18"/>
              </w:rPr>
            </w:pPr>
            <w:r w:rsidRPr="007B2BAB">
              <w:rPr>
                <w:szCs w:val="18"/>
              </w:rPr>
              <w:t>Titel</w:t>
            </w:r>
          </w:p>
        </w:tc>
        <w:tc>
          <w:tcPr>
            <w:tcW w:w="6529" w:type="dxa"/>
            <w:tcMar/>
          </w:tcPr>
          <w:p w:rsidRPr="008861C4" w:rsidR="00523902" w:rsidP="107B3C8D" w:rsidRDefault="00523902" w14:paraId="158A44BD" w14:textId="7D7A7818">
            <w:pPr>
              <w:shd w:val="clear" w:color="auto" w:fill="FFFFFF" w:themeFill="background1"/>
              <w:spacing w:after="75"/>
              <w:rPr>
                <w:lang w:val="en-US"/>
              </w:rPr>
            </w:pPr>
            <w:r w:rsidRPr="107B3C8D" w:rsidR="52488973">
              <w:rPr>
                <w:lang w:val="en-US"/>
              </w:rPr>
              <w:t>Recommendation for a COUNCIL D</w:t>
            </w:r>
            <w:r w:rsidRPr="107B3C8D" w:rsidR="52488973">
              <w:rPr>
                <w:lang w:val="en-US"/>
              </w:rPr>
              <w:t>ECISION</w:t>
            </w:r>
            <w:r w:rsidRPr="107B3C8D" w:rsidR="0513DA59">
              <w:rPr>
                <w:lang w:val="en-US"/>
              </w:rPr>
              <w:t xml:space="preserve"> </w:t>
            </w:r>
            <w:r w:rsidRPr="107B3C8D" w:rsidR="52488973">
              <w:rPr>
                <w:lang w:val="en-US"/>
              </w:rPr>
              <w:t xml:space="preserve">authorizing the opening of negotiations of a Sustainable Investment Facilitation Agreement between the European Union and the Republic of Ecuador </w:t>
            </w:r>
            <w:hyperlink r:id="R9d2711915cdf4666">
              <w:r w:rsidRPr="107B3C8D" w:rsidR="39B2FFEB">
                <w:rPr>
                  <w:rStyle w:val="Hyperlink"/>
                  <w:lang w:val="en-US"/>
                </w:rPr>
                <w:t>COM(2025)427</w:t>
              </w:r>
            </w:hyperlink>
            <w:r w:rsidRPr="107B3C8D" w:rsidR="52488973">
              <w:rPr>
                <w:lang w:val="en-US"/>
              </w:rPr>
              <w:t xml:space="preserve"> </w:t>
            </w:r>
            <w:r>
              <w:br/>
            </w:r>
          </w:p>
        </w:tc>
      </w:tr>
      <w:tr w:rsidR="00523902" w:rsidTr="107B3C8D" w14:paraId="42F23686" w14:textId="77777777">
        <w:trPr>
          <w:trHeight w:val="395"/>
        </w:trPr>
        <w:tc>
          <w:tcPr>
            <w:tcW w:w="421" w:type="dxa"/>
            <w:vMerge/>
            <w:tcBorders/>
            <w:tcMar/>
          </w:tcPr>
          <w:p w:rsidRPr="008861C4" w:rsidR="00523902" w:rsidP="002F4179" w:rsidRDefault="00523902" w14:paraId="4A9D9701" w14:textId="77777777">
            <w:pPr>
              <w:spacing w:after="240"/>
              <w:rPr>
                <w:szCs w:val="18"/>
                <w:lang w:val="en-US"/>
              </w:rPr>
            </w:pPr>
          </w:p>
        </w:tc>
        <w:tc>
          <w:tcPr>
            <w:tcW w:w="1035" w:type="dxa"/>
            <w:tcMar/>
          </w:tcPr>
          <w:p w:rsidRPr="007B2BAB" w:rsidR="00523902" w:rsidP="002F4179" w:rsidRDefault="00523902" w14:paraId="1AB6EFE3" w14:textId="77777777">
            <w:pPr>
              <w:spacing w:after="240"/>
              <w:rPr>
                <w:szCs w:val="18"/>
              </w:rPr>
            </w:pPr>
            <w:r w:rsidRPr="007B2BAB">
              <w:rPr>
                <w:szCs w:val="18"/>
              </w:rPr>
              <w:t>Voorstel</w:t>
            </w:r>
          </w:p>
        </w:tc>
        <w:tc>
          <w:tcPr>
            <w:tcW w:w="6529" w:type="dxa"/>
            <w:tcMar/>
          </w:tcPr>
          <w:p w:rsidRPr="007B2BAB" w:rsidR="00523902" w:rsidP="002F4179" w:rsidRDefault="00523902" w14:paraId="771D87DE" w14:textId="48E72E51">
            <w:pPr>
              <w:spacing w:after="240"/>
              <w:rPr>
                <w:szCs w:val="18"/>
              </w:rPr>
            </w:pPr>
            <w:r>
              <w:rPr>
                <w:szCs w:val="18"/>
              </w:rPr>
              <w:t>BNC-fiche</w:t>
            </w:r>
            <w:r w:rsidR="004570FA">
              <w:rPr>
                <w:szCs w:val="18"/>
              </w:rPr>
              <w:t>/kabinetsappreciatie</w:t>
            </w:r>
            <w:r>
              <w:rPr>
                <w:szCs w:val="18"/>
              </w:rPr>
              <w:t xml:space="preserve"> (na ontvangst) agenderen voor </w:t>
            </w:r>
            <w:r w:rsidR="003F4604">
              <w:rPr>
                <w:szCs w:val="18"/>
              </w:rPr>
              <w:t xml:space="preserve">het commissiedebat over de Raad Buitenlandse Zaken Handel d.d. </w:t>
            </w:r>
            <w:r w:rsidR="005E11FA">
              <w:rPr>
                <w:szCs w:val="18"/>
              </w:rPr>
              <w:t>25 september 2025.</w:t>
            </w:r>
          </w:p>
        </w:tc>
      </w:tr>
      <w:tr w:rsidR="00523902" w:rsidTr="107B3C8D" w14:paraId="61782B28" w14:textId="77777777">
        <w:tc>
          <w:tcPr>
            <w:tcW w:w="421" w:type="dxa"/>
            <w:vMerge/>
            <w:tcBorders/>
            <w:tcMar/>
          </w:tcPr>
          <w:p w:rsidRPr="00D75535" w:rsidR="00523902" w:rsidP="002F4179" w:rsidRDefault="00523902" w14:paraId="61229BA7" w14:textId="77777777">
            <w:pPr>
              <w:spacing w:after="240"/>
              <w:rPr>
                <w:color w:val="595959" w:themeColor="text1" w:themeTint="A6"/>
                <w:szCs w:val="18"/>
              </w:rPr>
            </w:pPr>
          </w:p>
        </w:tc>
        <w:tc>
          <w:tcPr>
            <w:tcW w:w="1035" w:type="dxa"/>
            <w:tcMar/>
          </w:tcPr>
          <w:p w:rsidRPr="007B2BAB" w:rsidR="00523902" w:rsidP="002F4179" w:rsidRDefault="00523902" w14:paraId="07BA41DE" w14:textId="77777777">
            <w:pPr>
              <w:spacing w:after="240"/>
              <w:rPr>
                <w:szCs w:val="18"/>
              </w:rPr>
            </w:pPr>
            <w:r w:rsidRPr="007B2BAB">
              <w:rPr>
                <w:szCs w:val="18"/>
              </w:rPr>
              <w:t>Noot</w:t>
            </w:r>
          </w:p>
        </w:tc>
        <w:tc>
          <w:tcPr>
            <w:tcW w:w="6529" w:type="dxa"/>
            <w:tcMar/>
          </w:tcPr>
          <w:p w:rsidR="006C5B2A" w:rsidP="002F4179" w:rsidRDefault="00AD5545" w14:paraId="4D970EB1" w14:textId="77777777">
            <w:pPr>
              <w:spacing w:after="240"/>
            </w:pPr>
            <w:r>
              <w:t xml:space="preserve">Op 29 juli </w:t>
            </w:r>
            <w:r w:rsidR="00822C2E">
              <w:t xml:space="preserve">jl. heeft de Commissie een concept-Raadsbesluit aangeboden aan de Raad, betreffende de machtiging van de Commissie voor het openen van onderhandelingen met Ecuador inzake een </w:t>
            </w:r>
            <w:r w:rsidRPr="004D5160" w:rsidR="00822C2E">
              <w:rPr>
                <w:i/>
                <w:iCs/>
              </w:rPr>
              <w:t>Sustainable Investment Facilitation Agreement</w:t>
            </w:r>
            <w:r w:rsidR="00822C2E">
              <w:t xml:space="preserve"> (SIFA)</w:t>
            </w:r>
            <w:r w:rsidR="00C72970">
              <w:t>, onder gelijktijdige voorlegging van de onderhandelingsrichtsnoeren.</w:t>
            </w:r>
          </w:p>
          <w:p w:rsidRPr="000C7920" w:rsidR="00523902" w:rsidP="002F4179" w:rsidRDefault="00425C93" w14:paraId="0F7DA038" w14:textId="4C74E18A">
            <w:pPr>
              <w:spacing w:after="240"/>
            </w:pPr>
            <w:r>
              <w:t>H</w:t>
            </w:r>
            <w:r w:rsidR="006C5B2A">
              <w:t xml:space="preserve">et Kompas voor Concurrentievermogen uit januari 2025 </w:t>
            </w:r>
            <w:r>
              <w:t xml:space="preserve">benadrukt dat de EU nieuwe partnerschappen moet aangaan </w:t>
            </w:r>
            <w:r w:rsidR="00601095">
              <w:t>ten gunste van bedrijven</w:t>
            </w:r>
            <w:r w:rsidR="000C7920">
              <w:t xml:space="preserve">, onder meer door het sluiten van </w:t>
            </w:r>
            <w:r w:rsidRPr="004D5160" w:rsidR="000C7920">
              <w:rPr>
                <w:i/>
                <w:iCs/>
              </w:rPr>
              <w:t>Sustainable Investment Facilitation Agreement</w:t>
            </w:r>
            <w:r w:rsidR="000C7920">
              <w:rPr>
                <w:i/>
                <w:iCs/>
              </w:rPr>
              <w:t xml:space="preserve">s. </w:t>
            </w:r>
            <w:r w:rsidR="000C7920">
              <w:t xml:space="preserve">De eerste SIFA </w:t>
            </w:r>
            <w:r w:rsidR="00631294">
              <w:t xml:space="preserve">van de EU met Angola is in </w:t>
            </w:r>
            <w:r w:rsidR="002C00E9">
              <w:t xml:space="preserve">september </w:t>
            </w:r>
            <w:r w:rsidR="00631294">
              <w:t xml:space="preserve">2024 in werking getreden. In juni </w:t>
            </w:r>
            <w:r w:rsidR="00170E25">
              <w:t xml:space="preserve">2025 heeft de Raad het openen van onderhandelingen </w:t>
            </w:r>
            <w:r w:rsidR="003F18F6">
              <w:t xml:space="preserve">over een SIFA </w:t>
            </w:r>
            <w:r w:rsidR="00170E25">
              <w:t>met Ivoorkust goedgekeurd.</w:t>
            </w:r>
          </w:p>
        </w:tc>
      </w:tr>
    </w:tbl>
    <w:p w:rsidRPr="009547A1" w:rsidR="009547A1" w:rsidP="009547A1" w:rsidRDefault="009547A1" w14:paraId="1E6BE55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E145BE" w:rsidR="009547A1" w:rsidTr="107B3C8D" w14:paraId="4E2BC04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Mar/>
          </w:tcPr>
          <w:p w:rsidRPr="002A4BD8" w:rsidR="009547A1" w:rsidP="107B3C8D" w:rsidRDefault="009547A1" w14:paraId="2C4AF48E" w14:textId="541F07AC">
            <w:pPr>
              <w:pStyle w:val="Lijstalinea"/>
              <w:numPr>
                <w:ilvl w:val="0"/>
                <w:numId w:val="10"/>
              </w:numPr>
              <w:spacing w:after="240"/>
              <w:ind w:left="312"/>
              <w:rPr>
                <w:color w:val="595959" w:themeColor="text1" w:themeTint="A6"/>
              </w:rPr>
            </w:pPr>
          </w:p>
        </w:tc>
        <w:tc>
          <w:tcPr>
            <w:tcW w:w="1035" w:type="dxa"/>
            <w:tcMar/>
          </w:tcPr>
          <w:p w:rsidRPr="007B2BAB" w:rsidR="009547A1" w:rsidP="00D11909" w:rsidRDefault="009547A1" w14:paraId="5294C845" w14:textId="77777777">
            <w:pPr>
              <w:spacing w:after="240"/>
              <w:rPr>
                <w:szCs w:val="18"/>
              </w:rPr>
            </w:pPr>
            <w:r w:rsidRPr="007B2BAB">
              <w:rPr>
                <w:szCs w:val="18"/>
              </w:rPr>
              <w:t>Titel</w:t>
            </w:r>
          </w:p>
        </w:tc>
        <w:tc>
          <w:tcPr>
            <w:tcW w:w="6529" w:type="dxa"/>
            <w:tcMar/>
          </w:tcPr>
          <w:p w:rsidRPr="00E145BE" w:rsidR="009547A1" w:rsidP="107B3C8D" w:rsidRDefault="00E145BE" w14:paraId="30D3F35B" w14:textId="4D884B91">
            <w:pPr>
              <w:shd w:val="clear" w:color="auto" w:fill="FFFFFF" w:themeFill="background1"/>
              <w:spacing w:after="75"/>
            </w:pPr>
            <w:r w:rsidR="54EC3D7C">
              <w:rPr/>
              <w:t xml:space="preserve">Voorstel voor een BESLUIT VAN DE RAAD </w:t>
            </w:r>
            <w:r w:rsidR="54EC3D7C">
              <w:rPr/>
              <w:t>betreffende</w:t>
            </w:r>
            <w:r w:rsidR="54EC3D7C">
              <w:rPr/>
              <w:t xml:space="preserve"> het standpunt dat namens de Europese Unie moet worden ingenomen in de Algemene Raad van de Wereldhandelsorganisatie </w:t>
            </w:r>
            <w:r w:rsidR="54EC3D7C">
              <w:rPr/>
              <w:t>aangaande</w:t>
            </w:r>
            <w:r w:rsidR="54EC3D7C">
              <w:rPr/>
              <w:t xml:space="preserve"> de vaststelling van een besluit </w:t>
            </w:r>
            <w:r w:rsidR="54EC3D7C">
              <w:rPr/>
              <w:t xml:space="preserve">tot verlening van een WTO-ontheffing op grond waarvan de Verenigde Staten in </w:t>
            </w:r>
            <w:r w:rsidR="54EC3D7C">
              <w:rPr/>
              <w:t>rechtenvrije</w:t>
            </w:r>
            <w:r w:rsidR="54EC3D7C">
              <w:rPr/>
              <w:t xml:space="preserve"> behandeling mogen voorzien </w:t>
            </w:r>
            <w:r w:rsidR="54EC3D7C">
              <w:rPr/>
              <w:t>krachtens</w:t>
            </w:r>
            <w:r w:rsidR="54EC3D7C">
              <w:rPr/>
              <w:t xml:space="preserve"> de Caribbean </w:t>
            </w:r>
            <w:r w:rsidR="54EC3D7C">
              <w:rPr/>
              <w:t>Basin</w:t>
            </w:r>
            <w:r w:rsidR="54EC3D7C">
              <w:rPr/>
              <w:t xml:space="preserve"> </w:t>
            </w:r>
            <w:r w:rsidR="54EC3D7C">
              <w:rPr/>
              <w:t>Economic</w:t>
            </w:r>
            <w:r w:rsidR="54EC3D7C">
              <w:rPr/>
              <w:t xml:space="preserve"> Recovery Act (“CBERA”) van de VS</w:t>
            </w:r>
            <w:r w:rsidR="54EC3D7C">
              <w:rPr/>
              <w:t xml:space="preserve"> </w:t>
            </w:r>
            <w:hyperlink r:id="R64e3d9bd2767402b">
              <w:r w:rsidRPr="107B3C8D" w:rsidR="42CF259D">
                <w:rPr>
                  <w:rStyle w:val="Hyperlink"/>
                </w:rPr>
                <w:t>COM(2025)394</w:t>
              </w:r>
              <w:r>
                <w:br/>
              </w:r>
            </w:hyperlink>
          </w:p>
        </w:tc>
      </w:tr>
      <w:tr w:rsidR="009547A1" w:rsidTr="107B3C8D" w14:paraId="4F7B45B4" w14:textId="77777777">
        <w:trPr>
          <w:trHeight w:val="395"/>
        </w:trPr>
        <w:tc>
          <w:tcPr>
            <w:tcW w:w="421" w:type="dxa"/>
            <w:vMerge/>
            <w:tcBorders/>
            <w:tcMar/>
          </w:tcPr>
          <w:p w:rsidRPr="00E145BE" w:rsidR="009547A1" w:rsidP="00D11909" w:rsidRDefault="009547A1" w14:paraId="7F7D266E" w14:textId="77777777">
            <w:pPr>
              <w:spacing w:after="240"/>
              <w:rPr>
                <w:szCs w:val="18"/>
              </w:rPr>
            </w:pPr>
          </w:p>
        </w:tc>
        <w:tc>
          <w:tcPr>
            <w:tcW w:w="1035" w:type="dxa"/>
            <w:tcMar/>
          </w:tcPr>
          <w:p w:rsidRPr="007B2BAB" w:rsidR="009547A1" w:rsidP="00D11909" w:rsidRDefault="009547A1" w14:paraId="7F384FB4" w14:textId="77777777">
            <w:pPr>
              <w:spacing w:after="240"/>
              <w:rPr>
                <w:szCs w:val="18"/>
              </w:rPr>
            </w:pPr>
            <w:r w:rsidRPr="007B2BAB">
              <w:rPr>
                <w:szCs w:val="18"/>
              </w:rPr>
              <w:t>Voorstel</w:t>
            </w:r>
          </w:p>
        </w:tc>
        <w:tc>
          <w:tcPr>
            <w:tcW w:w="6529" w:type="dxa"/>
            <w:tcMar/>
          </w:tcPr>
          <w:p w:rsidRPr="007B2BAB" w:rsidR="009547A1" w:rsidP="00F941A4" w:rsidRDefault="00851FC7" w14:paraId="2E56B570" w14:textId="0AC26C6A">
            <w:pPr>
              <w:spacing w:after="240"/>
              <w:rPr>
                <w:szCs w:val="18"/>
              </w:rPr>
            </w:pPr>
            <w:r>
              <w:rPr>
                <w:szCs w:val="18"/>
              </w:rPr>
              <w:t>Ter informatie</w:t>
            </w:r>
            <w:r w:rsidR="00A32928">
              <w:rPr>
                <w:szCs w:val="18"/>
              </w:rPr>
              <w:t>.</w:t>
            </w:r>
          </w:p>
        </w:tc>
      </w:tr>
      <w:tr w:rsidR="009547A1" w:rsidTr="107B3C8D" w14:paraId="376D0C0E" w14:textId="77777777">
        <w:tc>
          <w:tcPr>
            <w:tcW w:w="421" w:type="dxa"/>
            <w:vMerge/>
            <w:tcBorders/>
            <w:tcMar/>
          </w:tcPr>
          <w:p w:rsidRPr="00D75535" w:rsidR="009547A1" w:rsidP="00D11909" w:rsidRDefault="009547A1" w14:paraId="472DF730" w14:textId="77777777">
            <w:pPr>
              <w:spacing w:after="240"/>
              <w:rPr>
                <w:color w:val="595959" w:themeColor="text1" w:themeTint="A6"/>
                <w:szCs w:val="18"/>
              </w:rPr>
            </w:pPr>
          </w:p>
        </w:tc>
        <w:tc>
          <w:tcPr>
            <w:tcW w:w="1035" w:type="dxa"/>
            <w:tcMar/>
          </w:tcPr>
          <w:p w:rsidRPr="007B2BAB" w:rsidR="009547A1" w:rsidP="00D11909" w:rsidRDefault="009547A1" w14:paraId="4970BC63" w14:textId="77777777">
            <w:pPr>
              <w:spacing w:after="240"/>
              <w:rPr>
                <w:szCs w:val="18"/>
              </w:rPr>
            </w:pPr>
            <w:r w:rsidRPr="007B2BAB">
              <w:rPr>
                <w:szCs w:val="18"/>
              </w:rPr>
              <w:t>Noot</w:t>
            </w:r>
          </w:p>
        </w:tc>
        <w:tc>
          <w:tcPr>
            <w:tcW w:w="6529" w:type="dxa"/>
            <w:tcMar/>
          </w:tcPr>
          <w:p w:rsidRPr="00514845" w:rsidR="000F26C0" w:rsidP="00514845" w:rsidRDefault="0099784B" w14:paraId="04F7F48A" w14:textId="0C297756">
            <w:pPr>
              <w:spacing w:after="240"/>
            </w:pPr>
            <w:r>
              <w:t xml:space="preserve">Dit voorstel voor een Raadsbesluit ziet op het </w:t>
            </w:r>
            <w:r w:rsidRPr="0099784B">
              <w:t xml:space="preserve">standpunt dat door de Commissie namens de </w:t>
            </w:r>
            <w:r>
              <w:t>EU</w:t>
            </w:r>
            <w:r w:rsidRPr="0099784B">
              <w:t xml:space="preserve"> moet worden ingenomen </w:t>
            </w:r>
            <w:r w:rsidR="00BE103B">
              <w:t>bij</w:t>
            </w:r>
            <w:r w:rsidRPr="0099784B">
              <w:t xml:space="preserve"> de Wereldhandelsorganisatie</w:t>
            </w:r>
            <w:r w:rsidR="00BE103B">
              <w:t xml:space="preserve"> (WTO)</w:t>
            </w:r>
            <w:r>
              <w:t>. Het betreft</w:t>
            </w:r>
            <w:r w:rsidRPr="0099784B">
              <w:t xml:space="preserve"> de verlening van een WTO-ontheffing op grond waarvan de V</w:t>
            </w:r>
            <w:r>
              <w:t>S</w:t>
            </w:r>
            <w:r w:rsidRPr="0099784B">
              <w:t xml:space="preserve"> t</w:t>
            </w:r>
            <w:r>
              <w:t>/</w:t>
            </w:r>
            <w:r w:rsidRPr="0099784B">
              <w:t xml:space="preserve">m 30 september 2030 in een rechtenvrije behandeling mogen voorzien voor </w:t>
            </w:r>
            <w:r>
              <w:t>bepaalde</w:t>
            </w:r>
            <w:r w:rsidRPr="0099784B">
              <w:t xml:space="preserve"> producten van oorsprong uit Centraal-Amerikaanse en Caribische landen en gebieden krachtens de </w:t>
            </w:r>
            <w:r w:rsidRPr="00CC159D">
              <w:rPr>
                <w:i/>
                <w:iCs/>
              </w:rPr>
              <w:t xml:space="preserve">Caribbean Basin Economic Recovery Act </w:t>
            </w:r>
            <w:r w:rsidRPr="0099784B">
              <w:t>van de VS.</w:t>
            </w:r>
            <w:r w:rsidR="00026267">
              <w:t xml:space="preserve"> De Commissie steunt deze ontheffing. </w:t>
            </w:r>
          </w:p>
        </w:tc>
      </w:tr>
    </w:tbl>
    <w:p w:rsidR="003377D8" w:rsidP="009547A1" w:rsidRDefault="003377D8" w14:paraId="7D6C1924"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E6700A" w:rsidR="003377D8" w:rsidTr="107B3C8D" w14:paraId="0C7418B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Mar/>
          </w:tcPr>
          <w:p w:rsidRPr="002A4BD8" w:rsidR="003377D8" w:rsidP="107B3C8D" w:rsidRDefault="003377D8" w14:paraId="300FC56F" w14:textId="76221641">
            <w:pPr>
              <w:pStyle w:val="Lijstalinea"/>
              <w:numPr>
                <w:ilvl w:val="0"/>
                <w:numId w:val="10"/>
              </w:numPr>
              <w:spacing w:after="240"/>
              <w:ind w:left="312"/>
              <w:rPr>
                <w:color w:val="595959" w:themeColor="text1" w:themeTint="A6"/>
              </w:rPr>
            </w:pPr>
          </w:p>
        </w:tc>
        <w:tc>
          <w:tcPr>
            <w:tcW w:w="1035" w:type="dxa"/>
            <w:tcMar/>
          </w:tcPr>
          <w:p w:rsidRPr="007B2BAB" w:rsidR="003377D8" w:rsidP="002F4179" w:rsidRDefault="003377D8" w14:paraId="6815F3C3" w14:textId="77777777">
            <w:pPr>
              <w:spacing w:after="240"/>
              <w:rPr>
                <w:szCs w:val="18"/>
              </w:rPr>
            </w:pPr>
            <w:r w:rsidRPr="007B2BAB">
              <w:rPr>
                <w:szCs w:val="18"/>
              </w:rPr>
              <w:t>Titel</w:t>
            </w:r>
          </w:p>
        </w:tc>
        <w:tc>
          <w:tcPr>
            <w:tcW w:w="6529" w:type="dxa"/>
            <w:tcMar/>
          </w:tcPr>
          <w:p w:rsidRPr="00E6700A" w:rsidR="00E6700A" w:rsidP="107B3C8D" w:rsidRDefault="00CB39DA" w14:paraId="73F4ABEA" w14:textId="5C270A61">
            <w:pPr>
              <w:shd w:val="clear" w:color="auto" w:fill="FFFFFF" w:themeFill="background1"/>
              <w:spacing w:after="75"/>
              <w:rPr>
                <w:lang w:val="en-US"/>
              </w:rPr>
            </w:pPr>
            <w:r w:rsidRPr="107B3C8D" w:rsidR="06827EBA">
              <w:rPr>
                <w:lang w:val="en-US"/>
              </w:rPr>
              <w:t>REPORT FROM THE COMMISSION T</w:t>
            </w:r>
            <w:r w:rsidRPr="107B3C8D" w:rsidR="06827EBA">
              <w:rPr>
                <w:lang w:val="en-US"/>
              </w:rPr>
              <w:t xml:space="preserve">O THE EUROPEAN PARLIAMENT AND THE COUNCIL </w:t>
            </w:r>
            <w:r w:rsidRPr="107B3C8D" w:rsidR="60B52267">
              <w:rPr>
                <w:lang w:val="en-US"/>
              </w:rPr>
              <w:t>43</w:t>
            </w:r>
            <w:r w:rsidRPr="107B3C8D" w:rsidR="60B52267">
              <w:rPr>
                <w:vertAlign w:val="superscript"/>
                <w:lang w:val="en-US"/>
              </w:rPr>
              <w:t>rd</w:t>
            </w:r>
            <w:r w:rsidRPr="107B3C8D" w:rsidR="60B52267">
              <w:rPr>
                <w:lang w:val="en-US"/>
              </w:rPr>
              <w:t xml:space="preserve"> Annual Report from the Commission to the European Parliament and the Council on the EU’s Anti-Dumping, Anti-Subsidy and Safeguard activities and the Use of Trade Defense Instruments by Third Countries </w:t>
            </w:r>
            <w:r w:rsidRPr="107B3C8D" w:rsidR="7D43E28E">
              <w:rPr>
                <w:lang w:val="en-US"/>
              </w:rPr>
              <w:t>targeting the EU in 2024</w:t>
            </w:r>
            <w:r w:rsidRPr="107B3C8D" w:rsidR="26DBBBD3">
              <w:rPr>
                <w:lang w:val="en-US"/>
              </w:rPr>
              <w:t xml:space="preserve"> </w:t>
            </w:r>
            <w:hyperlink r:id="R38ec0f8448704a01">
              <w:r w:rsidRPr="107B3C8D" w:rsidR="26DBBBD3">
                <w:rPr>
                  <w:rStyle w:val="Hyperlink"/>
                  <w:lang w:val="en-US"/>
                </w:rPr>
                <w:t>COM(2025)428</w:t>
              </w:r>
              <w:r>
                <w:br/>
              </w:r>
            </w:hyperlink>
          </w:p>
        </w:tc>
      </w:tr>
      <w:tr w:rsidR="003377D8" w:rsidTr="107B3C8D" w14:paraId="1E598B20" w14:textId="77777777">
        <w:trPr>
          <w:trHeight w:val="395"/>
        </w:trPr>
        <w:tc>
          <w:tcPr>
            <w:tcW w:w="421" w:type="dxa"/>
            <w:vMerge/>
            <w:tcBorders/>
            <w:tcMar/>
          </w:tcPr>
          <w:p w:rsidRPr="00E6700A" w:rsidR="003377D8" w:rsidP="002F4179" w:rsidRDefault="003377D8" w14:paraId="5CE3C1F9" w14:textId="77777777">
            <w:pPr>
              <w:spacing w:after="240"/>
              <w:rPr>
                <w:szCs w:val="18"/>
                <w:lang w:val="en-US"/>
              </w:rPr>
            </w:pPr>
          </w:p>
        </w:tc>
        <w:tc>
          <w:tcPr>
            <w:tcW w:w="1035" w:type="dxa"/>
            <w:tcMar/>
          </w:tcPr>
          <w:p w:rsidRPr="007B2BAB" w:rsidR="003377D8" w:rsidP="002F4179" w:rsidRDefault="003377D8" w14:paraId="2895437A" w14:textId="77777777">
            <w:pPr>
              <w:spacing w:after="240"/>
              <w:rPr>
                <w:szCs w:val="18"/>
              </w:rPr>
            </w:pPr>
            <w:r w:rsidRPr="007B2BAB">
              <w:rPr>
                <w:szCs w:val="18"/>
              </w:rPr>
              <w:t>Voorstel</w:t>
            </w:r>
          </w:p>
        </w:tc>
        <w:tc>
          <w:tcPr>
            <w:tcW w:w="6529" w:type="dxa"/>
            <w:tcMar/>
          </w:tcPr>
          <w:p w:rsidRPr="007B2BAB" w:rsidR="003377D8" w:rsidP="002F4179" w:rsidRDefault="00D82116" w14:paraId="014A66E2" w14:textId="20CFEF9B">
            <w:pPr>
              <w:spacing w:after="240"/>
              <w:rPr>
                <w:szCs w:val="18"/>
              </w:rPr>
            </w:pPr>
            <w:r>
              <w:rPr>
                <w:szCs w:val="18"/>
              </w:rPr>
              <w:t>Ter informatie.</w:t>
            </w:r>
          </w:p>
        </w:tc>
      </w:tr>
      <w:tr w:rsidR="003377D8" w:rsidTr="107B3C8D" w14:paraId="20E864F2" w14:textId="77777777">
        <w:tc>
          <w:tcPr>
            <w:tcW w:w="421" w:type="dxa"/>
            <w:vMerge/>
            <w:tcBorders/>
            <w:tcMar/>
          </w:tcPr>
          <w:p w:rsidRPr="00D75535" w:rsidR="003377D8" w:rsidP="002F4179" w:rsidRDefault="003377D8" w14:paraId="6C3B05BE" w14:textId="77777777">
            <w:pPr>
              <w:spacing w:after="240"/>
              <w:rPr>
                <w:color w:val="595959" w:themeColor="text1" w:themeTint="A6"/>
                <w:szCs w:val="18"/>
              </w:rPr>
            </w:pPr>
          </w:p>
        </w:tc>
        <w:tc>
          <w:tcPr>
            <w:tcW w:w="1035" w:type="dxa"/>
            <w:tcMar/>
          </w:tcPr>
          <w:p w:rsidRPr="007B2BAB" w:rsidR="003377D8" w:rsidP="002F4179" w:rsidRDefault="003377D8" w14:paraId="2F583B6E" w14:textId="77777777">
            <w:pPr>
              <w:spacing w:after="240"/>
              <w:rPr>
                <w:szCs w:val="18"/>
              </w:rPr>
            </w:pPr>
            <w:r w:rsidRPr="007B2BAB">
              <w:rPr>
                <w:szCs w:val="18"/>
              </w:rPr>
              <w:t>Noot</w:t>
            </w:r>
          </w:p>
        </w:tc>
        <w:tc>
          <w:tcPr>
            <w:tcW w:w="6529" w:type="dxa"/>
            <w:tcMar/>
          </w:tcPr>
          <w:p w:rsidR="00DA4AC7" w:rsidP="002F4179" w:rsidRDefault="00D66743" w14:paraId="6E5686FD" w14:textId="77777777">
            <w:pPr>
              <w:spacing w:after="240"/>
            </w:pPr>
            <w:r>
              <w:t>Dit is het 43</w:t>
            </w:r>
            <w:r w:rsidRPr="00D66743">
              <w:rPr>
                <w:vertAlign w:val="superscript"/>
              </w:rPr>
              <w:t>e</w:t>
            </w:r>
            <w:r>
              <w:t xml:space="preserve"> verslag over de handelsbeschermingsactiviteiten van de EU. Het gaat in op </w:t>
            </w:r>
            <w:r w:rsidR="00557D04">
              <w:t xml:space="preserve">de antidumping-, antisubsidie- en vrijwaringsactiviteiten van derde landen met betrekking tot uit de EU </w:t>
            </w:r>
            <w:r w:rsidR="00E33272">
              <w:t>geïmporteerde</w:t>
            </w:r>
            <w:r w:rsidR="00557D04">
              <w:t xml:space="preserve"> goederen</w:t>
            </w:r>
            <w:r w:rsidR="00E33272">
              <w:t>.</w:t>
            </w:r>
            <w:r w:rsidR="00557D04">
              <w:t xml:space="preserve"> </w:t>
            </w:r>
          </w:p>
          <w:p w:rsidRPr="00514845" w:rsidR="003377D8" w:rsidP="002F4179" w:rsidRDefault="00742444" w14:paraId="66ECAE52" w14:textId="2D5F9D6D">
            <w:pPr>
              <w:spacing w:after="240"/>
            </w:pPr>
            <w:r>
              <w:t xml:space="preserve">Volgens de Commissie was </w:t>
            </w:r>
            <w:r w:rsidR="001E175B">
              <w:t>het jaar 2024 een mijlpaal voor de handelsbeschermingsactiviteiten van de EU</w:t>
            </w:r>
            <w:r w:rsidR="00380C94">
              <w:t xml:space="preserve">, waarin de Commissie </w:t>
            </w:r>
            <w:r w:rsidR="0033204F">
              <w:t xml:space="preserve">een recordaantal van </w:t>
            </w:r>
            <w:r w:rsidR="00380C94">
              <w:t xml:space="preserve">33 nieuwe onderzoeken startte. </w:t>
            </w:r>
            <w:r w:rsidR="0019166C">
              <w:t xml:space="preserve">Meer dan een derde van de nieuwe zaken die werden aangespannen betrof de chemische sector. </w:t>
            </w:r>
            <w:r w:rsidR="0069727F">
              <w:t>Tegelijkertijd werden de handelsbeschermingsactiviteiten grotendeels</w:t>
            </w:r>
            <w:r w:rsidR="00FD4C55">
              <w:t xml:space="preserve"> gedomineerd door de antisubsidie onderzoeken naar elektrische voertuigen uit China.</w:t>
            </w:r>
            <w:r w:rsidR="0069727F">
              <w:t xml:space="preserve"> </w:t>
            </w:r>
            <w:r w:rsidR="007F5623">
              <w:t>Ook de staalbeschermingsmaatregelen speelde</w:t>
            </w:r>
            <w:r w:rsidR="009E79E2">
              <w:t>n</w:t>
            </w:r>
            <w:r w:rsidR="007F5623">
              <w:t xml:space="preserve"> een belangrijke rol vanwege de verslechter</w:t>
            </w:r>
            <w:r w:rsidR="00FD6EE0">
              <w:t xml:space="preserve">de </w:t>
            </w:r>
            <w:r w:rsidR="007F5623">
              <w:t xml:space="preserve">situatie </w:t>
            </w:r>
            <w:r w:rsidR="00FD6EE0">
              <w:t>van</w:t>
            </w:r>
            <w:r w:rsidR="007F5623">
              <w:t xml:space="preserve"> de EU-staalindustrie.</w:t>
            </w:r>
          </w:p>
        </w:tc>
      </w:tr>
    </w:tbl>
    <w:p w:rsidR="003377D8" w:rsidP="009547A1" w:rsidRDefault="003377D8" w14:paraId="621739C2" w14:textId="77777777">
      <w:pPr>
        <w:rPr>
          <w:szCs w:val="18"/>
        </w:rPr>
      </w:pPr>
    </w:p>
    <w:p w:rsidR="00F62A28" w:rsidP="009547A1" w:rsidRDefault="00F62A28" w14:paraId="22E72929" w14:textId="77777777">
      <w:pPr>
        <w:rPr>
          <w:szCs w:val="18"/>
        </w:rPr>
      </w:pPr>
    </w:p>
    <w:tbl>
      <w:tblPr>
        <w:tblStyle w:val="Tabelraster"/>
        <w:tblW w:w="0" w:type="auto"/>
        <w:tblBorders>
          <w:top w:val="single" w:color="D9D9D9" w:themeColor="background1" w:themeShade="D9" w:sz="4"/>
          <w:left w:val="single" w:color="D9D9D9" w:themeColor="background1" w:themeShade="D9" w:sz="4"/>
          <w:bottom w:val="single" w:color="D9D9D9" w:themeColor="background1" w:themeShade="D9" w:sz="4"/>
          <w:right w:val="single" w:color="D9D9D9" w:themeColor="background1" w:themeShade="D9" w:sz="4"/>
          <w:insideH w:val="none" w:color="auto" w:sz="0"/>
          <w:insideV w:val="none" w:color="auto" w:sz="0"/>
        </w:tblBorders>
        <w:tblLook w:val="04A0" w:firstRow="1" w:lastRow="0" w:firstColumn="1" w:lastColumn="0" w:noHBand="0" w:noVBand="1"/>
      </w:tblPr>
      <w:tblGrid>
        <w:gridCol w:w="421"/>
        <w:gridCol w:w="1035"/>
        <w:gridCol w:w="6529"/>
      </w:tblGrid>
      <w:tr w:rsidR="107B3C8D" w:rsidTr="2228F31B" w14:paraId="21DA8F3B">
        <w:trPr>
          <w:trHeight w:val="300"/>
        </w:trPr>
        <w:tc>
          <w:tcPr>
            <w:tcW w:w="421" w:type="dxa"/>
            <w:vMerge w:val="restart"/>
            <w:tcBorders>
              <w:top w:val="single" w:color="D9D9D9" w:themeColor="background1" w:themeShade="D9" w:sz="4"/>
              <w:bottom w:val="single" w:color="D9D9D9" w:themeColor="background1" w:themeShade="D9" w:sz="4"/>
            </w:tcBorders>
            <w:shd w:val="clear" w:color="auto" w:fill="F2F2F2" w:themeFill="background1" w:themeFillShade="F2"/>
            <w:tcMar/>
          </w:tcPr>
          <w:p w:rsidR="107B3C8D" w:rsidP="107B3C8D" w:rsidRDefault="107B3C8D" w14:paraId="5C9C30F5" w14:textId="440B3D22">
            <w:pPr>
              <w:pStyle w:val="Lijstalinea"/>
              <w:numPr>
                <w:ilvl w:val="0"/>
                <w:numId w:val="10"/>
              </w:numPr>
              <w:spacing w:after="240"/>
              <w:ind w:left="312"/>
              <w:rPr>
                <w:color w:val="595959" w:themeColor="text1" w:themeTint="A6" w:themeShade="FF"/>
              </w:rPr>
            </w:pPr>
          </w:p>
        </w:tc>
        <w:tc>
          <w:tcPr>
            <w:tcW w:w="1035" w:type="dxa"/>
            <w:tcMar/>
          </w:tcPr>
          <w:p w:rsidR="107B3C8D" w:rsidP="107B3C8D" w:rsidRDefault="107B3C8D" w14:paraId="1C0A7DC3">
            <w:pPr>
              <w:spacing w:after="240"/>
            </w:pPr>
            <w:r w:rsidR="107B3C8D">
              <w:rPr/>
              <w:t>Titel</w:t>
            </w:r>
          </w:p>
        </w:tc>
        <w:tc>
          <w:tcPr>
            <w:tcW w:w="6529" w:type="dxa"/>
            <w:tcMar/>
          </w:tcPr>
          <w:p w:rsidR="107B3C8D" w:rsidP="107B3C8D" w:rsidRDefault="107B3C8D" w14:paraId="7C3BD49B" w14:textId="5AB8EEA3">
            <w:pPr>
              <w:shd w:val="clear" w:color="auto" w:fill="FFFFFF" w:themeFill="background1"/>
              <w:spacing w:before="0" w:beforeAutospacing="off" w:after="75" w:afterAutospacing="off"/>
            </w:pPr>
            <w:r w:rsidRPr="107B3C8D" w:rsidR="107B3C8D">
              <w:rPr>
                <w:rFonts w:ascii="Verdana" w:hAnsi="Verdana" w:eastAsia="Verdana" w:cs="Verdana"/>
                <w:color w:val="000000" w:themeColor="text1" w:themeTint="FF" w:themeShade="FF"/>
                <w:sz w:val="18"/>
                <w:szCs w:val="18"/>
              </w:rPr>
              <w:t xml:space="preserve">Aanbeveling voor een BESLUIT VAN DE RAAD tot wijziging van Besluit (EU) 2020/2059 van de Raad van 7 december 2020 betreffende het namens de Europese Unie in te nemen standpunt in het Handelscomité dat is opgericht krachtens de tussentijdse partnerschapsovereenkomst tussen de Europese Gemeenschap, enerzijds, en de staten in de Stille Oceaan, anderzijds, met betrekking tot de wijziging van een aantal bepalingen van Protocol II betreffende de definitie van het begrip “producten van oorsprong” en methoden van administratieve samenwerking, wat cumulatie met naburige ontwikkelingslanden betreft </w:t>
            </w:r>
            <w:hyperlink r:id="R37ca351c4ee4443d">
              <w:r w:rsidRPr="107B3C8D" w:rsidR="107B3C8D">
                <w:rPr>
                  <w:rStyle w:val="Hyperlink"/>
                  <w:rFonts w:ascii="Verdana" w:hAnsi="Verdana" w:eastAsia="Verdana" w:cs="Verdana"/>
                  <w:strike w:val="0"/>
                  <w:dstrike w:val="0"/>
                  <w:color w:val="0000FF"/>
                  <w:sz w:val="18"/>
                  <w:szCs w:val="18"/>
                  <w:u w:val="single"/>
                </w:rPr>
                <w:t>COM(2025)436</w:t>
              </w:r>
            </w:hyperlink>
          </w:p>
          <w:p w:rsidR="107B3C8D" w:rsidP="107B3C8D" w:rsidRDefault="107B3C8D" w14:paraId="1F6614C7" w14:textId="77F6616F">
            <w:pPr>
              <w:shd w:val="clear" w:color="auto" w:fill="FFFFFF" w:themeFill="background1"/>
              <w:spacing w:before="0" w:beforeAutospacing="off" w:after="75" w:afterAutospacing="off"/>
              <w:rPr>
                <w:rFonts w:ascii="Verdana" w:hAnsi="Verdana" w:eastAsia="Verdana" w:cs="Verdana"/>
                <w:strike w:val="0"/>
                <w:dstrike w:val="0"/>
                <w:color w:val="0000FF"/>
                <w:sz w:val="18"/>
                <w:szCs w:val="18"/>
                <w:u w:val="single"/>
              </w:rPr>
            </w:pPr>
          </w:p>
        </w:tc>
      </w:tr>
      <w:tr w:rsidR="107B3C8D" w:rsidTr="2228F31B" w14:paraId="2F7FACB4">
        <w:trPr>
          <w:trHeight w:val="300"/>
        </w:trPr>
        <w:tc>
          <w:tcPr>
            <w:tcW w:w="421" w:type="dxa"/>
            <w:vMerge/>
            <w:tcMar/>
          </w:tcPr>
          <w:p w14:paraId="7F1DAA1E"/>
        </w:tc>
        <w:tc>
          <w:tcPr>
            <w:tcW w:w="1035" w:type="dxa"/>
            <w:tcMar/>
          </w:tcPr>
          <w:p w:rsidR="107B3C8D" w:rsidP="107B3C8D" w:rsidRDefault="107B3C8D" w14:paraId="582BD3CF">
            <w:pPr>
              <w:spacing w:after="240"/>
            </w:pPr>
            <w:r w:rsidR="107B3C8D">
              <w:rPr/>
              <w:t>Voorstel</w:t>
            </w:r>
          </w:p>
        </w:tc>
        <w:tc>
          <w:tcPr>
            <w:tcW w:w="6529" w:type="dxa"/>
            <w:tcMar/>
          </w:tcPr>
          <w:p w:rsidR="107B3C8D" w:rsidP="107B3C8D" w:rsidRDefault="107B3C8D" w14:paraId="4D574AFB" w14:textId="27EB77AE">
            <w:pPr>
              <w:spacing w:before="0" w:beforeAutospacing="off" w:after="240" w:afterAutospacing="off"/>
            </w:pPr>
            <w:r w:rsidRPr="107B3C8D" w:rsidR="107B3C8D">
              <w:rPr>
                <w:rFonts w:ascii="Verdana" w:hAnsi="Verdana" w:eastAsia="Verdana" w:cs="Verdana"/>
                <w:sz w:val="18"/>
                <w:szCs w:val="18"/>
              </w:rPr>
              <w:t>Ter informatie.</w:t>
            </w:r>
          </w:p>
        </w:tc>
      </w:tr>
      <w:tr w:rsidR="107B3C8D" w:rsidTr="2228F31B" w14:paraId="4CA182D0">
        <w:trPr>
          <w:trHeight w:val="300"/>
        </w:trPr>
        <w:tc>
          <w:tcPr>
            <w:tcW w:w="421" w:type="dxa"/>
            <w:vMerge/>
            <w:tcMar/>
          </w:tcPr>
          <w:p w14:paraId="0F6F9071"/>
        </w:tc>
        <w:tc>
          <w:tcPr>
            <w:tcW w:w="1035" w:type="dxa"/>
            <w:tcMar/>
          </w:tcPr>
          <w:p w:rsidR="107B3C8D" w:rsidP="107B3C8D" w:rsidRDefault="107B3C8D" w14:paraId="0314789C">
            <w:pPr>
              <w:spacing w:after="240"/>
            </w:pPr>
            <w:r w:rsidR="107B3C8D">
              <w:rPr/>
              <w:t>Noot</w:t>
            </w:r>
          </w:p>
        </w:tc>
        <w:tc>
          <w:tcPr>
            <w:tcW w:w="6529" w:type="dxa"/>
            <w:tcMar/>
          </w:tcPr>
          <w:p w:rsidR="107B3C8D" w:rsidP="107B3C8D" w:rsidRDefault="107B3C8D" w14:paraId="0835F1D3" w14:textId="5E42C655">
            <w:pPr>
              <w:spacing w:after="240"/>
            </w:pPr>
            <w:r w:rsidRPr="2228F31B" w:rsidR="3EA6BAC2">
              <w:rPr>
                <w:rFonts w:ascii="Verdana" w:hAnsi="Verdana" w:eastAsia="Verdana" w:cs="Verdana"/>
                <w:noProof w:val="0"/>
                <w:sz w:val="18"/>
                <w:szCs w:val="18"/>
                <w:lang w:val="nl-NL"/>
              </w:rPr>
              <w:t>Dit betreft een aanbeveling van de Raad van de EU voor een wijziging in de handelsafspraken tussen de EU en de Stille-Oceaanstaten.</w:t>
            </w:r>
            <w:r w:rsidRPr="2228F31B" w:rsidR="4E94BAC6">
              <w:rPr>
                <w:rFonts w:ascii="Verdana" w:hAnsi="Verdana" w:eastAsia="Verdana" w:cs="Verdana"/>
                <w:noProof w:val="0"/>
                <w:sz w:val="18"/>
                <w:szCs w:val="18"/>
                <w:lang w:val="nl-NL"/>
              </w:rPr>
              <w:t xml:space="preserve"> Concreet wordt voorgesteld om in Protocol II van die overeenkomst de bepalingen over cumulatie met naburige ontwikkelingslanden</w:t>
            </w:r>
            <w:r w:rsidRPr="2228F31B" w:rsidR="4E94BAC6">
              <w:rPr>
                <w:rFonts w:ascii="Verdana" w:hAnsi="Verdana" w:eastAsia="Verdana" w:cs="Verdana"/>
                <w:b w:val="1"/>
                <w:bCs w:val="1"/>
                <w:noProof w:val="0"/>
                <w:sz w:val="18"/>
                <w:szCs w:val="18"/>
                <w:lang w:val="nl-NL"/>
              </w:rPr>
              <w:t xml:space="preserve"> </w:t>
            </w:r>
            <w:r w:rsidRPr="2228F31B" w:rsidR="4E94BAC6">
              <w:rPr>
                <w:rFonts w:ascii="Verdana" w:hAnsi="Verdana" w:eastAsia="Verdana" w:cs="Verdana"/>
                <w:noProof w:val="0"/>
                <w:sz w:val="18"/>
                <w:szCs w:val="18"/>
                <w:lang w:val="nl-NL"/>
              </w:rPr>
              <w:t xml:space="preserve">toch te behouden. </w:t>
            </w:r>
            <w:r w:rsidRPr="2228F31B" w:rsidR="3EA6BAC2">
              <w:rPr>
                <w:rFonts w:ascii="Verdana" w:hAnsi="Verdana" w:eastAsia="Verdana" w:cs="Verdana"/>
                <w:noProof w:val="0"/>
                <w:sz w:val="18"/>
                <w:szCs w:val="18"/>
                <w:lang w:val="nl-NL"/>
              </w:rPr>
              <w:t>Dit volgt uit bezwaren van Fiji en Samoa, die deze bepaling wilden handhaven. De wijziging sluit aan bij andere economische partnerschapsovereenkomsten van de EU, heeft geen gevolgen voor de EU-begroting en moet tijdens de 11e vergadering van het Handelscomité in 2026 formeel worden vastgesteld</w:t>
            </w:r>
          </w:p>
        </w:tc>
      </w:tr>
    </w:tbl>
    <w:p w:rsidRPr="007B2BAB" w:rsidR="00C8718D" w:rsidP="009547A1" w:rsidRDefault="00C8718D" w14:paraId="1922E0AA" w14:textId="7CBD76AD">
      <w:pPr/>
    </w:p>
    <w:p w:rsidRPr="00E82772" w:rsidR="00C8718D" w:rsidP="009547A1" w:rsidRDefault="00C8718D" w14:paraId="6A119A45" w14:textId="77777777">
      <w:pPr>
        <w:rPr>
          <w:szCs w:val="18"/>
        </w:rPr>
      </w:pPr>
    </w:p>
    <w:p w:rsidR="00C8718D" w:rsidP="009547A1" w:rsidRDefault="00C8718D" w14:paraId="405831F7" w14:textId="77777777">
      <w:pPr>
        <w:rPr>
          <w:szCs w:val="18"/>
        </w:rPr>
      </w:pPr>
    </w:p>
    <w:sectPr w:rsidR="00C8718D" w:rsidSect="00BF62AD">
      <w:headerReference w:type="default" r:id="rId15"/>
      <w:footerReference w:type="default" r:id="rId16"/>
      <w:type w:val="continuous"/>
      <w:pgSz w:w="11907" w:h="16840" w:orient="portrait"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7EF4" w:rsidRDefault="00687EF4" w14:paraId="463BF14A" w14:textId="77777777">
      <w:r>
        <w:separator/>
      </w:r>
    </w:p>
  </w:endnote>
  <w:endnote w:type="continuationSeparator" w:id="0">
    <w:p w:rsidR="00687EF4" w:rsidRDefault="00687EF4" w14:paraId="3663A9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A42CDC" w:rsidRDefault="00F407B0" w14:paraId="4D951C82" w14:textId="77777777">
    <w:pPr>
      <w:pStyle w:val="Voettekst"/>
    </w:pPr>
    <w:r>
      <w:rPr>
        <w:noProof/>
        <w:lang w:eastAsia="nl-NL"/>
      </w:rPr>
      <mc:AlternateContent>
        <mc:Choice Requires="wps">
          <w:drawing>
            <wp:anchor distT="0" distB="0" distL="0" distR="0" simplePos="0" relativeHeight="251672064" behindDoc="0" locked="1" layoutInCell="1" allowOverlap="1" wp14:anchorId="05599778" wp14:editId="591483ED">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14:paraId="7339B7C3" w14:textId="77777777">
                          <w:pPr>
                            <w:pStyle w:val="Huisstijl-Paginanummer"/>
                          </w:pPr>
                          <w:r>
                            <w:fldChar w:fldCharType="begin"/>
                          </w:r>
                          <w:r>
                            <w:instrText xml:space="preserve"> PAGE  \* Arabic  \* MERGEFORMAT </w:instrText>
                          </w:r>
                          <w:r>
                            <w:fldChar w:fldCharType="separate"/>
                          </w:r>
                          <w:r w:rsidR="001E0E15">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5599778">
              <v:stroke joinstyle="miter"/>
              <v:path gradientshapeok="t" o:connecttype="rect"/>
            </v:shapetype>
            <v:shape id="Text Box 25"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strokecolor="white"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v:textbox inset="0,0,0,0">
                <w:txbxContent>
                  <w:p w:rsidR="00A42CDC" w:rsidRDefault="00F407B0" w14:paraId="7339B7C3" w14:textId="77777777">
                    <w:pPr>
                      <w:pStyle w:val="Huisstijl-Paginanummer"/>
                    </w:pPr>
                    <w:r>
                      <w:fldChar w:fldCharType="begin"/>
                    </w:r>
                    <w:r>
                      <w:instrText xml:space="preserve"> PAGE  \* Arabic  \* MERGEFORMAT </w:instrText>
                    </w:r>
                    <w:r>
                      <w:fldChar w:fldCharType="separate"/>
                    </w:r>
                    <w:r w:rsidR="001E0E15">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0315F0D2" wp14:editId="7BC453F8">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14:paraId="5A3B87D8" w14:textId="77777777"/>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w14:anchorId="0315F0D2">
              <v:textbox inset="0,0,0,0">
                <w:txbxContent>
                  <w:p w:rsidR="00A42CDC" w:rsidRDefault="00A42CDC" w14:paraId="5A3B87D8" w14:textId="77777777"/>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A42CDC" w:rsidRDefault="00F407B0" w14:paraId="1D6BBBC6" w14:textId="77777777">
    <w:pPr>
      <w:pStyle w:val="Voettekst"/>
    </w:pPr>
    <w:r>
      <w:rPr>
        <w:noProof/>
        <w:lang w:eastAsia="nl-NL"/>
      </w:rPr>
      <mc:AlternateContent>
        <mc:Choice Requires="wps">
          <w:drawing>
            <wp:anchor distT="0" distB="0" distL="0" distR="0" simplePos="0" relativeHeight="251674112" behindDoc="0" locked="1" layoutInCell="1" allowOverlap="1" wp14:anchorId="570629A4" wp14:editId="22784BFA">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14:paraId="0E3F17A1" w14:textId="77777777">
                          <w:pPr>
                            <w:pStyle w:val="Huisstijl-Paginanummer"/>
                          </w:pPr>
                          <w:r>
                            <w:fldChar w:fldCharType="begin"/>
                          </w:r>
                          <w:r>
                            <w:instrText xml:space="preserve"> PAGE  \* Arabic  \* MERGEFORMAT </w:instrText>
                          </w:r>
                          <w:r>
                            <w:fldChar w:fldCharType="separate"/>
                          </w:r>
                          <w:r w:rsidR="00234702">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70629A4">
              <v:stroke joinstyle="miter"/>
              <v:path gradientshapeok="t" o:connecttype="rect"/>
            </v:shapetype>
            <v:shape id="_x0000_s1031"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strokecolor="white"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v:textbox inset="0,0,0,0">
                <w:txbxContent>
                  <w:p w:rsidR="00A42CDC" w:rsidRDefault="00F407B0" w14:paraId="0E3F17A1" w14:textId="77777777">
                    <w:pPr>
                      <w:pStyle w:val="Huisstijl-Paginanummer"/>
                    </w:pPr>
                    <w:r>
                      <w:fldChar w:fldCharType="begin"/>
                    </w:r>
                    <w:r>
                      <w:instrText xml:space="preserve"> PAGE  \* Arabic  \* MERGEFORMAT </w:instrText>
                    </w:r>
                    <w:r>
                      <w:fldChar w:fldCharType="separate"/>
                    </w:r>
                    <w:r w:rsidR="00234702">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7C076FA9" wp14:editId="4453AF4A">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14:paraId="5EAD05C4" w14:textId="77777777"/>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w14:anchorId="7C076FA9">
              <v:textbox inset="0,0,0,0">
                <w:txbxContent>
                  <w:p w:rsidR="00A42CDC" w:rsidRDefault="00A42CDC" w14:paraId="5EAD05C4" w14:textId="77777777"/>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7EF4" w:rsidRDefault="00687EF4" w14:paraId="349420BE" w14:textId="77777777">
      <w:r>
        <w:separator/>
      </w:r>
    </w:p>
  </w:footnote>
  <w:footnote w:type="continuationSeparator" w:id="0">
    <w:p w:rsidR="00687EF4" w:rsidRDefault="00687EF4" w14:paraId="1E5E2490" w14:textId="77777777">
      <w:r>
        <w:continuationSeparator/>
      </w:r>
    </w:p>
  </w:footnote>
  <w:footnote w:id="1">
    <w:p w:rsidRPr="002B21B2" w:rsidR="002B21B2" w:rsidRDefault="002B21B2" w14:paraId="59787E53" w14:textId="77777777">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w:history="1" r:id="rId1">
        <w:r w:rsidRPr="000F26C0" w:rsidR="000F26C0">
          <w:rPr>
            <w:rStyle w:val="Hyperlink"/>
            <w:rFonts w:ascii="Verdana" w:hAnsi="Verdana"/>
            <w:sz w:val="14"/>
          </w:rPr>
          <w:t>dit overzicht</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2CDC" w:rsidRDefault="00A42CDC" w14:paraId="6927228B" w14:textId="77777777">
    <w:pPr>
      <w:pStyle w:val="Koptekst"/>
    </w:pPr>
    <w:r>
      <w:rPr>
        <w:noProof/>
        <w:lang w:eastAsia="nl-NL"/>
      </w:rPr>
      <w:drawing>
        <wp:anchor distT="0" distB="0" distL="114300" distR="114300" simplePos="0" relativeHeight="251668992" behindDoc="1" locked="0" layoutInCell="1" allowOverlap="1" wp14:anchorId="48091C59" wp14:editId="209161B8">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045E8C17" wp14:editId="3A310355">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2CDC" w:rsidRDefault="00F407B0" w14:paraId="28FF9A42" w14:textId="77777777">
    <w:pPr>
      <w:pStyle w:val="Koptekst"/>
    </w:pPr>
    <w:r>
      <w:rPr>
        <w:noProof/>
        <w:lang w:eastAsia="nl-NL"/>
      </w:rPr>
      <mc:AlternateContent>
        <mc:Choice Requires="wps">
          <w:drawing>
            <wp:anchor distT="0" distB="0" distL="114300" distR="114300" simplePos="0" relativeHeight="251666944" behindDoc="0" locked="0" layoutInCell="1" allowOverlap="1" wp14:anchorId="35D64D54" wp14:editId="79616036">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P="006B0B28" w:rsidRDefault="00A42CDC" w14:paraId="373508BD" w14:textId="77777777">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35D64D54">
              <v:stroke joinstyle="miter"/>
              <v:path gradientshapeok="t" o:connecttype="rect"/>
            </v:shapetype>
            <v:shape id="Tekstvak 1"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v:textbox style="mso-fit-shape-to-text:t" inset="0,0,0,0">
                <w:txbxContent>
                  <w:p w:rsidR="00A42CDC" w:rsidP="006B0B28" w:rsidRDefault="00A42CDC" w14:paraId="373508BD" w14:textId="77777777">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27B4E983" wp14:editId="626EFDA9">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309347">
    <w:abstractNumId w:val="1"/>
  </w:num>
  <w:num w:numId="2" w16cid:durableId="1302420861">
    <w:abstractNumId w:val="5"/>
  </w:num>
  <w:num w:numId="3" w16cid:durableId="1854491753">
    <w:abstractNumId w:val="9"/>
  </w:num>
  <w:num w:numId="4" w16cid:durableId="60061111">
    <w:abstractNumId w:val="4"/>
  </w:num>
  <w:num w:numId="5" w16cid:durableId="2051415036">
    <w:abstractNumId w:val="2"/>
  </w:num>
  <w:num w:numId="6" w16cid:durableId="225529406">
    <w:abstractNumId w:val="0"/>
  </w:num>
  <w:num w:numId="7" w16cid:durableId="1055930712">
    <w:abstractNumId w:val="8"/>
  </w:num>
  <w:num w:numId="8" w16cid:durableId="260260511">
    <w:abstractNumId w:val="6"/>
  </w:num>
  <w:num w:numId="9" w16cid:durableId="451091769">
    <w:abstractNumId w:val="7"/>
  </w:num>
  <w:num w:numId="10" w16cid:durableId="2066374062">
    <w:abstractNumId w:val="3"/>
  </w:num>
  <w:num w:numId="11" w16cid:durableId="141771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2ABB"/>
    <w:rsid w:val="00002FCB"/>
    <w:rsid w:val="000037E5"/>
    <w:rsid w:val="00004383"/>
    <w:rsid w:val="00006780"/>
    <w:rsid w:val="00010EF2"/>
    <w:rsid w:val="000123FA"/>
    <w:rsid w:val="00013B5B"/>
    <w:rsid w:val="00016110"/>
    <w:rsid w:val="00026267"/>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7B4"/>
    <w:rsid w:val="000B7C51"/>
    <w:rsid w:val="000C43D2"/>
    <w:rsid w:val="000C44F1"/>
    <w:rsid w:val="000C757C"/>
    <w:rsid w:val="000C7920"/>
    <w:rsid w:val="000C7A3D"/>
    <w:rsid w:val="000D1563"/>
    <w:rsid w:val="000D3187"/>
    <w:rsid w:val="000E56B6"/>
    <w:rsid w:val="000E5890"/>
    <w:rsid w:val="000E59AA"/>
    <w:rsid w:val="000E6653"/>
    <w:rsid w:val="000E69FD"/>
    <w:rsid w:val="000E7C39"/>
    <w:rsid w:val="000F0E77"/>
    <w:rsid w:val="000F26C0"/>
    <w:rsid w:val="000F359C"/>
    <w:rsid w:val="000F36CD"/>
    <w:rsid w:val="000F5363"/>
    <w:rsid w:val="000F5722"/>
    <w:rsid w:val="00102FE4"/>
    <w:rsid w:val="00105391"/>
    <w:rsid w:val="001164D4"/>
    <w:rsid w:val="00120FD2"/>
    <w:rsid w:val="0013509E"/>
    <w:rsid w:val="0013623C"/>
    <w:rsid w:val="001401C7"/>
    <w:rsid w:val="00141D39"/>
    <w:rsid w:val="001445D4"/>
    <w:rsid w:val="00147017"/>
    <w:rsid w:val="00151AC8"/>
    <w:rsid w:val="001545B9"/>
    <w:rsid w:val="00154EC0"/>
    <w:rsid w:val="001555A9"/>
    <w:rsid w:val="00160E6E"/>
    <w:rsid w:val="00160EFC"/>
    <w:rsid w:val="00161D1B"/>
    <w:rsid w:val="001706B1"/>
    <w:rsid w:val="00170AFB"/>
    <w:rsid w:val="00170E25"/>
    <w:rsid w:val="001715CC"/>
    <w:rsid w:val="0017367F"/>
    <w:rsid w:val="00187402"/>
    <w:rsid w:val="0018775E"/>
    <w:rsid w:val="0019166C"/>
    <w:rsid w:val="00192F0E"/>
    <w:rsid w:val="00193DF4"/>
    <w:rsid w:val="001959F4"/>
    <w:rsid w:val="00196775"/>
    <w:rsid w:val="001A0211"/>
    <w:rsid w:val="001A3995"/>
    <w:rsid w:val="001A4097"/>
    <w:rsid w:val="001B2F65"/>
    <w:rsid w:val="001B7CAE"/>
    <w:rsid w:val="001C14DB"/>
    <w:rsid w:val="001C3467"/>
    <w:rsid w:val="001D08B2"/>
    <w:rsid w:val="001D3CD3"/>
    <w:rsid w:val="001D7B39"/>
    <w:rsid w:val="001E0E15"/>
    <w:rsid w:val="001E143A"/>
    <w:rsid w:val="001E175B"/>
    <w:rsid w:val="001E1C84"/>
    <w:rsid w:val="001E39BA"/>
    <w:rsid w:val="001EDF46"/>
    <w:rsid w:val="001F1517"/>
    <w:rsid w:val="001F4221"/>
    <w:rsid w:val="001F7012"/>
    <w:rsid w:val="002048D9"/>
    <w:rsid w:val="00210705"/>
    <w:rsid w:val="00211391"/>
    <w:rsid w:val="00212C01"/>
    <w:rsid w:val="002136C2"/>
    <w:rsid w:val="00216C27"/>
    <w:rsid w:val="00221D6B"/>
    <w:rsid w:val="0022374D"/>
    <w:rsid w:val="00224294"/>
    <w:rsid w:val="00227D85"/>
    <w:rsid w:val="00234702"/>
    <w:rsid w:val="00235B3D"/>
    <w:rsid w:val="00241DE4"/>
    <w:rsid w:val="00245D08"/>
    <w:rsid w:val="00246F61"/>
    <w:rsid w:val="00251996"/>
    <w:rsid w:val="002538C7"/>
    <w:rsid w:val="00262A1B"/>
    <w:rsid w:val="00266365"/>
    <w:rsid w:val="00271075"/>
    <w:rsid w:val="00276AE7"/>
    <w:rsid w:val="0028208B"/>
    <w:rsid w:val="002826C8"/>
    <w:rsid w:val="00287629"/>
    <w:rsid w:val="0029124C"/>
    <w:rsid w:val="002920EA"/>
    <w:rsid w:val="00292C57"/>
    <w:rsid w:val="0029377C"/>
    <w:rsid w:val="002949C2"/>
    <w:rsid w:val="002A1A05"/>
    <w:rsid w:val="002A1A9B"/>
    <w:rsid w:val="002A2092"/>
    <w:rsid w:val="002A4BD8"/>
    <w:rsid w:val="002A6FD9"/>
    <w:rsid w:val="002B011C"/>
    <w:rsid w:val="002B21B2"/>
    <w:rsid w:val="002B2DEC"/>
    <w:rsid w:val="002B3C7E"/>
    <w:rsid w:val="002C00E9"/>
    <w:rsid w:val="002C0392"/>
    <w:rsid w:val="002C0A75"/>
    <w:rsid w:val="002C18DB"/>
    <w:rsid w:val="002C488A"/>
    <w:rsid w:val="002E43EB"/>
    <w:rsid w:val="002E5CC6"/>
    <w:rsid w:val="002E6686"/>
    <w:rsid w:val="002E72EA"/>
    <w:rsid w:val="002F0FBD"/>
    <w:rsid w:val="002F363A"/>
    <w:rsid w:val="002F3D6D"/>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204F"/>
    <w:rsid w:val="0033344D"/>
    <w:rsid w:val="003354DB"/>
    <w:rsid w:val="003377D8"/>
    <w:rsid w:val="003410ED"/>
    <w:rsid w:val="00343CB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0C94"/>
    <w:rsid w:val="003812B9"/>
    <w:rsid w:val="00382D57"/>
    <w:rsid w:val="003843F9"/>
    <w:rsid w:val="00393BB7"/>
    <w:rsid w:val="003A219A"/>
    <w:rsid w:val="003A55B4"/>
    <w:rsid w:val="003A5792"/>
    <w:rsid w:val="003B1D02"/>
    <w:rsid w:val="003B254F"/>
    <w:rsid w:val="003B2964"/>
    <w:rsid w:val="003B4119"/>
    <w:rsid w:val="003B484E"/>
    <w:rsid w:val="003B67E0"/>
    <w:rsid w:val="003C0D63"/>
    <w:rsid w:val="003C1310"/>
    <w:rsid w:val="003C2832"/>
    <w:rsid w:val="003D22ED"/>
    <w:rsid w:val="003D450D"/>
    <w:rsid w:val="003D5554"/>
    <w:rsid w:val="003D660C"/>
    <w:rsid w:val="003E6EA2"/>
    <w:rsid w:val="003F18F6"/>
    <w:rsid w:val="003F4604"/>
    <w:rsid w:val="003F628A"/>
    <w:rsid w:val="00403FAF"/>
    <w:rsid w:val="00405747"/>
    <w:rsid w:val="0041042A"/>
    <w:rsid w:val="00411808"/>
    <w:rsid w:val="0041634B"/>
    <w:rsid w:val="00416E67"/>
    <w:rsid w:val="00420882"/>
    <w:rsid w:val="00424531"/>
    <w:rsid w:val="00424D04"/>
    <w:rsid w:val="00425C93"/>
    <w:rsid w:val="004265B2"/>
    <w:rsid w:val="00427600"/>
    <w:rsid w:val="0043382C"/>
    <w:rsid w:val="0043446E"/>
    <w:rsid w:val="00434BC6"/>
    <w:rsid w:val="00441745"/>
    <w:rsid w:val="00442D7A"/>
    <w:rsid w:val="004521E2"/>
    <w:rsid w:val="00455D0F"/>
    <w:rsid w:val="004570FA"/>
    <w:rsid w:val="004573F4"/>
    <w:rsid w:val="004577D5"/>
    <w:rsid w:val="004605A4"/>
    <w:rsid w:val="00461756"/>
    <w:rsid w:val="0046311A"/>
    <w:rsid w:val="00464184"/>
    <w:rsid w:val="00473A07"/>
    <w:rsid w:val="00473A85"/>
    <w:rsid w:val="00473B75"/>
    <w:rsid w:val="00474A4E"/>
    <w:rsid w:val="00474E1E"/>
    <w:rsid w:val="004760D1"/>
    <w:rsid w:val="00482405"/>
    <w:rsid w:val="004824CD"/>
    <w:rsid w:val="00484658"/>
    <w:rsid w:val="00491847"/>
    <w:rsid w:val="004A0757"/>
    <w:rsid w:val="004A2857"/>
    <w:rsid w:val="004A48F2"/>
    <w:rsid w:val="004A553E"/>
    <w:rsid w:val="004B109E"/>
    <w:rsid w:val="004B447F"/>
    <w:rsid w:val="004B572A"/>
    <w:rsid w:val="004B5B19"/>
    <w:rsid w:val="004B6B14"/>
    <w:rsid w:val="004C7B01"/>
    <w:rsid w:val="004D5160"/>
    <w:rsid w:val="004E3424"/>
    <w:rsid w:val="004E426E"/>
    <w:rsid w:val="004E5595"/>
    <w:rsid w:val="004E5837"/>
    <w:rsid w:val="004F0CCC"/>
    <w:rsid w:val="00505F93"/>
    <w:rsid w:val="00507A41"/>
    <w:rsid w:val="00511442"/>
    <w:rsid w:val="00514845"/>
    <w:rsid w:val="005158C0"/>
    <w:rsid w:val="0051638F"/>
    <w:rsid w:val="00520D88"/>
    <w:rsid w:val="00521E24"/>
    <w:rsid w:val="00522540"/>
    <w:rsid w:val="00523902"/>
    <w:rsid w:val="00525BF3"/>
    <w:rsid w:val="00525CAA"/>
    <w:rsid w:val="00526065"/>
    <w:rsid w:val="00527428"/>
    <w:rsid w:val="005324DF"/>
    <w:rsid w:val="005376B8"/>
    <w:rsid w:val="00540EC2"/>
    <w:rsid w:val="00540F78"/>
    <w:rsid w:val="00543233"/>
    <w:rsid w:val="00543BB4"/>
    <w:rsid w:val="00554CBF"/>
    <w:rsid w:val="00557D04"/>
    <w:rsid w:val="005602A0"/>
    <w:rsid w:val="00565011"/>
    <w:rsid w:val="00575841"/>
    <w:rsid w:val="00581C55"/>
    <w:rsid w:val="005825DC"/>
    <w:rsid w:val="005834BB"/>
    <w:rsid w:val="0058398B"/>
    <w:rsid w:val="0058632D"/>
    <w:rsid w:val="0059220B"/>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11FA"/>
    <w:rsid w:val="005E300D"/>
    <w:rsid w:val="005E7B45"/>
    <w:rsid w:val="005F1EDF"/>
    <w:rsid w:val="005F3027"/>
    <w:rsid w:val="006008F8"/>
    <w:rsid w:val="00601095"/>
    <w:rsid w:val="00605B5A"/>
    <w:rsid w:val="006060B3"/>
    <w:rsid w:val="0060611D"/>
    <w:rsid w:val="00613764"/>
    <w:rsid w:val="00617577"/>
    <w:rsid w:val="006200E7"/>
    <w:rsid w:val="00621260"/>
    <w:rsid w:val="00626F56"/>
    <w:rsid w:val="00626FD8"/>
    <w:rsid w:val="006301F4"/>
    <w:rsid w:val="006303C6"/>
    <w:rsid w:val="00631294"/>
    <w:rsid w:val="00633333"/>
    <w:rsid w:val="0064051F"/>
    <w:rsid w:val="00643A98"/>
    <w:rsid w:val="006475E6"/>
    <w:rsid w:val="006505A1"/>
    <w:rsid w:val="00653181"/>
    <w:rsid w:val="0065323F"/>
    <w:rsid w:val="006537C4"/>
    <w:rsid w:val="00655929"/>
    <w:rsid w:val="00656188"/>
    <w:rsid w:val="00661ACE"/>
    <w:rsid w:val="00661F6A"/>
    <w:rsid w:val="006635A7"/>
    <w:rsid w:val="00667A74"/>
    <w:rsid w:val="00673519"/>
    <w:rsid w:val="00682002"/>
    <w:rsid w:val="00687EF4"/>
    <w:rsid w:val="00690F44"/>
    <w:rsid w:val="006919C8"/>
    <w:rsid w:val="0069362C"/>
    <w:rsid w:val="00693D3B"/>
    <w:rsid w:val="00694B16"/>
    <w:rsid w:val="0069727F"/>
    <w:rsid w:val="00697687"/>
    <w:rsid w:val="006A15AD"/>
    <w:rsid w:val="006A45D8"/>
    <w:rsid w:val="006A4888"/>
    <w:rsid w:val="006A5210"/>
    <w:rsid w:val="006B0B28"/>
    <w:rsid w:val="006B12BF"/>
    <w:rsid w:val="006B297C"/>
    <w:rsid w:val="006B488A"/>
    <w:rsid w:val="006C4176"/>
    <w:rsid w:val="006C5B2A"/>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07498"/>
    <w:rsid w:val="0071017A"/>
    <w:rsid w:val="00711E11"/>
    <w:rsid w:val="007135E6"/>
    <w:rsid w:val="00715569"/>
    <w:rsid w:val="007204C6"/>
    <w:rsid w:val="00720DBB"/>
    <w:rsid w:val="00721758"/>
    <w:rsid w:val="00721E15"/>
    <w:rsid w:val="00723DF8"/>
    <w:rsid w:val="007248BC"/>
    <w:rsid w:val="00726354"/>
    <w:rsid w:val="00732AC8"/>
    <w:rsid w:val="007417AC"/>
    <w:rsid w:val="00742444"/>
    <w:rsid w:val="007439D7"/>
    <w:rsid w:val="00745D31"/>
    <w:rsid w:val="00747A64"/>
    <w:rsid w:val="00755534"/>
    <w:rsid w:val="00757AA5"/>
    <w:rsid w:val="007642F9"/>
    <w:rsid w:val="00770A61"/>
    <w:rsid w:val="00773074"/>
    <w:rsid w:val="00773C33"/>
    <w:rsid w:val="00781A50"/>
    <w:rsid w:val="00781BCD"/>
    <w:rsid w:val="007829EB"/>
    <w:rsid w:val="007876BC"/>
    <w:rsid w:val="00787C51"/>
    <w:rsid w:val="0079316B"/>
    <w:rsid w:val="00794A22"/>
    <w:rsid w:val="00796433"/>
    <w:rsid w:val="00796B75"/>
    <w:rsid w:val="007A03BA"/>
    <w:rsid w:val="007A4A53"/>
    <w:rsid w:val="007A6CDA"/>
    <w:rsid w:val="007B02DE"/>
    <w:rsid w:val="007B2BAB"/>
    <w:rsid w:val="007D49C7"/>
    <w:rsid w:val="007E249D"/>
    <w:rsid w:val="007E3B31"/>
    <w:rsid w:val="007E4BFD"/>
    <w:rsid w:val="007F04F9"/>
    <w:rsid w:val="007F5623"/>
    <w:rsid w:val="007F714A"/>
    <w:rsid w:val="00802D86"/>
    <w:rsid w:val="00802F06"/>
    <w:rsid w:val="008047D9"/>
    <w:rsid w:val="00804A4D"/>
    <w:rsid w:val="00804E7D"/>
    <w:rsid w:val="0081023D"/>
    <w:rsid w:val="0081050B"/>
    <w:rsid w:val="00812348"/>
    <w:rsid w:val="00812C2A"/>
    <w:rsid w:val="00820149"/>
    <w:rsid w:val="00820651"/>
    <w:rsid w:val="00822C2E"/>
    <w:rsid w:val="008253CB"/>
    <w:rsid w:val="00826C29"/>
    <w:rsid w:val="00834690"/>
    <w:rsid w:val="0083576C"/>
    <w:rsid w:val="00840FA0"/>
    <w:rsid w:val="00843FBB"/>
    <w:rsid w:val="008454D2"/>
    <w:rsid w:val="00845DEC"/>
    <w:rsid w:val="00846164"/>
    <w:rsid w:val="0084666E"/>
    <w:rsid w:val="008466B3"/>
    <w:rsid w:val="00851FC7"/>
    <w:rsid w:val="0085294F"/>
    <w:rsid w:val="00855049"/>
    <w:rsid w:val="00866593"/>
    <w:rsid w:val="00870719"/>
    <w:rsid w:val="00875D8A"/>
    <w:rsid w:val="008818B7"/>
    <w:rsid w:val="008861C4"/>
    <w:rsid w:val="00892314"/>
    <w:rsid w:val="0089371C"/>
    <w:rsid w:val="008A4075"/>
    <w:rsid w:val="008A5C07"/>
    <w:rsid w:val="008A5F82"/>
    <w:rsid w:val="008B33EB"/>
    <w:rsid w:val="008B363D"/>
    <w:rsid w:val="008B3ABC"/>
    <w:rsid w:val="008B4B43"/>
    <w:rsid w:val="008B5E4B"/>
    <w:rsid w:val="008B7783"/>
    <w:rsid w:val="008C43A5"/>
    <w:rsid w:val="008C4443"/>
    <w:rsid w:val="008C6B1F"/>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47A1"/>
    <w:rsid w:val="00956342"/>
    <w:rsid w:val="009575DB"/>
    <w:rsid w:val="00962A95"/>
    <w:rsid w:val="009647CC"/>
    <w:rsid w:val="00970CA0"/>
    <w:rsid w:val="00971D5E"/>
    <w:rsid w:val="0097614E"/>
    <w:rsid w:val="00981B9B"/>
    <w:rsid w:val="00982F14"/>
    <w:rsid w:val="00986DA2"/>
    <w:rsid w:val="009870EA"/>
    <w:rsid w:val="009874C6"/>
    <w:rsid w:val="00990B28"/>
    <w:rsid w:val="0099243E"/>
    <w:rsid w:val="009956D1"/>
    <w:rsid w:val="00995B14"/>
    <w:rsid w:val="0099784B"/>
    <w:rsid w:val="009A5399"/>
    <w:rsid w:val="009B1792"/>
    <w:rsid w:val="009B2C99"/>
    <w:rsid w:val="009B2CE0"/>
    <w:rsid w:val="009B3CF3"/>
    <w:rsid w:val="009B4DCA"/>
    <w:rsid w:val="009B706C"/>
    <w:rsid w:val="009C1961"/>
    <w:rsid w:val="009C2266"/>
    <w:rsid w:val="009D0749"/>
    <w:rsid w:val="009E2113"/>
    <w:rsid w:val="009E79E2"/>
    <w:rsid w:val="009F1C43"/>
    <w:rsid w:val="009F2CCC"/>
    <w:rsid w:val="00A009CA"/>
    <w:rsid w:val="00A04C8A"/>
    <w:rsid w:val="00A149AC"/>
    <w:rsid w:val="00A20A7D"/>
    <w:rsid w:val="00A324AB"/>
    <w:rsid w:val="00A32928"/>
    <w:rsid w:val="00A33B04"/>
    <w:rsid w:val="00A34E30"/>
    <w:rsid w:val="00A362EB"/>
    <w:rsid w:val="00A37656"/>
    <w:rsid w:val="00A42CDC"/>
    <w:rsid w:val="00A464BD"/>
    <w:rsid w:val="00A501AD"/>
    <w:rsid w:val="00A57E41"/>
    <w:rsid w:val="00A657BB"/>
    <w:rsid w:val="00A77085"/>
    <w:rsid w:val="00A80CBB"/>
    <w:rsid w:val="00A828E3"/>
    <w:rsid w:val="00A840B5"/>
    <w:rsid w:val="00A95091"/>
    <w:rsid w:val="00A96541"/>
    <w:rsid w:val="00AA0328"/>
    <w:rsid w:val="00AA44E4"/>
    <w:rsid w:val="00AB0987"/>
    <w:rsid w:val="00AB365C"/>
    <w:rsid w:val="00AB601C"/>
    <w:rsid w:val="00AB6D0E"/>
    <w:rsid w:val="00AC226A"/>
    <w:rsid w:val="00AC2D1E"/>
    <w:rsid w:val="00AC3F58"/>
    <w:rsid w:val="00AC68C0"/>
    <w:rsid w:val="00AD0985"/>
    <w:rsid w:val="00AD176E"/>
    <w:rsid w:val="00AD33F2"/>
    <w:rsid w:val="00AD4211"/>
    <w:rsid w:val="00AD5545"/>
    <w:rsid w:val="00AE17EA"/>
    <w:rsid w:val="00AE3B5E"/>
    <w:rsid w:val="00AE4AA4"/>
    <w:rsid w:val="00AE681E"/>
    <w:rsid w:val="00AE69BE"/>
    <w:rsid w:val="00AE768D"/>
    <w:rsid w:val="00AF27EB"/>
    <w:rsid w:val="00AF294D"/>
    <w:rsid w:val="00AF7BAC"/>
    <w:rsid w:val="00B10344"/>
    <w:rsid w:val="00B257AD"/>
    <w:rsid w:val="00B2723B"/>
    <w:rsid w:val="00B30327"/>
    <w:rsid w:val="00B306FA"/>
    <w:rsid w:val="00B34C2F"/>
    <w:rsid w:val="00B41A4D"/>
    <w:rsid w:val="00B53C93"/>
    <w:rsid w:val="00B54A2B"/>
    <w:rsid w:val="00B55826"/>
    <w:rsid w:val="00B56147"/>
    <w:rsid w:val="00B60251"/>
    <w:rsid w:val="00B70888"/>
    <w:rsid w:val="00B719D3"/>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D5BE5"/>
    <w:rsid w:val="00BE103B"/>
    <w:rsid w:val="00BF2DEC"/>
    <w:rsid w:val="00BF468F"/>
    <w:rsid w:val="00BF62AD"/>
    <w:rsid w:val="00C00303"/>
    <w:rsid w:val="00C043E6"/>
    <w:rsid w:val="00C072B0"/>
    <w:rsid w:val="00C113E9"/>
    <w:rsid w:val="00C13494"/>
    <w:rsid w:val="00C142E8"/>
    <w:rsid w:val="00C14EA7"/>
    <w:rsid w:val="00C150F3"/>
    <w:rsid w:val="00C17A75"/>
    <w:rsid w:val="00C17E79"/>
    <w:rsid w:val="00C22406"/>
    <w:rsid w:val="00C24B87"/>
    <w:rsid w:val="00C3378C"/>
    <w:rsid w:val="00C3534E"/>
    <w:rsid w:val="00C4073F"/>
    <w:rsid w:val="00C43550"/>
    <w:rsid w:val="00C4727D"/>
    <w:rsid w:val="00C5067A"/>
    <w:rsid w:val="00C60BB7"/>
    <w:rsid w:val="00C643E9"/>
    <w:rsid w:val="00C660F6"/>
    <w:rsid w:val="00C71065"/>
    <w:rsid w:val="00C727FA"/>
    <w:rsid w:val="00C72970"/>
    <w:rsid w:val="00C75EFA"/>
    <w:rsid w:val="00C76646"/>
    <w:rsid w:val="00C776F3"/>
    <w:rsid w:val="00C77C19"/>
    <w:rsid w:val="00C81CF5"/>
    <w:rsid w:val="00C8718D"/>
    <w:rsid w:val="00C9208E"/>
    <w:rsid w:val="00C920B0"/>
    <w:rsid w:val="00C92FEA"/>
    <w:rsid w:val="00C95F3E"/>
    <w:rsid w:val="00C97A62"/>
    <w:rsid w:val="00CA2071"/>
    <w:rsid w:val="00CA2568"/>
    <w:rsid w:val="00CA2E09"/>
    <w:rsid w:val="00CA686E"/>
    <w:rsid w:val="00CA7319"/>
    <w:rsid w:val="00CB39DA"/>
    <w:rsid w:val="00CB6655"/>
    <w:rsid w:val="00CB6D12"/>
    <w:rsid w:val="00CC06B3"/>
    <w:rsid w:val="00CC0D76"/>
    <w:rsid w:val="00CC14BA"/>
    <w:rsid w:val="00CC159D"/>
    <w:rsid w:val="00CC1F4A"/>
    <w:rsid w:val="00CC4922"/>
    <w:rsid w:val="00CD180F"/>
    <w:rsid w:val="00CD57F3"/>
    <w:rsid w:val="00CD6193"/>
    <w:rsid w:val="00CD730D"/>
    <w:rsid w:val="00CE6987"/>
    <w:rsid w:val="00CF0772"/>
    <w:rsid w:val="00CF7ECD"/>
    <w:rsid w:val="00D00F3E"/>
    <w:rsid w:val="00D03DA0"/>
    <w:rsid w:val="00D04E0E"/>
    <w:rsid w:val="00D05232"/>
    <w:rsid w:val="00D06AD2"/>
    <w:rsid w:val="00D06BD8"/>
    <w:rsid w:val="00D11CFB"/>
    <w:rsid w:val="00D11FD5"/>
    <w:rsid w:val="00D14580"/>
    <w:rsid w:val="00D152E7"/>
    <w:rsid w:val="00D201CB"/>
    <w:rsid w:val="00D201E3"/>
    <w:rsid w:val="00D206E8"/>
    <w:rsid w:val="00D212CA"/>
    <w:rsid w:val="00D233A8"/>
    <w:rsid w:val="00D25C7A"/>
    <w:rsid w:val="00D26280"/>
    <w:rsid w:val="00D27FE7"/>
    <w:rsid w:val="00D303E7"/>
    <w:rsid w:val="00D3073E"/>
    <w:rsid w:val="00D30C85"/>
    <w:rsid w:val="00D36A44"/>
    <w:rsid w:val="00D400CD"/>
    <w:rsid w:val="00D40390"/>
    <w:rsid w:val="00D43638"/>
    <w:rsid w:val="00D4444E"/>
    <w:rsid w:val="00D46679"/>
    <w:rsid w:val="00D467E2"/>
    <w:rsid w:val="00D51BFE"/>
    <w:rsid w:val="00D52602"/>
    <w:rsid w:val="00D5774F"/>
    <w:rsid w:val="00D64CF8"/>
    <w:rsid w:val="00D64F93"/>
    <w:rsid w:val="00D6591C"/>
    <w:rsid w:val="00D66743"/>
    <w:rsid w:val="00D67F7F"/>
    <w:rsid w:val="00D7255C"/>
    <w:rsid w:val="00D72CC9"/>
    <w:rsid w:val="00D75535"/>
    <w:rsid w:val="00D82116"/>
    <w:rsid w:val="00DA4AC7"/>
    <w:rsid w:val="00DA5144"/>
    <w:rsid w:val="00DB2B90"/>
    <w:rsid w:val="00DB3F6B"/>
    <w:rsid w:val="00DB464F"/>
    <w:rsid w:val="00DB6B9D"/>
    <w:rsid w:val="00DC0EBD"/>
    <w:rsid w:val="00DC1442"/>
    <w:rsid w:val="00DC165E"/>
    <w:rsid w:val="00DD5412"/>
    <w:rsid w:val="00DD564F"/>
    <w:rsid w:val="00DD6D95"/>
    <w:rsid w:val="00DE2897"/>
    <w:rsid w:val="00DE32DE"/>
    <w:rsid w:val="00DE4FD0"/>
    <w:rsid w:val="00DE5B8E"/>
    <w:rsid w:val="00DE6323"/>
    <w:rsid w:val="00DE6F9D"/>
    <w:rsid w:val="00DE7800"/>
    <w:rsid w:val="00DF142E"/>
    <w:rsid w:val="00DF1626"/>
    <w:rsid w:val="00DF50DA"/>
    <w:rsid w:val="00DF5A2E"/>
    <w:rsid w:val="00DF717F"/>
    <w:rsid w:val="00E006B7"/>
    <w:rsid w:val="00E02D08"/>
    <w:rsid w:val="00E057F3"/>
    <w:rsid w:val="00E06447"/>
    <w:rsid w:val="00E10297"/>
    <w:rsid w:val="00E1180B"/>
    <w:rsid w:val="00E11A26"/>
    <w:rsid w:val="00E11B7B"/>
    <w:rsid w:val="00E145BE"/>
    <w:rsid w:val="00E20B2E"/>
    <w:rsid w:val="00E23B52"/>
    <w:rsid w:val="00E23D3A"/>
    <w:rsid w:val="00E246A4"/>
    <w:rsid w:val="00E2607E"/>
    <w:rsid w:val="00E265FC"/>
    <w:rsid w:val="00E269CC"/>
    <w:rsid w:val="00E33272"/>
    <w:rsid w:val="00E35168"/>
    <w:rsid w:val="00E3590E"/>
    <w:rsid w:val="00E37DB4"/>
    <w:rsid w:val="00E407E1"/>
    <w:rsid w:val="00E41C82"/>
    <w:rsid w:val="00E4200D"/>
    <w:rsid w:val="00E42FB9"/>
    <w:rsid w:val="00E452DF"/>
    <w:rsid w:val="00E45C8D"/>
    <w:rsid w:val="00E4701A"/>
    <w:rsid w:val="00E50DFF"/>
    <w:rsid w:val="00E53C1E"/>
    <w:rsid w:val="00E63829"/>
    <w:rsid w:val="00E6432B"/>
    <w:rsid w:val="00E666D4"/>
    <w:rsid w:val="00E6700A"/>
    <w:rsid w:val="00E67989"/>
    <w:rsid w:val="00E80096"/>
    <w:rsid w:val="00E80FBD"/>
    <w:rsid w:val="00E82772"/>
    <w:rsid w:val="00E82B47"/>
    <w:rsid w:val="00E844C9"/>
    <w:rsid w:val="00E84D83"/>
    <w:rsid w:val="00E8528A"/>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EF7DAC"/>
    <w:rsid w:val="00F00C07"/>
    <w:rsid w:val="00F06DC3"/>
    <w:rsid w:val="00F11149"/>
    <w:rsid w:val="00F14A3A"/>
    <w:rsid w:val="00F161D4"/>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56825"/>
    <w:rsid w:val="00F62A28"/>
    <w:rsid w:val="00F62D5D"/>
    <w:rsid w:val="00F65184"/>
    <w:rsid w:val="00F6629C"/>
    <w:rsid w:val="00F71F61"/>
    <w:rsid w:val="00F73681"/>
    <w:rsid w:val="00F839FE"/>
    <w:rsid w:val="00F84683"/>
    <w:rsid w:val="00F85D51"/>
    <w:rsid w:val="00F85F4D"/>
    <w:rsid w:val="00F876C1"/>
    <w:rsid w:val="00F87AC5"/>
    <w:rsid w:val="00F9004F"/>
    <w:rsid w:val="00F9024C"/>
    <w:rsid w:val="00F938C6"/>
    <w:rsid w:val="00F941A4"/>
    <w:rsid w:val="00F9641A"/>
    <w:rsid w:val="00F9703B"/>
    <w:rsid w:val="00FA03AA"/>
    <w:rsid w:val="00FA5C15"/>
    <w:rsid w:val="00FA6BD8"/>
    <w:rsid w:val="00FB07CB"/>
    <w:rsid w:val="00FB2944"/>
    <w:rsid w:val="00FB30DD"/>
    <w:rsid w:val="00FB41D0"/>
    <w:rsid w:val="00FB63FB"/>
    <w:rsid w:val="00FB673E"/>
    <w:rsid w:val="00FC6024"/>
    <w:rsid w:val="00FC69E1"/>
    <w:rsid w:val="00FD4911"/>
    <w:rsid w:val="00FD4C55"/>
    <w:rsid w:val="00FD663A"/>
    <w:rsid w:val="00FD6BCB"/>
    <w:rsid w:val="00FD6EE0"/>
    <w:rsid w:val="00FE0FED"/>
    <w:rsid w:val="00FE543A"/>
    <w:rsid w:val="00FE7DDE"/>
    <w:rsid w:val="00FF164C"/>
    <w:rsid w:val="00FF1DD3"/>
    <w:rsid w:val="00FF54A3"/>
    <w:rsid w:val="00FF7EE8"/>
    <w:rsid w:val="0150D383"/>
    <w:rsid w:val="02384FC3"/>
    <w:rsid w:val="02A77316"/>
    <w:rsid w:val="03815B66"/>
    <w:rsid w:val="03A46996"/>
    <w:rsid w:val="03E9A66F"/>
    <w:rsid w:val="046549E0"/>
    <w:rsid w:val="0513DA59"/>
    <w:rsid w:val="05631759"/>
    <w:rsid w:val="058D8D6C"/>
    <w:rsid w:val="058D8D6C"/>
    <w:rsid w:val="05BA5B58"/>
    <w:rsid w:val="05F102D2"/>
    <w:rsid w:val="06827EBA"/>
    <w:rsid w:val="07D9E002"/>
    <w:rsid w:val="0827DFC6"/>
    <w:rsid w:val="095D2ED0"/>
    <w:rsid w:val="0B0D12AF"/>
    <w:rsid w:val="0C2F52F4"/>
    <w:rsid w:val="0C679D76"/>
    <w:rsid w:val="0E8B6751"/>
    <w:rsid w:val="1026EC7E"/>
    <w:rsid w:val="107B3C8D"/>
    <w:rsid w:val="12F2C0F2"/>
    <w:rsid w:val="1427C8EB"/>
    <w:rsid w:val="1467FCF7"/>
    <w:rsid w:val="15C69C39"/>
    <w:rsid w:val="16C3366F"/>
    <w:rsid w:val="177D5DA3"/>
    <w:rsid w:val="180A899B"/>
    <w:rsid w:val="186886E0"/>
    <w:rsid w:val="18C20FB2"/>
    <w:rsid w:val="1A15F364"/>
    <w:rsid w:val="1A7E498D"/>
    <w:rsid w:val="1B201AD3"/>
    <w:rsid w:val="1D069B50"/>
    <w:rsid w:val="1E97313E"/>
    <w:rsid w:val="1EDFD2C7"/>
    <w:rsid w:val="1F08A733"/>
    <w:rsid w:val="1F5E4BB3"/>
    <w:rsid w:val="22065BAD"/>
    <w:rsid w:val="2228F31B"/>
    <w:rsid w:val="23B6D176"/>
    <w:rsid w:val="242481D7"/>
    <w:rsid w:val="24BB4172"/>
    <w:rsid w:val="257176D8"/>
    <w:rsid w:val="25FE91A1"/>
    <w:rsid w:val="26DBBBD3"/>
    <w:rsid w:val="27143651"/>
    <w:rsid w:val="2768DB4D"/>
    <w:rsid w:val="28EB90AE"/>
    <w:rsid w:val="2965DE65"/>
    <w:rsid w:val="2A8D2FAB"/>
    <w:rsid w:val="2B525EA5"/>
    <w:rsid w:val="2D0392C1"/>
    <w:rsid w:val="2E0D1AB8"/>
    <w:rsid w:val="2F334B1D"/>
    <w:rsid w:val="30145D24"/>
    <w:rsid w:val="31E0C131"/>
    <w:rsid w:val="32D8F333"/>
    <w:rsid w:val="34788B03"/>
    <w:rsid w:val="37003C80"/>
    <w:rsid w:val="37AA757F"/>
    <w:rsid w:val="3878CB84"/>
    <w:rsid w:val="3881E1C2"/>
    <w:rsid w:val="39B2FFEB"/>
    <w:rsid w:val="3A27C905"/>
    <w:rsid w:val="3AAEF436"/>
    <w:rsid w:val="3C3D2478"/>
    <w:rsid w:val="3D3A13E8"/>
    <w:rsid w:val="3E9D8C0C"/>
    <w:rsid w:val="3EA6BAC2"/>
    <w:rsid w:val="41C3EAB8"/>
    <w:rsid w:val="42911877"/>
    <w:rsid w:val="42CF259D"/>
    <w:rsid w:val="434211AD"/>
    <w:rsid w:val="464D452B"/>
    <w:rsid w:val="4671C798"/>
    <w:rsid w:val="46E92D1B"/>
    <w:rsid w:val="49EFCBEA"/>
    <w:rsid w:val="4A2D0106"/>
    <w:rsid w:val="4A562E36"/>
    <w:rsid w:val="4A664FB5"/>
    <w:rsid w:val="4A9097B5"/>
    <w:rsid w:val="4BC2A9C5"/>
    <w:rsid w:val="4BF5B660"/>
    <w:rsid w:val="4D096A4A"/>
    <w:rsid w:val="4E94BAC6"/>
    <w:rsid w:val="4F2CA7B3"/>
    <w:rsid w:val="4FC9FD8A"/>
    <w:rsid w:val="503AD7FD"/>
    <w:rsid w:val="51ADE5C8"/>
    <w:rsid w:val="52488973"/>
    <w:rsid w:val="524ADC7D"/>
    <w:rsid w:val="528A5457"/>
    <w:rsid w:val="5435A057"/>
    <w:rsid w:val="54EC3D7C"/>
    <w:rsid w:val="5636F788"/>
    <w:rsid w:val="583802E0"/>
    <w:rsid w:val="594A58A2"/>
    <w:rsid w:val="5E5CB1F6"/>
    <w:rsid w:val="5FFFE920"/>
    <w:rsid w:val="606D9290"/>
    <w:rsid w:val="60B52267"/>
    <w:rsid w:val="60FBC239"/>
    <w:rsid w:val="6196364B"/>
    <w:rsid w:val="62B68DD3"/>
    <w:rsid w:val="64544D4D"/>
    <w:rsid w:val="65CFE41A"/>
    <w:rsid w:val="65DBD27F"/>
    <w:rsid w:val="673CEBB7"/>
    <w:rsid w:val="68B34874"/>
    <w:rsid w:val="68FD4BD3"/>
    <w:rsid w:val="69424FF7"/>
    <w:rsid w:val="696CAA9E"/>
    <w:rsid w:val="69AB2DAD"/>
    <w:rsid w:val="6A8F0F78"/>
    <w:rsid w:val="6C27C795"/>
    <w:rsid w:val="6CAAA9A0"/>
    <w:rsid w:val="6D44179B"/>
    <w:rsid w:val="6DD930DB"/>
    <w:rsid w:val="6E56188A"/>
    <w:rsid w:val="703EC396"/>
    <w:rsid w:val="70575566"/>
    <w:rsid w:val="71B69082"/>
    <w:rsid w:val="72ED3064"/>
    <w:rsid w:val="7325E2E7"/>
    <w:rsid w:val="7386D878"/>
    <w:rsid w:val="75F6F8ED"/>
    <w:rsid w:val="76D26CF0"/>
    <w:rsid w:val="78ECC685"/>
    <w:rsid w:val="7956379E"/>
    <w:rsid w:val="799D725B"/>
    <w:rsid w:val="79E57369"/>
    <w:rsid w:val="7A1456E5"/>
    <w:rsid w:val="7A9D8E4D"/>
    <w:rsid w:val="7B82F9D0"/>
    <w:rsid w:val="7BF52359"/>
    <w:rsid w:val="7D200872"/>
    <w:rsid w:val="7D43E28E"/>
    <w:rsid w:val="7DBA0B8B"/>
    <w:rsid w:val="7E76DF86"/>
    <w:rsid w:val="7F153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16E173"/>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hAnsi="Cambria" w:eastAsia="MS Gothic"/>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hAnsi="Cambria" w:eastAsia="MS Gothic"/>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hAnsiTheme="majorHAnsi" w:eastAsiaTheme="majorEastAsia" w:cstheme="majorBidi"/>
      <w:b/>
      <w:bCs/>
      <w:color w:val="4F81BD" w:themeColor="accent1"/>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link w:val="Kop1"/>
    <w:uiPriority w:val="99"/>
    <w:locked/>
    <w:rPr>
      <w:rFonts w:ascii="Cambria" w:hAnsi="Cambria" w:eastAsia="MS Gothic" w:cs="Times New Roman"/>
      <w:b/>
      <w:bCs/>
      <w:color w:val="365F91"/>
      <w:sz w:val="28"/>
      <w:szCs w:val="28"/>
    </w:rPr>
  </w:style>
  <w:style w:type="character" w:styleId="Kop2Char" w:customStyle="1">
    <w:name w:val="Kop 2 Char"/>
    <w:link w:val="Kop2"/>
    <w:uiPriority w:val="99"/>
    <w:locked/>
    <w:rPr>
      <w:rFonts w:ascii="Cambria" w:hAnsi="Cambria" w:eastAsia="MS Gothic" w:cs="Times New Roman"/>
      <w:b/>
      <w:bCs/>
      <w:color w:val="4F81BD"/>
      <w:sz w:val="26"/>
      <w:szCs w:val="26"/>
    </w:rPr>
  </w:style>
  <w:style w:type="table" w:styleId="Tabelraster">
    <w:name w:val="Table Grid"/>
    <w:basedOn w:val="Standaardtabe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pPr>
      <w:tabs>
        <w:tab w:val="center" w:pos="4703"/>
        <w:tab w:val="right" w:pos="9406"/>
      </w:tabs>
    </w:pPr>
  </w:style>
  <w:style w:type="character" w:styleId="KoptekstChar" w:customStyle="1">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styleId="VoettekstChar" w:customStyle="1">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styleId="KopPlatteTekst" w:customStyle="1">
    <w:name w:val="Kop_Platte_Tekst"/>
    <w:basedOn w:val="Standaard"/>
    <w:uiPriority w:val="99"/>
    <w:pPr>
      <w:framePr w:hSpace="142" w:wrap="around" w:hAnchor="page" w:vAnchor="page" w:x="852" w:y="3233"/>
      <w:spacing w:line="284" w:lineRule="exact"/>
      <w:suppressOverlap/>
      <w:jc w:val="right"/>
    </w:pPr>
  </w:style>
  <w:style w:type="paragraph" w:styleId="PlatteTekst" w:customStyle="1">
    <w:name w:val="Platte_Tekst"/>
    <w:basedOn w:val="Standaard"/>
    <w:uiPriority w:val="99"/>
    <w:pPr>
      <w:spacing w:line="284" w:lineRule="exact"/>
    </w:pPr>
  </w:style>
  <w:style w:type="paragraph" w:styleId="KopReferentieblok" w:customStyle="1">
    <w:name w:val="Kop_Referentieblok"/>
    <w:basedOn w:val="Standaard"/>
    <w:uiPriority w:val="99"/>
    <w:pPr>
      <w:snapToGrid w:val="0"/>
      <w:spacing w:line="227" w:lineRule="exact"/>
      <w:jc w:val="right"/>
    </w:pPr>
  </w:style>
  <w:style w:type="paragraph" w:styleId="Referentieblok" w:customStyle="1">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styleId="BallontekstChar" w:customStyle="1">
    <w:name w:val="Ballontekst Char"/>
    <w:link w:val="Ballontekst"/>
    <w:uiPriority w:val="99"/>
    <w:semiHidden/>
    <w:locked/>
    <w:rPr>
      <w:rFonts w:ascii="Tahoma" w:hAnsi="Tahoma" w:cs="Tahoma"/>
      <w:sz w:val="16"/>
      <w:szCs w:val="16"/>
    </w:rPr>
  </w:style>
  <w:style w:type="paragraph" w:styleId="Slotzin" w:customStyle="1">
    <w:name w:val="Slotzin"/>
    <w:basedOn w:val="Standaard"/>
    <w:uiPriority w:val="99"/>
    <w:pPr>
      <w:autoSpaceDE w:val="0"/>
      <w:autoSpaceDN w:val="0"/>
      <w:adjustRightInd w:val="0"/>
      <w:spacing w:before="600"/>
    </w:pPr>
  </w:style>
  <w:style w:type="paragraph" w:styleId="ReferentieblokW1" w:customStyle="1">
    <w:name w:val="Referentieblok_W1"/>
    <w:basedOn w:val="Referentieblok"/>
    <w:uiPriority w:val="99"/>
    <w:pPr>
      <w:spacing w:before="150"/>
    </w:pPr>
  </w:style>
  <w:style w:type="paragraph" w:styleId="KopReferentieblokW1" w:customStyle="1">
    <w:name w:val="Kop_Referentieblok_W1"/>
    <w:basedOn w:val="KopReferentieblok"/>
    <w:uiPriority w:val="99"/>
    <w:pPr>
      <w:framePr w:hSpace="142" w:wrap="around" w:hAnchor="page" w:vAnchor="page" w:x="852" w:y="3233"/>
      <w:spacing w:before="160"/>
      <w:suppressOverlap/>
    </w:pPr>
  </w:style>
  <w:style w:type="paragraph" w:styleId="wit" w:customStyle="1">
    <w:name w:val="wit"/>
    <w:basedOn w:val="Standaard"/>
    <w:uiPriority w:val="99"/>
    <w:pPr>
      <w:framePr w:hSpace="142" w:wrap="around" w:hAnchor="page" w:vAnchor="page" w:x="285" w:y="3233"/>
      <w:snapToGrid w:val="0"/>
      <w:spacing w:after="320"/>
      <w:suppressOverlap/>
    </w:pPr>
  </w:style>
  <w:style w:type="paragraph" w:styleId="ReferentieblokW2" w:customStyle="1">
    <w:name w:val="Referentieblok_W2"/>
    <w:basedOn w:val="ReferentieblokW1"/>
    <w:uiPriority w:val="99"/>
    <w:pPr>
      <w:framePr w:hSpace="142" w:wrap="around" w:hAnchor="page" w:vAnchor="page" w:x="285" w:y="3290"/>
      <w:spacing w:before="0" w:line="284" w:lineRule="exact"/>
      <w:suppressOverlap/>
    </w:pPr>
    <w:rPr>
      <w:noProof/>
    </w:rPr>
  </w:style>
  <w:style w:type="paragraph" w:styleId="KopReferentieblokW2" w:customStyle="1">
    <w:name w:val="Kop_Referentieblok_W2"/>
    <w:basedOn w:val="KopReferentieblokW1"/>
    <w:uiPriority w:val="99"/>
    <w:pPr>
      <w:framePr w:wrap="around" w:x="285" w:y="3290"/>
      <w:spacing w:before="0" w:line="284" w:lineRule="exact"/>
    </w:pPr>
    <w:rPr>
      <w:noProof/>
    </w:rPr>
  </w:style>
  <w:style w:type="paragraph" w:styleId="Huisstijl-Aanhef" w:customStyle="1">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styleId="Huisstijl-GegevensKop" w:customStyle="1">
    <w:name w:val="Huisstijl - Gegevens Kop"/>
    <w:basedOn w:val="Huisstijl-Aanhef"/>
    <w:uiPriority w:val="99"/>
    <w:pPr>
      <w:spacing w:before="0" w:after="300"/>
    </w:pPr>
    <w:rPr>
      <w:b/>
    </w:rPr>
  </w:style>
  <w:style w:type="paragraph" w:styleId="Huisstijl-Paginanummer" w:customStyle="1">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styleId="Huisstijl-Agendapunt" w:customStyle="1">
    <w:name w:val="Huisstijl - Agendapunt"/>
    <w:basedOn w:val="PlatteTekst"/>
    <w:next w:val="Standaard"/>
    <w:uiPriority w:val="99"/>
    <w:pPr>
      <w:tabs>
        <w:tab w:val="left" w:pos="624"/>
      </w:tabs>
      <w:spacing w:before="100" w:after="240" w:line="240" w:lineRule="exact"/>
    </w:pPr>
  </w:style>
  <w:style w:type="paragraph" w:styleId="Huisstijl-Toezendgegevens" w:customStyle="1">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styleId="Huisstijl-Slotzin" w:customStyle="1">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styleId="Huisstijl-Ondertekening" w:customStyle="1">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styleId="Huisstijl-Ondertekeningvervolg" w:customStyle="1">
    <w:name w:val="Huisstijl - Ondertekening vervolg"/>
    <w:basedOn w:val="Huisstijl-Ondertekening"/>
    <w:uiPriority w:val="99"/>
    <w:rPr>
      <w:i/>
    </w:rPr>
  </w:style>
  <w:style w:type="paragraph" w:styleId="Huisstijl-Ondertekeningvervolgtitel" w:customStyle="1">
    <w:name w:val="Huisstijl - Ondertekening vervolg titel"/>
    <w:basedOn w:val="Huisstijl-Ondertekeningvervolg"/>
    <w:uiPriority w:val="99"/>
    <w:rPr>
      <w:i w:val="0"/>
      <w:noProof/>
    </w:rPr>
  </w:style>
  <w:style w:type="paragraph" w:styleId="Huisstijl-Markering" w:customStyle="1">
    <w:name w:val="Huisstijl - Markering"/>
    <w:basedOn w:val="Standaard"/>
    <w:uiPriority w:val="99"/>
    <w:pPr>
      <w:framePr w:w="2013" w:h="335" w:hSpace="181" w:wrap="around" w:hAnchor="page" w:vAnchor="page" w:x="9330" w:y="2386" w:hRule="exact"/>
      <w:shd w:val="solid" w:color="FFFFFF" w:fill="FFFFFF"/>
      <w:jc w:val="right"/>
    </w:pPr>
    <w:rPr>
      <w:caps/>
      <w:sz w:val="22"/>
    </w:rPr>
  </w:style>
  <w:style w:type="paragraph" w:styleId="Huisstijl-Afzendgegevens" w:customStyle="1">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styleId="Huisstijl-AfzendgegevensW1" w:customStyle="1">
    <w:name w:val="Huisstijl - Afzendgegevens W1"/>
    <w:basedOn w:val="Huisstijl-Afzendgegevens"/>
    <w:uiPriority w:val="99"/>
    <w:pPr>
      <w:spacing w:before="90"/>
    </w:pPr>
  </w:style>
  <w:style w:type="paragraph" w:styleId="Huisstijl-AfzendgegevenskopW1" w:customStyle="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styleId="Huisstijl-AfzendgegevensW1vet" w:customStyle="1">
    <w:name w:val="Huisstijl - Afzendgegevens W1 vet"/>
    <w:basedOn w:val="Huisstijl-AfzendgegevensW1"/>
    <w:next w:val="Huisstijl-AfzendgegevensW1"/>
    <w:uiPriority w:val="99"/>
    <w:pPr>
      <w:framePr w:w="3646" w:h="3856" w:wrap="around" w:hAnchor="page" w:vAnchor="page" w:x="7707" w:y="3227" w:hRule="exact"/>
      <w:spacing w:before="0"/>
    </w:pPr>
    <w:rPr>
      <w:b/>
    </w:rPr>
  </w:style>
  <w:style w:type="character" w:styleId="Tekstvantijdelijkeaanduiding">
    <w:name w:val="Placeholder Text"/>
    <w:uiPriority w:val="99"/>
    <w:semiHidden/>
    <w:rPr>
      <w:rFonts w:cs="Times New Roman"/>
      <w:color w:val="808080"/>
    </w:rPr>
  </w:style>
  <w:style w:type="paragraph" w:styleId="Huisstijl-Voettekst" w:customStyle="1">
    <w:name w:val="Huisstijl - Voettekst"/>
    <w:basedOn w:val="Voettekst"/>
    <w:uiPriority w:val="99"/>
    <w:rPr>
      <w:sz w:val="13"/>
    </w:rPr>
  </w:style>
  <w:style w:type="paragraph" w:styleId="Huisstijl-Titel" w:customStyle="1">
    <w:name w:val="Huisstijl - Titel"/>
    <w:basedOn w:val="Standaard"/>
    <w:uiPriority w:val="99"/>
    <w:pPr>
      <w:framePr w:w="6538" w:h="4034" w:hSpace="181" w:wrap="around" w:hAnchor="page" w:vAnchor="page" w:x="681" w:y="2978" w:hRule="exact"/>
    </w:pPr>
    <w:rPr>
      <w:b/>
      <w:sz w:val="16"/>
      <w:szCs w:val="16"/>
    </w:rPr>
  </w:style>
  <w:style w:type="paragraph" w:styleId="Huisstijl-Doctype" w:customStyle="1">
    <w:name w:val="Huisstijl - Doctype"/>
    <w:basedOn w:val="Huisstijl-Titel"/>
    <w:uiPriority w:val="99"/>
    <w:pPr>
      <w:framePr w:wrap="around"/>
    </w:pPr>
  </w:style>
  <w:style w:type="paragraph" w:styleId="Huisstijl-Gegevens" w:customStyle="1">
    <w:name w:val="Huisstijl - Gegevens"/>
    <w:basedOn w:val="Standaard"/>
    <w:qFormat/>
    <w:pPr>
      <w:framePr w:w="6538" w:h="4034" w:hSpace="181" w:wrap="around" w:hAnchor="page" w:vAnchor="page" w:x="681" w:y="2978" w:hRule="exact"/>
    </w:pPr>
    <w:rPr>
      <w:noProof/>
      <w:sz w:val="13"/>
      <w:szCs w:val="13"/>
    </w:rPr>
  </w:style>
  <w:style w:type="paragraph" w:styleId="Huisstijl-Agendatitel" w:customStyle="1">
    <w:name w:val="Huisstijl - Agendatitel"/>
    <w:basedOn w:val="Standaard"/>
    <w:qFormat/>
    <w:pPr>
      <w:framePr w:w="6538" w:hSpace="181" w:wrap="notBeside" w:hAnchor="page" w:vAnchor="page" w:x="681" w:y="3044"/>
      <w:shd w:val="solid" w:color="FFFFFF" w:fill="FFFFFF"/>
      <w:tabs>
        <w:tab w:val="left" w:pos="1418"/>
      </w:tabs>
      <w:ind w:left="1417" w:hanging="788"/>
    </w:pPr>
    <w:rPr>
      <w:b/>
      <w:sz w:val="16"/>
      <w:szCs w:val="16"/>
    </w:rPr>
  </w:style>
  <w:style w:type="paragraph" w:styleId="Huisstijl-Notitiegegevens" w:customStyle="1">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styleId="Huisstijl-AgendagegevensW1" w:customStyle="1">
    <w:name w:val="Huisstijl - Agendagegevens W1"/>
    <w:basedOn w:val="Huisstijl-Notitiegegevens"/>
    <w:qFormat/>
    <w:pPr>
      <w:spacing w:before="90"/>
      <w:contextualSpacing w:val="0"/>
    </w:pPr>
  </w:style>
  <w:style w:type="paragraph" w:styleId="GegevensW1" w:customStyle="1">
    <w:name w:val="Gegevens W1"/>
    <w:basedOn w:val="Huisstijl-Gegevens"/>
    <w:qFormat/>
    <w:pPr>
      <w:framePr w:wrap="around"/>
      <w:tabs>
        <w:tab w:val="right" w:pos="1540"/>
        <w:tab w:val="left" w:pos="1701"/>
      </w:tabs>
      <w:spacing w:before="90"/>
    </w:pPr>
  </w:style>
  <w:style w:type="paragraph" w:styleId="Huisstijl-Kop" w:customStyle="1">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hAnsi="Times New Roman" w:eastAsia="Times New Roman"/>
      <w:sz w:val="22"/>
      <w:szCs w:val="20"/>
      <w:lang w:eastAsia="nl-NL"/>
    </w:rPr>
  </w:style>
  <w:style w:type="character" w:styleId="PlattetekstChar" w:customStyle="1">
    <w:name w:val="Platte tekst Char"/>
    <w:basedOn w:val="Standaardalinea-lettertype"/>
    <w:link w:val="Plattetekst0"/>
    <w:rsid w:val="001F4221"/>
    <w:rPr>
      <w:rFonts w:ascii="Times New Roman" w:hAnsi="Times New Roman" w:eastAsia="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hAnsi="Times New Roman" w:eastAsia="Times New Roman"/>
      <w:sz w:val="20"/>
      <w:szCs w:val="20"/>
      <w:lang w:eastAsia="nl-NL"/>
    </w:rPr>
  </w:style>
  <w:style w:type="character" w:styleId="VoetnoottekstChar" w:customStyle="1">
    <w:name w:val="Voetnoottekst Char"/>
    <w:basedOn w:val="Standaardalinea-lettertype"/>
    <w:link w:val="Voetnoottekst"/>
    <w:semiHidden/>
    <w:rsid w:val="001F4221"/>
    <w:rPr>
      <w:rFonts w:ascii="Times New Roman" w:hAnsi="Times New Roman" w:eastAsia="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hAnsi="Times New Roman" w:eastAsia="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styleId="TekstopmerkingChar" w:customStyle="1">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styleId="OnderwerpvanopmerkingChar" w:customStyle="1">
    <w:name w:val="Onderwerp van opmerking Char"/>
    <w:basedOn w:val="TekstopmerkingChar"/>
    <w:link w:val="Onderwerpvanopmerking"/>
    <w:uiPriority w:val="99"/>
    <w:semiHidden/>
    <w:rsid w:val="008047D9"/>
    <w:rPr>
      <w:rFonts w:ascii="Verdana" w:hAnsi="Verdana"/>
      <w:b/>
      <w:bCs/>
      <w:lang w:eastAsia="en-US"/>
    </w:rPr>
  </w:style>
  <w:style w:type="character" w:styleId="Kop3Char" w:customStyle="1">
    <w:name w:val="Kop 3 Char"/>
    <w:basedOn w:val="Standaardalinea-lettertype"/>
    <w:link w:val="Kop3"/>
    <w:semiHidden/>
    <w:rsid w:val="0031228D"/>
    <w:rPr>
      <w:rFonts w:asciiTheme="majorHAnsi" w:hAnsiTheme="majorHAnsi" w:eastAsiaTheme="majorEastAsia"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hAnsi="Times New Roman" w:eastAsia="Times New Roman"/>
      <w:sz w:val="24"/>
      <w:szCs w:val="24"/>
      <w:lang w:eastAsia="nl-NL"/>
    </w:rPr>
  </w:style>
  <w:style w:type="character" w:styleId="Zwaar">
    <w:name w:val="Strong"/>
    <w:basedOn w:val="Standaardalinea-lettertype"/>
    <w:uiPriority w:val="22"/>
    <w:qFormat/>
    <w:locked/>
    <w:rsid w:val="0031228D"/>
    <w:rPr>
      <w:b/>
      <w:bCs/>
    </w:rPr>
  </w:style>
  <w:style w:type="character" w:styleId="hps" w:customStyle="1">
    <w:name w:val="hps"/>
    <w:basedOn w:val="Standaardalinea-lettertype"/>
    <w:rsid w:val="008A5F82"/>
  </w:style>
  <w:style w:type="character" w:styleId="Nadruk">
    <w:name w:val="Emphasis"/>
    <w:basedOn w:val="Standaardalinea-lettertype"/>
    <w:uiPriority w:val="20"/>
    <w:qFormat/>
    <w:locked/>
    <w:rsid w:val="008A5F82"/>
    <w:rPr>
      <w:i/>
      <w:iCs/>
    </w:rPr>
  </w:style>
  <w:style w:type="paragraph" w:styleId="lead" w:customStyle="1">
    <w:name w:val="lead"/>
    <w:basedOn w:val="Standaard"/>
    <w:rsid w:val="00EC7E69"/>
    <w:pPr>
      <w:spacing w:before="100" w:beforeAutospacing="1" w:after="100" w:afterAutospacing="1"/>
    </w:pPr>
    <w:rPr>
      <w:rFonts w:ascii="Times New Roman" w:hAnsi="Times New Roman" w:eastAsia="Times New Roman"/>
      <w:sz w:val="24"/>
      <w:szCs w:val="24"/>
      <w:lang w:eastAsia="nl-NL"/>
    </w:rPr>
  </w:style>
  <w:style w:type="paragraph" w:styleId="Default" w:customStyle="1">
    <w:name w:val="Default"/>
    <w:rsid w:val="00216C27"/>
    <w:pPr>
      <w:autoSpaceDE w:val="0"/>
      <w:autoSpaceDN w:val="0"/>
      <w:adjustRightInd w:val="0"/>
    </w:pPr>
    <w:rPr>
      <w:rFonts w:ascii="Times New Roman" w:hAnsi="Times New Roman" w:eastAsia="Times New Roman"/>
      <w:color w:val="000000"/>
      <w:sz w:val="24"/>
      <w:szCs w:val="24"/>
    </w:rPr>
  </w:style>
  <w:style w:type="paragraph" w:styleId="mtop" w:customStyle="1">
    <w:name w:val="mtop"/>
    <w:basedOn w:val="Standaard"/>
    <w:rsid w:val="00424D04"/>
    <w:pPr>
      <w:spacing w:before="100" w:beforeAutospacing="1" w:after="100" w:afterAutospacing="1"/>
    </w:pPr>
    <w:rPr>
      <w:rFonts w:ascii="Times New Roman" w:hAnsi="Times New Roman" w:eastAsia="Times New Roman"/>
      <w:sz w:val="24"/>
      <w:szCs w:val="24"/>
      <w:lang w:eastAsia="nl-NL"/>
    </w:rPr>
  </w:style>
  <w:style w:type="character" w:styleId="filetitle" w:customStyle="1">
    <w:name w:val="file__title"/>
    <w:basedOn w:val="Standaardalinea-lettertype"/>
    <w:rsid w:val="00016110"/>
    <w:rPr>
      <w:rFonts w:cs="Times New Roman"/>
    </w:rPr>
  </w:style>
  <w:style w:type="character" w:styleId="article-classifiergap" w:customStyle="1">
    <w:name w:val="article-classifier__gap"/>
    <w:basedOn w:val="Standaardalinea-lettertype"/>
    <w:rsid w:val="001E39BA"/>
  </w:style>
  <w:style w:type="table" w:styleId="TableNormal" w:customStyle="1">
    <w:name w:val="Table Normal"/>
    <w:rsid w:val="006F2511"/>
    <w:pPr>
      <w:pBdr>
        <w:top w:val="nil"/>
        <w:left w:val="nil"/>
        <w:bottom w:val="nil"/>
        <w:right w:val="nil"/>
        <w:between w:val="nil"/>
        <w:bar w:val="nil"/>
      </w:pBdr>
    </w:pPr>
    <w:rPr>
      <w:rFonts w:ascii="Times New Roman" w:hAnsi="Times New Roman" w:eastAsia="Arial Unicode MS"/>
      <w:bdr w:val="nil"/>
    </w:rPr>
    <w:tblPr>
      <w:tblInd w:w="0" w:type="dxa"/>
      <w:tblCellMar>
        <w:top w:w="0" w:type="dxa"/>
        <w:left w:w="0" w:type="dxa"/>
        <w:bottom w:w="0" w:type="dxa"/>
        <w:right w:w="0" w:type="dxa"/>
      </w:tblCellMar>
    </w:tblPr>
  </w:style>
  <w:style w:type="paragraph" w:styleId="Voorsteltekst" w:customStyle="1">
    <w:name w:val="Voorstel tekst"/>
    <w:basedOn w:val="PlatteTekst"/>
    <w:link w:val="VoorsteltekstChar"/>
    <w:qFormat/>
    <w:rsid w:val="006F2511"/>
    <w:pPr>
      <w:framePr w:hSpace="141" w:wrap="around" w:hAnchor="margin" w:vAnchor="page"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styleId="VoorsteltekstChar" w:customStyle="1">
    <w:name w:val="Voorstel tekst Char"/>
    <w:basedOn w:val="Standaardalinea-lettertype"/>
    <w:link w:val="Voorsteltekst"/>
    <w:rsid w:val="006F2511"/>
    <w:rPr>
      <w:rFonts w:ascii="Verdana" w:hAnsi="Verdana" w:eastAsia="Arial Unicode MS" w:cs="Arial Unicode MS"/>
      <w:b/>
      <w:sz w:val="18"/>
      <w:szCs w:val="18"/>
      <w:u w:color="000000"/>
      <w:bdr w:val="nil"/>
    </w:rPr>
  </w:style>
  <w:style w:type="paragraph" w:styleId="onderwerptekst" w:customStyle="1">
    <w:name w:val="onderwerp tekst"/>
    <w:basedOn w:val="Standaard"/>
    <w:link w:val="onderwerptekstChar"/>
    <w:qFormat/>
    <w:rsid w:val="006F2511"/>
    <w:pPr>
      <w:framePr w:hSpace="141" w:wrap="around" w:hAnchor="margin" w:vAnchor="page"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styleId="onderwerptekstChar" w:customStyle="1">
    <w:name w:val="onderwerp tekst Char"/>
    <w:basedOn w:val="Standaardalinea-lettertype"/>
    <w:link w:val="onderwerptekst"/>
    <w:rsid w:val="006F2511"/>
    <w:rPr>
      <w:rFonts w:ascii="Verdana" w:hAnsi="Verdana" w:eastAsia="Verdana" w:cs="Verdana"/>
      <w:iCs/>
      <w:color w:val="595959" w:themeColor="text1" w:themeTint="A6"/>
      <w:sz w:val="16"/>
      <w:szCs w:val="16"/>
      <w:u w:color="000000"/>
      <w:bdr w:val="nil"/>
      <w14:textOutline w14:w="0" w14:cap="flat" w14:cmpd="sng" w14:algn="ctr">
        <w14:noFill/>
        <w14:prstDash w14:val="solid"/>
        <w14:bevel/>
      </w14:textOutline>
    </w:rPr>
  </w:style>
  <w:style w:type="paragraph" w:styleId="NummerVoorstel" w:customStyle="1">
    <w:name w:val="Nummer Voorstel"/>
    <w:basedOn w:val="Voorsteltekst"/>
    <w:link w:val="NummerVoorstelChar"/>
    <w:qFormat/>
    <w:rsid w:val="006F2511"/>
    <w:pPr>
      <w:framePr w:wrap="around" w:y="2918"/>
    </w:pPr>
    <w:rPr>
      <w:color w:val="A6A6A6" w:themeColor="background1" w:themeShade="A6"/>
    </w:rPr>
  </w:style>
  <w:style w:type="character" w:styleId="NummerVoorstelChar" w:customStyle="1">
    <w:name w:val="Nummer Voorstel Char"/>
    <w:basedOn w:val="VoorsteltekstChar"/>
    <w:link w:val="NummerVoorstel"/>
    <w:rsid w:val="006F2511"/>
    <w:rPr>
      <w:rFonts w:ascii="Verdana" w:hAnsi="Verdana" w:eastAsia="Arial Unicode MS" w:cs="Arial Unicode MS"/>
      <w:b/>
      <w:color w:val="A6A6A6" w:themeColor="background1" w:themeShade="A6"/>
      <w:sz w:val="18"/>
      <w:szCs w:val="18"/>
      <w:u w:color="000000"/>
      <w:bdr w:val="nil"/>
    </w:rPr>
  </w:style>
  <w:style w:type="table" w:styleId="TableNormal1" w:customStyle="1">
    <w:name w:val="Table Normal1"/>
    <w:rsid w:val="00FD6BCB"/>
    <w:pPr>
      <w:pBdr>
        <w:top w:val="nil"/>
        <w:left w:val="nil"/>
        <w:bottom w:val="nil"/>
        <w:right w:val="nil"/>
        <w:between w:val="nil"/>
        <w:bar w:val="nil"/>
      </w:pBdr>
    </w:pPr>
    <w:rPr>
      <w:rFonts w:ascii="Times New Roman" w:hAnsi="Times New Roman" w:eastAsia="Arial Unicode MS"/>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851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1390">
      <w:bodyDiv w:val="1"/>
      <w:marLeft w:val="0"/>
      <w:marRight w:val="0"/>
      <w:marTop w:val="0"/>
      <w:marBottom w:val="0"/>
      <w:divBdr>
        <w:top w:val="none" w:sz="0" w:space="0" w:color="auto"/>
        <w:left w:val="none" w:sz="0" w:space="0" w:color="auto"/>
        <w:bottom w:val="none" w:sz="0" w:space="0" w:color="auto"/>
        <w:right w:val="none" w:sz="0" w:space="0" w:color="auto"/>
      </w:divBdr>
    </w:div>
    <w:div w:id="8769656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6742339">
      <w:bodyDiv w:val="1"/>
      <w:marLeft w:val="0"/>
      <w:marRight w:val="0"/>
      <w:marTop w:val="0"/>
      <w:marBottom w:val="0"/>
      <w:divBdr>
        <w:top w:val="none" w:sz="0" w:space="0" w:color="auto"/>
        <w:left w:val="none" w:sz="0" w:space="0" w:color="auto"/>
        <w:bottom w:val="none" w:sz="0" w:space="0" w:color="auto"/>
        <w:right w:val="none" w:sz="0" w:space="0" w:color="auto"/>
      </w:divBdr>
    </w:div>
    <w:div w:id="296647253">
      <w:bodyDiv w:val="1"/>
      <w:marLeft w:val="0"/>
      <w:marRight w:val="0"/>
      <w:marTop w:val="0"/>
      <w:marBottom w:val="0"/>
      <w:divBdr>
        <w:top w:val="none" w:sz="0" w:space="0" w:color="auto"/>
        <w:left w:val="none" w:sz="0" w:space="0" w:color="auto"/>
        <w:bottom w:val="none" w:sz="0" w:space="0" w:color="auto"/>
        <w:right w:val="none" w:sz="0" w:space="0" w:color="auto"/>
      </w:divBdr>
    </w:div>
    <w:div w:id="33404238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72461193">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951019">
      <w:bodyDiv w:val="1"/>
      <w:marLeft w:val="0"/>
      <w:marRight w:val="0"/>
      <w:marTop w:val="0"/>
      <w:marBottom w:val="0"/>
      <w:divBdr>
        <w:top w:val="none" w:sz="0" w:space="0" w:color="auto"/>
        <w:left w:val="none" w:sz="0" w:space="0" w:color="auto"/>
        <w:bottom w:val="none" w:sz="0" w:space="0" w:color="auto"/>
        <w:right w:val="none" w:sz="0" w:space="0" w:color="auto"/>
      </w:divBdr>
    </w:div>
    <w:div w:id="711000537">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5239">
      <w:bodyDiv w:val="1"/>
      <w:marLeft w:val="0"/>
      <w:marRight w:val="0"/>
      <w:marTop w:val="0"/>
      <w:marBottom w:val="0"/>
      <w:divBdr>
        <w:top w:val="none" w:sz="0" w:space="0" w:color="auto"/>
        <w:left w:val="none" w:sz="0" w:space="0" w:color="auto"/>
        <w:bottom w:val="none" w:sz="0" w:space="0" w:color="auto"/>
        <w:right w:val="none" w:sz="0" w:space="0" w:color="auto"/>
      </w:divBdr>
    </w:div>
    <w:div w:id="945423018">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911748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88103831">
      <w:bodyDiv w:val="1"/>
      <w:marLeft w:val="0"/>
      <w:marRight w:val="0"/>
      <w:marTop w:val="0"/>
      <w:marBottom w:val="0"/>
      <w:divBdr>
        <w:top w:val="none" w:sz="0" w:space="0" w:color="auto"/>
        <w:left w:val="none" w:sz="0" w:space="0" w:color="auto"/>
        <w:bottom w:val="none" w:sz="0" w:space="0" w:color="auto"/>
        <w:right w:val="none" w:sz="0" w:space="0" w:color="auto"/>
      </w:divBdr>
    </w:div>
    <w:div w:id="137234457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482829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92686279">
      <w:bodyDiv w:val="1"/>
      <w:marLeft w:val="0"/>
      <w:marRight w:val="0"/>
      <w:marTop w:val="0"/>
      <w:marBottom w:val="0"/>
      <w:divBdr>
        <w:top w:val="none" w:sz="0" w:space="0" w:color="auto"/>
        <w:left w:val="none" w:sz="0" w:space="0" w:color="auto"/>
        <w:bottom w:val="none" w:sz="0" w:space="0" w:color="auto"/>
        <w:right w:val="none" w:sz="0" w:space="0" w:color="auto"/>
      </w:divBdr>
    </w:div>
    <w:div w:id="1702590601">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02114476">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69296142">
      <w:bodyDiv w:val="1"/>
      <w:marLeft w:val="0"/>
      <w:marRight w:val="0"/>
      <w:marTop w:val="0"/>
      <w:marBottom w:val="0"/>
      <w:divBdr>
        <w:top w:val="none" w:sz="0" w:space="0" w:color="auto"/>
        <w:left w:val="none" w:sz="0" w:space="0" w:color="auto"/>
        <w:bottom w:val="none" w:sz="0" w:space="0" w:color="auto"/>
        <w:right w:val="none" w:sz="0" w:space="0" w:color="auto"/>
      </w:divBdr>
    </w:div>
    <w:div w:id="1888058553">
      <w:bodyDiv w:val="1"/>
      <w:marLeft w:val="0"/>
      <w:marRight w:val="0"/>
      <w:marTop w:val="0"/>
      <w:marBottom w:val="0"/>
      <w:divBdr>
        <w:top w:val="none" w:sz="0" w:space="0" w:color="auto"/>
        <w:left w:val="none" w:sz="0" w:space="0" w:color="auto"/>
        <w:bottom w:val="none" w:sz="0" w:space="0" w:color="auto"/>
        <w:right w:val="none" w:sz="0" w:space="0" w:color="auto"/>
      </w:divBdr>
    </w:div>
    <w:div w:id="2029791041">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eur-lex.europa.eu/legal-content/EN/TXT/?uri=COM%3A2025%3A551%3AFIN" TargetMode="External" Id="Ra2e650bf1e19441f" /><Relationship Type="http://schemas.openxmlformats.org/officeDocument/2006/relationships/hyperlink" Target="https://eur06.safelinks.protection.outlook.com/?url=https%3A%2F%2Feur-lex.europa.eu%2Flegal-content%2FNL%2FTXT%2F%3Furi%3DCELEX%253A52025PC0427%26qid%3D1753856049950&amp;data=05%7C02%7Ca.hartman%40tweedekamer.nl%7C62122ab1de38493ab5b008ddcf46aa3f%7C238cb5073f714afeaaab8382731a4345%7C0%7C0%7C638894624589363701%7CUnknown%7CTWFpbGZsb3d8eyJFbXB0eU1hcGkiOnRydWUsIlYiOiIwLjAuMDAwMCIsIlAiOiJXaW4zMiIsIkFOIjoiTWFpbCIsIldUIjoyfQ%3D%3D%7C0%7C%7C%7C&amp;sdata=fdQpDnQhUtJ%2B6aUsChgSFSdvkZPHGgw26Bz2YOHSX44%3D&amp;reserved=0" TargetMode="External" Id="R9d2711915cdf4666" /><Relationship Type="http://schemas.openxmlformats.org/officeDocument/2006/relationships/hyperlink" Target="https://eur06.safelinks.protection.outlook.com/?url=https%3A%2F%2Feur-lex.europa.eu%2Flegal-content%2FNL%2FTXT%2F%3Furi%3DCELEX%253A52025PC0394%26qid%3D1752236606369&amp;data=05%7C02%7Ca.hartman%40tweedekamer.nl%7C7a44e3af35b74636a51b08ddc507a215%7C238cb5073f714afeaaab8382731a4345%7C0%7C0%7C638883358759759487%7CUnknown%7CTWFpbGZsb3d8eyJFbXB0eU1hcGkiOnRydWUsIlYiOiIwLjAuMDAwMCIsIlAiOiJXaW4zMiIsIkFOIjoiTWFpbCIsIldUIjoyfQ%3D%3D%7C0%7C%7C%7C&amp;sdata=Fs0kzzy%2FtrwMrJexaY3ne8vhLq3enX6pGxGlPK0gmQs%3D&amp;reserved=0" TargetMode="External" Id="R64e3d9bd2767402b" /><Relationship Type="http://schemas.openxmlformats.org/officeDocument/2006/relationships/hyperlink" Target="https://eur06.safelinks.protection.outlook.com/?url=https%3A%2F%2Feur-lex.europa.eu%2Flegal-content%2FNL%2FTXT%2F%3Furi%3DCELEX%253A52025DC0428%26qid%3D1753771093182&amp;data=05%7C02%7Ca.hartman%40tweedekamer.nl%7C62122ab1de38493ab5b008ddcf46aa3f%7C238cb5073f714afeaaab8382731a4345%7C0%7C0%7C638894624589308846%7CUnknown%7CTWFpbGZsb3d8eyJFbXB0eU1hcGkiOnRydWUsIlYiOiIwLjAuMDAwMCIsIlAiOiJXaW4zMiIsIkFOIjoiTWFpbCIsIldUIjoyfQ%3D%3D%7C0%7C%7C%7C&amp;sdata=cd6NgWo4oDnT7sZdyodaoz55cQ6k2Ikd5wwSuVQlqNQ%3D&amp;reserved=0" TargetMode="External" Id="R38ec0f8448704a01" /><Relationship Type="http://schemas.openxmlformats.org/officeDocument/2006/relationships/hyperlink" Target="https://eur06.safelinks.protection.outlook.com/?url=https%3A%2F%2Feur-lex.europa.eu%2Flegal-content%2FNL%2FTXT%2F%3Furi%3DCELEX%253A52025PC0436%26qid%3D1754298032948&amp;data=05%7C02%7Cl.haverkamp%40tweedekamer.nl%7Cfc7963b99c3845d31d2108dde644905a%7C238cb5073f714afeaaab8382731a4345%7C0%7C0%7C638919904349672807%7CUnknown%7CTWFpbGZsb3d8eyJFbXB0eU1hcGkiOnRydWUsIlYiOiIwLjAuMDAwMCIsIlAiOiJXaW4zMiIsIkFOIjoiTWFpbCIsIldUIjoyfQ%3D%3D%7C0%7C%7C%7C&amp;sdata=wP6%2FkAihzjlcmYLiD72eIFy%2BZheZAQLBESaWaDzzPF0%3D&amp;reserved=0" TargetMode="External" Id="R37ca351c4ee4443d" /></Relationships>
</file>

<file path=word/_rels/footnotes.xml.rels><?xml version="1.0" encoding="UTF-8" standalone="yes"?>
<Relationships xmlns="http://schemas.openxmlformats.org/package/2006/relationships"><Relationship Id="rId1" Type="http://schemas.openxmlformats.org/officeDocument/2006/relationships/hyperlink" Target="https://pdc-griffiescommissies-dienstanalyseenonderzoek/subcategorie/eu-instrument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2025-07-09T13:21:00.0000000Z</dcterms:created>
  <dcterms:modified xsi:type="dcterms:W3CDTF">2025-09-04T13:10:29.6630125Z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_dlc_DocIdItemGuid">
    <vt:lpwstr>28bbc1e8-4fde-4ca9-9fb7-a1d26d77997e</vt:lpwstr>
  </property>
  <property fmtid="{D5CDD505-2E9C-101B-9397-08002B2CF9AE}" pid="4" name="i8059d02f088452aaeb98febffd942f6">
    <vt:lpwstr/>
  </property>
  <property fmtid="{D5CDD505-2E9C-101B-9397-08002B2CF9AE}" pid="5" name="TaxCatchAll">
    <vt:lpwstr>1;#47. Het structureren, ordenen, analyseren, duiden, overbrengen en presenteren van informatie ten behoeve van parlementaire processen en parlementair onderzoek|c64fbbe8-7c78-42c3-a920-8bb219caf38b</vt:lpwstr>
  </property>
  <property fmtid="{D5CDD505-2E9C-101B-9397-08002B2CF9AE}" pid="6" name="k570b61d1c8344118cf7041903a91b3a">
    <vt:lpwstr>47. Het structureren, ordenen, analyseren, duiden, overbrengen en presenteren van informatie ten behoeve van parlementaire processen en parlementair onderzoek|c64fbbe8-7c78-42c3-a920-8bb219caf38b</vt:lpwstr>
  </property>
  <property fmtid="{D5CDD505-2E9C-101B-9397-08002B2CF9AE}" pid="7" name="Dossierstatus">
    <vt:lpwstr>Concept</vt:lpwstr>
  </property>
  <property fmtid="{D5CDD505-2E9C-101B-9397-08002B2CF9AE}" pid="8" name="Process">
    <vt:lpwstr>GC BHO EU Zaken Adviseren en Ondersteunen</vt:lpwstr>
  </property>
  <property fmtid="{D5CDD505-2E9C-101B-9397-08002B2CF9AE}" pid="9" name="Selectielijstproces">
    <vt:lpwstr>1;#47. Het structureren, ordenen, analyseren, duiden, overbrengen en presenteren van informatie ten behoeve van parlementaire processen en parlementair onderzoek|c64fbbe8-7c78-42c3-a920-8bb219caf38b</vt:lpwstr>
  </property>
  <property fmtid="{D5CDD505-2E9C-101B-9397-08002B2CF9AE}" pid="10" name="Processnummer">
    <vt:lpwstr>P0105</vt:lpwstr>
  </property>
  <property fmtid="{D5CDD505-2E9C-101B-9397-08002B2CF9AE}" pid="11" name="Beperking">
    <vt:lpwstr/>
  </property>
</Properties>
</file>