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D13AE" w:rsidP="00ED13AE" w14:paraId="0D22B8EC" w14:textId="77777777"/>
    <w:p w:rsidR="00AB22CD" w:rsidP="00ED13AE" w14:paraId="081CDBA7" w14:textId="77777777"/>
    <w:p w:rsidR="00AB22CD" w:rsidP="00ED13AE" w14:paraId="562345B2" w14:textId="77777777"/>
    <w:p w:rsidR="00AB22CD" w:rsidP="00ED13AE" w14:paraId="2235A810" w14:textId="77777777"/>
    <w:p w:rsidR="00464845" w:rsidP="00ED13AE" w14:paraId="7F7D44F3" w14:textId="77777777"/>
    <w:p w:rsidR="00464845" w:rsidP="00ED13AE" w14:paraId="03CB2800" w14:textId="77777777"/>
    <w:p w:rsidR="00464845" w:rsidP="00ED13AE" w14:paraId="23CA3615" w14:textId="77777777"/>
    <w:p w:rsidR="00464845" w:rsidP="00ED13AE" w14:paraId="1F89924E" w14:textId="77777777"/>
    <w:p w:rsidR="00ED13AE" w:rsidP="00ED13AE" w14:paraId="7BBE8988" w14:textId="77777777">
      <w:r w:rsidRPr="00ED13AE">
        <w:t>Hierbij bied ik u</w:t>
      </w:r>
      <w:r>
        <w:t>, mede namens de minister van Onderwijs, Cultuur en Wetenschap en de minister van Sociale Zaken en Werkgelegenheid,</w:t>
      </w:r>
      <w:r w:rsidRPr="00ED13AE">
        <w:t xml:space="preserve"> de antwoorden aan op de schriftelijke Kamervragen die zijn gesteld door </w:t>
      </w:r>
      <w:r>
        <w:t xml:space="preserve">de leden </w:t>
      </w:r>
      <w:r>
        <w:t>Mohandis</w:t>
      </w:r>
      <w:r>
        <w:t xml:space="preserve"> en </w:t>
      </w:r>
      <w:r>
        <w:t>Patijn</w:t>
      </w:r>
      <w:r>
        <w:t xml:space="preserve"> (beiden </w:t>
      </w:r>
      <w:r w:rsidR="00794F44">
        <w:t>GroenLinks-PvdA</w:t>
      </w:r>
      <w:r>
        <w:t>)</w:t>
      </w:r>
      <w:r w:rsidRPr="00ED13AE">
        <w:t xml:space="preserve"> over </w:t>
      </w:r>
      <w:r>
        <w:t>interim-salarissen in de publieke sector</w:t>
      </w:r>
      <w:r w:rsidRPr="00ED13AE">
        <w:t xml:space="preserve">. De vragen zijn ingezonden op </w:t>
      </w:r>
      <w:r>
        <w:t>15</w:t>
      </w:r>
      <w:r w:rsidRPr="00ED13AE">
        <w:t xml:space="preserve"> juli 2025, met kenmerk 2025Z14</w:t>
      </w:r>
      <w:r>
        <w:t>694</w:t>
      </w:r>
      <w:r w:rsidRPr="00ED13AE">
        <w:t xml:space="preserve">. </w:t>
      </w:r>
    </w:p>
    <w:p w:rsidR="00ED13AE" w:rsidP="00ED13AE" w14:paraId="57AF2662" w14:textId="77777777"/>
    <w:p w:rsidR="00ED13AE" w:rsidP="00ED13AE" w14:paraId="756060BB" w14:textId="77777777">
      <w:r>
        <w:br/>
      </w:r>
      <w:r w:rsidRPr="00ED13AE">
        <w:t xml:space="preserve">De minister van Binnenlandse Zaken en Koninkrijksrelaties, </w:t>
      </w:r>
    </w:p>
    <w:p w:rsidR="00ED13AE" w:rsidP="00ED13AE" w14:paraId="0D6BCBB1" w14:textId="77777777"/>
    <w:p w:rsidR="00ED13AE" w:rsidP="00ED13AE" w14:paraId="7B71EC2F" w14:textId="77777777"/>
    <w:p w:rsidR="00ED13AE" w:rsidP="00ED13AE" w14:paraId="5C7ED1B1" w14:textId="77777777"/>
    <w:p w:rsidR="00ED13AE" w:rsidP="00ED13AE" w14:paraId="083F4EA4" w14:textId="77777777"/>
    <w:p w:rsidR="003E7904" w:rsidP="00ED13AE" w14:paraId="7FB8AD29" w14:textId="77777777"/>
    <w:p w:rsidR="00ED13AE" w:rsidP="00ED13AE" w14:paraId="6AD7F7F3" w14:textId="77777777">
      <w:r w:rsidRPr="00ED13AE">
        <w:t>D.M. van Wee</w:t>
      </w:r>
      <w:r>
        <w:t>l</w:t>
      </w:r>
    </w:p>
    <w:p w:rsidR="000325E3" w14:paraId="7A50216E" w14:textId="77777777">
      <w:pPr>
        <w:spacing w:line="240" w:lineRule="auto"/>
      </w:pPr>
      <w:r>
        <w:br w:type="page"/>
      </w:r>
    </w:p>
    <w:p w:rsidR="000325E3" w:rsidP="000325E3" w14:paraId="6F1F7869" w14:textId="77777777">
      <w:pPr>
        <w:pStyle w:val="Title"/>
      </w:pPr>
      <w:r>
        <w:rPr>
          <w:spacing w:val="-2"/>
        </w:rPr>
        <w:t>2025Z14694</w:t>
      </w:r>
    </w:p>
    <w:p w:rsidR="000325E3" w:rsidP="000325E3" w14:paraId="255B534D" w14:textId="77777777">
      <w:pPr>
        <w:pStyle w:val="BodyText"/>
        <w:spacing w:before="17"/>
      </w:pPr>
      <w:r>
        <w:t>(</w:t>
      </w:r>
      <w:r>
        <w:t>ingezonden</w:t>
      </w:r>
      <w:r>
        <w:rPr>
          <w:spacing w:val="-4"/>
        </w:rPr>
        <w:t xml:space="preserve"> </w:t>
      </w:r>
      <w:r>
        <w:t>15</w:t>
      </w:r>
      <w:r>
        <w:rPr>
          <w:spacing w:val="-2"/>
        </w:rPr>
        <w:t xml:space="preserve"> </w:t>
      </w:r>
      <w:r>
        <w:t>juli</w:t>
      </w:r>
      <w:r>
        <w:rPr>
          <w:spacing w:val="-1"/>
        </w:rPr>
        <w:t xml:space="preserve"> </w:t>
      </w:r>
      <w:r>
        <w:rPr>
          <w:spacing w:val="-2"/>
        </w:rPr>
        <w:t>2025)</w:t>
      </w:r>
    </w:p>
    <w:p w:rsidR="000325E3" w:rsidP="000325E3" w14:paraId="3B976DE4" w14:textId="77777777">
      <w:pPr>
        <w:pStyle w:val="BodyText"/>
        <w:spacing w:before="17" w:line="259" w:lineRule="auto"/>
        <w:ind w:right="86"/>
      </w:pPr>
      <w:r>
        <w:t xml:space="preserve">Vragen van de leden </w:t>
      </w:r>
      <w:r>
        <w:t>Mohandis</w:t>
      </w:r>
      <w:r>
        <w:t xml:space="preserve"> en </w:t>
      </w:r>
      <w:r>
        <w:t>Patijn</w:t>
      </w:r>
      <w:r>
        <w:t xml:space="preserve"> (beiden GroenLinks-PvdA) aan de ministers van Onderwijs,</w:t>
      </w:r>
      <w:r>
        <w:rPr>
          <w:spacing w:val="-3"/>
        </w:rPr>
        <w:t xml:space="preserve"> </w:t>
      </w:r>
      <w:r>
        <w:t>Cultuur</w:t>
      </w:r>
      <w:r>
        <w:rPr>
          <w:spacing w:val="-4"/>
        </w:rPr>
        <w:t xml:space="preserve"> </w:t>
      </w:r>
      <w:r>
        <w:t>en</w:t>
      </w:r>
      <w:r>
        <w:rPr>
          <w:spacing w:val="-4"/>
        </w:rPr>
        <w:t xml:space="preserve"> </w:t>
      </w:r>
      <w:r>
        <w:t>Wetenschap,</w:t>
      </w:r>
      <w:r>
        <w:rPr>
          <w:spacing w:val="-4"/>
        </w:rPr>
        <w:t xml:space="preserve"> </w:t>
      </w:r>
      <w:r>
        <w:t>van</w:t>
      </w:r>
      <w:r>
        <w:rPr>
          <w:spacing w:val="-3"/>
        </w:rPr>
        <w:t xml:space="preserve"> </w:t>
      </w:r>
      <w:r>
        <w:t>Sociale</w:t>
      </w:r>
      <w:r>
        <w:rPr>
          <w:spacing w:val="-4"/>
        </w:rPr>
        <w:t xml:space="preserve"> </w:t>
      </w:r>
      <w:r>
        <w:t>Zaken</w:t>
      </w:r>
      <w:r>
        <w:rPr>
          <w:spacing w:val="-3"/>
        </w:rPr>
        <w:t xml:space="preserve"> </w:t>
      </w:r>
      <w:r>
        <w:t>en</w:t>
      </w:r>
      <w:r>
        <w:rPr>
          <w:spacing w:val="-3"/>
        </w:rPr>
        <w:t xml:space="preserve"> </w:t>
      </w:r>
      <w:r>
        <w:t>Werkgelegenheid</w:t>
      </w:r>
      <w:r>
        <w:rPr>
          <w:spacing w:val="-3"/>
        </w:rPr>
        <w:t xml:space="preserve"> </w:t>
      </w:r>
      <w:r>
        <w:t>en</w:t>
      </w:r>
      <w:r>
        <w:rPr>
          <w:spacing w:val="-3"/>
        </w:rPr>
        <w:t xml:space="preserve"> </w:t>
      </w:r>
      <w:r>
        <w:t>van</w:t>
      </w:r>
      <w:r>
        <w:rPr>
          <w:spacing w:val="-3"/>
        </w:rPr>
        <w:t xml:space="preserve"> </w:t>
      </w:r>
      <w:r>
        <w:t>Binnenlandse Zaken en Koninkrijksrelaties over interim-salarissen in de publieke sector.</w:t>
      </w:r>
    </w:p>
    <w:p w:rsidR="000325E3" w:rsidP="000325E3" w14:paraId="3B5F9128" w14:textId="77777777">
      <w:pPr>
        <w:pStyle w:val="BodyText"/>
        <w:spacing w:before="17"/>
        <w:ind w:left="0"/>
      </w:pPr>
    </w:p>
    <w:p w:rsidR="000325E3" w:rsidP="000325E3" w14:paraId="5C507064" w14:textId="77777777">
      <w:pPr>
        <w:pStyle w:val="ListParagraph"/>
        <w:numPr>
          <w:ilvl w:val="0"/>
          <w:numId w:val="37"/>
        </w:numPr>
        <w:tabs>
          <w:tab w:val="left" w:pos="383"/>
        </w:tabs>
        <w:spacing w:line="240" w:lineRule="atLeast"/>
        <w:ind w:left="141" w:right="69" w:firstLine="0"/>
        <w:rPr>
          <w:sz w:val="18"/>
        </w:rPr>
      </w:pPr>
      <w:r>
        <w:rPr>
          <w:sz w:val="18"/>
        </w:rPr>
        <w:t>Kent</w:t>
      </w:r>
      <w:r>
        <w:rPr>
          <w:spacing w:val="-2"/>
          <w:sz w:val="18"/>
        </w:rPr>
        <w:t xml:space="preserve"> </w:t>
      </w:r>
      <w:r>
        <w:rPr>
          <w:sz w:val="18"/>
        </w:rPr>
        <w:t>u</w:t>
      </w:r>
      <w:r>
        <w:rPr>
          <w:spacing w:val="-3"/>
          <w:sz w:val="18"/>
        </w:rPr>
        <w:t xml:space="preserve"> </w:t>
      </w:r>
      <w:r>
        <w:rPr>
          <w:sz w:val="18"/>
        </w:rPr>
        <w:t>het</w:t>
      </w:r>
      <w:r>
        <w:rPr>
          <w:spacing w:val="-2"/>
          <w:sz w:val="18"/>
        </w:rPr>
        <w:t xml:space="preserve"> </w:t>
      </w:r>
      <w:r>
        <w:rPr>
          <w:sz w:val="18"/>
        </w:rPr>
        <w:t>bericht</w:t>
      </w:r>
      <w:r>
        <w:rPr>
          <w:spacing w:val="-2"/>
          <w:sz w:val="18"/>
        </w:rPr>
        <w:t xml:space="preserve"> </w:t>
      </w:r>
      <w:r>
        <w:rPr>
          <w:sz w:val="18"/>
        </w:rPr>
        <w:t>over</w:t>
      </w:r>
      <w:r>
        <w:rPr>
          <w:spacing w:val="-2"/>
          <w:sz w:val="18"/>
        </w:rPr>
        <w:t xml:space="preserve"> </w:t>
      </w:r>
      <w:r>
        <w:rPr>
          <w:sz w:val="18"/>
        </w:rPr>
        <w:t>interim-salarissen</w:t>
      </w:r>
      <w:r>
        <w:rPr>
          <w:spacing w:val="-3"/>
          <w:sz w:val="18"/>
        </w:rPr>
        <w:t xml:space="preserve"> </w:t>
      </w:r>
      <w:r>
        <w:rPr>
          <w:sz w:val="18"/>
        </w:rPr>
        <w:t>bij</w:t>
      </w:r>
      <w:r>
        <w:rPr>
          <w:spacing w:val="-2"/>
          <w:sz w:val="18"/>
        </w:rPr>
        <w:t xml:space="preserve"> </w:t>
      </w:r>
      <w:r>
        <w:rPr>
          <w:sz w:val="18"/>
        </w:rPr>
        <w:t>de</w:t>
      </w:r>
      <w:r>
        <w:rPr>
          <w:spacing w:val="-3"/>
          <w:sz w:val="18"/>
        </w:rPr>
        <w:t xml:space="preserve"> </w:t>
      </w:r>
      <w:r>
        <w:rPr>
          <w:sz w:val="18"/>
        </w:rPr>
        <w:t>publieke</w:t>
      </w:r>
      <w:r>
        <w:rPr>
          <w:spacing w:val="-3"/>
          <w:sz w:val="18"/>
        </w:rPr>
        <w:t xml:space="preserve"> </w:t>
      </w:r>
      <w:r>
        <w:rPr>
          <w:sz w:val="18"/>
        </w:rPr>
        <w:t>omroep</w:t>
      </w:r>
      <w:r>
        <w:rPr>
          <w:spacing w:val="-2"/>
          <w:sz w:val="18"/>
        </w:rPr>
        <w:t xml:space="preserve"> </w:t>
      </w:r>
      <w:r>
        <w:rPr>
          <w:sz w:val="18"/>
        </w:rPr>
        <w:t>en</w:t>
      </w:r>
      <w:r>
        <w:rPr>
          <w:spacing w:val="-3"/>
          <w:sz w:val="18"/>
        </w:rPr>
        <w:t xml:space="preserve"> </w:t>
      </w:r>
      <w:r>
        <w:rPr>
          <w:sz w:val="18"/>
        </w:rPr>
        <w:t>dat</w:t>
      </w:r>
      <w:r>
        <w:rPr>
          <w:spacing w:val="-3"/>
          <w:sz w:val="18"/>
        </w:rPr>
        <w:t xml:space="preserve"> </w:t>
      </w:r>
      <w:r>
        <w:rPr>
          <w:sz w:val="18"/>
        </w:rPr>
        <w:t>een</w:t>
      </w:r>
      <w:r>
        <w:rPr>
          <w:spacing w:val="-3"/>
          <w:sz w:val="18"/>
        </w:rPr>
        <w:t xml:space="preserve"> </w:t>
      </w:r>
      <w:r>
        <w:rPr>
          <w:sz w:val="18"/>
        </w:rPr>
        <w:t xml:space="preserve">Kamermeerderheid bereid is om de wet zodanig aan te passen waardoor ook </w:t>
      </w:r>
      <w:r>
        <w:rPr>
          <w:sz w:val="18"/>
        </w:rPr>
        <w:t>interimmers</w:t>
      </w:r>
      <w:r>
        <w:rPr>
          <w:sz w:val="18"/>
        </w:rPr>
        <w:t xml:space="preserve"> die werkzaam zijn als zelfstandigen niet meer kunnen verdienen dan de norm die de Wet normering topinkomens (WNT) stelt, ook niet met het stapelen van verschillende opdrachten in de publieke sector? 1)</w:t>
      </w:r>
    </w:p>
    <w:p w:rsidR="000325E3" w:rsidP="000325E3" w14:paraId="14F48366" w14:textId="77777777">
      <w:pPr>
        <w:pStyle w:val="ListParagraph"/>
        <w:tabs>
          <w:tab w:val="left" w:pos="383"/>
        </w:tabs>
        <w:spacing w:line="240" w:lineRule="atLeast"/>
        <w:ind w:right="69"/>
        <w:rPr>
          <w:sz w:val="18"/>
        </w:rPr>
      </w:pPr>
    </w:p>
    <w:p w:rsidRPr="009B5437" w:rsidR="000325E3" w:rsidP="000325E3" w14:paraId="03619615" w14:textId="77777777">
      <w:pPr>
        <w:pStyle w:val="BodyText"/>
        <w:spacing w:before="1" w:line="240" w:lineRule="atLeast"/>
        <w:ind w:right="415"/>
        <w:rPr>
          <w:i/>
          <w:iCs/>
        </w:rPr>
      </w:pPr>
      <w:r w:rsidRPr="009B5437">
        <w:rPr>
          <w:i/>
          <w:iCs/>
        </w:rPr>
        <w:t>Ja.</w:t>
      </w:r>
    </w:p>
    <w:p w:rsidR="000325E3" w:rsidP="000325E3" w14:paraId="51C755AE" w14:textId="77777777">
      <w:pPr>
        <w:pStyle w:val="BodyText"/>
        <w:spacing w:before="16" w:line="240" w:lineRule="atLeast"/>
        <w:ind w:left="0"/>
      </w:pPr>
    </w:p>
    <w:p w:rsidR="000325E3" w:rsidP="000325E3" w14:paraId="672EDAF0" w14:textId="77777777">
      <w:pPr>
        <w:pStyle w:val="ListParagraph"/>
        <w:numPr>
          <w:ilvl w:val="0"/>
          <w:numId w:val="37"/>
        </w:numPr>
        <w:tabs>
          <w:tab w:val="left" w:pos="383"/>
        </w:tabs>
        <w:spacing w:line="240" w:lineRule="atLeast"/>
        <w:ind w:left="141" w:right="549" w:firstLine="0"/>
        <w:rPr>
          <w:sz w:val="18"/>
        </w:rPr>
      </w:pPr>
      <w:r>
        <w:rPr>
          <w:sz w:val="18"/>
        </w:rPr>
        <w:t>Hoe</w:t>
      </w:r>
      <w:r>
        <w:rPr>
          <w:spacing w:val="-3"/>
          <w:sz w:val="18"/>
        </w:rPr>
        <w:t xml:space="preserve"> </w:t>
      </w:r>
      <w:r>
        <w:rPr>
          <w:sz w:val="18"/>
        </w:rPr>
        <w:t>beoordeelt</w:t>
      </w:r>
      <w:r>
        <w:rPr>
          <w:spacing w:val="-2"/>
          <w:sz w:val="18"/>
        </w:rPr>
        <w:t xml:space="preserve"> </w:t>
      </w:r>
      <w:r>
        <w:rPr>
          <w:sz w:val="18"/>
        </w:rPr>
        <w:t>u</w:t>
      </w:r>
      <w:r>
        <w:rPr>
          <w:spacing w:val="-3"/>
          <w:sz w:val="18"/>
        </w:rPr>
        <w:t xml:space="preserve"> </w:t>
      </w:r>
      <w:r>
        <w:rPr>
          <w:sz w:val="18"/>
        </w:rPr>
        <w:t>het</w:t>
      </w:r>
      <w:r>
        <w:rPr>
          <w:spacing w:val="-3"/>
          <w:sz w:val="18"/>
        </w:rPr>
        <w:t xml:space="preserve"> </w:t>
      </w:r>
      <w:r>
        <w:rPr>
          <w:sz w:val="18"/>
        </w:rPr>
        <w:t>feit</w:t>
      </w:r>
      <w:r>
        <w:rPr>
          <w:spacing w:val="-3"/>
          <w:sz w:val="18"/>
        </w:rPr>
        <w:t xml:space="preserve"> </w:t>
      </w:r>
      <w:r>
        <w:rPr>
          <w:sz w:val="18"/>
        </w:rPr>
        <w:t>dat</w:t>
      </w:r>
      <w:r>
        <w:rPr>
          <w:spacing w:val="-2"/>
          <w:sz w:val="18"/>
        </w:rPr>
        <w:t xml:space="preserve"> </w:t>
      </w:r>
      <w:r>
        <w:rPr>
          <w:sz w:val="18"/>
        </w:rPr>
        <w:t>de</w:t>
      </w:r>
      <w:r>
        <w:rPr>
          <w:spacing w:val="-3"/>
          <w:sz w:val="18"/>
        </w:rPr>
        <w:t xml:space="preserve"> </w:t>
      </w:r>
      <w:r>
        <w:rPr>
          <w:sz w:val="18"/>
        </w:rPr>
        <w:t>WNT</w:t>
      </w:r>
      <w:r>
        <w:rPr>
          <w:spacing w:val="-2"/>
          <w:sz w:val="18"/>
        </w:rPr>
        <w:t xml:space="preserve"> </w:t>
      </w:r>
      <w:r>
        <w:rPr>
          <w:sz w:val="18"/>
        </w:rPr>
        <w:t>omzeild</w:t>
      </w:r>
      <w:r>
        <w:rPr>
          <w:spacing w:val="-2"/>
          <w:sz w:val="18"/>
        </w:rPr>
        <w:t xml:space="preserve"> </w:t>
      </w:r>
      <w:r>
        <w:rPr>
          <w:sz w:val="18"/>
        </w:rPr>
        <w:t>wordt,</w:t>
      </w:r>
      <w:r>
        <w:rPr>
          <w:spacing w:val="-3"/>
          <w:sz w:val="18"/>
        </w:rPr>
        <w:t xml:space="preserve"> </w:t>
      </w:r>
      <w:r>
        <w:rPr>
          <w:sz w:val="18"/>
        </w:rPr>
        <w:t>zoals</w:t>
      </w:r>
      <w:r>
        <w:rPr>
          <w:spacing w:val="-2"/>
          <w:sz w:val="18"/>
        </w:rPr>
        <w:t xml:space="preserve"> </w:t>
      </w:r>
      <w:r>
        <w:rPr>
          <w:sz w:val="18"/>
        </w:rPr>
        <w:t>in</w:t>
      </w:r>
      <w:r>
        <w:rPr>
          <w:spacing w:val="-2"/>
          <w:sz w:val="18"/>
        </w:rPr>
        <w:t xml:space="preserve"> </w:t>
      </w:r>
      <w:r>
        <w:rPr>
          <w:sz w:val="18"/>
        </w:rPr>
        <w:t>het</w:t>
      </w:r>
      <w:r>
        <w:rPr>
          <w:spacing w:val="-2"/>
          <w:sz w:val="18"/>
        </w:rPr>
        <w:t xml:space="preserve"> </w:t>
      </w:r>
      <w:r>
        <w:rPr>
          <w:sz w:val="18"/>
        </w:rPr>
        <w:t>bericht</w:t>
      </w:r>
      <w:r>
        <w:rPr>
          <w:spacing w:val="-3"/>
          <w:sz w:val="18"/>
        </w:rPr>
        <w:t xml:space="preserve"> </w:t>
      </w:r>
      <w:r>
        <w:rPr>
          <w:sz w:val="18"/>
        </w:rPr>
        <w:t>omschreven,</w:t>
      </w:r>
      <w:r>
        <w:rPr>
          <w:spacing w:val="-2"/>
          <w:sz w:val="18"/>
        </w:rPr>
        <w:t xml:space="preserve"> </w:t>
      </w:r>
      <w:r>
        <w:rPr>
          <w:sz w:val="18"/>
        </w:rPr>
        <w:t>door constructies met (meerdere) interim-opdrachten?</w:t>
      </w:r>
    </w:p>
    <w:p w:rsidR="000325E3" w:rsidP="000325E3" w14:paraId="0B920427" w14:textId="77777777">
      <w:pPr>
        <w:tabs>
          <w:tab w:val="left" w:pos="383"/>
        </w:tabs>
        <w:ind w:right="549"/>
      </w:pPr>
    </w:p>
    <w:p w:rsidRPr="009B5437" w:rsidR="000325E3" w:rsidP="000325E3" w14:paraId="7BB61346" w14:textId="77777777">
      <w:pPr>
        <w:pStyle w:val="BodyText"/>
        <w:spacing w:before="1" w:line="240" w:lineRule="atLeast"/>
        <w:ind w:right="415"/>
        <w:rPr>
          <w:i/>
          <w:iCs/>
        </w:rPr>
      </w:pPr>
      <w:r w:rsidRPr="009B5437">
        <w:rPr>
          <w:i/>
          <w:iCs/>
        </w:rPr>
        <w:t xml:space="preserve">Er is geen sprake van omzeiling van de WNT. De WNT maximeert de totale bezoldiging van topfunctionarissen zonder dienstbetrekking die twee of meer functies bij twee of meer WNT-instellingen naast elkaar vervullen, niet. </w:t>
      </w:r>
    </w:p>
    <w:p w:rsidR="000325E3" w:rsidP="000325E3" w14:paraId="130E4CBC" w14:textId="77777777">
      <w:pPr>
        <w:pStyle w:val="BodyText"/>
        <w:spacing w:before="17" w:line="240" w:lineRule="atLeast"/>
        <w:ind w:left="0"/>
      </w:pPr>
    </w:p>
    <w:p w:rsidR="000325E3" w:rsidP="000325E3" w14:paraId="26A275C8" w14:textId="77777777">
      <w:pPr>
        <w:pStyle w:val="ListParagraph"/>
        <w:numPr>
          <w:ilvl w:val="0"/>
          <w:numId w:val="37"/>
        </w:numPr>
        <w:tabs>
          <w:tab w:val="left" w:pos="383"/>
        </w:tabs>
        <w:spacing w:line="240" w:lineRule="atLeast"/>
        <w:ind w:left="141" w:firstLine="0"/>
        <w:rPr>
          <w:sz w:val="18"/>
        </w:rPr>
      </w:pPr>
      <w:r>
        <w:rPr>
          <w:sz w:val="18"/>
        </w:rPr>
        <w:t>Kunt</w:t>
      </w:r>
      <w:r>
        <w:rPr>
          <w:spacing w:val="-3"/>
          <w:sz w:val="18"/>
        </w:rPr>
        <w:t xml:space="preserve"> </w:t>
      </w:r>
      <w:r>
        <w:rPr>
          <w:sz w:val="18"/>
        </w:rPr>
        <w:t>u</w:t>
      </w:r>
      <w:r>
        <w:rPr>
          <w:spacing w:val="-2"/>
          <w:sz w:val="18"/>
        </w:rPr>
        <w:t xml:space="preserve"> </w:t>
      </w:r>
      <w:r>
        <w:rPr>
          <w:sz w:val="18"/>
        </w:rPr>
        <w:t>aangeven</w:t>
      </w:r>
      <w:r>
        <w:rPr>
          <w:spacing w:val="-3"/>
          <w:sz w:val="18"/>
        </w:rPr>
        <w:t xml:space="preserve"> </w:t>
      </w:r>
      <w:r>
        <w:rPr>
          <w:sz w:val="18"/>
        </w:rPr>
        <w:t>wat</w:t>
      </w:r>
      <w:r>
        <w:rPr>
          <w:spacing w:val="-2"/>
          <w:sz w:val="18"/>
        </w:rPr>
        <w:t xml:space="preserve"> </w:t>
      </w:r>
      <w:r>
        <w:rPr>
          <w:sz w:val="18"/>
        </w:rPr>
        <w:t>naar</w:t>
      </w:r>
      <w:r>
        <w:rPr>
          <w:spacing w:val="-3"/>
          <w:sz w:val="18"/>
        </w:rPr>
        <w:t xml:space="preserve"> </w:t>
      </w:r>
      <w:r>
        <w:rPr>
          <w:sz w:val="18"/>
        </w:rPr>
        <w:t>uw</w:t>
      </w:r>
      <w:r>
        <w:rPr>
          <w:spacing w:val="-2"/>
          <w:sz w:val="18"/>
        </w:rPr>
        <w:t xml:space="preserve"> </w:t>
      </w:r>
      <w:r>
        <w:rPr>
          <w:sz w:val="18"/>
        </w:rPr>
        <w:t>idee</w:t>
      </w:r>
      <w:r>
        <w:rPr>
          <w:spacing w:val="-3"/>
          <w:sz w:val="18"/>
        </w:rPr>
        <w:t xml:space="preserve"> </w:t>
      </w:r>
      <w:r>
        <w:rPr>
          <w:sz w:val="18"/>
        </w:rPr>
        <w:t>de</w:t>
      </w:r>
      <w:r>
        <w:rPr>
          <w:spacing w:val="-2"/>
          <w:sz w:val="18"/>
        </w:rPr>
        <w:t xml:space="preserve"> </w:t>
      </w:r>
      <w:r>
        <w:rPr>
          <w:sz w:val="18"/>
        </w:rPr>
        <w:t>bedoeling</w:t>
      </w:r>
      <w:r>
        <w:rPr>
          <w:spacing w:val="-3"/>
          <w:sz w:val="18"/>
        </w:rPr>
        <w:t xml:space="preserve"> </w:t>
      </w:r>
      <w:r>
        <w:rPr>
          <w:sz w:val="18"/>
        </w:rPr>
        <w:t>van</w:t>
      </w:r>
      <w:r>
        <w:rPr>
          <w:spacing w:val="-3"/>
          <w:sz w:val="18"/>
        </w:rPr>
        <w:t xml:space="preserve"> </w:t>
      </w:r>
      <w:r>
        <w:rPr>
          <w:sz w:val="18"/>
        </w:rPr>
        <w:t>de</w:t>
      </w:r>
      <w:r>
        <w:rPr>
          <w:spacing w:val="-3"/>
          <w:sz w:val="18"/>
        </w:rPr>
        <w:t xml:space="preserve"> </w:t>
      </w:r>
      <w:r>
        <w:rPr>
          <w:sz w:val="18"/>
        </w:rPr>
        <w:t>WNT</w:t>
      </w:r>
      <w:r>
        <w:rPr>
          <w:spacing w:val="-2"/>
          <w:sz w:val="18"/>
        </w:rPr>
        <w:t xml:space="preserve"> </w:t>
      </w:r>
      <w:r>
        <w:rPr>
          <w:sz w:val="18"/>
        </w:rPr>
        <w:t>is</w:t>
      </w:r>
      <w:r>
        <w:rPr>
          <w:spacing w:val="-2"/>
          <w:sz w:val="18"/>
        </w:rPr>
        <w:t xml:space="preserve"> </w:t>
      </w:r>
      <w:r>
        <w:rPr>
          <w:sz w:val="18"/>
        </w:rPr>
        <w:t>en</w:t>
      </w:r>
      <w:r>
        <w:rPr>
          <w:spacing w:val="-3"/>
          <w:sz w:val="18"/>
        </w:rPr>
        <w:t xml:space="preserve"> </w:t>
      </w:r>
      <w:r>
        <w:rPr>
          <w:sz w:val="18"/>
        </w:rPr>
        <w:t>of</w:t>
      </w:r>
      <w:r>
        <w:rPr>
          <w:spacing w:val="-3"/>
          <w:sz w:val="18"/>
        </w:rPr>
        <w:t xml:space="preserve"> </w:t>
      </w:r>
      <w:r>
        <w:rPr>
          <w:sz w:val="18"/>
        </w:rPr>
        <w:t>u</w:t>
      </w:r>
      <w:r>
        <w:rPr>
          <w:spacing w:val="-3"/>
          <w:sz w:val="18"/>
        </w:rPr>
        <w:t xml:space="preserve"> </w:t>
      </w:r>
      <w:r>
        <w:rPr>
          <w:sz w:val="18"/>
        </w:rPr>
        <w:t>de</w:t>
      </w:r>
      <w:r>
        <w:rPr>
          <w:spacing w:val="-2"/>
          <w:sz w:val="18"/>
        </w:rPr>
        <w:t xml:space="preserve"> </w:t>
      </w:r>
      <w:r>
        <w:rPr>
          <w:sz w:val="18"/>
        </w:rPr>
        <w:t>beschreven</w:t>
      </w:r>
      <w:r>
        <w:rPr>
          <w:spacing w:val="-2"/>
          <w:sz w:val="18"/>
        </w:rPr>
        <w:t xml:space="preserve"> </w:t>
      </w:r>
      <w:r>
        <w:rPr>
          <w:sz w:val="18"/>
        </w:rPr>
        <w:t>situatie</w:t>
      </w:r>
      <w:r>
        <w:rPr>
          <w:spacing w:val="-3"/>
          <w:sz w:val="18"/>
        </w:rPr>
        <w:t xml:space="preserve"> </w:t>
      </w:r>
      <w:r>
        <w:rPr>
          <w:sz w:val="18"/>
        </w:rPr>
        <w:t>in het bericht in lijn vindt met dit doel?</w:t>
      </w:r>
    </w:p>
    <w:p w:rsidR="000325E3" w:rsidP="000325E3" w14:paraId="418D36F3" w14:textId="77777777">
      <w:pPr>
        <w:pStyle w:val="ListParagraph"/>
        <w:tabs>
          <w:tab w:val="left" w:pos="383"/>
        </w:tabs>
        <w:spacing w:line="240" w:lineRule="atLeast"/>
        <w:rPr>
          <w:sz w:val="18"/>
        </w:rPr>
      </w:pPr>
    </w:p>
    <w:p w:rsidR="000325E3" w:rsidP="000325E3" w14:paraId="6181D214" w14:textId="77777777">
      <w:pPr>
        <w:pStyle w:val="BodyText"/>
        <w:spacing w:before="1" w:line="240" w:lineRule="atLeast"/>
        <w:ind w:right="415"/>
        <w:rPr>
          <w:i/>
          <w:iCs/>
        </w:rPr>
      </w:pPr>
      <w:r w:rsidRPr="00B87134">
        <w:rPr>
          <w:i/>
          <w:iCs/>
        </w:rPr>
        <w:t xml:space="preserve">Het doel van de WNT is het tegengaan van bovenmatige beloningen en ontslagvergoedingen van topfunctionarissen bij instellingen in de publieke en semipublieke sector. Met de WNT worden de beloningen en ontslagvergoedingen van topfunctionarissen gemaximeerd en op functiebenaming en naam openbaar gemaakt. Daarnaast wordt met de WNT de bezoldiging van niet-topfunctionarissen in dienstbetrekking, voor zover deze hoger is dan het algemeen bezoldigingsmaximum van artikel 2.3 WNT, openbaar gemaakt op functie (niet op naam). </w:t>
      </w:r>
    </w:p>
    <w:p w:rsidR="000325E3" w:rsidP="000325E3" w14:paraId="4C65463F" w14:textId="77777777">
      <w:pPr>
        <w:pStyle w:val="BodyText"/>
        <w:spacing w:before="1" w:line="240" w:lineRule="atLeast"/>
        <w:ind w:right="415"/>
        <w:rPr>
          <w:i/>
          <w:iCs/>
        </w:rPr>
      </w:pPr>
    </w:p>
    <w:p w:rsidRPr="00B87134" w:rsidR="000325E3" w:rsidP="000325E3" w14:paraId="6444B7D3" w14:textId="77777777">
      <w:pPr>
        <w:pStyle w:val="BodyText"/>
        <w:spacing w:before="1" w:line="240" w:lineRule="atLeast"/>
        <w:ind w:right="415"/>
        <w:rPr>
          <w:i/>
          <w:iCs/>
        </w:rPr>
      </w:pPr>
      <w:r w:rsidRPr="00B87134">
        <w:rPr>
          <w:i/>
          <w:iCs/>
        </w:rPr>
        <w:t xml:space="preserve">De beschreven situatie wekt de indruk van topfunctionarissen die de randen van wat wettelijk is toegestaan opzoeken, en dat doet afbreuk aan het maatschappelijke en politieke draagvlak voor instellingen in de publieke en semipublieke sector. We vinden het belangrijk dat er zorgvuldig wordt omgegaan met publiek geld. </w:t>
      </w:r>
    </w:p>
    <w:p w:rsidR="000325E3" w:rsidP="000325E3" w14:paraId="3B4D0ACB" w14:textId="77777777">
      <w:pPr>
        <w:pStyle w:val="BodyText"/>
        <w:spacing w:before="17" w:line="240" w:lineRule="atLeast"/>
        <w:ind w:left="0"/>
      </w:pPr>
    </w:p>
    <w:p w:rsidR="000325E3" w:rsidP="000325E3" w14:paraId="15A3F23A" w14:textId="77777777">
      <w:pPr>
        <w:pStyle w:val="ListParagraph"/>
        <w:numPr>
          <w:ilvl w:val="0"/>
          <w:numId w:val="37"/>
        </w:numPr>
        <w:tabs>
          <w:tab w:val="left" w:pos="383"/>
        </w:tabs>
        <w:spacing w:line="240" w:lineRule="atLeast"/>
        <w:ind w:left="141" w:right="61" w:firstLine="0"/>
        <w:rPr>
          <w:sz w:val="18"/>
        </w:rPr>
      </w:pPr>
      <w:r>
        <w:rPr>
          <w:sz w:val="18"/>
        </w:rPr>
        <w:t>Hoe</w:t>
      </w:r>
      <w:r>
        <w:rPr>
          <w:spacing w:val="-3"/>
          <w:sz w:val="18"/>
        </w:rPr>
        <w:t xml:space="preserve"> </w:t>
      </w:r>
      <w:r>
        <w:rPr>
          <w:sz w:val="18"/>
        </w:rPr>
        <w:t>wilt</w:t>
      </w:r>
      <w:r>
        <w:rPr>
          <w:spacing w:val="-2"/>
          <w:sz w:val="18"/>
        </w:rPr>
        <w:t xml:space="preserve"> </w:t>
      </w:r>
      <w:r>
        <w:rPr>
          <w:sz w:val="18"/>
        </w:rPr>
        <w:t>u</w:t>
      </w:r>
      <w:r>
        <w:rPr>
          <w:spacing w:val="-3"/>
          <w:sz w:val="18"/>
        </w:rPr>
        <w:t xml:space="preserve"> </w:t>
      </w:r>
      <w:r>
        <w:rPr>
          <w:sz w:val="18"/>
        </w:rPr>
        <w:t>daarnaast</w:t>
      </w:r>
      <w:r>
        <w:rPr>
          <w:spacing w:val="-3"/>
          <w:sz w:val="18"/>
        </w:rPr>
        <w:t xml:space="preserve"> </w:t>
      </w:r>
      <w:r>
        <w:rPr>
          <w:sz w:val="18"/>
        </w:rPr>
        <w:t>in</w:t>
      </w:r>
      <w:r>
        <w:rPr>
          <w:spacing w:val="-3"/>
          <w:sz w:val="18"/>
        </w:rPr>
        <w:t xml:space="preserve"> </w:t>
      </w:r>
      <w:r>
        <w:rPr>
          <w:sz w:val="18"/>
        </w:rPr>
        <w:t>de</w:t>
      </w:r>
      <w:r>
        <w:rPr>
          <w:spacing w:val="-2"/>
          <w:sz w:val="18"/>
        </w:rPr>
        <w:t xml:space="preserve"> </w:t>
      </w:r>
      <w:r>
        <w:rPr>
          <w:sz w:val="18"/>
        </w:rPr>
        <w:t>toekomst</w:t>
      </w:r>
      <w:r>
        <w:rPr>
          <w:spacing w:val="-3"/>
          <w:sz w:val="18"/>
        </w:rPr>
        <w:t xml:space="preserve"> </w:t>
      </w:r>
      <w:r>
        <w:rPr>
          <w:sz w:val="18"/>
        </w:rPr>
        <w:t>voorkomen</w:t>
      </w:r>
      <w:r>
        <w:rPr>
          <w:spacing w:val="-3"/>
          <w:sz w:val="18"/>
        </w:rPr>
        <w:t xml:space="preserve"> </w:t>
      </w:r>
      <w:r>
        <w:rPr>
          <w:sz w:val="18"/>
        </w:rPr>
        <w:t>dat</w:t>
      </w:r>
      <w:r>
        <w:rPr>
          <w:spacing w:val="-3"/>
          <w:sz w:val="18"/>
        </w:rPr>
        <w:t xml:space="preserve"> </w:t>
      </w:r>
      <w:r>
        <w:rPr>
          <w:sz w:val="18"/>
        </w:rPr>
        <w:t>via</w:t>
      </w:r>
      <w:r>
        <w:rPr>
          <w:spacing w:val="-3"/>
          <w:sz w:val="18"/>
        </w:rPr>
        <w:t xml:space="preserve"> </w:t>
      </w:r>
      <w:r>
        <w:rPr>
          <w:sz w:val="18"/>
        </w:rPr>
        <w:t>het</w:t>
      </w:r>
      <w:r>
        <w:rPr>
          <w:spacing w:val="-2"/>
          <w:sz w:val="18"/>
        </w:rPr>
        <w:t xml:space="preserve"> </w:t>
      </w:r>
      <w:r>
        <w:rPr>
          <w:sz w:val="18"/>
        </w:rPr>
        <w:t>combineren</w:t>
      </w:r>
      <w:r>
        <w:rPr>
          <w:spacing w:val="-3"/>
          <w:sz w:val="18"/>
        </w:rPr>
        <w:t xml:space="preserve"> </w:t>
      </w:r>
      <w:r>
        <w:rPr>
          <w:sz w:val="18"/>
        </w:rPr>
        <w:t>van</w:t>
      </w:r>
      <w:r>
        <w:rPr>
          <w:spacing w:val="-3"/>
          <w:sz w:val="18"/>
        </w:rPr>
        <w:t xml:space="preserve"> </w:t>
      </w:r>
      <w:r>
        <w:rPr>
          <w:sz w:val="18"/>
        </w:rPr>
        <w:t>interim-functies</w:t>
      </w:r>
      <w:r>
        <w:rPr>
          <w:spacing w:val="-2"/>
          <w:sz w:val="18"/>
        </w:rPr>
        <w:t xml:space="preserve"> </w:t>
      </w:r>
      <w:r>
        <w:rPr>
          <w:sz w:val="18"/>
        </w:rPr>
        <w:t>het toegestane maximuminkomen voor bestuurders met een arbeidsovereenkomst wordt omzeild?</w:t>
      </w:r>
    </w:p>
    <w:p w:rsidR="000325E3" w:rsidP="000325E3" w14:paraId="4D9064CD" w14:textId="77777777">
      <w:pPr>
        <w:pStyle w:val="ListParagraph"/>
        <w:tabs>
          <w:tab w:val="left" w:pos="383"/>
        </w:tabs>
        <w:spacing w:line="240" w:lineRule="atLeast"/>
        <w:ind w:right="61"/>
        <w:rPr>
          <w:sz w:val="18"/>
        </w:rPr>
      </w:pPr>
    </w:p>
    <w:p w:rsidR="000325E3" w:rsidP="000325E3" w14:paraId="3777DC1F" w14:textId="77777777">
      <w:pPr>
        <w:pStyle w:val="BodyText"/>
        <w:spacing w:before="17" w:line="240" w:lineRule="atLeast"/>
        <w:ind w:left="142"/>
        <w:rPr>
          <w:i/>
          <w:iCs/>
        </w:rPr>
      </w:pPr>
      <w:r w:rsidRPr="00776FE5">
        <w:rPr>
          <w:i/>
          <w:iCs/>
        </w:rPr>
        <w:t>In de anticumulatiebepaling van artikel 1.6a WNT is geregeld dat de totale bezoldiging van een topfunctionaris die op basis van dienstbetrekking</w:t>
      </w:r>
      <w:r w:rsidRPr="00776FE5">
        <w:rPr>
          <w:b/>
          <w:bCs/>
          <w:i/>
          <w:iCs/>
        </w:rPr>
        <w:t> </w:t>
      </w:r>
      <w:r w:rsidRPr="00776FE5">
        <w:rPr>
          <w:i/>
          <w:iCs/>
        </w:rPr>
        <w:t xml:space="preserve">gelijktijdig werkzaam is als leidinggevende topfunctionaris bij twee of meer WNT-instellingen, niet hoger mag zijn dan het algemeen bezoldigingsmaximum, bedoeld in artikel 2.3, eerste lid, WNT dan wel een voor één van de </w:t>
      </w:r>
      <w:r w:rsidRPr="00776FE5">
        <w:rPr>
          <w:i/>
          <w:iCs/>
        </w:rPr>
        <w:t>dienstbetrekkingen van toepassing zijnde hoger bezoldigingsmaximum. Naar aanleiding van deze casus zal de minister van BZK laten onderzoeken of de beschreven situatie zich vaker voordoet of heeft voorgedaan</w:t>
      </w:r>
      <w:r>
        <w:rPr>
          <w:i/>
          <w:iCs/>
        </w:rPr>
        <w:t>. Zo ja,</w:t>
      </w:r>
      <w:r w:rsidRPr="00776FE5">
        <w:rPr>
          <w:i/>
          <w:iCs/>
        </w:rPr>
        <w:t xml:space="preserve"> </w:t>
      </w:r>
      <w:r>
        <w:rPr>
          <w:i/>
          <w:iCs/>
        </w:rPr>
        <w:t>dan zal de minister van BZK</w:t>
      </w:r>
      <w:r w:rsidRPr="00776FE5">
        <w:rPr>
          <w:i/>
          <w:iCs/>
        </w:rPr>
        <w:t xml:space="preserve"> een voorstel indienen om de WNT zodanig aan te passen om de anticumulatiebepaling (artikel 1.6a WNT) uit te breiden voor </w:t>
      </w:r>
      <w:r w:rsidRPr="00776FE5">
        <w:rPr>
          <w:i/>
          <w:iCs/>
        </w:rPr>
        <w:t>interimmers</w:t>
      </w:r>
      <w:r w:rsidRPr="00776FE5">
        <w:rPr>
          <w:i/>
          <w:iCs/>
        </w:rPr>
        <w:t>. Wij zullen de Tweede Kamer over de uitkomsten van het onderzoek per brief informeren</w:t>
      </w:r>
      <w:r>
        <w:rPr>
          <w:i/>
          <w:iCs/>
        </w:rPr>
        <w:t>.</w:t>
      </w:r>
    </w:p>
    <w:p w:rsidR="000325E3" w:rsidP="000325E3" w14:paraId="0C446E53" w14:textId="77777777">
      <w:pPr>
        <w:pStyle w:val="BodyText"/>
        <w:spacing w:before="17" w:line="240" w:lineRule="atLeast"/>
        <w:ind w:left="142"/>
        <w:rPr>
          <w:i/>
          <w:iCs/>
        </w:rPr>
      </w:pPr>
    </w:p>
    <w:p w:rsidR="000325E3" w:rsidP="000325E3" w14:paraId="3849308F" w14:textId="77777777">
      <w:pPr>
        <w:pStyle w:val="ListParagraph"/>
        <w:numPr>
          <w:ilvl w:val="0"/>
          <w:numId w:val="37"/>
        </w:numPr>
        <w:tabs>
          <w:tab w:val="left" w:pos="383"/>
        </w:tabs>
        <w:spacing w:line="240" w:lineRule="atLeast"/>
        <w:ind w:left="141" w:right="342" w:firstLine="0"/>
        <w:rPr>
          <w:sz w:val="18"/>
        </w:rPr>
      </w:pPr>
      <w:r>
        <w:rPr>
          <w:sz w:val="18"/>
        </w:rPr>
        <w:t>Vindt</w:t>
      </w:r>
      <w:r>
        <w:rPr>
          <w:spacing w:val="-2"/>
          <w:sz w:val="18"/>
        </w:rPr>
        <w:t xml:space="preserve"> </w:t>
      </w:r>
      <w:r>
        <w:rPr>
          <w:sz w:val="18"/>
        </w:rPr>
        <w:t>u</w:t>
      </w:r>
      <w:r>
        <w:rPr>
          <w:spacing w:val="-3"/>
          <w:sz w:val="18"/>
        </w:rPr>
        <w:t xml:space="preserve"> </w:t>
      </w:r>
      <w:r>
        <w:rPr>
          <w:sz w:val="18"/>
        </w:rPr>
        <w:t>het</w:t>
      </w:r>
      <w:r>
        <w:rPr>
          <w:spacing w:val="-2"/>
          <w:sz w:val="18"/>
        </w:rPr>
        <w:t xml:space="preserve"> </w:t>
      </w:r>
      <w:r>
        <w:rPr>
          <w:sz w:val="18"/>
        </w:rPr>
        <w:t>gewenst</w:t>
      </w:r>
      <w:r>
        <w:rPr>
          <w:spacing w:val="-3"/>
          <w:sz w:val="18"/>
        </w:rPr>
        <w:t xml:space="preserve"> </w:t>
      </w:r>
      <w:r>
        <w:rPr>
          <w:sz w:val="18"/>
        </w:rPr>
        <w:t>dat</w:t>
      </w:r>
      <w:r>
        <w:rPr>
          <w:spacing w:val="-3"/>
          <w:sz w:val="18"/>
        </w:rPr>
        <w:t xml:space="preserve"> </w:t>
      </w:r>
      <w:r>
        <w:rPr>
          <w:sz w:val="18"/>
        </w:rPr>
        <w:t>een</w:t>
      </w:r>
      <w:r>
        <w:rPr>
          <w:spacing w:val="-3"/>
          <w:sz w:val="18"/>
        </w:rPr>
        <w:t xml:space="preserve"> </w:t>
      </w:r>
      <w:r>
        <w:rPr>
          <w:sz w:val="18"/>
        </w:rPr>
        <w:t>interimmer</w:t>
      </w:r>
      <w:r>
        <w:rPr>
          <w:spacing w:val="-2"/>
          <w:sz w:val="18"/>
        </w:rPr>
        <w:t xml:space="preserve"> </w:t>
      </w:r>
      <w:r>
        <w:rPr>
          <w:sz w:val="18"/>
        </w:rPr>
        <w:t>voor</w:t>
      </w:r>
      <w:r>
        <w:rPr>
          <w:spacing w:val="-2"/>
          <w:sz w:val="18"/>
        </w:rPr>
        <w:t xml:space="preserve"> </w:t>
      </w:r>
      <w:r>
        <w:rPr>
          <w:sz w:val="18"/>
        </w:rPr>
        <w:t>een</w:t>
      </w:r>
      <w:r>
        <w:rPr>
          <w:spacing w:val="-3"/>
          <w:sz w:val="18"/>
        </w:rPr>
        <w:t xml:space="preserve"> </w:t>
      </w:r>
      <w:r>
        <w:rPr>
          <w:sz w:val="18"/>
        </w:rPr>
        <w:t>periode</w:t>
      </w:r>
      <w:r>
        <w:rPr>
          <w:spacing w:val="-2"/>
          <w:sz w:val="18"/>
        </w:rPr>
        <w:t xml:space="preserve"> </w:t>
      </w:r>
      <w:r>
        <w:rPr>
          <w:sz w:val="18"/>
        </w:rPr>
        <w:t>van</w:t>
      </w:r>
      <w:r>
        <w:rPr>
          <w:spacing w:val="-3"/>
          <w:sz w:val="18"/>
        </w:rPr>
        <w:t xml:space="preserve"> </w:t>
      </w:r>
      <w:r>
        <w:rPr>
          <w:sz w:val="18"/>
        </w:rPr>
        <w:t>drie</w:t>
      </w:r>
      <w:r>
        <w:rPr>
          <w:spacing w:val="-3"/>
          <w:sz w:val="18"/>
        </w:rPr>
        <w:t xml:space="preserve"> </w:t>
      </w:r>
      <w:r>
        <w:rPr>
          <w:sz w:val="18"/>
        </w:rPr>
        <w:t>jaar</w:t>
      </w:r>
      <w:r>
        <w:rPr>
          <w:spacing w:val="-2"/>
          <w:sz w:val="18"/>
        </w:rPr>
        <w:t xml:space="preserve"> </w:t>
      </w:r>
      <w:r>
        <w:rPr>
          <w:sz w:val="18"/>
        </w:rPr>
        <w:t>wordt</w:t>
      </w:r>
      <w:r>
        <w:rPr>
          <w:spacing w:val="-3"/>
          <w:sz w:val="18"/>
        </w:rPr>
        <w:t xml:space="preserve"> </w:t>
      </w:r>
      <w:r>
        <w:rPr>
          <w:sz w:val="18"/>
        </w:rPr>
        <w:t>aangesteld</w:t>
      </w:r>
      <w:r>
        <w:rPr>
          <w:spacing w:val="-2"/>
          <w:sz w:val="18"/>
        </w:rPr>
        <w:t xml:space="preserve"> </w:t>
      </w:r>
      <w:r>
        <w:rPr>
          <w:sz w:val="18"/>
        </w:rPr>
        <w:t>met een salaris hoger dan de in de WNT gestelde norm?</w:t>
      </w:r>
    </w:p>
    <w:p w:rsidR="000325E3" w:rsidP="000325E3" w14:paraId="6AD89F96" w14:textId="77777777">
      <w:pPr>
        <w:pStyle w:val="ListParagraph"/>
        <w:tabs>
          <w:tab w:val="left" w:pos="383"/>
        </w:tabs>
        <w:spacing w:line="240" w:lineRule="atLeast"/>
        <w:ind w:right="342"/>
        <w:rPr>
          <w:sz w:val="18"/>
        </w:rPr>
      </w:pPr>
    </w:p>
    <w:p w:rsidRPr="00B87134" w:rsidR="000325E3" w:rsidP="000325E3" w14:paraId="136F1BD4" w14:textId="77777777">
      <w:pPr>
        <w:pStyle w:val="BodyText"/>
        <w:spacing w:before="1" w:line="240" w:lineRule="atLeast"/>
        <w:ind w:right="415"/>
        <w:rPr>
          <w:i/>
          <w:iCs/>
        </w:rPr>
      </w:pPr>
      <w:r w:rsidRPr="00B87134">
        <w:rPr>
          <w:i/>
          <w:iCs/>
        </w:rPr>
        <w:t>De WNT staat in de eerste twaalf kalendermaanden van functievervulling als leidinggevende topfunctionaris zonder dienstbetrekking een hoger maximum toe dan het algemeen bezoldigingsmaximum van artikel 2.3 WNT</w:t>
      </w:r>
      <w:r w:rsidRPr="00913FA7">
        <w:rPr>
          <w:i/>
          <w:iCs/>
        </w:rPr>
        <w:t xml:space="preserve">. </w:t>
      </w:r>
      <w:r w:rsidRPr="00FA6232">
        <w:rPr>
          <w:i/>
          <w:iCs/>
        </w:rPr>
        <w:t>Hier is voor gekozen zodat een instelling met een urgente vervangingsvraag of bij behoefte aan specialistische kennis een geschikte kandidaat kan werven. Daarnaast biedt het hogere bezoldigingsmaximum voor een jaar compensatie aan de topfunctionaris voor de (financiële) risico’s die samenhangen met de veelal flexibele en kortdurende opdrachten.</w:t>
      </w:r>
      <w:r w:rsidRPr="00B87134">
        <w:rPr>
          <w:i/>
          <w:iCs/>
        </w:rPr>
        <w:t xml:space="preserve"> Vanaf de dertiende kalendermaand van de functievervulling</w:t>
      </w:r>
      <w:r>
        <w:rPr>
          <w:i/>
          <w:iCs/>
        </w:rPr>
        <w:t xml:space="preserve"> </w:t>
      </w:r>
      <w:r w:rsidRPr="00B87134">
        <w:rPr>
          <w:i/>
          <w:iCs/>
        </w:rPr>
        <w:t xml:space="preserve">geldt het algemeen bezoldigingsmaximum. Het is dan ook niet mogelijk om een topfunctionaris zonder dienstbetrekking langer dan één jaar meer bezoldiging te betalen dan het algemeen bezoldigingsmaximum. </w:t>
      </w:r>
    </w:p>
    <w:p w:rsidR="000325E3" w:rsidP="000325E3" w14:paraId="288B61DE" w14:textId="77777777">
      <w:pPr>
        <w:pStyle w:val="ListParagraph"/>
        <w:tabs>
          <w:tab w:val="left" w:pos="383"/>
        </w:tabs>
        <w:spacing w:line="240" w:lineRule="atLeast"/>
        <w:ind w:right="342"/>
        <w:rPr>
          <w:sz w:val="18"/>
        </w:rPr>
      </w:pPr>
    </w:p>
    <w:p w:rsidR="000325E3" w:rsidP="000325E3" w14:paraId="063650ED" w14:textId="77777777">
      <w:pPr>
        <w:pStyle w:val="BodyText"/>
        <w:spacing w:before="17" w:line="240" w:lineRule="atLeast"/>
        <w:ind w:left="0"/>
      </w:pPr>
    </w:p>
    <w:p w:rsidR="000325E3" w:rsidP="000325E3" w14:paraId="6CCB4E51" w14:textId="77777777">
      <w:pPr>
        <w:pStyle w:val="ListParagraph"/>
        <w:numPr>
          <w:ilvl w:val="0"/>
          <w:numId w:val="37"/>
        </w:numPr>
        <w:tabs>
          <w:tab w:val="left" w:pos="383"/>
        </w:tabs>
        <w:spacing w:line="240" w:lineRule="atLeast"/>
        <w:ind w:left="141" w:right="771" w:firstLine="0"/>
        <w:jc w:val="both"/>
        <w:rPr>
          <w:sz w:val="18"/>
        </w:rPr>
      </w:pPr>
      <w:r>
        <w:rPr>
          <w:sz w:val="18"/>
        </w:rPr>
        <w:t>Kunt u aangeven of u de omschreven situatie mogelijk in strijd acht met de huidige Wet Deregulering</w:t>
      </w:r>
      <w:r>
        <w:rPr>
          <w:spacing w:val="-4"/>
          <w:sz w:val="18"/>
        </w:rPr>
        <w:t xml:space="preserve"> </w:t>
      </w:r>
      <w:r>
        <w:rPr>
          <w:sz w:val="18"/>
        </w:rPr>
        <w:t>Beoordeling</w:t>
      </w:r>
      <w:r>
        <w:rPr>
          <w:spacing w:val="-3"/>
          <w:sz w:val="18"/>
        </w:rPr>
        <w:t xml:space="preserve"> </w:t>
      </w:r>
      <w:r>
        <w:rPr>
          <w:sz w:val="18"/>
        </w:rPr>
        <w:t>Arbeidsrelaties</w:t>
      </w:r>
      <w:r>
        <w:rPr>
          <w:spacing w:val="-3"/>
          <w:sz w:val="18"/>
        </w:rPr>
        <w:t xml:space="preserve"> </w:t>
      </w:r>
      <w:r>
        <w:rPr>
          <w:sz w:val="18"/>
        </w:rPr>
        <w:t>(DBA)</w:t>
      </w:r>
      <w:r>
        <w:rPr>
          <w:spacing w:val="-4"/>
          <w:sz w:val="18"/>
        </w:rPr>
        <w:t xml:space="preserve"> </w:t>
      </w:r>
      <w:r>
        <w:rPr>
          <w:sz w:val="18"/>
        </w:rPr>
        <w:t>en</w:t>
      </w:r>
      <w:r>
        <w:rPr>
          <w:spacing w:val="-4"/>
          <w:sz w:val="18"/>
        </w:rPr>
        <w:t xml:space="preserve"> </w:t>
      </w:r>
      <w:r>
        <w:rPr>
          <w:sz w:val="18"/>
        </w:rPr>
        <w:t>met</w:t>
      </w:r>
      <w:r>
        <w:rPr>
          <w:spacing w:val="-4"/>
          <w:sz w:val="18"/>
        </w:rPr>
        <w:t xml:space="preserve"> </w:t>
      </w:r>
      <w:r>
        <w:rPr>
          <w:sz w:val="18"/>
        </w:rPr>
        <w:t>het</w:t>
      </w:r>
      <w:r>
        <w:rPr>
          <w:spacing w:val="-3"/>
          <w:sz w:val="18"/>
        </w:rPr>
        <w:t xml:space="preserve"> </w:t>
      </w:r>
      <w:r>
        <w:rPr>
          <w:sz w:val="18"/>
        </w:rPr>
        <w:t>door</w:t>
      </w:r>
      <w:r>
        <w:rPr>
          <w:spacing w:val="-3"/>
          <w:sz w:val="18"/>
        </w:rPr>
        <w:t xml:space="preserve"> </w:t>
      </w:r>
      <w:r>
        <w:rPr>
          <w:sz w:val="18"/>
        </w:rPr>
        <w:t>u</w:t>
      </w:r>
      <w:r>
        <w:rPr>
          <w:spacing w:val="-4"/>
          <w:sz w:val="18"/>
        </w:rPr>
        <w:t xml:space="preserve"> </w:t>
      </w:r>
      <w:r>
        <w:rPr>
          <w:sz w:val="18"/>
        </w:rPr>
        <w:t>ingediende</w:t>
      </w:r>
      <w:r>
        <w:rPr>
          <w:spacing w:val="-4"/>
          <w:sz w:val="18"/>
        </w:rPr>
        <w:t xml:space="preserve"> </w:t>
      </w:r>
      <w:r>
        <w:rPr>
          <w:sz w:val="18"/>
        </w:rPr>
        <w:t>Wetsvoorstel Verduidelijking beoordeling arbeidsrelaties en rechtsvermoeden (</w:t>
      </w:r>
      <w:r>
        <w:rPr>
          <w:sz w:val="18"/>
        </w:rPr>
        <w:t>Vbar</w:t>
      </w:r>
      <w:r>
        <w:rPr>
          <w:sz w:val="18"/>
        </w:rPr>
        <w:t>)?</w:t>
      </w:r>
    </w:p>
    <w:p w:rsidR="000325E3" w:rsidP="000325E3" w14:paraId="4E88586F" w14:textId="77777777">
      <w:pPr>
        <w:pStyle w:val="BodyText"/>
        <w:spacing w:before="17" w:line="240" w:lineRule="atLeast"/>
        <w:ind w:left="0"/>
      </w:pPr>
    </w:p>
    <w:p w:rsidRPr="00B87134" w:rsidR="000325E3" w:rsidP="000325E3" w14:paraId="5FB58073" w14:textId="77777777">
      <w:pPr>
        <w:pStyle w:val="BodyText"/>
        <w:spacing w:before="1" w:line="240" w:lineRule="atLeast"/>
        <w:ind w:right="415"/>
        <w:rPr>
          <w:i/>
          <w:iCs/>
        </w:rPr>
      </w:pPr>
      <w:r w:rsidRPr="00B87134">
        <w:rPr>
          <w:i/>
          <w:iCs/>
        </w:rPr>
        <w:t xml:space="preserve">Ik ga ervan uit dat u met uw vraag bedoelt of er sprake is van een arbeidsovereenkomst, terwijl contractpartijen een overeenkomst van opdracht zijn aangegaan. Of in deze situatie sprake is van een arbeidsovereenkomst, </w:t>
      </w:r>
      <w:r>
        <w:rPr>
          <w:i/>
          <w:iCs/>
        </w:rPr>
        <w:t>wordt</w:t>
      </w:r>
      <w:r w:rsidRPr="00B87134">
        <w:rPr>
          <w:i/>
          <w:iCs/>
        </w:rPr>
        <w:t xml:space="preserve"> beoordeeld op basis van de bestaande wet- en regelgeving en jurisprudentie. Ook bij inhuur van </w:t>
      </w:r>
      <w:r w:rsidRPr="00B87134">
        <w:rPr>
          <w:i/>
          <w:iCs/>
        </w:rPr>
        <w:t>interimmers</w:t>
      </w:r>
      <w:r w:rsidRPr="00B87134">
        <w:rPr>
          <w:i/>
          <w:iCs/>
        </w:rPr>
        <w:t xml:space="preserve"> moet worden getoetst aan de criteria van artikel 7:610 van het Burgerlijk Wetboek, te weten arbeid, loon en gezag. Dit is zowel onder de huidige wetgeving het geval als ook onder de Wet </w:t>
      </w:r>
      <w:r w:rsidRPr="00B87134">
        <w:rPr>
          <w:i/>
          <w:iCs/>
        </w:rPr>
        <w:t>Vbar</w:t>
      </w:r>
      <w:r w:rsidRPr="00B87134">
        <w:rPr>
          <w:i/>
          <w:iCs/>
        </w:rPr>
        <w:t xml:space="preserve"> (als deze in huidige vorm in werking treedt). Hierbij geldt dat er gekeken moet worden naar alle feiten en omstandigheden in onderling verband. Het is op basis van de in het artikel geschetste omstandigheden en daarmee zonder alle feiten te kennen niet mogelijk een uitspraak te doen of er mogelijk sprake is van schijnzelfstandigheid. </w:t>
      </w:r>
    </w:p>
    <w:p w:rsidR="000325E3" w:rsidP="000325E3" w14:paraId="510DABB8" w14:textId="77777777">
      <w:pPr>
        <w:pStyle w:val="BodyText"/>
        <w:spacing w:before="17" w:line="240" w:lineRule="atLeast"/>
        <w:ind w:left="0"/>
      </w:pPr>
    </w:p>
    <w:p w:rsidR="000325E3" w:rsidP="000325E3" w14:paraId="148199EC" w14:textId="77777777">
      <w:pPr>
        <w:pStyle w:val="ListParagraph"/>
        <w:numPr>
          <w:ilvl w:val="0"/>
          <w:numId w:val="37"/>
        </w:numPr>
        <w:tabs>
          <w:tab w:val="left" w:pos="383"/>
        </w:tabs>
        <w:spacing w:line="240" w:lineRule="atLeast"/>
        <w:ind w:left="141" w:right="92" w:firstLine="0"/>
        <w:rPr>
          <w:sz w:val="18"/>
        </w:rPr>
      </w:pPr>
      <w:r>
        <w:rPr>
          <w:sz w:val="18"/>
        </w:rPr>
        <w:t>Welke</w:t>
      </w:r>
      <w:r>
        <w:rPr>
          <w:spacing w:val="-3"/>
          <w:sz w:val="18"/>
        </w:rPr>
        <w:t xml:space="preserve"> </w:t>
      </w:r>
      <w:r>
        <w:rPr>
          <w:sz w:val="18"/>
        </w:rPr>
        <w:t>ruimte</w:t>
      </w:r>
      <w:r>
        <w:rPr>
          <w:spacing w:val="-3"/>
          <w:sz w:val="18"/>
        </w:rPr>
        <w:t xml:space="preserve"> </w:t>
      </w:r>
      <w:r>
        <w:rPr>
          <w:sz w:val="18"/>
        </w:rPr>
        <w:t>biedt</w:t>
      </w:r>
      <w:r>
        <w:rPr>
          <w:spacing w:val="-2"/>
          <w:sz w:val="18"/>
        </w:rPr>
        <w:t xml:space="preserve"> </w:t>
      </w:r>
      <w:r>
        <w:rPr>
          <w:sz w:val="18"/>
        </w:rPr>
        <w:t>de</w:t>
      </w:r>
      <w:r>
        <w:rPr>
          <w:spacing w:val="-3"/>
          <w:sz w:val="18"/>
        </w:rPr>
        <w:t xml:space="preserve"> </w:t>
      </w:r>
      <w:r>
        <w:rPr>
          <w:sz w:val="18"/>
        </w:rPr>
        <w:t>WNT</w:t>
      </w:r>
      <w:r>
        <w:rPr>
          <w:spacing w:val="-2"/>
          <w:sz w:val="18"/>
        </w:rPr>
        <w:t xml:space="preserve"> </w:t>
      </w:r>
      <w:r>
        <w:rPr>
          <w:sz w:val="18"/>
        </w:rPr>
        <w:t>nu</w:t>
      </w:r>
      <w:r>
        <w:rPr>
          <w:spacing w:val="-2"/>
          <w:sz w:val="18"/>
        </w:rPr>
        <w:t xml:space="preserve"> </w:t>
      </w:r>
      <w:r>
        <w:rPr>
          <w:sz w:val="18"/>
        </w:rPr>
        <w:t>om</w:t>
      </w:r>
      <w:r>
        <w:rPr>
          <w:spacing w:val="-3"/>
          <w:sz w:val="18"/>
        </w:rPr>
        <w:t xml:space="preserve"> </w:t>
      </w:r>
      <w:r>
        <w:rPr>
          <w:sz w:val="18"/>
        </w:rPr>
        <w:t>meerdere</w:t>
      </w:r>
      <w:r>
        <w:rPr>
          <w:spacing w:val="-3"/>
          <w:sz w:val="18"/>
        </w:rPr>
        <w:t xml:space="preserve"> </w:t>
      </w:r>
      <w:r>
        <w:rPr>
          <w:sz w:val="18"/>
        </w:rPr>
        <w:t>fulltime</w:t>
      </w:r>
      <w:r>
        <w:rPr>
          <w:spacing w:val="-3"/>
          <w:sz w:val="18"/>
        </w:rPr>
        <w:t xml:space="preserve"> </w:t>
      </w:r>
      <w:r>
        <w:rPr>
          <w:sz w:val="18"/>
        </w:rPr>
        <w:t>interim-functies</w:t>
      </w:r>
      <w:r>
        <w:rPr>
          <w:spacing w:val="-2"/>
          <w:sz w:val="18"/>
        </w:rPr>
        <w:t xml:space="preserve"> </w:t>
      </w:r>
      <w:r>
        <w:rPr>
          <w:sz w:val="18"/>
        </w:rPr>
        <w:t>te</w:t>
      </w:r>
      <w:r>
        <w:rPr>
          <w:spacing w:val="-3"/>
          <w:sz w:val="18"/>
        </w:rPr>
        <w:t xml:space="preserve"> </w:t>
      </w:r>
      <w:r>
        <w:rPr>
          <w:sz w:val="18"/>
        </w:rPr>
        <w:t>combineren</w:t>
      </w:r>
      <w:r>
        <w:rPr>
          <w:spacing w:val="-2"/>
          <w:sz w:val="18"/>
        </w:rPr>
        <w:t xml:space="preserve"> </w:t>
      </w:r>
      <w:r>
        <w:rPr>
          <w:sz w:val="18"/>
        </w:rPr>
        <w:t>en</w:t>
      </w:r>
      <w:r>
        <w:rPr>
          <w:spacing w:val="-2"/>
          <w:sz w:val="18"/>
        </w:rPr>
        <w:t xml:space="preserve"> </w:t>
      </w:r>
      <w:r>
        <w:rPr>
          <w:sz w:val="18"/>
        </w:rPr>
        <w:t>waarom staat de wet dit toe? Kunt u dit toelichten?</w:t>
      </w:r>
    </w:p>
    <w:p w:rsidR="000325E3" w:rsidP="000325E3" w14:paraId="4AFAB1AC" w14:textId="77777777">
      <w:pPr>
        <w:tabs>
          <w:tab w:val="left" w:pos="383"/>
        </w:tabs>
        <w:ind w:right="92"/>
      </w:pPr>
    </w:p>
    <w:p w:rsidRPr="00B87134" w:rsidR="000325E3" w:rsidP="000325E3" w14:paraId="0E7F0381" w14:textId="77777777">
      <w:pPr>
        <w:pStyle w:val="BodyText"/>
        <w:spacing w:before="1" w:line="240" w:lineRule="atLeast"/>
        <w:ind w:right="415"/>
        <w:rPr>
          <w:i/>
          <w:iCs/>
        </w:rPr>
      </w:pPr>
      <w:r w:rsidRPr="00B87134">
        <w:rPr>
          <w:i/>
          <w:iCs/>
        </w:rPr>
        <w:t xml:space="preserve">Zie antwoord op vraag 2.  Bij de invoering van de anticumulatiebepaling waren alleen gevallen bekend waarin een leidinggevende topfunctionaris in </w:t>
      </w:r>
      <w:r w:rsidRPr="00B87134">
        <w:rPr>
          <w:i/>
          <w:iCs/>
        </w:rPr>
        <w:t xml:space="preserve">dienstbetrekking twee of meer functies naast elkaar bij twee of meer WNT-instellingen vervulde. Er waren op dat moment geen gevallen bekend van dergelijke samenloop bij </w:t>
      </w:r>
      <w:r w:rsidRPr="00B87134">
        <w:rPr>
          <w:i/>
          <w:iCs/>
        </w:rPr>
        <w:t>interimmers</w:t>
      </w:r>
      <w:r w:rsidRPr="00B87134">
        <w:rPr>
          <w:i/>
          <w:iCs/>
        </w:rPr>
        <w:t xml:space="preserve">. Dat heeft waarschijnlijk een rol gespeeld bij de invulling en afbakening van de anticumulatiebepaling. </w:t>
      </w:r>
    </w:p>
    <w:p w:rsidR="000325E3" w:rsidP="000325E3" w14:paraId="39B6348B" w14:textId="77777777">
      <w:pPr>
        <w:pStyle w:val="BodyText"/>
        <w:spacing w:before="16" w:line="240" w:lineRule="atLeast"/>
        <w:ind w:left="0"/>
      </w:pPr>
    </w:p>
    <w:p w:rsidR="000325E3" w:rsidP="000325E3" w14:paraId="1E0A99AE" w14:textId="77777777">
      <w:pPr>
        <w:pStyle w:val="ListParagraph"/>
        <w:numPr>
          <w:ilvl w:val="0"/>
          <w:numId w:val="37"/>
        </w:numPr>
        <w:tabs>
          <w:tab w:val="left" w:pos="383"/>
        </w:tabs>
        <w:spacing w:before="1" w:line="240" w:lineRule="atLeast"/>
        <w:ind w:left="141" w:right="312" w:firstLine="0"/>
        <w:rPr>
          <w:sz w:val="18"/>
        </w:rPr>
      </w:pPr>
      <w:r>
        <w:rPr>
          <w:sz w:val="18"/>
        </w:rPr>
        <w:t>Welke</w:t>
      </w:r>
      <w:r>
        <w:rPr>
          <w:spacing w:val="-3"/>
          <w:sz w:val="18"/>
        </w:rPr>
        <w:t xml:space="preserve"> </w:t>
      </w:r>
      <w:r>
        <w:rPr>
          <w:sz w:val="18"/>
        </w:rPr>
        <w:t>mogelijkheden</w:t>
      </w:r>
      <w:r>
        <w:rPr>
          <w:spacing w:val="-2"/>
          <w:sz w:val="18"/>
        </w:rPr>
        <w:t xml:space="preserve"> </w:t>
      </w:r>
      <w:r>
        <w:rPr>
          <w:sz w:val="18"/>
        </w:rPr>
        <w:t>ziet</w:t>
      </w:r>
      <w:r>
        <w:rPr>
          <w:spacing w:val="-2"/>
          <w:sz w:val="18"/>
        </w:rPr>
        <w:t xml:space="preserve"> </w:t>
      </w:r>
      <w:r>
        <w:rPr>
          <w:sz w:val="18"/>
        </w:rPr>
        <w:t>u</w:t>
      </w:r>
      <w:r>
        <w:rPr>
          <w:spacing w:val="-3"/>
          <w:sz w:val="18"/>
        </w:rPr>
        <w:t xml:space="preserve"> </w:t>
      </w:r>
      <w:r>
        <w:rPr>
          <w:sz w:val="18"/>
        </w:rPr>
        <w:t>om</w:t>
      </w:r>
      <w:r>
        <w:rPr>
          <w:spacing w:val="-3"/>
          <w:sz w:val="18"/>
        </w:rPr>
        <w:t xml:space="preserve"> </w:t>
      </w:r>
      <w:r>
        <w:rPr>
          <w:sz w:val="18"/>
        </w:rPr>
        <w:t>dit</w:t>
      </w:r>
      <w:r>
        <w:rPr>
          <w:spacing w:val="-2"/>
          <w:sz w:val="18"/>
        </w:rPr>
        <w:t xml:space="preserve"> </w:t>
      </w:r>
      <w:r>
        <w:rPr>
          <w:sz w:val="18"/>
        </w:rPr>
        <w:t>soort</w:t>
      </w:r>
      <w:r>
        <w:rPr>
          <w:spacing w:val="-2"/>
          <w:sz w:val="18"/>
        </w:rPr>
        <w:t xml:space="preserve"> </w:t>
      </w:r>
      <w:r>
        <w:rPr>
          <w:sz w:val="18"/>
        </w:rPr>
        <w:t>constructies</w:t>
      </w:r>
      <w:r>
        <w:rPr>
          <w:spacing w:val="-2"/>
          <w:sz w:val="18"/>
        </w:rPr>
        <w:t xml:space="preserve"> </w:t>
      </w:r>
      <w:r>
        <w:rPr>
          <w:sz w:val="18"/>
        </w:rPr>
        <w:t>in</w:t>
      </w:r>
      <w:r>
        <w:rPr>
          <w:spacing w:val="-2"/>
          <w:sz w:val="18"/>
        </w:rPr>
        <w:t xml:space="preserve"> </w:t>
      </w:r>
      <w:r>
        <w:rPr>
          <w:sz w:val="18"/>
        </w:rPr>
        <w:t>de</w:t>
      </w:r>
      <w:r>
        <w:rPr>
          <w:spacing w:val="-3"/>
          <w:sz w:val="18"/>
        </w:rPr>
        <w:t xml:space="preserve"> </w:t>
      </w:r>
      <w:r>
        <w:rPr>
          <w:sz w:val="18"/>
        </w:rPr>
        <w:t>toekomst</w:t>
      </w:r>
      <w:r>
        <w:rPr>
          <w:spacing w:val="-2"/>
          <w:sz w:val="18"/>
        </w:rPr>
        <w:t xml:space="preserve"> </w:t>
      </w:r>
      <w:r>
        <w:rPr>
          <w:sz w:val="18"/>
        </w:rPr>
        <w:t>tegen</w:t>
      </w:r>
      <w:r>
        <w:rPr>
          <w:spacing w:val="-2"/>
          <w:sz w:val="18"/>
        </w:rPr>
        <w:t xml:space="preserve"> </w:t>
      </w:r>
      <w:r>
        <w:rPr>
          <w:sz w:val="18"/>
        </w:rPr>
        <w:t>te</w:t>
      </w:r>
      <w:r>
        <w:rPr>
          <w:spacing w:val="-3"/>
          <w:sz w:val="18"/>
        </w:rPr>
        <w:t xml:space="preserve"> </w:t>
      </w:r>
      <w:r>
        <w:rPr>
          <w:sz w:val="18"/>
        </w:rPr>
        <w:t>gaan</w:t>
      </w:r>
      <w:r>
        <w:rPr>
          <w:spacing w:val="-3"/>
          <w:sz w:val="18"/>
        </w:rPr>
        <w:t xml:space="preserve"> </w:t>
      </w:r>
      <w:r>
        <w:rPr>
          <w:sz w:val="18"/>
        </w:rPr>
        <w:t>en</w:t>
      </w:r>
      <w:r>
        <w:rPr>
          <w:spacing w:val="-2"/>
          <w:sz w:val="18"/>
        </w:rPr>
        <w:t xml:space="preserve"> </w:t>
      </w:r>
      <w:r>
        <w:rPr>
          <w:sz w:val="18"/>
        </w:rPr>
        <w:t>is</w:t>
      </w:r>
      <w:r>
        <w:rPr>
          <w:spacing w:val="-2"/>
          <w:sz w:val="18"/>
        </w:rPr>
        <w:t xml:space="preserve"> </w:t>
      </w:r>
      <w:r>
        <w:rPr>
          <w:sz w:val="18"/>
        </w:rPr>
        <w:t xml:space="preserve">daar nieuwe wet- en/of regelgeving voor nodig? Zo ja, welke aanpassing in </w:t>
      </w:r>
      <w:r>
        <w:rPr>
          <w:sz w:val="18"/>
        </w:rPr>
        <w:t>wet</w:t>
      </w:r>
      <w:r>
        <w:rPr>
          <w:sz w:val="18"/>
        </w:rPr>
        <w:t xml:space="preserve"> en/of regelgeving is hiervoor nodig?</w:t>
      </w:r>
    </w:p>
    <w:p w:rsidR="000325E3" w:rsidP="000325E3" w14:paraId="17B6723E" w14:textId="77777777">
      <w:pPr>
        <w:tabs>
          <w:tab w:val="left" w:pos="383"/>
        </w:tabs>
        <w:spacing w:before="1"/>
        <w:ind w:right="312"/>
      </w:pPr>
    </w:p>
    <w:p w:rsidRPr="00B87134" w:rsidR="000325E3" w:rsidP="000325E3" w14:paraId="4D4979AF" w14:textId="77777777">
      <w:pPr>
        <w:spacing w:before="1"/>
        <w:ind w:right="312" w:firstLine="141"/>
        <w:rPr>
          <w:i/>
          <w:iCs/>
        </w:rPr>
      </w:pPr>
      <w:r w:rsidRPr="00B87134">
        <w:rPr>
          <w:i/>
          <w:iCs/>
        </w:rPr>
        <w:t>Zie het antwoord op vraag 2 en 4.</w:t>
      </w:r>
    </w:p>
    <w:p w:rsidR="000325E3" w:rsidP="000325E3" w14:paraId="16CDFB27" w14:textId="77777777">
      <w:pPr>
        <w:pStyle w:val="BodyText"/>
        <w:spacing w:before="16" w:line="240" w:lineRule="atLeast"/>
        <w:ind w:left="0"/>
      </w:pPr>
    </w:p>
    <w:p w:rsidR="000325E3" w:rsidP="000325E3" w14:paraId="7728D311" w14:textId="77777777">
      <w:pPr>
        <w:pStyle w:val="ListParagraph"/>
        <w:numPr>
          <w:ilvl w:val="0"/>
          <w:numId w:val="37"/>
        </w:numPr>
        <w:tabs>
          <w:tab w:val="left" w:pos="383"/>
        </w:tabs>
        <w:spacing w:line="240" w:lineRule="atLeast"/>
        <w:ind w:left="141" w:right="490" w:firstLine="0"/>
        <w:rPr>
          <w:sz w:val="18"/>
        </w:rPr>
      </w:pPr>
      <w:r>
        <w:rPr>
          <w:sz w:val="18"/>
        </w:rPr>
        <w:t>Bent u bereid, gezien de brede steun in de Kamer om maatregelen te nemen tegen bovengenoemde</w:t>
      </w:r>
      <w:r>
        <w:rPr>
          <w:spacing w:val="-3"/>
          <w:sz w:val="18"/>
        </w:rPr>
        <w:t xml:space="preserve"> </w:t>
      </w:r>
      <w:r>
        <w:rPr>
          <w:sz w:val="18"/>
        </w:rPr>
        <w:t>constructies,</w:t>
      </w:r>
      <w:r>
        <w:rPr>
          <w:spacing w:val="-3"/>
          <w:sz w:val="18"/>
        </w:rPr>
        <w:t xml:space="preserve"> </w:t>
      </w:r>
      <w:r>
        <w:rPr>
          <w:sz w:val="18"/>
        </w:rPr>
        <w:t>een</w:t>
      </w:r>
      <w:r>
        <w:rPr>
          <w:spacing w:val="-3"/>
          <w:sz w:val="18"/>
        </w:rPr>
        <w:t xml:space="preserve"> </w:t>
      </w:r>
      <w:r>
        <w:rPr>
          <w:sz w:val="18"/>
        </w:rPr>
        <w:t>voorstel</w:t>
      </w:r>
      <w:r>
        <w:rPr>
          <w:spacing w:val="-2"/>
          <w:sz w:val="18"/>
        </w:rPr>
        <w:t xml:space="preserve"> </w:t>
      </w:r>
      <w:r>
        <w:rPr>
          <w:sz w:val="18"/>
        </w:rPr>
        <w:t>aan</w:t>
      </w:r>
      <w:r>
        <w:rPr>
          <w:spacing w:val="-2"/>
          <w:sz w:val="18"/>
        </w:rPr>
        <w:t xml:space="preserve"> </w:t>
      </w:r>
      <w:r>
        <w:rPr>
          <w:sz w:val="18"/>
        </w:rPr>
        <w:t>de</w:t>
      </w:r>
      <w:r>
        <w:rPr>
          <w:spacing w:val="-3"/>
          <w:sz w:val="18"/>
        </w:rPr>
        <w:t xml:space="preserve"> </w:t>
      </w:r>
      <w:r>
        <w:rPr>
          <w:sz w:val="18"/>
        </w:rPr>
        <w:t>Kamer</w:t>
      </w:r>
      <w:r>
        <w:rPr>
          <w:spacing w:val="-3"/>
          <w:sz w:val="18"/>
        </w:rPr>
        <w:t xml:space="preserve"> </w:t>
      </w:r>
      <w:r>
        <w:rPr>
          <w:sz w:val="18"/>
        </w:rPr>
        <w:t>voor</w:t>
      </w:r>
      <w:r>
        <w:rPr>
          <w:spacing w:val="-3"/>
          <w:sz w:val="18"/>
        </w:rPr>
        <w:t xml:space="preserve"> </w:t>
      </w:r>
      <w:r>
        <w:rPr>
          <w:sz w:val="18"/>
        </w:rPr>
        <w:t>te</w:t>
      </w:r>
      <w:r>
        <w:rPr>
          <w:spacing w:val="-3"/>
          <w:sz w:val="18"/>
        </w:rPr>
        <w:t xml:space="preserve"> </w:t>
      </w:r>
      <w:r>
        <w:rPr>
          <w:sz w:val="18"/>
        </w:rPr>
        <w:t>leggen</w:t>
      </w:r>
      <w:r>
        <w:rPr>
          <w:spacing w:val="-2"/>
          <w:sz w:val="18"/>
        </w:rPr>
        <w:t xml:space="preserve"> </w:t>
      </w:r>
      <w:r>
        <w:rPr>
          <w:sz w:val="18"/>
        </w:rPr>
        <w:t>over</w:t>
      </w:r>
      <w:r>
        <w:rPr>
          <w:spacing w:val="-2"/>
          <w:sz w:val="18"/>
        </w:rPr>
        <w:t xml:space="preserve"> </w:t>
      </w:r>
      <w:r>
        <w:rPr>
          <w:sz w:val="18"/>
        </w:rPr>
        <w:t>hoe</w:t>
      </w:r>
      <w:r>
        <w:rPr>
          <w:spacing w:val="-2"/>
          <w:sz w:val="18"/>
        </w:rPr>
        <w:t xml:space="preserve"> </w:t>
      </w:r>
      <w:r>
        <w:rPr>
          <w:sz w:val="18"/>
        </w:rPr>
        <w:t>u</w:t>
      </w:r>
      <w:r>
        <w:rPr>
          <w:spacing w:val="-3"/>
          <w:sz w:val="18"/>
        </w:rPr>
        <w:t xml:space="preserve"> </w:t>
      </w:r>
      <w:r>
        <w:rPr>
          <w:sz w:val="18"/>
        </w:rPr>
        <w:t>dergelijke constructies in de toekomst tegen zal gaan? Zo nee, waarom niet? Zo ja, wanneer?</w:t>
      </w:r>
    </w:p>
    <w:p w:rsidR="000325E3" w:rsidP="000325E3" w14:paraId="74363373" w14:textId="77777777">
      <w:pPr>
        <w:tabs>
          <w:tab w:val="left" w:pos="383"/>
        </w:tabs>
        <w:ind w:right="490"/>
      </w:pPr>
    </w:p>
    <w:p w:rsidRPr="00776FE5" w:rsidR="000325E3" w:rsidP="000325E3" w14:paraId="5E60C1C7" w14:textId="77777777">
      <w:pPr>
        <w:pStyle w:val="BodyText"/>
        <w:spacing w:before="17" w:line="240" w:lineRule="atLeast"/>
        <w:ind w:left="142" w:hanging="1"/>
        <w:rPr>
          <w:i/>
          <w:iCs/>
        </w:rPr>
      </w:pPr>
      <w:r w:rsidRPr="00776FE5">
        <w:rPr>
          <w:i/>
          <w:iCs/>
        </w:rPr>
        <w:t xml:space="preserve">Zie het antwoord op vraag 2 en 4. </w:t>
      </w:r>
    </w:p>
    <w:p w:rsidR="000325E3" w:rsidP="000325E3" w14:paraId="40F6EB00" w14:textId="77777777">
      <w:pPr>
        <w:pStyle w:val="BodyText"/>
        <w:spacing w:before="17" w:line="240" w:lineRule="atLeast"/>
        <w:ind w:left="0"/>
      </w:pPr>
    </w:p>
    <w:p w:rsidR="000325E3" w:rsidP="000325E3" w14:paraId="5BA23491" w14:textId="77777777">
      <w:pPr>
        <w:pStyle w:val="ListParagraph"/>
        <w:numPr>
          <w:ilvl w:val="0"/>
          <w:numId w:val="37"/>
        </w:numPr>
        <w:tabs>
          <w:tab w:val="left" w:pos="497"/>
        </w:tabs>
        <w:spacing w:line="240" w:lineRule="atLeast"/>
        <w:ind w:left="141" w:right="1398" w:firstLine="0"/>
        <w:rPr>
          <w:sz w:val="18"/>
        </w:rPr>
      </w:pPr>
      <w:r>
        <w:rPr>
          <w:sz w:val="18"/>
        </w:rPr>
        <w:t>Bent</w:t>
      </w:r>
      <w:r>
        <w:rPr>
          <w:spacing w:val="-3"/>
          <w:sz w:val="18"/>
        </w:rPr>
        <w:t xml:space="preserve"> </w:t>
      </w:r>
      <w:r>
        <w:rPr>
          <w:sz w:val="18"/>
        </w:rPr>
        <w:t>u</w:t>
      </w:r>
      <w:r>
        <w:rPr>
          <w:spacing w:val="-2"/>
          <w:sz w:val="18"/>
        </w:rPr>
        <w:t xml:space="preserve"> </w:t>
      </w:r>
      <w:r>
        <w:rPr>
          <w:sz w:val="18"/>
        </w:rPr>
        <w:t>bereid</w:t>
      </w:r>
      <w:r>
        <w:rPr>
          <w:spacing w:val="-2"/>
          <w:sz w:val="18"/>
        </w:rPr>
        <w:t xml:space="preserve"> </w:t>
      </w:r>
      <w:r>
        <w:rPr>
          <w:sz w:val="18"/>
        </w:rPr>
        <w:t>om</w:t>
      </w:r>
      <w:r>
        <w:rPr>
          <w:spacing w:val="-3"/>
          <w:sz w:val="18"/>
        </w:rPr>
        <w:t xml:space="preserve"> </w:t>
      </w:r>
      <w:r>
        <w:rPr>
          <w:sz w:val="18"/>
        </w:rPr>
        <w:t>interimmers</w:t>
      </w:r>
      <w:r>
        <w:rPr>
          <w:spacing w:val="-2"/>
          <w:sz w:val="18"/>
        </w:rPr>
        <w:t xml:space="preserve"> </w:t>
      </w:r>
      <w:r>
        <w:rPr>
          <w:sz w:val="18"/>
        </w:rPr>
        <w:t>die</w:t>
      </w:r>
      <w:r>
        <w:rPr>
          <w:spacing w:val="-3"/>
          <w:sz w:val="18"/>
        </w:rPr>
        <w:t xml:space="preserve"> </w:t>
      </w:r>
      <w:r>
        <w:rPr>
          <w:sz w:val="18"/>
        </w:rPr>
        <w:t>werkzaam</w:t>
      </w:r>
      <w:r>
        <w:rPr>
          <w:spacing w:val="-2"/>
          <w:sz w:val="18"/>
        </w:rPr>
        <w:t xml:space="preserve"> </w:t>
      </w:r>
      <w:r>
        <w:rPr>
          <w:sz w:val="18"/>
        </w:rPr>
        <w:t>zijn</w:t>
      </w:r>
      <w:r>
        <w:rPr>
          <w:spacing w:val="-3"/>
          <w:sz w:val="18"/>
        </w:rPr>
        <w:t xml:space="preserve"> </w:t>
      </w:r>
      <w:r>
        <w:rPr>
          <w:sz w:val="18"/>
        </w:rPr>
        <w:t>in</w:t>
      </w:r>
      <w:r>
        <w:rPr>
          <w:spacing w:val="-3"/>
          <w:sz w:val="18"/>
        </w:rPr>
        <w:t xml:space="preserve"> </w:t>
      </w:r>
      <w:r>
        <w:rPr>
          <w:sz w:val="18"/>
        </w:rPr>
        <w:t>de</w:t>
      </w:r>
      <w:r>
        <w:rPr>
          <w:spacing w:val="-3"/>
          <w:sz w:val="18"/>
        </w:rPr>
        <w:t xml:space="preserve"> </w:t>
      </w:r>
      <w:r>
        <w:rPr>
          <w:sz w:val="18"/>
        </w:rPr>
        <w:t>publieke</w:t>
      </w:r>
      <w:r>
        <w:rPr>
          <w:spacing w:val="-2"/>
          <w:sz w:val="18"/>
        </w:rPr>
        <w:t xml:space="preserve"> </w:t>
      </w:r>
      <w:r>
        <w:rPr>
          <w:sz w:val="18"/>
        </w:rPr>
        <w:t>sector</w:t>
      </w:r>
      <w:r>
        <w:rPr>
          <w:spacing w:val="-2"/>
          <w:sz w:val="18"/>
        </w:rPr>
        <w:t xml:space="preserve"> </w:t>
      </w:r>
      <w:r>
        <w:rPr>
          <w:sz w:val="18"/>
        </w:rPr>
        <w:t>onder</w:t>
      </w:r>
      <w:r>
        <w:rPr>
          <w:spacing w:val="-3"/>
          <w:sz w:val="18"/>
        </w:rPr>
        <w:t xml:space="preserve"> </w:t>
      </w:r>
      <w:r>
        <w:rPr>
          <w:sz w:val="18"/>
        </w:rPr>
        <w:t>het beloningsmaximum van de WNT te laten vallen? Zo nee, waarom niet?</w:t>
      </w:r>
    </w:p>
    <w:p w:rsidR="000325E3" w:rsidP="000325E3" w14:paraId="78C78925" w14:textId="77777777">
      <w:pPr>
        <w:tabs>
          <w:tab w:val="left" w:pos="497"/>
        </w:tabs>
        <w:ind w:right="1398"/>
      </w:pPr>
    </w:p>
    <w:p w:rsidRPr="00B87134" w:rsidR="000325E3" w:rsidP="000325E3" w14:paraId="19E554EB" w14:textId="77777777">
      <w:pPr>
        <w:ind w:left="142" w:right="1398"/>
        <w:rPr>
          <w:i/>
          <w:iCs/>
        </w:rPr>
      </w:pPr>
      <w:r w:rsidRPr="00B87134">
        <w:rPr>
          <w:i/>
          <w:iCs/>
        </w:rPr>
        <w:t>Topfunctionarissen zonder dienstbetrekking zijn momenteel al gemaximeerd door de WNT per afzonderlijk dienstverband. Zie verder het antwoord op vraag 4.</w:t>
      </w:r>
    </w:p>
    <w:p w:rsidR="000325E3" w:rsidP="000325E3" w14:paraId="0DF7743F" w14:textId="77777777">
      <w:pPr>
        <w:pStyle w:val="BodyText"/>
        <w:spacing w:before="17" w:line="240" w:lineRule="atLeast"/>
        <w:ind w:left="0"/>
      </w:pPr>
    </w:p>
    <w:p w:rsidR="000325E3" w:rsidP="000325E3" w14:paraId="69334331" w14:textId="77777777">
      <w:pPr>
        <w:pStyle w:val="ListParagraph"/>
        <w:numPr>
          <w:ilvl w:val="0"/>
          <w:numId w:val="37"/>
        </w:numPr>
        <w:tabs>
          <w:tab w:val="left" w:pos="497"/>
        </w:tabs>
        <w:spacing w:line="240" w:lineRule="atLeast"/>
        <w:ind w:left="141" w:right="260" w:firstLine="0"/>
        <w:rPr>
          <w:sz w:val="18"/>
        </w:rPr>
      </w:pPr>
      <w:r>
        <w:rPr>
          <w:sz w:val="18"/>
        </w:rPr>
        <w:t>Op</w:t>
      </w:r>
      <w:r>
        <w:rPr>
          <w:spacing w:val="-4"/>
          <w:sz w:val="18"/>
        </w:rPr>
        <w:t xml:space="preserve"> </w:t>
      </w:r>
      <w:r>
        <w:rPr>
          <w:sz w:val="18"/>
        </w:rPr>
        <w:t>welke</w:t>
      </w:r>
      <w:r>
        <w:rPr>
          <w:spacing w:val="-4"/>
          <w:sz w:val="18"/>
        </w:rPr>
        <w:t xml:space="preserve"> </w:t>
      </w:r>
      <w:r>
        <w:rPr>
          <w:sz w:val="18"/>
        </w:rPr>
        <w:t>manier</w:t>
      </w:r>
      <w:r>
        <w:rPr>
          <w:spacing w:val="-4"/>
          <w:sz w:val="18"/>
        </w:rPr>
        <w:t xml:space="preserve"> </w:t>
      </w:r>
      <w:r>
        <w:rPr>
          <w:sz w:val="18"/>
        </w:rPr>
        <w:t>kan</w:t>
      </w:r>
      <w:r>
        <w:rPr>
          <w:spacing w:val="-4"/>
          <w:sz w:val="18"/>
        </w:rPr>
        <w:t xml:space="preserve"> </w:t>
      </w:r>
      <w:r>
        <w:rPr>
          <w:sz w:val="18"/>
        </w:rPr>
        <w:t>worden</w:t>
      </w:r>
      <w:r>
        <w:rPr>
          <w:spacing w:val="-4"/>
          <w:sz w:val="18"/>
        </w:rPr>
        <w:t xml:space="preserve"> </w:t>
      </w:r>
      <w:r>
        <w:rPr>
          <w:sz w:val="18"/>
        </w:rPr>
        <w:t>gehandhaafd</w:t>
      </w:r>
      <w:r>
        <w:rPr>
          <w:spacing w:val="-3"/>
          <w:sz w:val="18"/>
        </w:rPr>
        <w:t xml:space="preserve"> </w:t>
      </w:r>
      <w:r>
        <w:rPr>
          <w:sz w:val="18"/>
        </w:rPr>
        <w:t>-door</w:t>
      </w:r>
      <w:r>
        <w:rPr>
          <w:spacing w:val="-4"/>
          <w:sz w:val="18"/>
        </w:rPr>
        <w:t xml:space="preserve"> </w:t>
      </w:r>
      <w:r>
        <w:rPr>
          <w:sz w:val="18"/>
        </w:rPr>
        <w:t>bijvoorbeeld</w:t>
      </w:r>
      <w:r>
        <w:rPr>
          <w:spacing w:val="-4"/>
          <w:sz w:val="18"/>
        </w:rPr>
        <w:t xml:space="preserve"> </w:t>
      </w:r>
      <w:r>
        <w:rPr>
          <w:sz w:val="18"/>
        </w:rPr>
        <w:t>de</w:t>
      </w:r>
      <w:r>
        <w:rPr>
          <w:spacing w:val="-3"/>
          <w:sz w:val="18"/>
        </w:rPr>
        <w:t xml:space="preserve"> </w:t>
      </w:r>
      <w:r>
        <w:rPr>
          <w:sz w:val="18"/>
        </w:rPr>
        <w:t>belastingdienst-</w:t>
      </w:r>
      <w:r>
        <w:rPr>
          <w:spacing w:val="-3"/>
          <w:sz w:val="18"/>
        </w:rPr>
        <w:t xml:space="preserve"> </w:t>
      </w:r>
      <w:r>
        <w:rPr>
          <w:sz w:val="18"/>
        </w:rPr>
        <w:t>als</w:t>
      </w:r>
      <w:r>
        <w:rPr>
          <w:spacing w:val="-4"/>
          <w:sz w:val="18"/>
        </w:rPr>
        <w:t xml:space="preserve"> </w:t>
      </w:r>
      <w:r>
        <w:rPr>
          <w:sz w:val="18"/>
        </w:rPr>
        <w:t>iemand bijvoorbeeld in dezelfde functie langer dan een jaar een interim-functie vervult en de werkgever aan te sporen om gewoon iemand in dienst te nemen, zodat de WNT-regels gelden?</w:t>
      </w:r>
    </w:p>
    <w:p w:rsidR="000325E3" w:rsidP="000325E3" w14:paraId="6EA59261" w14:textId="77777777">
      <w:pPr>
        <w:tabs>
          <w:tab w:val="left" w:pos="497"/>
        </w:tabs>
        <w:ind w:right="260"/>
      </w:pPr>
    </w:p>
    <w:p w:rsidRPr="00B87134" w:rsidR="000325E3" w:rsidP="000325E3" w14:paraId="60ED7C70" w14:textId="77777777">
      <w:pPr>
        <w:pStyle w:val="BodyText"/>
        <w:spacing w:before="1" w:line="240" w:lineRule="atLeast"/>
        <w:ind w:right="415"/>
        <w:rPr>
          <w:i/>
          <w:iCs/>
        </w:rPr>
      </w:pPr>
      <w:r w:rsidRPr="00B87134">
        <w:rPr>
          <w:i/>
          <w:iCs/>
        </w:rPr>
        <w:t xml:space="preserve">De Belastingdienst handhaaft op de juiste kwalificatie van de arbeidsrelaties voor de loonheffingen en controleert in dat kader de juistheid van de door de werkgever ingediende loonaangifte. Daarbij beoordeelt de Belastingdienst of de werkende al dan niet werkzaam is op basis van een arbeidsovereenkomst. De Belastingdienst zal naheffingsaanslagen loonheffingen opleggen als hij vaststelt dat er sprake is van een arbeidsovereenkomst, terwijl er geen loonheffingen zijn ingehouden en afgedragen. Het is vervolgens aan de werkgever om te beslissen of hij de werkende in dienst neemt of dat hij de werkzaamheden dusdanig inricht dat deze wel buiten dienstbetrekking verricht kunnen worden. De Belastingdienst is niet de toezichthouder op de WNT-regelgeving. Het toezicht op de WNT wordt uitgeoefend door ambtenaren die daarvoor zijn aangewezen door de voor handhaving verantwoordelijke minister. In het voorliggende geval is dat minister van OCW en het toezicht vindt plaats door de Inspectie van het Onderwijs (voor wat hogeschool </w:t>
      </w:r>
      <w:r w:rsidRPr="00B87134">
        <w:rPr>
          <w:i/>
          <w:iCs/>
        </w:rPr>
        <w:t>Codarts</w:t>
      </w:r>
      <w:r w:rsidRPr="00B87134">
        <w:rPr>
          <w:i/>
          <w:iCs/>
        </w:rPr>
        <w:t xml:space="preserve"> betreft) en het Commissariaat voor de Media (voor wat de publieke omroep NOS betreft).  </w:t>
      </w:r>
    </w:p>
    <w:p w:rsidRPr="00B87134" w:rsidR="000325E3" w:rsidP="000325E3" w14:paraId="11CBAF6E" w14:textId="77777777">
      <w:pPr>
        <w:pStyle w:val="BodyText"/>
        <w:spacing w:before="1" w:line="240" w:lineRule="atLeast"/>
        <w:ind w:right="415"/>
        <w:rPr>
          <w:i/>
          <w:iCs/>
        </w:rPr>
      </w:pPr>
    </w:p>
    <w:p w:rsidRPr="00B87134" w:rsidR="000325E3" w:rsidP="000325E3" w14:paraId="4E15C12A" w14:textId="77777777">
      <w:pPr>
        <w:pStyle w:val="BodyText"/>
        <w:spacing w:before="1" w:line="240" w:lineRule="atLeast"/>
        <w:ind w:right="415"/>
        <w:rPr>
          <w:i/>
          <w:iCs/>
        </w:rPr>
      </w:pPr>
      <w:r w:rsidRPr="00B87134">
        <w:rPr>
          <w:i/>
          <w:iCs/>
        </w:rPr>
        <w:t xml:space="preserve">In de WNT is bepaald dat onder dienstbetrekking wordt verstaan een echte of fictieve dienstbetrekking als bedoeld in de Wet op de loonbelasting 1964. Dus als achteraf blijkt dat partijen de normering anders dan op grond van dienstbetrekking hebben toegepast terwijl sprake was van een dienstbetrekking en de reguliere normering had moeten worden toegepast, heeft dat voor partijen tot gevolg dat de verkeerde WNT-normering is toegepast en dat er mogelijk sprake is van onverschuldigd betaalde bezoldiging. Deze zal moeten worden teruggevorderd door de WNT-instelling en terugbetaald door de topfunctionaris. </w:t>
      </w:r>
    </w:p>
    <w:p w:rsidRPr="00B87134" w:rsidR="000325E3" w:rsidP="000325E3" w14:paraId="33A0368F" w14:textId="77777777">
      <w:pPr>
        <w:tabs>
          <w:tab w:val="left" w:pos="497"/>
        </w:tabs>
        <w:ind w:right="260"/>
      </w:pPr>
    </w:p>
    <w:p w:rsidR="000325E3" w:rsidP="000325E3" w14:paraId="2459DEAC" w14:textId="77777777">
      <w:pPr>
        <w:pStyle w:val="BodyText"/>
        <w:spacing w:before="16" w:line="240" w:lineRule="atLeast"/>
        <w:ind w:left="0"/>
      </w:pPr>
    </w:p>
    <w:p w:rsidR="000325E3" w:rsidP="000325E3" w14:paraId="26C03458" w14:textId="77777777">
      <w:pPr>
        <w:pStyle w:val="BodyText"/>
        <w:spacing w:before="1" w:line="240" w:lineRule="atLeast"/>
        <w:ind w:right="415"/>
        <w:rPr>
          <w:spacing w:val="-2"/>
        </w:rPr>
      </w:pPr>
      <w:r>
        <w:t>1) Website RTL Nieuws, 8 juli 2025, ‘Kamer wil wet aanpassen nu blijkt dat NOS-directeur meerdere</w:t>
      </w:r>
      <w:r>
        <w:rPr>
          <w:spacing w:val="-12"/>
        </w:rPr>
        <w:t xml:space="preserve"> </w:t>
      </w:r>
      <w:r>
        <w:t>banen</w:t>
      </w:r>
      <w:r>
        <w:rPr>
          <w:spacing w:val="-12"/>
        </w:rPr>
        <w:t xml:space="preserve"> </w:t>
      </w:r>
      <w:r>
        <w:t>combineerde’,</w:t>
      </w:r>
      <w:r>
        <w:rPr>
          <w:spacing w:val="-12"/>
        </w:rPr>
        <w:t xml:space="preserve"> </w:t>
      </w:r>
      <w:r>
        <w:t>(</w:t>
      </w:r>
      <w:hyperlink r:id="rId6">
        <w:r>
          <w:rPr>
            <w:color w:val="0463C1"/>
            <w:u w:val="single" w:color="0463C1"/>
          </w:rPr>
          <w:t>https://www.rtl.nl/nieuws/politiek/artikel/5515388/kamer-wil-</w:t>
        </w:r>
      </w:hyperlink>
      <w:r>
        <w:rPr>
          <w:color w:val="0463C1"/>
        </w:rPr>
        <w:t xml:space="preserve"> </w:t>
      </w:r>
      <w:hyperlink r:id="rId6">
        <w:r>
          <w:rPr>
            <w:color w:val="0463C1"/>
            <w:spacing w:val="-2"/>
            <w:u w:val="single" w:color="0463C1"/>
          </w:rPr>
          <w:t>ingrijpen-nadat-</w:t>
        </w:r>
        <w:r>
          <w:rPr>
            <w:color w:val="0463C1"/>
            <w:spacing w:val="-2"/>
            <w:u w:val="single" w:color="0463C1"/>
          </w:rPr>
          <w:t>nos</w:t>
        </w:r>
        <w:r>
          <w:rPr>
            <w:color w:val="0463C1"/>
            <w:spacing w:val="-2"/>
            <w:u w:val="single" w:color="0463C1"/>
          </w:rPr>
          <w:t>-directeur-meerdere-</w:t>
        </w:r>
        <w:r>
          <w:rPr>
            <w:color w:val="0463C1"/>
            <w:spacing w:val="-2"/>
            <w:u w:val="single" w:color="0463C1"/>
          </w:rPr>
          <w:t>banencombineerde</w:t>
        </w:r>
      </w:hyperlink>
      <w:r>
        <w:rPr>
          <w:spacing w:val="-2"/>
        </w:rPr>
        <w:t>)</w:t>
      </w:r>
    </w:p>
    <w:p w:rsidR="000325E3" w:rsidP="000325E3" w14:paraId="36A4CEDD" w14:textId="77777777">
      <w:pPr>
        <w:pStyle w:val="BodyText"/>
        <w:spacing w:before="1" w:line="240" w:lineRule="atLeast"/>
        <w:ind w:right="415"/>
        <w:rPr>
          <w:spacing w:val="-2"/>
        </w:rPr>
      </w:pPr>
    </w:p>
    <w:p w:rsidRPr="00776FE5" w:rsidR="000325E3" w:rsidP="000325E3" w14:paraId="6BA0C548" w14:textId="77777777">
      <w:pPr>
        <w:rPr>
          <w:spacing w:val="-2"/>
        </w:rPr>
      </w:pPr>
      <w:r>
        <w:t xml:space="preserve"> </w:t>
      </w:r>
    </w:p>
    <w:p w:rsidRPr="00ED13AE" w:rsidR="000325E3" w:rsidP="00ED13AE" w14:paraId="11BD428F" w14:textId="77777777"/>
    <w:sectPr>
      <w:headerReference w:type="default" r:id="rId7"/>
      <w:footerReference w:type="default" r:id="rId8"/>
      <w:headerReference w:type="first" r:id="rId9"/>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C4A" w14:paraId="48802845" w14:textId="77777777">
    <w:pPr>
      <w:spacing w:after="1091"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C4A" w14:paraId="25DEE6D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4845"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464845" w14:paraId="6FE5C64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71654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71654F" w14:paraId="2705E0B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C4A" w14:textId="77777777">
                          <w:pPr>
                            <w:pStyle w:val="WitregelW2"/>
                          </w:pPr>
                        </w:p>
                        <w:p w:rsidR="00082C4A" w14:textId="77777777">
                          <w:pPr>
                            <w:pStyle w:val="Kopjereferentiegegevens"/>
                          </w:pPr>
                          <w:r>
                            <w:t>Datum</w:t>
                          </w:r>
                        </w:p>
                        <w:p w:rsidR="0071654F" w14:textId="12937069">
                          <w:pPr>
                            <w:pStyle w:val="Referentiegegevens"/>
                          </w:pPr>
                          <w:r>
                            <w:fldChar w:fldCharType="begin"/>
                          </w:r>
                          <w:r>
                            <w:instrText xml:space="preserve"> DOCPROPERTY  "Datum"  \* MERGEFORMAT </w:instrText>
                          </w:r>
                          <w:r>
                            <w:fldChar w:fldCharType="separate"/>
                          </w:r>
                          <w:r>
                            <w:t>4 september 2025</w:t>
                          </w:r>
                          <w:r>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082C4A" w14:paraId="7F65A75D" w14:textId="77777777">
                    <w:pPr>
                      <w:pStyle w:val="WitregelW2"/>
                    </w:pPr>
                  </w:p>
                  <w:p w:rsidR="00082C4A" w14:paraId="79D2A0C1" w14:textId="77777777">
                    <w:pPr>
                      <w:pStyle w:val="Kopjereferentiegegevens"/>
                    </w:pPr>
                    <w:r>
                      <w:t>Datum</w:t>
                    </w:r>
                  </w:p>
                  <w:p w:rsidR="0071654F" w14:paraId="206E03A0" w14:textId="12937069">
                    <w:pPr>
                      <w:pStyle w:val="Referentiegegevens"/>
                    </w:pPr>
                    <w:r>
                      <w:fldChar w:fldCharType="begin"/>
                    </w:r>
                    <w:r>
                      <w:instrText xml:space="preserve"> DOCPROPERTY  "Datum"  \* MERGEFORMAT </w:instrText>
                    </w:r>
                    <w:r>
                      <w:fldChar w:fldCharType="separate"/>
                    </w:r>
                    <w:r>
                      <w:t>4 september 2025</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4845"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464845" w14:paraId="58DDEA06"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C4A" w14:paraId="44F7B88F"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082C4A" w14:textId="77777777">
                          <w:pPr>
                            <w:spacing w:line="240" w:lineRule="auto"/>
                          </w:pPr>
                          <w:r>
                            <w:rPr>
                              <w:noProof/>
                            </w:rPr>
                            <w:drawing>
                              <wp:inline distT="0" distB="0" distL="0" distR="0">
                                <wp:extent cx="467995" cy="1583865"/>
                                <wp:effectExtent l="0" t="0" r="0" b="0"/>
                                <wp:docPr id="20535040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0535040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082C4A" w14:paraId="2E2BAD3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2C4A" w14:textId="77777777">
                          <w:pPr>
                            <w:spacing w:line="240" w:lineRule="auto"/>
                          </w:pPr>
                          <w:r>
                            <w:rPr>
                              <w:noProof/>
                            </w:rPr>
                            <w:drawing>
                              <wp:inline distT="0" distB="0" distL="0" distR="0">
                                <wp:extent cx="2339975" cy="1582834"/>
                                <wp:effectExtent l="0" t="0" r="0" b="0"/>
                                <wp:docPr id="758999537"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58999537"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082C4A" w14:paraId="35A83D25"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4845" w14:textId="77777777"/>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464845" w14:paraId="05C567B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325E3" w:rsidRPr="00BC4C88" w14:textId="77777777">
                          <w:pPr>
                            <w:rPr>
                              <w:sz w:val="16"/>
                              <w:szCs w:val="16"/>
                            </w:rPr>
                          </w:pPr>
                          <w:r w:rsidRPr="00BC4C88">
                            <w:rPr>
                              <w:sz w:val="16"/>
                              <w:szCs w:val="16"/>
                            </w:rPr>
                            <w:t>&gt; Retouradres Postbus 20011 2500 EA Den Haag</w:t>
                          </w:r>
                        </w:p>
                        <w:p w:rsidR="000325E3" w:rsidRPr="00BC4C88" w14:textId="77777777"/>
                        <w:p w:rsidR="00082C4A" w14:textId="77777777">
                          <w:r>
                            <w:t>Aan de Voorzitter van de Tweede Kamer der Staten-Generaal</w:t>
                          </w:r>
                          <w:r>
                            <w:br/>
                            <w:t>Postbus 20018</w:t>
                          </w:r>
                          <w:r>
                            <w:br/>
                            <w:t>2500 EA Den Haag</w:t>
                          </w:r>
                          <w:r w:rsidR="00464845">
                            <w:br/>
                          </w:r>
                          <w:r w:rsidR="00464845">
                            <w:br/>
                          </w:r>
                          <w:r w:rsidR="00464845">
                            <w:br/>
                          </w:r>
                          <w:r w:rsidR="00464845">
                            <w:br/>
                            <w:t xml:space="preserve"> </w:t>
                          </w:r>
                          <w:r w:rsidR="00464845">
                            <w:br/>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325E3" w:rsidRPr="00BC4C88" w14:paraId="3726B2D3" w14:textId="77777777">
                    <w:pPr>
                      <w:rPr>
                        <w:sz w:val="16"/>
                        <w:szCs w:val="16"/>
                      </w:rPr>
                    </w:pPr>
                    <w:r w:rsidRPr="00BC4C88">
                      <w:rPr>
                        <w:sz w:val="16"/>
                        <w:szCs w:val="16"/>
                      </w:rPr>
                      <w:t>&gt; Retouradres Postbus 20011 2500 EA Den Haag</w:t>
                    </w:r>
                  </w:p>
                  <w:p w:rsidR="000325E3" w:rsidRPr="00BC4C88" w14:paraId="62A70E43" w14:textId="77777777"/>
                  <w:p w:rsidR="00082C4A" w14:paraId="3DDAFBD4" w14:textId="77777777">
                    <w:r>
                      <w:t>Aan de Voorzitter van de Tweede Kamer der Staten-Generaal</w:t>
                    </w:r>
                    <w:r>
                      <w:br/>
                      <w:t>Postbus 20018</w:t>
                    </w:r>
                    <w:r>
                      <w:br/>
                      <w:t>2500 EA Den Haag</w:t>
                    </w:r>
                    <w:r w:rsidR="00464845">
                      <w:br/>
                    </w:r>
                    <w:r w:rsidR="00464845">
                      <w:br/>
                    </w:r>
                    <w:r w:rsidR="00464845">
                      <w:br/>
                    </w:r>
                    <w:r w:rsidR="00464845">
                      <w:br/>
                      <w:t xml:space="preserve"> </w:t>
                    </w:r>
                    <w:r w:rsidR="00464845">
                      <w:br/>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7955925F" w14:textId="77777777">
                            <w:tblPrEx>
                              <w:tblW w:w="0" w:type="auto"/>
                              <w:tblLayout w:type="fixed"/>
                              <w:tblLook w:val="07E0"/>
                            </w:tblPrEx>
                            <w:trPr>
                              <w:trHeight w:val="200"/>
                            </w:trPr>
                            <w:tc>
                              <w:tcPr>
                                <w:tcW w:w="1140" w:type="dxa"/>
                              </w:tcPr>
                              <w:p w:rsidR="00082C4A" w14:textId="77777777"/>
                            </w:tc>
                            <w:tc>
                              <w:tcPr>
                                <w:tcW w:w="5918" w:type="dxa"/>
                              </w:tcPr>
                              <w:p w:rsidR="00082C4A" w14:textId="77777777"/>
                            </w:tc>
                          </w:tr>
                          <w:tr w14:paraId="6873C17D" w14:textId="77777777">
                            <w:tblPrEx>
                              <w:tblW w:w="0" w:type="auto"/>
                              <w:tblLayout w:type="fixed"/>
                              <w:tblLook w:val="07E0"/>
                            </w:tblPrEx>
                            <w:trPr>
                              <w:trHeight w:val="300"/>
                            </w:trPr>
                            <w:tc>
                              <w:tcPr>
                                <w:tcW w:w="1140" w:type="dxa"/>
                              </w:tcPr>
                              <w:p w:rsidR="00082C4A" w14:textId="77777777">
                                <w:r>
                                  <w:t>Datum</w:t>
                                </w:r>
                              </w:p>
                            </w:tc>
                            <w:tc>
                              <w:tcPr>
                                <w:tcW w:w="5918" w:type="dxa"/>
                              </w:tcPr>
                              <w:p w:rsidR="0071654F" w14:textId="2CF5A1F8">
                                <w:pPr>
                                  <w:pStyle w:val="Gegevensdocument"/>
                                </w:pPr>
                                <w:r>
                                  <w:fldChar w:fldCharType="begin"/>
                                </w:r>
                                <w:r>
                                  <w:instrText xml:space="preserve"> DOCPROPERTY  "Datum"  \* MERGEFORMAT </w:instrText>
                                </w:r>
                                <w:r>
                                  <w:fldChar w:fldCharType="separate"/>
                                </w:r>
                                <w:r>
                                  <w:t>4 september 2025</w:t>
                                </w:r>
                                <w:r>
                                  <w:fldChar w:fldCharType="end"/>
                                </w:r>
                              </w:p>
                            </w:tc>
                          </w:tr>
                          <w:tr w14:paraId="62A737D7" w14:textId="77777777">
                            <w:tblPrEx>
                              <w:tblW w:w="0" w:type="auto"/>
                              <w:tblLayout w:type="fixed"/>
                              <w:tblLook w:val="07E0"/>
                            </w:tblPrEx>
                            <w:trPr>
                              <w:trHeight w:val="300"/>
                            </w:trPr>
                            <w:tc>
                              <w:tcPr>
                                <w:tcW w:w="1140" w:type="dxa"/>
                              </w:tcPr>
                              <w:p w:rsidR="00082C4A" w14:textId="77777777">
                                <w:bookmarkStart w:id="0" w:name="_Hlk207896849"/>
                                <w:r>
                                  <w:t>Betreft</w:t>
                                </w:r>
                              </w:p>
                            </w:tc>
                            <w:tc>
                              <w:tcPr>
                                <w:tcW w:w="5918" w:type="dxa"/>
                              </w:tcPr>
                              <w:p w:rsidR="0071654F" w14:textId="2A52BBD8">
                                <w:r>
                                  <w:fldChar w:fldCharType="begin"/>
                                </w:r>
                                <w:r>
                                  <w:instrText xml:space="preserve"> DOCPROPERTY  "Onderwerp"  \* MERGEFORMAT </w:instrText>
                                </w:r>
                                <w:r>
                                  <w:fldChar w:fldCharType="separate"/>
                                </w:r>
                                <w:r>
                                  <w:t xml:space="preserve">Kamervragen van de leden </w:t>
                                </w:r>
                                <w:r>
                                  <w:t>Mohandis</w:t>
                                </w:r>
                                <w:r>
                                  <w:t xml:space="preserve"> en </w:t>
                                </w:r>
                                <w:r>
                                  <w:t>Patijn</w:t>
                                </w:r>
                                <w:r>
                                  <w:t xml:space="preserve"> (beiden PvdA-</w:t>
                                </w:r>
                                <w:r>
                                  <w:t>Groenlinks</w:t>
                                </w:r>
                                <w:r>
                                  <w:t>) over interim-salarissen in de publieke sector</w:t>
                                </w:r>
                                <w:r>
                                  <w:fldChar w:fldCharType="end"/>
                                </w:r>
                              </w:p>
                            </w:tc>
                          </w:tr>
                          <w:bookmarkEnd w:id="0"/>
                          <w:tr w14:paraId="2AAC5D6E" w14:textId="77777777">
                            <w:tblPrEx>
                              <w:tblW w:w="0" w:type="auto"/>
                              <w:tblLayout w:type="fixed"/>
                              <w:tblLook w:val="07E0"/>
                            </w:tblPrEx>
                            <w:trPr>
                              <w:trHeight w:val="200"/>
                            </w:trPr>
                            <w:tc>
                              <w:tcPr>
                                <w:tcW w:w="1140" w:type="dxa"/>
                              </w:tcPr>
                              <w:p w:rsidR="00082C4A" w14:textId="77777777"/>
                            </w:tc>
                            <w:tc>
                              <w:tcPr>
                                <w:tcW w:w="5918" w:type="dxa"/>
                              </w:tcPr>
                              <w:p w:rsidR="00082C4A" w14:textId="77777777"/>
                            </w:tc>
                          </w:tr>
                        </w:tbl>
                        <w:p w:rsidR="00464845"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7955925E" w14:textId="77777777">
                      <w:tblPrEx>
                        <w:tblW w:w="0" w:type="auto"/>
                        <w:tblLayout w:type="fixed"/>
                        <w:tblLook w:val="07E0"/>
                      </w:tblPrEx>
                      <w:trPr>
                        <w:trHeight w:val="200"/>
                      </w:trPr>
                      <w:tc>
                        <w:tcPr>
                          <w:tcW w:w="1140" w:type="dxa"/>
                        </w:tcPr>
                        <w:p w:rsidR="00082C4A" w14:paraId="19D60A97" w14:textId="77777777"/>
                      </w:tc>
                      <w:tc>
                        <w:tcPr>
                          <w:tcW w:w="5918" w:type="dxa"/>
                        </w:tcPr>
                        <w:p w:rsidR="00082C4A" w14:paraId="4360F2F6" w14:textId="77777777"/>
                      </w:tc>
                    </w:tr>
                    <w:tr w14:paraId="6873C17C" w14:textId="77777777">
                      <w:tblPrEx>
                        <w:tblW w:w="0" w:type="auto"/>
                        <w:tblLayout w:type="fixed"/>
                        <w:tblLook w:val="07E0"/>
                      </w:tblPrEx>
                      <w:trPr>
                        <w:trHeight w:val="300"/>
                      </w:trPr>
                      <w:tc>
                        <w:tcPr>
                          <w:tcW w:w="1140" w:type="dxa"/>
                        </w:tcPr>
                        <w:p w:rsidR="00082C4A" w14:paraId="62DD1988" w14:textId="77777777">
                          <w:r>
                            <w:t>Datum</w:t>
                          </w:r>
                        </w:p>
                      </w:tc>
                      <w:tc>
                        <w:tcPr>
                          <w:tcW w:w="5918" w:type="dxa"/>
                        </w:tcPr>
                        <w:p w:rsidR="0071654F" w14:paraId="57295A22" w14:textId="2CF5A1F8">
                          <w:pPr>
                            <w:pStyle w:val="Gegevensdocument"/>
                          </w:pPr>
                          <w:r>
                            <w:fldChar w:fldCharType="begin"/>
                          </w:r>
                          <w:r>
                            <w:instrText xml:space="preserve"> DOCPROPERTY  "Datum"  \* MERGEFORMAT </w:instrText>
                          </w:r>
                          <w:r>
                            <w:fldChar w:fldCharType="separate"/>
                          </w:r>
                          <w:r>
                            <w:t>4 september 2025</w:t>
                          </w:r>
                          <w:r>
                            <w:fldChar w:fldCharType="end"/>
                          </w:r>
                        </w:p>
                      </w:tc>
                    </w:tr>
                    <w:tr w14:paraId="62A737D6" w14:textId="77777777">
                      <w:tblPrEx>
                        <w:tblW w:w="0" w:type="auto"/>
                        <w:tblLayout w:type="fixed"/>
                        <w:tblLook w:val="07E0"/>
                      </w:tblPrEx>
                      <w:trPr>
                        <w:trHeight w:val="300"/>
                      </w:trPr>
                      <w:tc>
                        <w:tcPr>
                          <w:tcW w:w="1140" w:type="dxa"/>
                        </w:tcPr>
                        <w:p w:rsidR="00082C4A" w14:paraId="3BD2AAE8" w14:textId="77777777">
                          <w:bookmarkStart w:id="0" w:name="_Hlk207896849"/>
                          <w:r>
                            <w:t>Betreft</w:t>
                          </w:r>
                        </w:p>
                      </w:tc>
                      <w:tc>
                        <w:tcPr>
                          <w:tcW w:w="5918" w:type="dxa"/>
                        </w:tcPr>
                        <w:p w:rsidR="0071654F" w14:paraId="1BF35F99" w14:textId="2A52BBD8">
                          <w:r>
                            <w:fldChar w:fldCharType="begin"/>
                          </w:r>
                          <w:r>
                            <w:instrText xml:space="preserve"> DOCPROPERTY  "Onderwerp"  \* MERGEFORMAT </w:instrText>
                          </w:r>
                          <w:r>
                            <w:fldChar w:fldCharType="separate"/>
                          </w:r>
                          <w:r>
                            <w:t xml:space="preserve">Kamervragen van de leden </w:t>
                          </w:r>
                          <w:r>
                            <w:t>Mohandis</w:t>
                          </w:r>
                          <w:r>
                            <w:t xml:space="preserve"> en </w:t>
                          </w:r>
                          <w:r>
                            <w:t>Patijn</w:t>
                          </w:r>
                          <w:r>
                            <w:t xml:space="preserve"> (beiden PvdA-</w:t>
                          </w:r>
                          <w:r>
                            <w:t>Groenlinks</w:t>
                          </w:r>
                          <w:r>
                            <w:t>) over interim-salarissen in de publieke sector</w:t>
                          </w:r>
                          <w:r>
                            <w:fldChar w:fldCharType="end"/>
                          </w:r>
                        </w:p>
                      </w:tc>
                    </w:tr>
                    <w:bookmarkEnd w:id="0"/>
                    <w:tr w14:paraId="2AAC5D6D" w14:textId="77777777">
                      <w:tblPrEx>
                        <w:tblW w:w="0" w:type="auto"/>
                        <w:tblLayout w:type="fixed"/>
                        <w:tblLook w:val="07E0"/>
                      </w:tblPrEx>
                      <w:trPr>
                        <w:trHeight w:val="200"/>
                      </w:trPr>
                      <w:tc>
                        <w:tcPr>
                          <w:tcW w:w="1140" w:type="dxa"/>
                        </w:tcPr>
                        <w:p w:rsidR="00082C4A" w14:paraId="441602FB" w14:textId="77777777"/>
                      </w:tc>
                      <w:tc>
                        <w:tcPr>
                          <w:tcW w:w="5918" w:type="dxa"/>
                        </w:tcPr>
                        <w:p w:rsidR="00082C4A" w14:paraId="1B7D22CA" w14:textId="77777777"/>
                      </w:tc>
                    </w:tr>
                  </w:tbl>
                  <w:p w:rsidR="00464845" w14:paraId="3188E15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2C4A" w14:textId="77777777">
                          <w:pPr>
                            <w:pStyle w:val="WitregelW1"/>
                          </w:pPr>
                        </w:p>
                        <w:p w:rsidR="00082C4A" w14:textId="77777777">
                          <w:pPr>
                            <w:pStyle w:val="WitregelW1"/>
                          </w:pPr>
                        </w:p>
                        <w:p w:rsidR="00082C4A" w14:textId="77777777">
                          <w:pPr>
                            <w:pStyle w:val="Kopjereferentiegegevens"/>
                          </w:pPr>
                          <w:r>
                            <w:t>Onze referentie</w:t>
                          </w:r>
                        </w:p>
                        <w:bookmarkStart w:id="1" w:name="_Hlk207896837"/>
                        <w:bookmarkStart w:id="2" w:name="_Hlk207896838"/>
                        <w:p w:rsidR="0071654F" w14:textId="05191088">
                          <w:pPr>
                            <w:pStyle w:val="Referentiegegevens"/>
                          </w:pPr>
                          <w:r>
                            <w:fldChar w:fldCharType="begin"/>
                          </w:r>
                          <w:r>
                            <w:instrText xml:space="preserve"> DOCPROPERTY  "Kenmerk"  \* MERGEFORMAT </w:instrText>
                          </w:r>
                          <w:r>
                            <w:fldChar w:fldCharType="separate"/>
                          </w:r>
                          <w:r>
                            <w:t>2025-0000539629</w:t>
                          </w:r>
                          <w:r>
                            <w:fldChar w:fldCharType="end"/>
                          </w:r>
                          <w:bookmarkEnd w:id="1"/>
                          <w:bookmarkEnd w:id="2"/>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082C4A" w14:paraId="38A2E67D" w14:textId="77777777">
                    <w:pPr>
                      <w:pStyle w:val="WitregelW1"/>
                    </w:pPr>
                  </w:p>
                  <w:p w:rsidR="00082C4A" w14:paraId="5C711769" w14:textId="77777777">
                    <w:pPr>
                      <w:pStyle w:val="WitregelW1"/>
                    </w:pPr>
                  </w:p>
                  <w:p w:rsidR="00082C4A" w14:paraId="799BF45A" w14:textId="77777777">
                    <w:pPr>
                      <w:pStyle w:val="Kopjereferentiegegevens"/>
                    </w:pPr>
                    <w:r>
                      <w:t>Onze referentie</w:t>
                    </w:r>
                  </w:p>
                  <w:bookmarkStart w:id="1" w:name="_Hlk207896837"/>
                  <w:bookmarkStart w:id="2" w:name="_Hlk207896838"/>
                  <w:p w:rsidR="0071654F" w14:paraId="6EFA1F66" w14:textId="05191088">
                    <w:pPr>
                      <w:pStyle w:val="Referentiegegevens"/>
                    </w:pPr>
                    <w:r>
                      <w:fldChar w:fldCharType="begin"/>
                    </w:r>
                    <w:r>
                      <w:instrText xml:space="preserve"> DOCPROPERTY  "Kenmerk"  \* MERGEFORMAT </w:instrText>
                    </w:r>
                    <w:r>
                      <w:fldChar w:fldCharType="separate"/>
                    </w:r>
                    <w:r>
                      <w:t>2025-0000539629</w:t>
                    </w:r>
                    <w:r>
                      <w:fldChar w:fldCharType="end"/>
                    </w:r>
                    <w:bookmarkEnd w:id="1"/>
                    <w:bookmarkEnd w:id="2"/>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71654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1654F" w14:paraId="0E9EC9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4845"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464845" w14:paraId="6A879B2F"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464845"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464845" w14:paraId="4DE415C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697320"/>
    <w:multiLevelType w:val="multilevel"/>
    <w:tmpl w:val="DDEC128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987431"/>
    <w:multiLevelType w:val="multilevel"/>
    <w:tmpl w:val="6F670F8A"/>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5A7147B"/>
    <w:multiLevelType w:val="multilevel"/>
    <w:tmpl w:val="F06C4215"/>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BECFD71"/>
    <w:multiLevelType w:val="multilevel"/>
    <w:tmpl w:val="B731246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F66171A"/>
    <w:multiLevelType w:val="multilevel"/>
    <w:tmpl w:val="EA9E9886"/>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52BFF96"/>
    <w:multiLevelType w:val="multilevel"/>
    <w:tmpl w:val="D67DE69B"/>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A8792E9D"/>
    <w:multiLevelType w:val="multilevel"/>
    <w:tmpl w:val="AEACB01D"/>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373D5F9"/>
    <w:multiLevelType w:val="multilevel"/>
    <w:tmpl w:val="FC70613A"/>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B8286D7B"/>
    <w:multiLevelType w:val="multilevel"/>
    <w:tmpl w:val="E37D14F8"/>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D295229"/>
    <w:multiLevelType w:val="multilevel"/>
    <w:tmpl w:val="09A7960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1716002"/>
    <w:multiLevelType w:val="multilevel"/>
    <w:tmpl w:val="7D156DE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DB7091B3"/>
    <w:multiLevelType w:val="multilevel"/>
    <w:tmpl w:val="C2FF2C28"/>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DCA906A2"/>
    <w:multiLevelType w:val="multilevel"/>
    <w:tmpl w:val="C1B9085F"/>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EBC23F2D"/>
    <w:multiLevelType w:val="multilevel"/>
    <w:tmpl w:val="9E15B677"/>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0D3A226"/>
    <w:multiLevelType w:val="multilevel"/>
    <w:tmpl w:val="9358B8D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5">
    <w:nsid w:val="F7BA6657"/>
    <w:multiLevelType w:val="multilevel"/>
    <w:tmpl w:val="DABE2CA5"/>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89E1DF6"/>
    <w:multiLevelType w:val="multilevel"/>
    <w:tmpl w:val="3006BAE7"/>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FACABFD9"/>
    <w:multiLevelType w:val="multilevel"/>
    <w:tmpl w:val="C7322BC9"/>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205D0B7"/>
    <w:multiLevelType w:val="multilevel"/>
    <w:tmpl w:val="9B7A36F3"/>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AD62217"/>
    <w:multiLevelType w:val="multilevel"/>
    <w:tmpl w:val="786818AB"/>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B68B1A7"/>
    <w:multiLevelType w:val="multilevel"/>
    <w:tmpl w:val="9917CEC0"/>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643635F"/>
    <w:multiLevelType w:val="multilevel"/>
    <w:tmpl w:val="A2BACDE4"/>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7118B41"/>
    <w:multiLevelType w:val="multilevel"/>
    <w:tmpl w:val="FD5D5913"/>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8F4701E"/>
    <w:multiLevelType w:val="multilevel"/>
    <w:tmpl w:val="092FF88C"/>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0C77BE0"/>
    <w:multiLevelType w:val="multilevel"/>
    <w:tmpl w:val="A1E31BA7"/>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AE02EBD"/>
    <w:multiLevelType w:val="multilevel"/>
    <w:tmpl w:val="C1461FC9"/>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2F2B391"/>
    <w:multiLevelType w:val="multilevel"/>
    <w:tmpl w:val="9C537304"/>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482E8FA"/>
    <w:multiLevelType w:val="multilevel"/>
    <w:tmpl w:val="C2F5E3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nsid w:val="57669D62"/>
    <w:multiLevelType w:val="multilevel"/>
    <w:tmpl w:val="8F571A4F"/>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9FA1BB8"/>
    <w:multiLevelType w:val="multilevel"/>
    <w:tmpl w:val="8DE710AE"/>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A219D1D"/>
    <w:multiLevelType w:val="multilevel"/>
    <w:tmpl w:val="24B99F88"/>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5D59A43B"/>
    <w:multiLevelType w:val="multilevel"/>
    <w:tmpl w:val="7016388D"/>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7FC3B7A"/>
    <w:multiLevelType w:val="multilevel"/>
    <w:tmpl w:val="921E50F4"/>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841DB85"/>
    <w:multiLevelType w:val="multilevel"/>
    <w:tmpl w:val="D035BD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6F0E634C"/>
    <w:multiLevelType w:val="multilevel"/>
    <w:tmpl w:val="6EC9006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440295D"/>
    <w:multiLevelType w:val="multilevel"/>
    <w:tmpl w:val="76F1877D"/>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78BE6E7C"/>
    <w:multiLevelType w:val="hybridMultilevel"/>
    <w:tmpl w:val="B538CCE4"/>
    <w:lvl w:ilvl="0">
      <w:start w:val="1"/>
      <w:numFmt w:val="decimal"/>
      <w:lvlText w:val="%1."/>
      <w:lvlJc w:val="left"/>
      <w:pPr>
        <w:ind w:left="244" w:hanging="244"/>
      </w:pPr>
      <w:rPr>
        <w:rFonts w:ascii="Verdana" w:eastAsia="Verdana" w:hAnsi="Verdana" w:cs="Verdana" w:hint="default"/>
        <w:b w:val="0"/>
        <w:bCs w:val="0"/>
        <w:i w:val="0"/>
        <w:iCs w:val="0"/>
        <w:spacing w:val="0"/>
        <w:w w:val="100"/>
        <w:sz w:val="18"/>
        <w:szCs w:val="18"/>
        <w:lang w:val="nl-NL" w:eastAsia="en-US" w:bidi="ar-SA"/>
      </w:rPr>
    </w:lvl>
    <w:lvl w:ilvl="1">
      <w:start w:val="0"/>
      <w:numFmt w:val="bullet"/>
      <w:lvlText w:val="•"/>
      <w:lvlJc w:val="left"/>
      <w:pPr>
        <w:ind w:left="1149" w:hanging="244"/>
      </w:pPr>
      <w:rPr>
        <w:rFonts w:hint="default"/>
        <w:lang w:val="nl-NL" w:eastAsia="en-US" w:bidi="ar-SA"/>
      </w:rPr>
    </w:lvl>
    <w:lvl w:ilvl="2">
      <w:start w:val="0"/>
      <w:numFmt w:val="bullet"/>
      <w:lvlText w:val="•"/>
      <w:lvlJc w:val="left"/>
      <w:pPr>
        <w:ind w:left="2056" w:hanging="244"/>
      </w:pPr>
      <w:rPr>
        <w:rFonts w:hint="default"/>
        <w:lang w:val="nl-NL" w:eastAsia="en-US" w:bidi="ar-SA"/>
      </w:rPr>
    </w:lvl>
    <w:lvl w:ilvl="3">
      <w:start w:val="0"/>
      <w:numFmt w:val="bullet"/>
      <w:lvlText w:val="•"/>
      <w:lvlJc w:val="left"/>
      <w:pPr>
        <w:ind w:left="2964" w:hanging="244"/>
      </w:pPr>
      <w:rPr>
        <w:rFonts w:hint="default"/>
        <w:lang w:val="nl-NL" w:eastAsia="en-US" w:bidi="ar-SA"/>
      </w:rPr>
    </w:lvl>
    <w:lvl w:ilvl="4">
      <w:start w:val="0"/>
      <w:numFmt w:val="bullet"/>
      <w:lvlText w:val="•"/>
      <w:lvlJc w:val="left"/>
      <w:pPr>
        <w:ind w:left="3871" w:hanging="244"/>
      </w:pPr>
      <w:rPr>
        <w:rFonts w:hint="default"/>
        <w:lang w:val="nl-NL" w:eastAsia="en-US" w:bidi="ar-SA"/>
      </w:rPr>
    </w:lvl>
    <w:lvl w:ilvl="5">
      <w:start w:val="0"/>
      <w:numFmt w:val="bullet"/>
      <w:lvlText w:val="•"/>
      <w:lvlJc w:val="left"/>
      <w:pPr>
        <w:ind w:left="4779" w:hanging="244"/>
      </w:pPr>
      <w:rPr>
        <w:rFonts w:hint="default"/>
        <w:lang w:val="nl-NL" w:eastAsia="en-US" w:bidi="ar-SA"/>
      </w:rPr>
    </w:lvl>
    <w:lvl w:ilvl="6">
      <w:start w:val="0"/>
      <w:numFmt w:val="bullet"/>
      <w:lvlText w:val="•"/>
      <w:lvlJc w:val="left"/>
      <w:pPr>
        <w:ind w:left="5686" w:hanging="244"/>
      </w:pPr>
      <w:rPr>
        <w:rFonts w:hint="default"/>
        <w:lang w:val="nl-NL" w:eastAsia="en-US" w:bidi="ar-SA"/>
      </w:rPr>
    </w:lvl>
    <w:lvl w:ilvl="7">
      <w:start w:val="0"/>
      <w:numFmt w:val="bullet"/>
      <w:lvlText w:val="•"/>
      <w:lvlJc w:val="left"/>
      <w:pPr>
        <w:ind w:left="6593" w:hanging="244"/>
      </w:pPr>
      <w:rPr>
        <w:rFonts w:hint="default"/>
        <w:lang w:val="nl-NL" w:eastAsia="en-US" w:bidi="ar-SA"/>
      </w:rPr>
    </w:lvl>
    <w:lvl w:ilvl="8">
      <w:start w:val="0"/>
      <w:numFmt w:val="bullet"/>
      <w:lvlText w:val="•"/>
      <w:lvlJc w:val="left"/>
      <w:pPr>
        <w:ind w:left="7501" w:hanging="244"/>
      </w:pPr>
      <w:rPr>
        <w:rFonts w:hint="default"/>
        <w:lang w:val="nl-NL" w:eastAsia="en-US" w:bidi="ar-SA"/>
      </w:rPr>
    </w:lvl>
  </w:abstractNum>
  <w:num w:numId="1" w16cid:durableId="364254057">
    <w:abstractNumId w:val="2"/>
  </w:num>
  <w:num w:numId="2" w16cid:durableId="1627001035">
    <w:abstractNumId w:val="35"/>
  </w:num>
  <w:num w:numId="3" w16cid:durableId="1709647208">
    <w:abstractNumId w:val="30"/>
  </w:num>
  <w:num w:numId="4" w16cid:durableId="1808432344">
    <w:abstractNumId w:val="26"/>
  </w:num>
  <w:num w:numId="5" w16cid:durableId="1646423027">
    <w:abstractNumId w:val="11"/>
  </w:num>
  <w:num w:numId="6" w16cid:durableId="1665279799">
    <w:abstractNumId w:val="23"/>
  </w:num>
  <w:num w:numId="7" w16cid:durableId="1473518954">
    <w:abstractNumId w:val="7"/>
  </w:num>
  <w:num w:numId="8" w16cid:durableId="1302536554">
    <w:abstractNumId w:val="17"/>
  </w:num>
  <w:num w:numId="9" w16cid:durableId="1858259">
    <w:abstractNumId w:val="4"/>
  </w:num>
  <w:num w:numId="10" w16cid:durableId="1126923757">
    <w:abstractNumId w:val="12"/>
  </w:num>
  <w:num w:numId="11" w16cid:durableId="168757224">
    <w:abstractNumId w:val="27"/>
  </w:num>
  <w:num w:numId="12" w16cid:durableId="1469711993">
    <w:abstractNumId w:val="33"/>
  </w:num>
  <w:num w:numId="13" w16cid:durableId="387729734">
    <w:abstractNumId w:val="3"/>
  </w:num>
  <w:num w:numId="14" w16cid:durableId="707222334">
    <w:abstractNumId w:val="24"/>
  </w:num>
  <w:num w:numId="15" w16cid:durableId="1926915303">
    <w:abstractNumId w:val="31"/>
  </w:num>
  <w:num w:numId="16" w16cid:durableId="260191007">
    <w:abstractNumId w:val="28"/>
  </w:num>
  <w:num w:numId="17" w16cid:durableId="1248418854">
    <w:abstractNumId w:val="19"/>
  </w:num>
  <w:num w:numId="18" w16cid:durableId="1137531711">
    <w:abstractNumId w:val="34"/>
  </w:num>
  <w:num w:numId="19" w16cid:durableId="752169909">
    <w:abstractNumId w:val="20"/>
  </w:num>
  <w:num w:numId="20" w16cid:durableId="108549489">
    <w:abstractNumId w:val="8"/>
  </w:num>
  <w:num w:numId="21" w16cid:durableId="1654674100">
    <w:abstractNumId w:val="13"/>
  </w:num>
  <w:num w:numId="22" w16cid:durableId="1932277214">
    <w:abstractNumId w:val="22"/>
  </w:num>
  <w:num w:numId="23" w16cid:durableId="454711952">
    <w:abstractNumId w:val="16"/>
  </w:num>
  <w:num w:numId="24" w16cid:durableId="1784881543">
    <w:abstractNumId w:val="25"/>
  </w:num>
  <w:num w:numId="25" w16cid:durableId="293869700">
    <w:abstractNumId w:val="6"/>
  </w:num>
  <w:num w:numId="26" w16cid:durableId="567807381">
    <w:abstractNumId w:val="1"/>
  </w:num>
  <w:num w:numId="27" w16cid:durableId="1061975909">
    <w:abstractNumId w:val="15"/>
  </w:num>
  <w:num w:numId="28" w16cid:durableId="594484127">
    <w:abstractNumId w:val="21"/>
  </w:num>
  <w:num w:numId="29" w16cid:durableId="370879870">
    <w:abstractNumId w:val="5"/>
  </w:num>
  <w:num w:numId="30" w16cid:durableId="527064486">
    <w:abstractNumId w:val="14"/>
  </w:num>
  <w:num w:numId="31" w16cid:durableId="1986616526">
    <w:abstractNumId w:val="9"/>
  </w:num>
  <w:num w:numId="32" w16cid:durableId="1090201387">
    <w:abstractNumId w:val="0"/>
  </w:num>
  <w:num w:numId="33" w16cid:durableId="1259604336">
    <w:abstractNumId w:val="18"/>
  </w:num>
  <w:num w:numId="34" w16cid:durableId="917909727">
    <w:abstractNumId w:val="32"/>
  </w:num>
  <w:num w:numId="35" w16cid:durableId="1020811716">
    <w:abstractNumId w:val="29"/>
  </w:num>
  <w:num w:numId="36" w16cid:durableId="1062023020">
    <w:abstractNumId w:val="10"/>
  </w:num>
  <w:num w:numId="37" w16cid:durableId="9200656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4A"/>
    <w:rsid w:val="000325E3"/>
    <w:rsid w:val="00040810"/>
    <w:rsid w:val="00082C4A"/>
    <w:rsid w:val="000D4C73"/>
    <w:rsid w:val="0012066C"/>
    <w:rsid w:val="003E7904"/>
    <w:rsid w:val="00464845"/>
    <w:rsid w:val="004B5076"/>
    <w:rsid w:val="005B078C"/>
    <w:rsid w:val="006A074B"/>
    <w:rsid w:val="006B412A"/>
    <w:rsid w:val="0071654F"/>
    <w:rsid w:val="007415C0"/>
    <w:rsid w:val="00776FE5"/>
    <w:rsid w:val="00794F44"/>
    <w:rsid w:val="008368CD"/>
    <w:rsid w:val="00913FA7"/>
    <w:rsid w:val="009B5437"/>
    <w:rsid w:val="009C6436"/>
    <w:rsid w:val="009D6528"/>
    <w:rsid w:val="00AA116F"/>
    <w:rsid w:val="00AB22CD"/>
    <w:rsid w:val="00B7021B"/>
    <w:rsid w:val="00B87134"/>
    <w:rsid w:val="00BC4C88"/>
    <w:rsid w:val="00C53F02"/>
    <w:rsid w:val="00ED13AE"/>
    <w:rsid w:val="00FA623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73BDDA"/>
  <w15:docId w15:val="{F33A8C1E-6443-41D2-ABB8-79E15263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ED13AE"/>
    <w:pPr>
      <w:tabs>
        <w:tab w:val="center" w:pos="4536"/>
        <w:tab w:val="right" w:pos="9072"/>
      </w:tabs>
      <w:spacing w:line="240" w:lineRule="auto"/>
    </w:pPr>
  </w:style>
  <w:style w:type="character" w:customStyle="1" w:styleId="KoptekstChar">
    <w:name w:val="Koptekst Char"/>
    <w:basedOn w:val="DefaultParagraphFont"/>
    <w:link w:val="Header"/>
    <w:uiPriority w:val="99"/>
    <w:rsid w:val="00ED13AE"/>
    <w:rPr>
      <w:rFonts w:ascii="Verdana" w:hAnsi="Verdana"/>
      <w:color w:val="000000"/>
      <w:sz w:val="18"/>
      <w:szCs w:val="18"/>
    </w:rPr>
  </w:style>
  <w:style w:type="paragraph" w:styleId="Footer">
    <w:name w:val="footer"/>
    <w:basedOn w:val="Normal"/>
    <w:link w:val="VoettekstChar"/>
    <w:uiPriority w:val="99"/>
    <w:unhideWhenUsed/>
    <w:rsid w:val="00ED13AE"/>
    <w:pPr>
      <w:tabs>
        <w:tab w:val="center" w:pos="4536"/>
        <w:tab w:val="right" w:pos="9072"/>
      </w:tabs>
      <w:spacing w:line="240" w:lineRule="auto"/>
    </w:pPr>
  </w:style>
  <w:style w:type="character" w:customStyle="1" w:styleId="VoettekstChar">
    <w:name w:val="Voettekst Char"/>
    <w:basedOn w:val="DefaultParagraphFont"/>
    <w:link w:val="Footer"/>
    <w:uiPriority w:val="99"/>
    <w:rsid w:val="00ED13AE"/>
    <w:rPr>
      <w:rFonts w:ascii="Verdana" w:hAnsi="Verdana"/>
      <w:color w:val="000000"/>
      <w:sz w:val="18"/>
      <w:szCs w:val="18"/>
    </w:rPr>
  </w:style>
  <w:style w:type="paragraph" w:styleId="BodyText">
    <w:name w:val="Body Text"/>
    <w:basedOn w:val="Normal"/>
    <w:link w:val="PlattetekstChar"/>
    <w:uiPriority w:val="1"/>
    <w:qFormat/>
    <w:rsid w:val="000325E3"/>
    <w:pPr>
      <w:widowControl w:val="0"/>
      <w:autoSpaceDE w:val="0"/>
      <w:spacing w:line="240" w:lineRule="auto"/>
      <w:ind w:left="141"/>
      <w:textAlignment w:val="auto"/>
    </w:pPr>
    <w:rPr>
      <w:rFonts w:eastAsia="Verdana" w:cs="Verdana"/>
      <w:color w:val="auto"/>
      <w:lang w:eastAsia="en-US"/>
    </w:rPr>
  </w:style>
  <w:style w:type="character" w:customStyle="1" w:styleId="PlattetekstChar">
    <w:name w:val="Platte tekst Char"/>
    <w:basedOn w:val="DefaultParagraphFont"/>
    <w:link w:val="BodyText"/>
    <w:uiPriority w:val="1"/>
    <w:rsid w:val="000325E3"/>
    <w:rPr>
      <w:rFonts w:ascii="Verdana" w:eastAsia="Verdana" w:hAnsi="Verdana" w:cs="Verdana"/>
      <w:sz w:val="18"/>
      <w:szCs w:val="18"/>
      <w:lang w:eastAsia="en-US"/>
    </w:rPr>
  </w:style>
  <w:style w:type="paragraph" w:styleId="Title">
    <w:name w:val="Title"/>
    <w:basedOn w:val="Normal"/>
    <w:link w:val="TitelChar"/>
    <w:uiPriority w:val="10"/>
    <w:qFormat/>
    <w:rsid w:val="000325E3"/>
    <w:pPr>
      <w:widowControl w:val="0"/>
      <w:autoSpaceDE w:val="0"/>
      <w:spacing w:before="79" w:line="240" w:lineRule="auto"/>
      <w:ind w:left="141"/>
      <w:textAlignment w:val="auto"/>
    </w:pPr>
    <w:rPr>
      <w:rFonts w:eastAsia="Verdana" w:cs="Verdana"/>
      <w:b/>
      <w:bCs/>
      <w:color w:val="auto"/>
      <w:lang w:eastAsia="en-US"/>
    </w:rPr>
  </w:style>
  <w:style w:type="character" w:customStyle="1" w:styleId="TitelChar">
    <w:name w:val="Titel Char"/>
    <w:basedOn w:val="DefaultParagraphFont"/>
    <w:link w:val="Title"/>
    <w:uiPriority w:val="10"/>
    <w:rsid w:val="000325E3"/>
    <w:rPr>
      <w:rFonts w:ascii="Verdana" w:eastAsia="Verdana" w:hAnsi="Verdana" w:cs="Verdana"/>
      <w:b/>
      <w:bCs/>
      <w:sz w:val="18"/>
      <w:szCs w:val="18"/>
      <w:lang w:eastAsia="en-US"/>
    </w:rPr>
  </w:style>
  <w:style w:type="paragraph" w:styleId="ListParagraph">
    <w:name w:val="List Paragraph"/>
    <w:basedOn w:val="Normal"/>
    <w:uiPriority w:val="1"/>
    <w:qFormat/>
    <w:rsid w:val="000325E3"/>
    <w:pPr>
      <w:widowControl w:val="0"/>
      <w:autoSpaceDE w:val="0"/>
      <w:spacing w:line="240" w:lineRule="auto"/>
      <w:ind w:left="141" w:right="45"/>
      <w:textAlignment w:val="auto"/>
    </w:pPr>
    <w:rPr>
      <w:rFonts w:eastAsia="Verdana" w:cs="Verdan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rtl.nl/nieuws/politiek/artikel/5515388/kamer-wil-ingrijpen-nadat-nos-directeur-meerdere-banencombineerde" TargetMode="External" Id="rId6"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1455</ap:Words>
  <ap:Characters>8004</ap:Characters>
  <ap:DocSecurity>0</ap:DocSecurity>
  <ap:Lines>66</ap:Lines>
  <ap:Paragraphs>18</ap:Paragraphs>
  <ap:ScaleCrop>false</ap:ScaleCrop>
  <ap:LinksUpToDate>false</ap:LinksUpToDate>
  <ap:CharactersWithSpaces>9441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2025-09-04T14:47:00.0000000Z</lastPrinted>
  <dcterms:created xsi:type="dcterms:W3CDTF">2025-09-04T13:51:00.0000000Z</dcterms:created>
  <dcterms:modified xsi:type="dcterms:W3CDTF">2025-09-04T14:47:00.0000000Z</dcterms:modified>
  <dc:creator/>
  <lastModifiedBy/>
  <dc:description>------------------------</dc:description>
  <dc:subject/>
  <keywords/>
  <version/>
  <category/>
</coreProperties>
</file>