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Pr="00F900DA" w:rsidR="00F900DA" w:rsidTr="00F900DA" w14:paraId="0BD92BD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Pr="00F900DA" w:rsidR="00F900DA" w:rsidP="005F0DAE" w:rsidRDefault="00F900DA" w14:paraId="5DB6FC00" w14:textId="7222B7D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596" w:type="dxa"/>
          </w:tcPr>
          <w:p w:rsidRPr="00F900DA" w:rsidR="00F900DA" w:rsidP="005F0DAE" w:rsidRDefault="00F900DA" w14:paraId="4FEE810A" w14:textId="08599CBC">
            <w:pPr>
              <w:pStyle w:val="Kop1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900D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LIJST VAN VRAGEN</w:t>
            </w:r>
          </w:p>
        </w:tc>
      </w:tr>
      <w:tr w:rsidRPr="00F900DA" w:rsidR="00F900DA" w:rsidTr="00F900DA" w14:paraId="19DC7F7A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Pr="00F900DA" w:rsidR="00F900DA" w:rsidP="005F0DAE" w:rsidRDefault="00F900DA" w14:paraId="5716DD7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96" w:type="dxa"/>
          </w:tcPr>
          <w:p w:rsidR="00F900DA" w:rsidP="005F0DAE" w:rsidRDefault="00F900DA" w14:paraId="4E0CE7BA" w14:textId="77777777">
            <w:pPr>
              <w:rPr>
                <w:rFonts w:ascii="Calibri" w:hAnsi="Calibri" w:cs="Calibri"/>
              </w:rPr>
            </w:pPr>
            <w:r w:rsidRPr="00F900DA">
              <w:rPr>
                <w:rFonts w:ascii="Calibri" w:hAnsi="Calibri" w:cs="Calibri"/>
              </w:rPr>
              <w:t xml:space="preserve">De vaste commissie voor Financiën heeft over een brief van de staatssecretaris van Financiën – Herstel en Toeslagen inzake (Kamerstuk 36 708, nr. 41) de navolgende vragen ter beantwoording aan de staatssecretaris voorgelegd. </w:t>
            </w:r>
          </w:p>
          <w:p w:rsidRPr="00F900DA" w:rsidR="00F900DA" w:rsidP="005F0DAE" w:rsidRDefault="00F900DA" w14:paraId="75ECD60C" w14:textId="270B13E6">
            <w:pPr>
              <w:rPr>
                <w:rFonts w:ascii="Calibri" w:hAnsi="Calibri" w:cs="Calibri"/>
              </w:rPr>
            </w:pPr>
          </w:p>
        </w:tc>
      </w:tr>
      <w:tr w:rsidRPr="00F900DA" w:rsidR="00F900DA" w:rsidTr="00F900DA" w14:paraId="75CEC2C0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Pr="00F900DA" w:rsidR="00F900DA" w:rsidP="005F0DAE" w:rsidRDefault="00F900DA" w14:paraId="41712BD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96" w:type="dxa"/>
          </w:tcPr>
          <w:p w:rsidRPr="00F900DA" w:rsidR="00F900DA" w:rsidP="00F900DA" w:rsidRDefault="00F900DA" w14:paraId="2DAC2589" w14:textId="77777777">
            <w:pPr>
              <w:pStyle w:val="Geenafstand"/>
            </w:pPr>
            <w:r w:rsidRPr="00F900DA">
              <w:t>De voorzitter van de commissie,</w:t>
            </w:r>
          </w:p>
          <w:p w:rsidR="00F900DA" w:rsidP="00F900DA" w:rsidRDefault="00F900DA" w14:paraId="2D88709E" w14:textId="77777777">
            <w:pPr>
              <w:pStyle w:val="Geenafstand"/>
            </w:pPr>
            <w:r w:rsidRPr="00F900DA">
              <w:t>Nijhof-Leeuw</w:t>
            </w:r>
          </w:p>
          <w:p w:rsidRPr="00F900DA" w:rsidR="00F900DA" w:rsidP="00F900DA" w:rsidRDefault="00F900DA" w14:paraId="4028BC5B" w14:textId="77777777">
            <w:pPr>
              <w:pStyle w:val="Geenafstand"/>
            </w:pPr>
          </w:p>
        </w:tc>
      </w:tr>
      <w:tr w:rsidRPr="00F900DA" w:rsidR="00F900DA" w:rsidTr="00F900DA" w14:paraId="0026B3FA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Pr="00F900DA" w:rsidR="00F900DA" w:rsidP="005F0DAE" w:rsidRDefault="00F900DA" w14:paraId="0135E03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596" w:type="dxa"/>
          </w:tcPr>
          <w:p w:rsidRPr="00F900DA" w:rsidR="00F900DA" w:rsidP="00F900DA" w:rsidRDefault="00F900DA" w14:paraId="0AE76BAF" w14:textId="3D1F3B0B">
            <w:pPr>
              <w:pStyle w:val="Geenafstand"/>
            </w:pPr>
            <w:r>
              <w:t>A</w:t>
            </w:r>
            <w:r w:rsidRPr="00F900DA">
              <w:t>djunct-griffier van de commissie,</w:t>
            </w:r>
          </w:p>
          <w:p w:rsidRPr="00F900DA" w:rsidR="00F900DA" w:rsidP="00F900DA" w:rsidRDefault="00F900DA" w14:paraId="6B1AD9E9" w14:textId="77777777">
            <w:pPr>
              <w:pStyle w:val="Geenafstand"/>
            </w:pPr>
            <w:r w:rsidRPr="00F900DA">
              <w:t>Lips</w:t>
            </w:r>
          </w:p>
        </w:tc>
      </w:tr>
    </w:tbl>
    <w:p w:rsidR="00F900DA" w:rsidP="00F900DA" w:rsidRDefault="00F900DA" w14:paraId="29372364" w14:textId="77777777"/>
    <w:p w:rsidR="00F900DA" w:rsidP="00F900DA" w:rsidRDefault="00F900DA" w14:paraId="435587EC" w14:textId="77777777">
      <w:pPr>
        <w:rPr>
          <w:sz w:val="20"/>
        </w:rPr>
      </w:pPr>
    </w:p>
    <w:tbl>
      <w:tblPr>
        <w:tblW w:w="7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372"/>
      </w:tblGrid>
      <w:tr w:rsidRPr="00391CBB" w:rsidR="00F900DA" w:rsidTr="00F900DA" w14:paraId="27050814" w14:textId="77777777">
        <w:trPr>
          <w:cantSplit/>
        </w:trPr>
        <w:tc>
          <w:tcPr>
            <w:tcW w:w="566" w:type="dxa"/>
            <w:hideMark/>
          </w:tcPr>
          <w:p w:rsidR="00F900DA" w:rsidP="005F0DAE" w:rsidRDefault="00F900DA" w14:paraId="434C4559" w14:textId="77777777">
            <w:pPr>
              <w:rPr>
                <w:lang w:val="en-US"/>
              </w:rPr>
            </w:pPr>
            <w:bookmarkStart w:name="bmkStartTabel" w:id="0"/>
            <w:bookmarkEnd w:id="0"/>
            <w:r>
              <w:rPr>
                <w:lang w:val="en-US"/>
              </w:rPr>
              <w:t>Nr</w:t>
            </w:r>
          </w:p>
        </w:tc>
        <w:tc>
          <w:tcPr>
            <w:tcW w:w="7372" w:type="dxa"/>
            <w:hideMark/>
          </w:tcPr>
          <w:p w:rsidR="00F900DA" w:rsidP="005F0DAE" w:rsidRDefault="00F900DA" w14:paraId="600D2E4A" w14:textId="77777777">
            <w:pPr>
              <w:rPr>
                <w:lang w:val="en-US"/>
              </w:rPr>
            </w:pPr>
            <w:r>
              <w:rPr>
                <w:lang w:val="en-US"/>
              </w:rPr>
              <w:t>Vraag</w:t>
            </w:r>
          </w:p>
          <w:p w:rsidR="00F900DA" w:rsidP="005F0DAE" w:rsidRDefault="00F900DA" w14:paraId="74B5A73E" w14:textId="77777777">
            <w:pPr>
              <w:rPr>
                <w:lang w:val="en-US"/>
              </w:rPr>
            </w:pPr>
          </w:p>
        </w:tc>
      </w:tr>
      <w:tr w:rsidRPr="00391CBB" w:rsidR="00F900DA" w:rsidTr="00F900DA" w14:paraId="5B12497A" w14:textId="77777777">
        <w:tc>
          <w:tcPr>
            <w:tcW w:w="566" w:type="dxa"/>
            <w:hideMark/>
          </w:tcPr>
          <w:p w:rsidR="00F900DA" w:rsidP="005F0DAE" w:rsidRDefault="00F900DA" w14:paraId="0713B8B7" w14:textId="7777777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AA208F8" w14:textId="77777777">
            <w:r w:rsidRPr="00391CBB">
              <w:t>Welke criteria worden gehanteerd om te bepalen of een gezin behoort tot de groep van 2.000–3.000 gezinnen die de regie kwijt is?</w:t>
            </w:r>
          </w:p>
        </w:tc>
      </w:tr>
      <w:tr w:rsidRPr="00391CBB" w:rsidR="00F900DA" w:rsidTr="00F900DA" w14:paraId="266F79B9" w14:textId="77777777">
        <w:tc>
          <w:tcPr>
            <w:tcW w:w="566" w:type="dxa"/>
            <w:hideMark/>
          </w:tcPr>
          <w:p w:rsidR="00F900DA" w:rsidP="005F0DAE" w:rsidRDefault="00F900DA" w14:paraId="6799C295" w14:textId="7777777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0CAB23C" w14:textId="77777777">
            <w:r w:rsidRPr="00391CBB">
              <w:t>Hoeveel gezinnen uit deze doelgroep zijn inmiddels in beeld gebracht en hoeveel van hen ontvangen al integrale begeleiding?</w:t>
            </w:r>
          </w:p>
        </w:tc>
      </w:tr>
      <w:tr w:rsidRPr="00391CBB" w:rsidR="00F900DA" w:rsidTr="00F900DA" w14:paraId="1AED3979" w14:textId="77777777">
        <w:tc>
          <w:tcPr>
            <w:tcW w:w="566" w:type="dxa"/>
            <w:hideMark/>
          </w:tcPr>
          <w:p w:rsidR="00F900DA" w:rsidP="005F0DAE" w:rsidRDefault="00F900DA" w14:paraId="1D9D63C8" w14:textId="7777777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3A09C4A0" w14:textId="77777777">
            <w:r w:rsidRPr="00391CBB">
              <w:t>Welke knelpunten zijn in de eerste 40 casusbesprekingen naar voren gekomen en welke oplossingsrichtingen zijn sindsdien geïmplementeerd?</w:t>
            </w:r>
          </w:p>
        </w:tc>
      </w:tr>
      <w:tr w:rsidRPr="00391CBB" w:rsidR="00F900DA" w:rsidTr="00F900DA" w14:paraId="685DA3D4" w14:textId="77777777">
        <w:tc>
          <w:tcPr>
            <w:tcW w:w="566" w:type="dxa"/>
            <w:hideMark/>
          </w:tcPr>
          <w:p w:rsidR="00F900DA" w:rsidP="005F0DAE" w:rsidRDefault="00F900DA" w14:paraId="19C2A689" w14:textId="7777777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5B7B857F" w14:textId="77777777">
            <w:r w:rsidRPr="00391CBB">
              <w:t xml:space="preserve">Op welke wijze wordt de opschaling van de aanpak voor deze gezinnen vormgegeven en op welke termijn verwacht het kabinet dat de volledige doelgroep </w:t>
            </w:r>
            <w:r>
              <w:t xml:space="preserve">is </w:t>
            </w:r>
            <w:r w:rsidRPr="00391CBB">
              <w:t>bereikt?</w:t>
            </w:r>
          </w:p>
        </w:tc>
      </w:tr>
      <w:tr w:rsidRPr="00391CBB" w:rsidR="00F900DA" w:rsidTr="00F900DA" w14:paraId="7D6BD0E1" w14:textId="77777777">
        <w:tc>
          <w:tcPr>
            <w:tcW w:w="566" w:type="dxa"/>
            <w:hideMark/>
          </w:tcPr>
          <w:p w:rsidR="00F900DA" w:rsidP="005F0DAE" w:rsidRDefault="00F900DA" w14:paraId="6B62F6BF" w14:textId="7777777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4EA0EB75" w14:textId="77777777">
            <w:r w:rsidRPr="00391CBB">
              <w:t>De MijnHerstel-route zou in september 2025 live gaan</w:t>
            </w:r>
            <w:r>
              <w:t>:</w:t>
            </w:r>
            <w:r w:rsidRPr="00391CBB">
              <w:t xml:space="preserve"> </w:t>
            </w:r>
            <w:r>
              <w:t>w</w:t>
            </w:r>
            <w:r w:rsidRPr="00391CBB">
              <w:t>ordt deze planning gehaald?</w:t>
            </w:r>
          </w:p>
        </w:tc>
      </w:tr>
      <w:tr w:rsidRPr="00391CBB" w:rsidR="00F900DA" w:rsidTr="00F900DA" w14:paraId="0BFF0301" w14:textId="77777777">
        <w:tc>
          <w:tcPr>
            <w:tcW w:w="566" w:type="dxa"/>
            <w:hideMark/>
          </w:tcPr>
          <w:p w:rsidR="00F900DA" w:rsidP="005F0DAE" w:rsidRDefault="00F900DA" w14:paraId="2C3935CF" w14:textId="7777777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29D21999" w14:textId="77777777">
            <w:r w:rsidRPr="00391CBB">
              <w:t>Is er voorafgaand een pilot uitgevoerd met de MijnHerstel-route en zo ja, wat waren hiervan de bevindingen?</w:t>
            </w:r>
          </w:p>
        </w:tc>
      </w:tr>
      <w:tr w:rsidRPr="00391CBB" w:rsidR="00F900DA" w:rsidTr="00F900DA" w14:paraId="43FBB368" w14:textId="77777777">
        <w:tc>
          <w:tcPr>
            <w:tcW w:w="566" w:type="dxa"/>
            <w:hideMark/>
          </w:tcPr>
          <w:p w:rsidR="00F900DA" w:rsidP="005F0DAE" w:rsidRDefault="00F900DA" w14:paraId="5122E633" w14:textId="7777777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42E60C24" w14:textId="77777777">
            <w:r w:rsidRPr="00391CBB">
              <w:t>Hoe ziet het tijdspad voor de opschaling van MijnHerstel eruit en op welke wijze wordt de Kamer hierover geïnformeerd?</w:t>
            </w:r>
          </w:p>
        </w:tc>
      </w:tr>
      <w:tr w:rsidRPr="00391CBB" w:rsidR="00F900DA" w:rsidTr="00F900DA" w14:paraId="70B2F952" w14:textId="77777777">
        <w:tc>
          <w:tcPr>
            <w:tcW w:w="566" w:type="dxa"/>
            <w:hideMark/>
          </w:tcPr>
          <w:p w:rsidR="00F900DA" w:rsidP="005F0DAE" w:rsidRDefault="00F900DA" w14:paraId="2A1E8742" w14:textId="7777777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7037A6B8" w14:textId="77777777">
            <w:r w:rsidRPr="00391CBB">
              <w:t>Hoe wordt geborgd dat ouders met beperkte digitale vaardigheden of laaggeletterdheid de route daadwerkelijk kunnen gebruiken?</w:t>
            </w:r>
          </w:p>
        </w:tc>
      </w:tr>
      <w:tr w:rsidRPr="00391CBB" w:rsidR="00F900DA" w:rsidTr="00F900DA" w14:paraId="6654BF90" w14:textId="77777777">
        <w:tc>
          <w:tcPr>
            <w:tcW w:w="566" w:type="dxa"/>
            <w:hideMark/>
          </w:tcPr>
          <w:p w:rsidR="00F900DA" w:rsidP="005F0DAE" w:rsidRDefault="00F900DA" w14:paraId="1D13C045" w14:textId="77777777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9C3C5C0" w14:textId="77777777">
            <w:r w:rsidRPr="00391CBB">
              <w:t>Hoeveel capaciteit is gereserveerd voor de opschaling van MijnHerstel, zodat eind 2027 alle schadeafhandelingen zijn afgerond en worden hier nog problemen verwacht?</w:t>
            </w:r>
          </w:p>
        </w:tc>
      </w:tr>
      <w:tr w:rsidRPr="00391CBB" w:rsidR="00F900DA" w:rsidTr="00F900DA" w14:paraId="5091BB41" w14:textId="77777777">
        <w:tc>
          <w:tcPr>
            <w:tcW w:w="566" w:type="dxa"/>
            <w:hideMark/>
          </w:tcPr>
          <w:p w:rsidR="00F900DA" w:rsidP="005F0DAE" w:rsidRDefault="00F900DA" w14:paraId="5C45D1C0" w14:textId="7777777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7D8C95CD" w14:textId="77777777">
            <w:r w:rsidRPr="00391CBB">
              <w:t>Zal het uniforme schadekader worden gepubliceerd zodat gedupeerden weten tegen welke normen hun schade wordt gewogen?</w:t>
            </w:r>
          </w:p>
        </w:tc>
      </w:tr>
      <w:tr w:rsidRPr="00391CBB" w:rsidR="00F900DA" w:rsidTr="00F900DA" w14:paraId="41E18215" w14:textId="77777777">
        <w:tc>
          <w:tcPr>
            <w:tcW w:w="566" w:type="dxa"/>
            <w:hideMark/>
          </w:tcPr>
          <w:p w:rsidR="00F900DA" w:rsidP="005F0DAE" w:rsidRDefault="00F900DA" w14:paraId="01C98200" w14:textId="77777777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2A8CD979" w14:textId="77777777">
            <w:r w:rsidRPr="00391CBB">
              <w:t>Hoe wordt geborgd dat het nieuwe uniforme schadekader daadwerkelijk leidt tot gelijke behandeling in SGH en MijnHerstel indien dit kader niet wordt gepubliceerd, zoals nu lijkt te zijn besloten?</w:t>
            </w:r>
          </w:p>
        </w:tc>
      </w:tr>
      <w:tr w:rsidRPr="00391CBB" w:rsidR="00F900DA" w:rsidTr="00F900DA" w14:paraId="1CDD7750" w14:textId="77777777">
        <w:tc>
          <w:tcPr>
            <w:tcW w:w="566" w:type="dxa"/>
            <w:hideMark/>
          </w:tcPr>
          <w:p w:rsidR="00F900DA" w:rsidP="005F0DAE" w:rsidRDefault="00F900DA" w14:paraId="03483713" w14:textId="77777777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04758668" w14:textId="77777777">
            <w:r w:rsidRPr="00391CBB">
              <w:t xml:space="preserve">In hoeverre blijft het uitgangspunt van de “meest ruimhartige compensatie” gelden bij de overgang van </w:t>
            </w:r>
            <w:r>
              <w:t xml:space="preserve">de </w:t>
            </w:r>
            <w:r w:rsidRPr="00391CBB">
              <w:t xml:space="preserve">CWS </w:t>
            </w:r>
            <w:r>
              <w:t xml:space="preserve">(Commissie Werkelijke Schade) </w:t>
            </w:r>
            <w:r w:rsidRPr="00391CBB">
              <w:t xml:space="preserve">naar </w:t>
            </w:r>
            <w:r>
              <w:t xml:space="preserve">de </w:t>
            </w:r>
            <w:r w:rsidRPr="00391CBB">
              <w:t xml:space="preserve">SGH </w:t>
            </w:r>
            <w:r>
              <w:t xml:space="preserve">(Stichting (Gelijk)waardig herstel) </w:t>
            </w:r>
            <w:r w:rsidRPr="00391CBB">
              <w:t>en MijnHerstel?</w:t>
            </w:r>
          </w:p>
        </w:tc>
      </w:tr>
      <w:tr w:rsidRPr="00391CBB" w:rsidR="00F900DA" w:rsidTr="00F900DA" w14:paraId="4D364CEC" w14:textId="77777777">
        <w:tc>
          <w:tcPr>
            <w:tcW w:w="566" w:type="dxa"/>
            <w:hideMark/>
          </w:tcPr>
          <w:p w:rsidR="00F900DA" w:rsidP="005F0DAE" w:rsidRDefault="00F900DA" w14:paraId="7737016A" w14:textId="77777777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43E390B" w14:textId="77777777">
            <w:r w:rsidRPr="00391CBB">
              <w:t>Op welke punten wijkt het huidige SGH-schadekader af van de eerdere CWS-systematiek?</w:t>
            </w:r>
          </w:p>
        </w:tc>
      </w:tr>
      <w:tr w:rsidRPr="00391CBB" w:rsidR="00F900DA" w:rsidTr="00F900DA" w14:paraId="50A7960B" w14:textId="77777777">
        <w:tc>
          <w:tcPr>
            <w:tcW w:w="566" w:type="dxa"/>
            <w:hideMark/>
          </w:tcPr>
          <w:p w:rsidR="00F900DA" w:rsidP="005F0DAE" w:rsidRDefault="00F900DA" w14:paraId="3731E46F" w14:textId="77777777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01542FB" w14:textId="77777777">
            <w:r w:rsidRPr="00391CBB">
              <w:t>Is er zicht op de omvang van de groep ouders die door een hoger inkomen buiten de toeslagregelingen viel, maar aantoonbaar onder bijstandsniveau leefde en daardoor geen compensatie ontvangt?</w:t>
            </w:r>
          </w:p>
        </w:tc>
      </w:tr>
      <w:tr w:rsidRPr="00391CBB" w:rsidR="00F900DA" w:rsidTr="00F900DA" w14:paraId="5C1EB8DA" w14:textId="77777777">
        <w:tc>
          <w:tcPr>
            <w:tcW w:w="566" w:type="dxa"/>
            <w:hideMark/>
          </w:tcPr>
          <w:p w:rsidR="00F900DA" w:rsidP="005F0DAE" w:rsidRDefault="00F900DA" w14:paraId="4834045B" w14:textId="77777777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0E97E12B" w14:textId="77777777">
            <w:r w:rsidRPr="00391CBB">
              <w:t>Is er inzicht in de groep ouders die een lening hebben aangevraagd en deze zelf hebben afgelost vóórdat de herstelregelingen bestonden en daardoor niet voor compensatie in aanmerking komen?</w:t>
            </w:r>
          </w:p>
        </w:tc>
      </w:tr>
      <w:tr w:rsidRPr="00391CBB" w:rsidR="00F900DA" w:rsidTr="00F900DA" w14:paraId="38EC9A9F" w14:textId="77777777">
        <w:tc>
          <w:tcPr>
            <w:tcW w:w="566" w:type="dxa"/>
            <w:hideMark/>
          </w:tcPr>
          <w:p w:rsidR="00F900DA" w:rsidP="005F0DAE" w:rsidRDefault="00F900DA" w14:paraId="21A669A0" w14:textId="77777777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082EDE38" w14:textId="77777777">
            <w:r w:rsidRPr="00391CBB">
              <w:t>Hoe beoordeelt het kabinet het risico dat dit tot nieuwe schrijnende gevallen leidt en welke oplossingsrichtingen worden hiervoor overwogen?</w:t>
            </w:r>
          </w:p>
        </w:tc>
      </w:tr>
      <w:tr w:rsidRPr="00391CBB" w:rsidR="00F900DA" w:rsidTr="00F900DA" w14:paraId="0746BDF5" w14:textId="77777777">
        <w:tc>
          <w:tcPr>
            <w:tcW w:w="566" w:type="dxa"/>
            <w:hideMark/>
          </w:tcPr>
          <w:p w:rsidR="00F900DA" w:rsidP="005F0DAE" w:rsidRDefault="00F900DA" w14:paraId="67F48812" w14:textId="7777777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2B15113A" w14:textId="77777777">
            <w:r w:rsidRPr="00391CBB">
              <w:t>Wat is de gemiddelde doorlooptijd van een aanvullende schadeafhandeling en hoe verhoudt dit zich tot de doelstelling om eind 2027 alle zaken afgerond te hebben?</w:t>
            </w:r>
          </w:p>
        </w:tc>
      </w:tr>
      <w:tr w:rsidRPr="00391CBB" w:rsidR="00F900DA" w:rsidTr="00F900DA" w14:paraId="510474FC" w14:textId="77777777">
        <w:tc>
          <w:tcPr>
            <w:tcW w:w="566" w:type="dxa"/>
            <w:hideMark/>
          </w:tcPr>
          <w:p w:rsidR="00F900DA" w:rsidP="005F0DAE" w:rsidRDefault="00F900DA" w14:paraId="3FF20DC9" w14:textId="77777777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4407B12F" w14:textId="77777777">
            <w:r w:rsidRPr="00391CBB">
              <w:t>Hoe wordt de rol en het mandaat van de nieuw aan te stellen bestuurlijk regisseur ingevuld en welke bevoegdheden krijgt deze om de opschaling daadwerkelijk te versnellen?</w:t>
            </w:r>
          </w:p>
        </w:tc>
      </w:tr>
      <w:tr w:rsidRPr="00391CBB" w:rsidR="00F900DA" w:rsidTr="00F900DA" w14:paraId="0E83E0B9" w14:textId="77777777">
        <w:tc>
          <w:tcPr>
            <w:tcW w:w="566" w:type="dxa"/>
            <w:hideMark/>
          </w:tcPr>
          <w:p w:rsidR="00F900DA" w:rsidP="005F0DAE" w:rsidRDefault="00F900DA" w14:paraId="3308D3AB" w14:textId="77777777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74AD2514" w14:textId="77777777">
            <w:r w:rsidRPr="00391CBB">
              <w:t xml:space="preserve">Hoe wordt de samenwerking tussen </w:t>
            </w:r>
            <w:r>
              <w:t xml:space="preserve">de ministeries van </w:t>
            </w:r>
            <w:r w:rsidRPr="00391CBB">
              <w:t>SZW, VWS en Financiën geborgd bij de opschaling van de multiprobleemaanpak?</w:t>
            </w:r>
          </w:p>
        </w:tc>
      </w:tr>
      <w:tr w:rsidRPr="00391CBB" w:rsidR="00F900DA" w:rsidTr="00F900DA" w14:paraId="01B0A714" w14:textId="77777777">
        <w:tc>
          <w:tcPr>
            <w:tcW w:w="566" w:type="dxa"/>
            <w:hideMark/>
          </w:tcPr>
          <w:p w:rsidR="00F900DA" w:rsidP="005F0DAE" w:rsidRDefault="00F900DA" w14:paraId="7450D0CD" w14:textId="77777777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5B674022" w14:textId="77777777">
            <w:r w:rsidRPr="00391CBB">
              <w:t>Is het opschuiven van de uiterste aanvraagdatum van 1 januari 2026 naar een latere datum een reëel scenario?</w:t>
            </w:r>
          </w:p>
        </w:tc>
      </w:tr>
      <w:tr w:rsidRPr="00391CBB" w:rsidR="00F900DA" w:rsidTr="00F900DA" w14:paraId="5C82F905" w14:textId="77777777">
        <w:tc>
          <w:tcPr>
            <w:tcW w:w="566" w:type="dxa"/>
            <w:hideMark/>
          </w:tcPr>
          <w:p w:rsidR="00F900DA" w:rsidP="005F0DAE" w:rsidRDefault="00F900DA" w14:paraId="71065532" w14:textId="77777777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1AFF6272" w14:textId="77777777">
            <w:r w:rsidRPr="00391CBB">
              <w:t>Wat is de stand van zaken van het voldoen van de randvoorwaarden om het herstel eind 2027 afgerond te hebben?</w:t>
            </w:r>
          </w:p>
        </w:tc>
      </w:tr>
      <w:tr w:rsidRPr="00391CBB" w:rsidR="00F900DA" w:rsidTr="00F900DA" w14:paraId="1462E613" w14:textId="77777777">
        <w:tc>
          <w:tcPr>
            <w:tcW w:w="566" w:type="dxa"/>
            <w:hideMark/>
          </w:tcPr>
          <w:p w:rsidR="00F900DA" w:rsidP="005F0DAE" w:rsidRDefault="00F900DA" w14:paraId="27981BD8" w14:textId="7777777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1170FDF2" w14:textId="77777777">
            <w:r w:rsidRPr="00391CBB">
              <w:t xml:space="preserve">Welke afspraken zijn er gemaakt met </w:t>
            </w:r>
            <w:r>
              <w:t xml:space="preserve">de </w:t>
            </w:r>
            <w:r w:rsidRPr="00391CBB">
              <w:t>SGH over de deelnemersvoorwaarden?</w:t>
            </w:r>
          </w:p>
        </w:tc>
      </w:tr>
      <w:tr w:rsidRPr="00391CBB" w:rsidR="00F900DA" w:rsidTr="00F900DA" w14:paraId="79C4D18B" w14:textId="77777777">
        <w:tc>
          <w:tcPr>
            <w:tcW w:w="566" w:type="dxa"/>
            <w:hideMark/>
          </w:tcPr>
          <w:p w:rsidR="00F900DA" w:rsidP="005F0DAE" w:rsidRDefault="00F900DA" w14:paraId="312111D6" w14:textId="77777777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5CB61BA7" w14:textId="77777777">
            <w:r w:rsidRPr="00391CBB">
              <w:t>Welke benodigde voorbereidingen worden er getroffen om vanaf september stapsgewijs qua volume te kunnen opschalen?</w:t>
            </w:r>
          </w:p>
        </w:tc>
      </w:tr>
      <w:tr w:rsidRPr="00391CBB" w:rsidR="00F900DA" w:rsidTr="00F900DA" w14:paraId="1A6ED05C" w14:textId="77777777">
        <w:tc>
          <w:tcPr>
            <w:tcW w:w="566" w:type="dxa"/>
            <w:hideMark/>
          </w:tcPr>
          <w:p w:rsidR="00F900DA" w:rsidP="005F0DAE" w:rsidRDefault="00F900DA" w14:paraId="0EA7B9FC" w14:textId="7777777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5396AF05" w14:textId="77777777">
            <w:r w:rsidRPr="00391CBB">
              <w:t>Naar welke aantallen wordt er dan opgeschaald?</w:t>
            </w:r>
          </w:p>
        </w:tc>
      </w:tr>
      <w:tr w:rsidRPr="00391CBB" w:rsidR="00F900DA" w:rsidTr="00F900DA" w14:paraId="384F73B2" w14:textId="77777777">
        <w:tc>
          <w:tcPr>
            <w:tcW w:w="566" w:type="dxa"/>
            <w:hideMark/>
          </w:tcPr>
          <w:p w:rsidR="00F900DA" w:rsidP="005F0DAE" w:rsidRDefault="00F900DA" w14:paraId="283C12D2" w14:textId="77777777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372" w:type="dxa"/>
            <w:hideMark/>
          </w:tcPr>
          <w:p w:rsidRPr="00F37813" w:rsidR="00F900DA" w:rsidP="005F0DAE" w:rsidRDefault="00F900DA" w14:paraId="23AABB03" w14:textId="77777777">
            <w:r w:rsidRPr="00391CBB">
              <w:t>Waar is de keuze op gebaseerd om een andere werkwijze ten aanzien van de kwaliteitsborging in de SGH-route te gebruiken?</w:t>
            </w:r>
          </w:p>
        </w:tc>
      </w:tr>
      <w:tr w:rsidRPr="00391CBB" w:rsidR="00F900DA" w:rsidTr="00F900DA" w14:paraId="3EC4BAF7" w14:textId="77777777">
        <w:tc>
          <w:tcPr>
            <w:tcW w:w="566" w:type="dxa"/>
            <w:hideMark/>
          </w:tcPr>
          <w:p w:rsidR="00F900DA" w:rsidP="005F0DAE" w:rsidRDefault="00F900DA" w14:paraId="5B1636A6" w14:textId="7777777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7E3B66FA" w14:textId="77777777">
            <w:r w:rsidRPr="00391CBB">
              <w:t>Welke versnelling wordt er verwacht?</w:t>
            </w:r>
          </w:p>
        </w:tc>
      </w:tr>
      <w:tr w:rsidRPr="00391CBB" w:rsidR="00F900DA" w:rsidTr="00F900DA" w14:paraId="1254683B" w14:textId="77777777">
        <w:tc>
          <w:tcPr>
            <w:tcW w:w="566" w:type="dxa"/>
            <w:hideMark/>
          </w:tcPr>
          <w:p w:rsidR="00F900DA" w:rsidP="005F0DAE" w:rsidRDefault="00F900DA" w14:paraId="1C457ABC" w14:textId="7777777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30825271" w14:textId="77777777">
            <w:r w:rsidRPr="00391CBB">
              <w:t>Hoeveel bezwaarzaken zijn het waarin het gaat om mensen die geen kinderen hebben en waarbij ook geen kinderopvangtoeslag aan de orde is?</w:t>
            </w:r>
          </w:p>
        </w:tc>
      </w:tr>
      <w:tr w:rsidRPr="00391CBB" w:rsidR="00F900DA" w:rsidTr="00F900DA" w14:paraId="68F8EA85" w14:textId="77777777">
        <w:tc>
          <w:tcPr>
            <w:tcW w:w="566" w:type="dxa"/>
            <w:hideMark/>
          </w:tcPr>
          <w:p w:rsidR="00F900DA" w:rsidP="005F0DAE" w:rsidRDefault="00F900DA" w14:paraId="4B2F6498" w14:textId="7777777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7432E7CB" w14:textId="77777777">
            <w:r w:rsidRPr="00391CBB">
              <w:t>Kan er een uitgebreidere uitleg gegeven worden over waar de conclusie op gebaseerd is dat het in breder verband opvolging verdient?</w:t>
            </w:r>
          </w:p>
        </w:tc>
      </w:tr>
      <w:tr w:rsidRPr="00391CBB" w:rsidR="00F900DA" w:rsidTr="00F900DA" w14:paraId="1BEE4693" w14:textId="77777777">
        <w:tc>
          <w:tcPr>
            <w:tcW w:w="566" w:type="dxa"/>
            <w:hideMark/>
          </w:tcPr>
          <w:p w:rsidR="00F900DA" w:rsidP="005F0DAE" w:rsidRDefault="00F900DA" w14:paraId="3049E5A8" w14:textId="7777777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372" w:type="dxa"/>
            <w:hideMark/>
          </w:tcPr>
          <w:p w:rsidRPr="00F900DA" w:rsidR="00F900DA" w:rsidP="005F0DAE" w:rsidRDefault="00F900DA" w14:paraId="1DFC22BE" w14:textId="77777777">
            <w:r w:rsidRPr="00391CBB">
              <w:t>Van wie is het wel de taak om verder te verkennen of het mogelijk is om dwangsommen af te schaffen?</w:t>
            </w:r>
          </w:p>
        </w:tc>
      </w:tr>
      <w:tr w:rsidRPr="00391CBB" w:rsidR="00F900DA" w:rsidTr="00F900DA" w14:paraId="44068391" w14:textId="77777777">
        <w:tc>
          <w:tcPr>
            <w:tcW w:w="566" w:type="dxa"/>
            <w:hideMark/>
          </w:tcPr>
          <w:p w:rsidR="00F900DA" w:rsidP="005F0DAE" w:rsidRDefault="00F900DA" w14:paraId="1F1628BB" w14:textId="7777777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302551AC" w14:textId="77777777">
            <w:r w:rsidRPr="00391CBB">
              <w:t>Wat zijn de rechtsgronden van de verklaringen van de bezwaren?</w:t>
            </w:r>
          </w:p>
        </w:tc>
      </w:tr>
      <w:tr w:rsidRPr="00391CBB" w:rsidR="00F900DA" w:rsidTr="00F900DA" w14:paraId="06D742AD" w14:textId="77777777">
        <w:tc>
          <w:tcPr>
            <w:tcW w:w="566" w:type="dxa"/>
            <w:hideMark/>
          </w:tcPr>
          <w:p w:rsidR="00F900DA" w:rsidP="005F0DAE" w:rsidRDefault="00F900DA" w14:paraId="48F235C8" w14:textId="77777777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0F061DEA" w14:textId="77777777">
            <w:r w:rsidRPr="00391CBB">
              <w:t>Wat is het vervolg van het generieke schikkingsvoorstel?</w:t>
            </w:r>
          </w:p>
        </w:tc>
      </w:tr>
      <w:tr w:rsidRPr="00391CBB" w:rsidR="00F900DA" w:rsidTr="00F900DA" w14:paraId="6FEC2AC7" w14:textId="77777777">
        <w:tc>
          <w:tcPr>
            <w:tcW w:w="566" w:type="dxa"/>
            <w:hideMark/>
          </w:tcPr>
          <w:p w:rsidR="00F900DA" w:rsidP="005F0DAE" w:rsidRDefault="00F900DA" w14:paraId="0B259994" w14:textId="77777777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3C81751E" w14:textId="77777777">
            <w:r w:rsidRPr="00391CBB">
              <w:t>Wat zijn de eerste resultaten van de evaluatie van de pilot?</w:t>
            </w:r>
          </w:p>
        </w:tc>
      </w:tr>
      <w:tr w:rsidRPr="00391CBB" w:rsidR="00F900DA" w:rsidTr="00F900DA" w14:paraId="526B246A" w14:textId="77777777">
        <w:tc>
          <w:tcPr>
            <w:tcW w:w="566" w:type="dxa"/>
            <w:hideMark/>
          </w:tcPr>
          <w:p w:rsidR="00F900DA" w:rsidP="005F0DAE" w:rsidRDefault="00F900DA" w14:paraId="523208CE" w14:textId="77777777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6488B20E" w14:textId="77777777">
            <w:r w:rsidRPr="00391CBB">
              <w:t xml:space="preserve">Wat is de stand van zaken van het proces dat </w:t>
            </w:r>
            <w:r>
              <w:t xml:space="preserve">de </w:t>
            </w:r>
            <w:r w:rsidRPr="00391CBB">
              <w:t xml:space="preserve">UHT </w:t>
            </w:r>
            <w:r>
              <w:t xml:space="preserve">(Uitvoeringsorganisatie Herstel Toeslagen) heeft </w:t>
            </w:r>
            <w:r w:rsidRPr="00391CBB">
              <w:t>ontwikkeld?</w:t>
            </w:r>
          </w:p>
        </w:tc>
      </w:tr>
      <w:tr w:rsidRPr="00391CBB" w:rsidR="00F900DA" w:rsidTr="00F900DA" w14:paraId="331A5F8C" w14:textId="77777777">
        <w:tc>
          <w:tcPr>
            <w:tcW w:w="566" w:type="dxa"/>
            <w:hideMark/>
          </w:tcPr>
          <w:p w:rsidR="00F900DA" w:rsidP="005F0DAE" w:rsidRDefault="00F900DA" w14:paraId="7360CD59" w14:textId="77777777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63B2BD2D" w14:textId="77777777">
            <w:r w:rsidRPr="00391CBB">
              <w:t>Wat is de stand van zaken van het herzien van het stelsel voor compensatie voor de werkelijke schade voor ex-partners?</w:t>
            </w:r>
          </w:p>
        </w:tc>
      </w:tr>
      <w:tr w:rsidRPr="00391CBB" w:rsidR="00F900DA" w:rsidTr="00F900DA" w14:paraId="562B495D" w14:textId="77777777">
        <w:tc>
          <w:tcPr>
            <w:tcW w:w="566" w:type="dxa"/>
            <w:hideMark/>
          </w:tcPr>
          <w:p w:rsidR="00F900DA" w:rsidP="005F0DAE" w:rsidRDefault="00F900DA" w14:paraId="15D05980" w14:textId="7777777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372" w:type="dxa"/>
            <w:hideMark/>
          </w:tcPr>
          <w:p w:rsidRPr="00391CBB" w:rsidR="00F900DA" w:rsidP="005F0DAE" w:rsidRDefault="00F900DA" w14:paraId="75063C98" w14:textId="77777777">
            <w:r w:rsidRPr="00391CBB">
              <w:t>Wat is de stand van zaken van het onafhankelijke onderzoek naar aanleiding van meldingen bij de hersteloperatie</w:t>
            </w:r>
            <w:r>
              <w:t>?</w:t>
            </w:r>
          </w:p>
        </w:tc>
      </w:tr>
    </w:tbl>
    <w:p w:rsidR="00F900DA" w:rsidP="00F900DA" w:rsidRDefault="00F900DA" w14:paraId="55AA5CB6" w14:textId="77777777"/>
    <w:p w:rsidR="00766FA0" w:rsidRDefault="00766FA0" w14:paraId="03B3897D" w14:textId="77777777"/>
    <w:sectPr w:rsidR="00766FA0" w:rsidSect="00F900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C971" w14:textId="77777777" w:rsidR="00F900DA" w:rsidRDefault="00F900DA" w:rsidP="00F900DA">
      <w:pPr>
        <w:spacing w:after="0" w:line="240" w:lineRule="auto"/>
      </w:pPr>
      <w:r>
        <w:separator/>
      </w:r>
    </w:p>
  </w:endnote>
  <w:endnote w:type="continuationSeparator" w:id="0">
    <w:p w14:paraId="529C8D5A" w14:textId="77777777" w:rsidR="00F900DA" w:rsidRDefault="00F900DA" w:rsidP="00F9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5A75" w14:textId="77777777" w:rsidR="00F900DA" w:rsidRPr="00F900DA" w:rsidRDefault="00F900DA" w:rsidP="00F900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7864" w14:textId="77777777" w:rsidR="00F900DA" w:rsidRPr="00F900DA" w:rsidRDefault="00F900DA" w:rsidP="00F900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D53E" w14:textId="77777777" w:rsidR="00F900DA" w:rsidRPr="00F900DA" w:rsidRDefault="00F900DA" w:rsidP="00F900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37B1" w14:textId="77777777" w:rsidR="00F900DA" w:rsidRDefault="00F900DA" w:rsidP="00F900DA">
      <w:pPr>
        <w:spacing w:after="0" w:line="240" w:lineRule="auto"/>
      </w:pPr>
      <w:r>
        <w:separator/>
      </w:r>
    </w:p>
  </w:footnote>
  <w:footnote w:type="continuationSeparator" w:id="0">
    <w:p w14:paraId="2C32C339" w14:textId="77777777" w:rsidR="00F900DA" w:rsidRDefault="00F900DA" w:rsidP="00F90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FDB4" w14:textId="77777777" w:rsidR="00F900DA" w:rsidRPr="00F900DA" w:rsidRDefault="00F900DA" w:rsidP="00F900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C865" w14:textId="77777777" w:rsidR="00F900DA" w:rsidRPr="00F900DA" w:rsidRDefault="00F900DA" w:rsidP="00F900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D3C9" w14:textId="77777777" w:rsidR="00F900DA" w:rsidRPr="00F900DA" w:rsidRDefault="00F900DA" w:rsidP="00F900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DA"/>
    <w:rsid w:val="006E15CA"/>
    <w:rsid w:val="006F0376"/>
    <w:rsid w:val="00766FA0"/>
    <w:rsid w:val="00F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498B"/>
  <w15:chartTrackingRefBased/>
  <w15:docId w15:val="{5AAEC0A5-22D6-46BC-8578-645934B4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F9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0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0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0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00D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00D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00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00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00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00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00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00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00D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00D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00DA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rsid w:val="00F900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900DA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character" w:styleId="Paginanummer">
    <w:name w:val="page number"/>
    <w:basedOn w:val="Standaardalinea-lettertype"/>
    <w:rsid w:val="00F900DA"/>
  </w:style>
  <w:style w:type="paragraph" w:styleId="Koptekst">
    <w:name w:val="header"/>
    <w:basedOn w:val="Standaard"/>
    <w:link w:val="KoptekstChar"/>
    <w:uiPriority w:val="99"/>
    <w:unhideWhenUsed/>
    <w:rsid w:val="00F90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00DA"/>
  </w:style>
  <w:style w:type="paragraph" w:styleId="Geenafstand">
    <w:name w:val="No Spacing"/>
    <w:uiPriority w:val="1"/>
    <w:qFormat/>
    <w:rsid w:val="00F9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727</ap:Words>
  <ap:Characters>3999</ap:Characters>
  <ap:DocSecurity>0</ap:DocSecurity>
  <ap:Lines>33</ap:Lines>
  <ap:Paragraphs>9</ap:Paragraphs>
  <ap:ScaleCrop>false</ap:ScaleCrop>
  <ap:LinksUpToDate>false</ap:LinksUpToDate>
  <ap:CharactersWithSpaces>4717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2025-09-11T13:11:00.0000000Z</dcterms:created>
  <dcterms:modified xsi:type="dcterms:W3CDTF">2025-09-11T13:16:00.0000000Z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