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3EEE" w:rsidR="00D338D4" w:rsidRDefault="006D0991" w14:paraId="7BC0ED96" w14:textId="41E9AC64">
      <w:pPr>
        <w:rPr>
          <w:rFonts w:ascii="Calibri" w:hAnsi="Calibri" w:cs="Calibri"/>
        </w:rPr>
      </w:pPr>
      <w:r w:rsidRPr="00EE3EEE">
        <w:rPr>
          <w:rFonts w:ascii="Calibri" w:hAnsi="Calibri" w:cs="Calibri"/>
        </w:rPr>
        <w:t>32</w:t>
      </w:r>
      <w:r w:rsidRPr="00EE3EEE" w:rsidR="00EE3EEE">
        <w:rPr>
          <w:rFonts w:ascii="Calibri" w:hAnsi="Calibri" w:cs="Calibri"/>
        </w:rPr>
        <w:t xml:space="preserve"> </w:t>
      </w:r>
      <w:r w:rsidRPr="00EE3EEE">
        <w:rPr>
          <w:rFonts w:ascii="Calibri" w:hAnsi="Calibri" w:cs="Calibri"/>
        </w:rPr>
        <w:t>668</w:t>
      </w:r>
      <w:r w:rsidRPr="00EE3EEE" w:rsidR="00D338D4">
        <w:rPr>
          <w:rFonts w:ascii="Calibri" w:hAnsi="Calibri" w:cs="Calibri"/>
        </w:rPr>
        <w:tab/>
      </w:r>
      <w:r w:rsidRPr="00EE3EEE" w:rsidR="00D338D4">
        <w:rPr>
          <w:rFonts w:ascii="Calibri" w:hAnsi="Calibri" w:cs="Calibri"/>
        </w:rPr>
        <w:tab/>
      </w:r>
      <w:r w:rsidRPr="00EE3EEE" w:rsidR="00D338D4">
        <w:rPr>
          <w:rFonts w:ascii="Calibri" w:hAnsi="Calibri" w:cs="Calibri"/>
          <w:bCs/>
        </w:rPr>
        <w:t>Structuurvisie ZuidasDok</w:t>
      </w:r>
    </w:p>
    <w:p w:rsidRPr="00EE3EEE" w:rsidR="00D338D4" w:rsidP="004474D9" w:rsidRDefault="00D338D4" w14:paraId="53F2353F" w14:textId="77777777">
      <w:pPr>
        <w:rPr>
          <w:rFonts w:ascii="Calibri" w:hAnsi="Calibri" w:cs="Calibri"/>
          <w:color w:val="000000"/>
        </w:rPr>
      </w:pPr>
      <w:r w:rsidRPr="00EE3EEE">
        <w:rPr>
          <w:rFonts w:ascii="Calibri" w:hAnsi="Calibri" w:cs="Calibri"/>
        </w:rPr>
        <w:t xml:space="preserve">Nr. </w:t>
      </w:r>
      <w:r w:rsidRPr="00EE3EEE" w:rsidR="006D0991">
        <w:rPr>
          <w:rFonts w:ascii="Calibri" w:hAnsi="Calibri" w:cs="Calibri"/>
        </w:rPr>
        <w:t>25</w:t>
      </w:r>
      <w:r w:rsidRPr="00EE3EEE">
        <w:rPr>
          <w:rFonts w:ascii="Calibri" w:hAnsi="Calibri" w:cs="Calibri"/>
        </w:rPr>
        <w:tab/>
      </w:r>
      <w:r w:rsidRPr="00EE3EEE">
        <w:rPr>
          <w:rFonts w:ascii="Calibri" w:hAnsi="Calibri" w:cs="Calibri"/>
        </w:rPr>
        <w:tab/>
        <w:t>Brief van de minister van Infrastructuur en Waterstaat</w:t>
      </w:r>
    </w:p>
    <w:p w:rsidRPr="00EE3EEE" w:rsidR="006D0991" w:rsidP="006D0991" w:rsidRDefault="00D338D4" w14:paraId="3F17B7F8" w14:textId="448E1678">
      <w:pPr>
        <w:autoSpaceDE w:val="0"/>
        <w:adjustRightInd w:val="0"/>
        <w:spacing w:line="240" w:lineRule="atLeast"/>
        <w:rPr>
          <w:rFonts w:ascii="Calibri" w:hAnsi="Calibri" w:cs="Calibri"/>
        </w:rPr>
      </w:pPr>
      <w:r w:rsidRPr="00EE3EEE">
        <w:rPr>
          <w:rFonts w:ascii="Calibri" w:hAnsi="Calibri" w:cs="Calibri"/>
        </w:rPr>
        <w:t>Aan de Voorzitter van de Tweede Kamer der Staten-Generaal</w:t>
      </w:r>
    </w:p>
    <w:p w:rsidRPr="00EE3EEE" w:rsidR="00D338D4" w:rsidP="006D0991" w:rsidRDefault="00D338D4" w14:paraId="2E3D49AB" w14:textId="140CDA93">
      <w:pPr>
        <w:autoSpaceDE w:val="0"/>
        <w:adjustRightInd w:val="0"/>
        <w:spacing w:line="240" w:lineRule="atLeast"/>
        <w:rPr>
          <w:rFonts w:ascii="Calibri" w:hAnsi="Calibri" w:cs="Calibri"/>
        </w:rPr>
      </w:pPr>
      <w:r w:rsidRPr="00EE3EEE">
        <w:rPr>
          <w:rFonts w:ascii="Calibri" w:hAnsi="Calibri" w:cs="Calibri"/>
        </w:rPr>
        <w:t>Den Haag, 5 september 2025</w:t>
      </w:r>
    </w:p>
    <w:p w:rsidRPr="00EE3EEE" w:rsidR="006D0991" w:rsidP="006D0991" w:rsidRDefault="006D0991" w14:paraId="7FCC0E5E" w14:textId="77777777">
      <w:pPr>
        <w:autoSpaceDE w:val="0"/>
        <w:adjustRightInd w:val="0"/>
        <w:spacing w:line="240" w:lineRule="atLeast"/>
        <w:rPr>
          <w:rFonts w:ascii="Calibri" w:hAnsi="Calibri" w:cs="Calibri"/>
        </w:rPr>
      </w:pPr>
    </w:p>
    <w:p w:rsidRPr="00EE3EEE" w:rsidR="006D0991" w:rsidP="006D0991" w:rsidRDefault="006D0991" w14:paraId="7EE5B3E2" w14:textId="0BF98E12">
      <w:pPr>
        <w:autoSpaceDE w:val="0"/>
        <w:adjustRightInd w:val="0"/>
        <w:spacing w:line="240" w:lineRule="atLeast"/>
        <w:rPr>
          <w:rFonts w:ascii="Calibri" w:hAnsi="Calibri" w:cs="Calibri"/>
        </w:rPr>
      </w:pPr>
      <w:r w:rsidRPr="00EE3EEE">
        <w:rPr>
          <w:rFonts w:ascii="Calibri" w:hAnsi="Calibri" w:cs="Calibri"/>
        </w:rPr>
        <w:t xml:space="preserve">Hierbij ontvangt u de tweede halfjaarrapportage 2024 over het programma Zuidasdok betreffende de periode juli tot en met december 2024. Met de halfjaarrapportages wordt u geïnformeerd over de voortgang van het programma in het betreffende halfjaar. </w:t>
      </w:r>
    </w:p>
    <w:p w:rsidRPr="00EE3EEE" w:rsidR="006D0991" w:rsidP="006D0991" w:rsidRDefault="006D0991" w14:paraId="4D32CFF3" w14:textId="77777777">
      <w:pPr>
        <w:autoSpaceDE w:val="0"/>
        <w:adjustRightInd w:val="0"/>
        <w:spacing w:line="240" w:lineRule="atLeast"/>
        <w:rPr>
          <w:rFonts w:ascii="Calibri" w:hAnsi="Calibri" w:cs="Calibri"/>
        </w:rPr>
      </w:pPr>
    </w:p>
    <w:p w:rsidRPr="00EE3EEE" w:rsidR="006D0991" w:rsidP="006D0991" w:rsidRDefault="006D0991" w14:paraId="31607804" w14:textId="77777777">
      <w:pPr>
        <w:autoSpaceDE w:val="0"/>
        <w:adjustRightInd w:val="0"/>
        <w:spacing w:line="240" w:lineRule="atLeast"/>
        <w:rPr>
          <w:rFonts w:ascii="Calibri" w:hAnsi="Calibri" w:cs="Calibri"/>
        </w:rPr>
      </w:pPr>
      <w:r w:rsidRPr="00EE3EEE">
        <w:rPr>
          <w:rFonts w:ascii="Calibri" w:hAnsi="Calibri" w:cs="Calibri"/>
          <w:i/>
          <w:iCs/>
        </w:rPr>
        <w:t>Voortgang projecten</w:t>
      </w:r>
    </w:p>
    <w:p w:rsidRPr="00EE3EEE" w:rsidR="006D0991" w:rsidP="006D0991" w:rsidRDefault="006D0991" w14:paraId="5CE90A04" w14:textId="77777777">
      <w:pPr>
        <w:autoSpaceDE w:val="0"/>
        <w:adjustRightInd w:val="0"/>
        <w:spacing w:line="240" w:lineRule="atLeast"/>
        <w:rPr>
          <w:rFonts w:ascii="Calibri" w:hAnsi="Calibri" w:cs="Calibri"/>
        </w:rPr>
      </w:pPr>
      <w:r w:rsidRPr="00EE3EEE">
        <w:rPr>
          <w:rFonts w:ascii="Calibri" w:hAnsi="Calibri" w:cs="Calibri"/>
        </w:rPr>
        <w:t>De projecten OVT (openbaar vervoerterminal) en KNM (knooppunt De Nieuwe Meer) hebben in de tweede helft van 2024 belangrijke voortgang geboekt, zoals het op hun plek brengen van de laatste dakdelen van de nieuwe stationspassage. De uitvoeringswerkzaamheden worden in de rapportage uitgebreid toegelicht. Voor het project KNA (knooppunt Amstel) is in november de aanbesteding gestart. Twee bouwcombinaties zijn geselecteerd voor het doorlopen van de aanbestedingsprocedure; gunning is gepland in november 2025. In september is het ontwerp en de bouw van de tunnel definitief gegund aan VolkerWessels Infra en wordt in delen opgedragen. Het tunnelontwerp wordt gemaakt in een bouwteam (een samenwerkingsverband tussen Zuidasdok en VolkerWessels Infra). Het gereedkomen van het integrale voorontwerp van de tunnels staat gepland voor het vierde kwartaal van 2025.</w:t>
      </w:r>
    </w:p>
    <w:p w:rsidRPr="00EE3EEE" w:rsidR="006D0991" w:rsidP="006D0991" w:rsidRDefault="006D0991" w14:paraId="7332301D" w14:textId="77777777">
      <w:pPr>
        <w:autoSpaceDE w:val="0"/>
        <w:adjustRightInd w:val="0"/>
        <w:spacing w:line="240" w:lineRule="atLeast"/>
        <w:rPr>
          <w:rFonts w:ascii="Calibri" w:hAnsi="Calibri" w:cs="Calibri"/>
        </w:rPr>
      </w:pPr>
    </w:p>
    <w:p w:rsidRPr="00EE3EEE" w:rsidR="006D0991" w:rsidP="006D0991" w:rsidRDefault="006D0991" w14:paraId="676CC19E" w14:textId="77777777">
      <w:pPr>
        <w:autoSpaceDE w:val="0"/>
        <w:adjustRightInd w:val="0"/>
        <w:spacing w:line="240" w:lineRule="atLeast"/>
        <w:rPr>
          <w:rFonts w:ascii="Calibri" w:hAnsi="Calibri" w:cs="Calibri"/>
          <w:i/>
          <w:iCs/>
        </w:rPr>
      </w:pPr>
      <w:r w:rsidRPr="00EE3EEE">
        <w:rPr>
          <w:rFonts w:ascii="Calibri" w:hAnsi="Calibri" w:cs="Calibri"/>
          <w:i/>
          <w:iCs/>
        </w:rPr>
        <w:t>Planning</w:t>
      </w:r>
    </w:p>
    <w:p w:rsidRPr="00EE3EEE" w:rsidR="006D0991" w:rsidP="006D0991" w:rsidRDefault="006D0991" w14:paraId="524CB89E" w14:textId="77777777">
      <w:pPr>
        <w:autoSpaceDE w:val="0"/>
        <w:adjustRightInd w:val="0"/>
        <w:spacing w:line="240" w:lineRule="atLeast"/>
        <w:rPr>
          <w:rFonts w:ascii="Calibri" w:hAnsi="Calibri" w:cs="Calibri"/>
        </w:rPr>
      </w:pPr>
      <w:bookmarkStart w:name="_Hlk193293239" w:id="0"/>
      <w:r w:rsidRPr="00EE3EEE">
        <w:rPr>
          <w:rFonts w:ascii="Calibri" w:hAnsi="Calibri" w:cs="Calibri"/>
        </w:rPr>
        <w:t>Ten aanzien van de planning laat de rapportage zien dat in de projecten OVT en KNA vertraging is opgelopen. In de eerste helft van 2025 komt meer inzicht in de exacte omvang hiervan en wordt de druk op de eindmijlpaal met de bestuurders besproken.</w:t>
      </w:r>
    </w:p>
    <w:bookmarkEnd w:id="0"/>
    <w:p w:rsidRPr="00EE3EEE" w:rsidR="006D0991" w:rsidP="006D0991" w:rsidRDefault="006D0991" w14:paraId="645366A7" w14:textId="77777777">
      <w:pPr>
        <w:autoSpaceDE w:val="0"/>
        <w:adjustRightInd w:val="0"/>
        <w:spacing w:line="240" w:lineRule="atLeast"/>
        <w:rPr>
          <w:rFonts w:ascii="Calibri" w:hAnsi="Calibri" w:cs="Calibri"/>
        </w:rPr>
      </w:pPr>
    </w:p>
    <w:p w:rsidRPr="00EE3EEE" w:rsidR="006D0991" w:rsidP="006D0991" w:rsidRDefault="006D0991" w14:paraId="6E960C07" w14:textId="77777777">
      <w:pPr>
        <w:autoSpaceDE w:val="0"/>
        <w:adjustRightInd w:val="0"/>
        <w:spacing w:line="240" w:lineRule="atLeast"/>
        <w:rPr>
          <w:rFonts w:ascii="Calibri" w:hAnsi="Calibri" w:cs="Calibri"/>
          <w:i/>
          <w:iCs/>
        </w:rPr>
      </w:pPr>
      <w:r w:rsidRPr="00EE3EEE">
        <w:rPr>
          <w:rFonts w:ascii="Calibri" w:hAnsi="Calibri" w:cs="Calibri"/>
          <w:i/>
          <w:iCs/>
        </w:rPr>
        <w:t>Financiële ontwikkelingen</w:t>
      </w:r>
    </w:p>
    <w:p w:rsidRPr="00EE3EEE" w:rsidR="006D0991" w:rsidP="006D0991" w:rsidRDefault="006D0991" w14:paraId="0D584FF3" w14:textId="77777777">
      <w:pPr>
        <w:autoSpaceDE w:val="0"/>
        <w:adjustRightInd w:val="0"/>
        <w:spacing w:line="240" w:lineRule="atLeast"/>
        <w:rPr>
          <w:rFonts w:ascii="Calibri" w:hAnsi="Calibri" w:cs="Calibri"/>
        </w:rPr>
      </w:pPr>
      <w:r w:rsidRPr="00EE3EEE">
        <w:rPr>
          <w:rFonts w:ascii="Calibri" w:hAnsi="Calibri" w:cs="Calibri"/>
        </w:rPr>
        <w:t xml:space="preserve">In december 2023 bent u geïnformeerd over het verwachte tekort op het programma van € 600 mln. tot € 800 mln. Het in de rapportage vermelde verschil tussen het beschikbare budget en de prognose van de eindkosten </w:t>
      </w:r>
    </w:p>
    <w:p w:rsidRPr="00EE3EEE" w:rsidR="006D0991" w:rsidP="006D0991" w:rsidRDefault="006D0991" w14:paraId="0FFFC3DE" w14:textId="77777777">
      <w:pPr>
        <w:autoSpaceDE w:val="0"/>
        <w:adjustRightInd w:val="0"/>
        <w:spacing w:line="240" w:lineRule="atLeast"/>
        <w:rPr>
          <w:rFonts w:ascii="Calibri" w:hAnsi="Calibri" w:cs="Calibri"/>
        </w:rPr>
      </w:pPr>
      <w:r w:rsidRPr="00EE3EEE">
        <w:rPr>
          <w:rFonts w:ascii="Calibri" w:hAnsi="Calibri" w:cs="Calibri"/>
        </w:rPr>
        <w:lastRenderedPageBreak/>
        <w:t>(budgetspanning) is € 536 mln.</w:t>
      </w:r>
      <w:r w:rsidRPr="00EE3EEE">
        <w:rPr>
          <w:rStyle w:val="Voetnootmarkering"/>
          <w:rFonts w:ascii="Calibri" w:hAnsi="Calibri" w:cs="Calibri"/>
        </w:rPr>
        <w:footnoteReference w:id="1"/>
      </w:r>
      <w:r w:rsidRPr="00EE3EEE">
        <w:rPr>
          <w:rFonts w:ascii="Calibri" w:hAnsi="Calibri" w:cs="Calibri"/>
        </w:rPr>
        <w:t>.</w:t>
      </w:r>
      <w:r w:rsidRPr="00EE3EEE">
        <w:rPr>
          <w:rFonts w:ascii="Calibri" w:hAnsi="Calibri" w:eastAsia="MS Reference Sans Serif" w:cs="Calibri"/>
        </w:rPr>
        <w:t xml:space="preserve"> Daarnaast geeft het programma aan dat aanvullend rekening moet worden gehouden met een risico op hogere aanbiedingen als gevolg van markteffecten die spelen op het moment van de marktbenadering (ca. € 150 mln.).</w:t>
      </w:r>
      <w:r w:rsidRPr="00EE3EEE">
        <w:rPr>
          <w:rFonts w:ascii="Calibri" w:hAnsi="Calibri" w:cs="Calibri"/>
        </w:rPr>
        <w:t xml:space="preserve"> Dit sluit aan bij het eerder gemelde beeld. </w:t>
      </w:r>
      <w:r w:rsidRPr="00EE3EEE">
        <w:rPr>
          <w:rFonts w:ascii="Calibri" w:hAnsi="Calibri" w:eastAsia="Corbel" w:cs="Calibri"/>
          <w:bCs/>
        </w:rPr>
        <w:t xml:space="preserve">Gaande het ontwerpproces van de tunnel ontstaat meer duidelijkheid over risico’s, planning en kosten. Met oog op het tekort en het lopende ontwerpproces van de tunnel hebben de opdrachtgevers afgesproken uiterlijk in de tweede helft van 2025 een besluit te nemen. U wordt over het (verwachte) tekort nog nader geïnformeerd. </w:t>
      </w:r>
    </w:p>
    <w:p w:rsidRPr="00EE3EEE" w:rsidR="006D0991" w:rsidP="006D0991" w:rsidRDefault="006D0991" w14:paraId="6209E407" w14:textId="77777777">
      <w:pPr>
        <w:autoSpaceDE w:val="0"/>
        <w:adjustRightInd w:val="0"/>
        <w:spacing w:line="240" w:lineRule="atLeast"/>
        <w:rPr>
          <w:rFonts w:ascii="Calibri" w:hAnsi="Calibri" w:cs="Calibri"/>
        </w:rPr>
      </w:pPr>
    </w:p>
    <w:p w:rsidRPr="00EE3EEE" w:rsidR="00EE3EEE" w:rsidP="00EE3EEE" w:rsidRDefault="00EE3EEE" w14:paraId="3947056D" w14:textId="0AE78082">
      <w:pPr>
        <w:pStyle w:val="Geenafstand"/>
        <w:rPr>
          <w:rFonts w:ascii="Calibri" w:hAnsi="Calibri" w:cs="Calibri"/>
          <w:color w:val="000000"/>
        </w:rPr>
      </w:pPr>
      <w:r w:rsidRPr="00EE3EEE">
        <w:rPr>
          <w:rFonts w:ascii="Calibri" w:hAnsi="Calibri" w:cs="Calibri"/>
        </w:rPr>
        <w:t>De minister van Infrastructuur en Waterstaat,</w:t>
      </w:r>
    </w:p>
    <w:p w:rsidRPr="00EE3EEE" w:rsidR="006D0991" w:rsidP="00EE3EEE" w:rsidRDefault="006D0991" w14:paraId="64810990" w14:textId="7E464A5D">
      <w:pPr>
        <w:pStyle w:val="Geenafstand"/>
        <w:rPr>
          <w:rFonts w:ascii="Calibri" w:hAnsi="Calibri" w:cs="Calibri"/>
          <w:i/>
          <w:iCs/>
        </w:rPr>
      </w:pPr>
      <w:r w:rsidRPr="00EE3EEE">
        <w:rPr>
          <w:rFonts w:ascii="Calibri" w:hAnsi="Calibri" w:cs="Calibri"/>
          <w:iCs/>
        </w:rPr>
        <w:t>R. Tieman</w:t>
      </w:r>
    </w:p>
    <w:p w:rsidRPr="00EE3EEE" w:rsidR="00E6311E" w:rsidRDefault="00E6311E" w14:paraId="7B97DA64" w14:textId="77777777">
      <w:pPr>
        <w:rPr>
          <w:rFonts w:ascii="Calibri" w:hAnsi="Calibri" w:cs="Calibri"/>
        </w:rPr>
      </w:pPr>
    </w:p>
    <w:sectPr w:rsidRPr="00EE3EEE" w:rsidR="00E6311E" w:rsidSect="006D0991">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3E17" w14:textId="77777777" w:rsidR="006D0991" w:rsidRDefault="006D0991" w:rsidP="006D0991">
      <w:pPr>
        <w:spacing w:after="0" w:line="240" w:lineRule="auto"/>
      </w:pPr>
      <w:r>
        <w:separator/>
      </w:r>
    </w:p>
  </w:endnote>
  <w:endnote w:type="continuationSeparator" w:id="0">
    <w:p w14:paraId="24B80BC2" w14:textId="77777777" w:rsidR="006D0991" w:rsidRDefault="006D0991" w:rsidP="006D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1D44" w14:textId="77777777" w:rsidR="006D0991" w:rsidRPr="006D0991" w:rsidRDefault="006D0991" w:rsidP="006D09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C179" w14:textId="77777777" w:rsidR="006D0991" w:rsidRPr="006D0991" w:rsidRDefault="006D0991" w:rsidP="006D09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9861" w14:textId="77777777" w:rsidR="006D0991" w:rsidRPr="006D0991" w:rsidRDefault="006D0991" w:rsidP="006D09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1B4D" w14:textId="77777777" w:rsidR="006D0991" w:rsidRDefault="006D0991" w:rsidP="006D0991">
      <w:pPr>
        <w:spacing w:after="0" w:line="240" w:lineRule="auto"/>
      </w:pPr>
      <w:r>
        <w:separator/>
      </w:r>
    </w:p>
  </w:footnote>
  <w:footnote w:type="continuationSeparator" w:id="0">
    <w:p w14:paraId="6865D14E" w14:textId="77777777" w:rsidR="006D0991" w:rsidRDefault="006D0991" w:rsidP="006D0991">
      <w:pPr>
        <w:spacing w:after="0" w:line="240" w:lineRule="auto"/>
      </w:pPr>
      <w:r>
        <w:continuationSeparator/>
      </w:r>
    </w:p>
  </w:footnote>
  <w:footnote w:id="1">
    <w:p w14:paraId="010EE8AA" w14:textId="77777777" w:rsidR="006D0991" w:rsidRPr="00EE3EEE" w:rsidRDefault="006D0991" w:rsidP="006D0991">
      <w:pPr>
        <w:pStyle w:val="Voetnoottekst"/>
        <w:rPr>
          <w:rFonts w:ascii="Calibri" w:hAnsi="Calibri" w:cs="Calibri"/>
        </w:rPr>
      </w:pPr>
      <w:r w:rsidRPr="00EE3EEE">
        <w:rPr>
          <w:rStyle w:val="Voetnootmarkering"/>
          <w:rFonts w:ascii="Calibri" w:hAnsi="Calibri" w:cs="Calibri"/>
        </w:rPr>
        <w:footnoteRef/>
      </w:r>
      <w:r w:rsidRPr="00EE3EEE">
        <w:rPr>
          <w:rFonts w:ascii="Calibri" w:hAnsi="Calibri" w:cs="Calibri"/>
        </w:rPr>
        <w:t xml:space="preserve"> Bij de gunning van OVT-2 is er tijdelijk budget uit OVT-3 ingezet om het budgettaire tekort te dekken vooruitlopend op definitief budget. Er is € 87 mln. toegevoegd uit het Mobiliteitsfonds, waarbij wordt opgemerkt dat de verrekening met Amsterdam volgens de kaders van de procedurele en financiële afspraken over Zuidasdok nog moet plaats vinden.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7850" w14:textId="77777777" w:rsidR="006D0991" w:rsidRPr="006D0991" w:rsidRDefault="006D0991" w:rsidP="006D09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6367" w14:textId="77777777" w:rsidR="006D0991" w:rsidRPr="006D0991" w:rsidRDefault="006D0991" w:rsidP="006D09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857B" w14:textId="77777777" w:rsidR="006D0991" w:rsidRPr="006D0991" w:rsidRDefault="006D0991" w:rsidP="006D09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91"/>
    <w:rsid w:val="0025703A"/>
    <w:rsid w:val="006D0991"/>
    <w:rsid w:val="00C57495"/>
    <w:rsid w:val="00D338D4"/>
    <w:rsid w:val="00DF3FDF"/>
    <w:rsid w:val="00E1404C"/>
    <w:rsid w:val="00E6311E"/>
    <w:rsid w:val="00EE3EEE"/>
    <w:rsid w:val="00F26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FD13"/>
  <w15:chartTrackingRefBased/>
  <w15:docId w15:val="{76F3C760-B0C6-4D46-94BA-8AFA5696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0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0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09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09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09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09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09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09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09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9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09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09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09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09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09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09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09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0991"/>
    <w:rPr>
      <w:rFonts w:eastAsiaTheme="majorEastAsia" w:cstheme="majorBidi"/>
      <w:color w:val="272727" w:themeColor="text1" w:themeTint="D8"/>
    </w:rPr>
  </w:style>
  <w:style w:type="paragraph" w:styleId="Titel">
    <w:name w:val="Title"/>
    <w:basedOn w:val="Standaard"/>
    <w:next w:val="Standaard"/>
    <w:link w:val="TitelChar"/>
    <w:uiPriority w:val="10"/>
    <w:qFormat/>
    <w:rsid w:val="006D0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09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09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09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09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0991"/>
    <w:rPr>
      <w:i/>
      <w:iCs/>
      <w:color w:val="404040" w:themeColor="text1" w:themeTint="BF"/>
    </w:rPr>
  </w:style>
  <w:style w:type="paragraph" w:styleId="Lijstalinea">
    <w:name w:val="List Paragraph"/>
    <w:basedOn w:val="Standaard"/>
    <w:uiPriority w:val="34"/>
    <w:qFormat/>
    <w:rsid w:val="006D0991"/>
    <w:pPr>
      <w:ind w:left="720"/>
      <w:contextualSpacing/>
    </w:pPr>
  </w:style>
  <w:style w:type="character" w:styleId="Intensievebenadrukking">
    <w:name w:val="Intense Emphasis"/>
    <w:basedOn w:val="Standaardalinea-lettertype"/>
    <w:uiPriority w:val="21"/>
    <w:qFormat/>
    <w:rsid w:val="006D0991"/>
    <w:rPr>
      <w:i/>
      <w:iCs/>
      <w:color w:val="0F4761" w:themeColor="accent1" w:themeShade="BF"/>
    </w:rPr>
  </w:style>
  <w:style w:type="paragraph" w:styleId="Duidelijkcitaat">
    <w:name w:val="Intense Quote"/>
    <w:basedOn w:val="Standaard"/>
    <w:next w:val="Standaard"/>
    <w:link w:val="DuidelijkcitaatChar"/>
    <w:uiPriority w:val="30"/>
    <w:qFormat/>
    <w:rsid w:val="006D0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0991"/>
    <w:rPr>
      <w:i/>
      <w:iCs/>
      <w:color w:val="0F4761" w:themeColor="accent1" w:themeShade="BF"/>
    </w:rPr>
  </w:style>
  <w:style w:type="character" w:styleId="Intensieveverwijzing">
    <w:name w:val="Intense Reference"/>
    <w:basedOn w:val="Standaardalinea-lettertype"/>
    <w:uiPriority w:val="32"/>
    <w:qFormat/>
    <w:rsid w:val="006D0991"/>
    <w:rPr>
      <w:b/>
      <w:bCs/>
      <w:smallCaps/>
      <w:color w:val="0F4761" w:themeColor="accent1" w:themeShade="BF"/>
      <w:spacing w:val="5"/>
    </w:rPr>
  </w:style>
  <w:style w:type="paragraph" w:styleId="Koptekst">
    <w:name w:val="header"/>
    <w:basedOn w:val="Standaard"/>
    <w:link w:val="KoptekstChar"/>
    <w:uiPriority w:val="99"/>
    <w:unhideWhenUsed/>
    <w:rsid w:val="006D099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099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099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099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D09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0991"/>
    <w:rPr>
      <w:sz w:val="20"/>
      <w:szCs w:val="20"/>
    </w:rPr>
  </w:style>
  <w:style w:type="character" w:styleId="Voetnootmarkering">
    <w:name w:val="footnote reference"/>
    <w:basedOn w:val="Standaardalinea-lettertype"/>
    <w:uiPriority w:val="99"/>
    <w:semiHidden/>
    <w:unhideWhenUsed/>
    <w:rsid w:val="006D0991"/>
    <w:rPr>
      <w:vertAlign w:val="superscript"/>
    </w:rPr>
  </w:style>
  <w:style w:type="paragraph" w:customStyle="1" w:styleId="StandaardCursief">
    <w:name w:val="Standaard Cursief"/>
    <w:basedOn w:val="Standaard"/>
    <w:next w:val="Standaard"/>
    <w:rsid w:val="006D099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Geenafstand">
    <w:name w:val="No Spacing"/>
    <w:uiPriority w:val="1"/>
    <w:qFormat/>
    <w:rsid w:val="00EE3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382</ap:Words>
  <ap:Characters>2102</ap:Characters>
  <ap:DocSecurity>0</ap:DocSecurity>
  <ap:Lines>17</ap:Lines>
  <ap:Paragraphs>4</ap:Paragraphs>
  <ap:ScaleCrop>false</ap:ScaleCrop>
  <ap:LinksUpToDate>false</ap:LinksUpToDate>
  <ap:CharactersWithSpaces>2480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2025-09-09T14:51:00.0000000Z</dcterms:created>
  <dcterms:modified xsi:type="dcterms:W3CDTF">2025-09-09T14:51:00.0000000Z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