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000" w:type="dxa"/>
        <w:tblInd w:w="-113" w:type="dxa"/>
        <w:tblLayout w:type="fixed"/>
        <w:tblCellMar>
          <w:top w:w="57" w:type="dxa"/>
          <w:bottom w:w="57" w:type="dxa"/>
        </w:tblCellMar>
        <w:tblLook w:val="04A0" w:firstRow="1" w:lastRow="0" w:firstColumn="1" w:lastColumn="0" w:noHBand="0" w:noVBand="1"/>
      </w:tblPr>
      <w:tblGrid>
        <w:gridCol w:w="562"/>
        <w:gridCol w:w="2665"/>
        <w:gridCol w:w="4678"/>
        <w:gridCol w:w="6095"/>
      </w:tblGrid>
      <w:tr w:rsidRPr="00FA0D75" w:rsidR="000505D2" w:rsidTr="008D7F36" w14:paraId="3E8C71D5" w14:textId="77777777">
        <w:trPr>
          <w:trHeight w:val="283"/>
        </w:trPr>
        <w:tc>
          <w:tcPr>
            <w:tcW w:w="562" w:type="dxa"/>
            <w:shd w:val="clear" w:color="auto" w:fill="B6DDE8" w:themeFill="accent5" w:themeFillTint="66"/>
          </w:tcPr>
          <w:p w:rsidRPr="00FA0D75" w:rsidR="000505D2" w:rsidP="00A725D2" w:rsidRDefault="000505D2" w14:paraId="75E43C70" w14:textId="1E8163FE">
            <w:pPr>
              <w:rPr>
                <w:rFonts w:asciiTheme="majorHAnsi" w:hAnsiTheme="majorHAnsi"/>
                <w:b/>
                <w:bCs/>
                <w:szCs w:val="18"/>
              </w:rPr>
            </w:pPr>
            <w:r w:rsidRPr="00FA0D75">
              <w:rPr>
                <w:rFonts w:asciiTheme="majorHAnsi" w:hAnsiTheme="majorHAnsi"/>
                <w:b/>
                <w:bCs/>
                <w:szCs w:val="18"/>
              </w:rPr>
              <w:t>Nr.</w:t>
            </w:r>
          </w:p>
        </w:tc>
        <w:tc>
          <w:tcPr>
            <w:tcW w:w="2665" w:type="dxa"/>
            <w:shd w:val="clear" w:color="auto" w:fill="B6DDE8" w:themeFill="accent5" w:themeFillTint="66"/>
          </w:tcPr>
          <w:p w:rsidRPr="00FA0D75" w:rsidR="000505D2" w:rsidRDefault="000505D2" w14:paraId="4FEF8F1F" w14:textId="77777777">
            <w:pPr>
              <w:rPr>
                <w:rFonts w:asciiTheme="majorHAnsi" w:hAnsiTheme="majorHAnsi"/>
                <w:szCs w:val="18"/>
              </w:rPr>
            </w:pPr>
            <w:r w:rsidRPr="00FA0D75">
              <w:rPr>
                <w:rFonts w:asciiTheme="majorHAnsi" w:hAnsiTheme="majorHAnsi"/>
                <w:szCs w:val="18"/>
              </w:rPr>
              <w:t>Onderwerp</w:t>
            </w:r>
          </w:p>
        </w:tc>
        <w:tc>
          <w:tcPr>
            <w:tcW w:w="4678" w:type="dxa"/>
            <w:shd w:val="clear" w:color="auto" w:fill="B6DDE8" w:themeFill="accent5" w:themeFillTint="66"/>
          </w:tcPr>
          <w:p w:rsidRPr="00FA0D75" w:rsidR="000505D2" w:rsidRDefault="000505D2" w14:paraId="34526A9C" w14:textId="77777777">
            <w:pPr>
              <w:rPr>
                <w:rFonts w:asciiTheme="majorHAnsi" w:hAnsiTheme="majorHAnsi"/>
                <w:szCs w:val="18"/>
              </w:rPr>
            </w:pPr>
            <w:r w:rsidRPr="00FA0D75">
              <w:rPr>
                <w:rFonts w:asciiTheme="majorHAnsi" w:hAnsiTheme="majorHAnsi"/>
                <w:szCs w:val="18"/>
              </w:rPr>
              <w:t>Europese regels</w:t>
            </w:r>
          </w:p>
        </w:tc>
        <w:tc>
          <w:tcPr>
            <w:tcW w:w="6095" w:type="dxa"/>
            <w:shd w:val="clear" w:color="auto" w:fill="B6DDE8" w:themeFill="accent5" w:themeFillTint="66"/>
          </w:tcPr>
          <w:p w:rsidRPr="00FA0D75" w:rsidR="000505D2" w:rsidRDefault="000505D2" w14:paraId="58D0AE0C" w14:textId="77777777">
            <w:pPr>
              <w:rPr>
                <w:rFonts w:asciiTheme="majorHAnsi" w:hAnsiTheme="majorHAnsi"/>
                <w:szCs w:val="18"/>
              </w:rPr>
            </w:pPr>
            <w:r w:rsidRPr="00FA0D75">
              <w:rPr>
                <w:rFonts w:asciiTheme="majorHAnsi" w:hAnsiTheme="majorHAnsi"/>
                <w:szCs w:val="18"/>
              </w:rPr>
              <w:t>Nederlandse regels</w:t>
            </w:r>
          </w:p>
        </w:tc>
      </w:tr>
      <w:tr w:rsidRPr="00FA0D75" w:rsidR="000505D2" w:rsidTr="008D7F36" w14:paraId="2F5E25D1" w14:textId="77777777">
        <w:tc>
          <w:tcPr>
            <w:tcW w:w="562" w:type="dxa"/>
          </w:tcPr>
          <w:p w:rsidRPr="00FA0D75" w:rsidR="000505D2" w:rsidP="00A725D2" w:rsidRDefault="000505D2" w14:paraId="761C6B0C" w14:textId="77777777">
            <w:pPr>
              <w:pStyle w:val="Lijstalinea"/>
              <w:numPr>
                <w:ilvl w:val="0"/>
                <w:numId w:val="43"/>
              </w:numPr>
              <w:rPr>
                <w:rFonts w:asciiTheme="majorHAnsi" w:hAnsiTheme="majorHAnsi"/>
                <w:szCs w:val="18"/>
              </w:rPr>
            </w:pPr>
          </w:p>
        </w:tc>
        <w:tc>
          <w:tcPr>
            <w:tcW w:w="2665" w:type="dxa"/>
          </w:tcPr>
          <w:p w:rsidRPr="00FA0D75" w:rsidR="000505D2" w:rsidP="00E21D94" w:rsidRDefault="000505D2" w14:paraId="3B43B082" w14:textId="19B69B4B">
            <w:pPr>
              <w:rPr>
                <w:rFonts w:asciiTheme="majorHAnsi" w:hAnsiTheme="majorHAnsi"/>
                <w:szCs w:val="18"/>
              </w:rPr>
            </w:pPr>
            <w:r w:rsidRPr="00FA0D75">
              <w:rPr>
                <w:rFonts w:asciiTheme="majorHAnsi" w:hAnsiTheme="majorHAnsi"/>
                <w:szCs w:val="18"/>
              </w:rPr>
              <w:t>Kosten financieel toezicht volledig doorrekenen aan sector</w:t>
            </w:r>
          </w:p>
        </w:tc>
        <w:tc>
          <w:tcPr>
            <w:tcW w:w="4678" w:type="dxa"/>
          </w:tcPr>
          <w:p w:rsidRPr="00FA0D75" w:rsidR="000505D2" w:rsidP="008D3319" w:rsidRDefault="000505D2" w14:paraId="5B126676" w14:textId="71EC9899">
            <w:pPr>
              <w:pStyle w:val="Lijstalinea"/>
              <w:numPr>
                <w:ilvl w:val="0"/>
                <w:numId w:val="32"/>
              </w:numPr>
              <w:rPr>
                <w:rFonts w:asciiTheme="majorHAnsi" w:hAnsiTheme="majorHAnsi"/>
                <w:szCs w:val="18"/>
              </w:rPr>
            </w:pPr>
            <w:r w:rsidRPr="00FA0D75">
              <w:rPr>
                <w:rFonts w:asciiTheme="majorHAnsi" w:hAnsiTheme="majorHAnsi"/>
                <w:szCs w:val="18"/>
              </w:rPr>
              <w:t>EU-regelgeving schrijft (in diverse richtlijnen) voor dat toezichthouders voldoende middelen</w:t>
            </w:r>
            <w:r w:rsidRPr="00FA0D75" w:rsidR="00FA0D75">
              <w:rPr>
                <w:rFonts w:asciiTheme="majorHAnsi" w:hAnsiTheme="majorHAnsi"/>
                <w:szCs w:val="18"/>
              </w:rPr>
              <w:t xml:space="preserve"> moeten</w:t>
            </w:r>
            <w:r w:rsidRPr="00FA0D75">
              <w:rPr>
                <w:rFonts w:asciiTheme="majorHAnsi" w:hAnsiTheme="majorHAnsi"/>
                <w:szCs w:val="18"/>
              </w:rPr>
              <w:t xml:space="preserve"> hebben. Doorberekening wordt niet voorgeschreven of verboden.</w:t>
            </w:r>
          </w:p>
          <w:p w:rsidRPr="00FA0D75" w:rsidR="000505D2" w:rsidP="00E21D94" w:rsidRDefault="000505D2" w14:paraId="2ED73C86" w14:textId="4C86EC10">
            <w:pPr>
              <w:pStyle w:val="Lijstalinea"/>
              <w:numPr>
                <w:ilvl w:val="0"/>
                <w:numId w:val="32"/>
              </w:numPr>
              <w:rPr>
                <w:rFonts w:asciiTheme="majorHAnsi" w:hAnsiTheme="majorHAnsi"/>
                <w:szCs w:val="18"/>
              </w:rPr>
            </w:pPr>
            <w:r w:rsidRPr="00FA0D75">
              <w:rPr>
                <w:rFonts w:asciiTheme="majorHAnsi" w:hAnsiTheme="majorHAnsi"/>
                <w:szCs w:val="18"/>
              </w:rPr>
              <w:t>Veel lidstaten rekenen de kosten voor financieel toezicht volledig of gedeeltelijk door aan de sector.</w:t>
            </w:r>
          </w:p>
        </w:tc>
        <w:tc>
          <w:tcPr>
            <w:tcW w:w="6095" w:type="dxa"/>
          </w:tcPr>
          <w:p w:rsidRPr="00FA0D75" w:rsidR="000505D2" w:rsidP="00E21D94" w:rsidRDefault="000505D2" w14:paraId="50073103" w14:textId="0290FA7A">
            <w:pPr>
              <w:pStyle w:val="Lijstalinea"/>
              <w:numPr>
                <w:ilvl w:val="0"/>
                <w:numId w:val="29"/>
              </w:numPr>
              <w:rPr>
                <w:rFonts w:asciiTheme="majorHAnsi" w:hAnsiTheme="majorHAnsi"/>
                <w:szCs w:val="18"/>
              </w:rPr>
            </w:pPr>
            <w:r w:rsidRPr="00FA0D75">
              <w:rPr>
                <w:rFonts w:asciiTheme="majorHAnsi" w:hAnsiTheme="majorHAnsi"/>
                <w:szCs w:val="18"/>
              </w:rPr>
              <w:t xml:space="preserve">Sinds 2015 betaalt de financiële sector volledig voor het eigen toezicht. Daarvoor betaalde de overheid in beperkte mate mee. </w:t>
            </w:r>
          </w:p>
          <w:p w:rsidRPr="00FA0D75" w:rsidR="000505D2" w:rsidP="00E21D94" w:rsidRDefault="000505D2" w14:paraId="1239BD98" w14:textId="4A02EC59">
            <w:pPr>
              <w:pStyle w:val="Lijstalinea"/>
              <w:numPr>
                <w:ilvl w:val="0"/>
                <w:numId w:val="29"/>
              </w:numPr>
              <w:rPr>
                <w:rFonts w:asciiTheme="majorHAnsi" w:hAnsiTheme="majorHAnsi"/>
                <w:szCs w:val="18"/>
              </w:rPr>
            </w:pPr>
            <w:r w:rsidRPr="00FA0D75">
              <w:rPr>
                <w:rFonts w:asciiTheme="majorHAnsi" w:hAnsiTheme="majorHAnsi"/>
                <w:szCs w:val="18"/>
              </w:rPr>
              <w:t>De hoogte van de begroting wordt meerjarig bepaald door de ministers van FIN en SZW. De kosten worden via een vaste systematiek omgeslagen over de onder</w:t>
            </w:r>
            <w:r w:rsidRPr="00FA0D75" w:rsidR="00B1190A">
              <w:rPr>
                <w:rFonts w:asciiTheme="majorHAnsi" w:hAnsiTheme="majorHAnsi"/>
                <w:szCs w:val="18"/>
              </w:rPr>
              <w:t xml:space="preserve"> </w:t>
            </w:r>
            <w:r w:rsidRPr="00FA0D75">
              <w:rPr>
                <w:rFonts w:asciiTheme="majorHAnsi" w:hAnsiTheme="majorHAnsi"/>
                <w:szCs w:val="18"/>
              </w:rPr>
              <w:t>toezicht</w:t>
            </w:r>
            <w:r w:rsidRPr="00FA0D75" w:rsidR="00B1190A">
              <w:rPr>
                <w:rFonts w:asciiTheme="majorHAnsi" w:hAnsiTheme="majorHAnsi"/>
                <w:szCs w:val="18"/>
              </w:rPr>
              <w:t xml:space="preserve"> </w:t>
            </w:r>
            <w:r w:rsidRPr="00FA0D75">
              <w:rPr>
                <w:rFonts w:asciiTheme="majorHAnsi" w:hAnsiTheme="majorHAnsi"/>
                <w:szCs w:val="18"/>
              </w:rPr>
              <w:t xml:space="preserve">staande instellingen, waarbij toezichtinspanningen en draagkracht worden meegewogen. Het voorgaande volgt uit de Wet bekostiging financieel toezicht 2019. </w:t>
            </w:r>
          </w:p>
        </w:tc>
      </w:tr>
      <w:tr w:rsidRPr="00FA0D75" w:rsidR="000505D2" w:rsidTr="008D7F36" w14:paraId="06208232" w14:textId="77777777">
        <w:tc>
          <w:tcPr>
            <w:tcW w:w="562" w:type="dxa"/>
          </w:tcPr>
          <w:p w:rsidRPr="00FA0D75" w:rsidR="000505D2" w:rsidP="00DE4580" w:rsidRDefault="000505D2" w14:paraId="4B0A63AF" w14:textId="77777777">
            <w:pPr>
              <w:pStyle w:val="Lijstalinea"/>
              <w:numPr>
                <w:ilvl w:val="0"/>
                <w:numId w:val="43"/>
              </w:numPr>
              <w:rPr>
                <w:rFonts w:asciiTheme="majorHAnsi" w:hAnsiTheme="majorHAnsi"/>
                <w:szCs w:val="18"/>
              </w:rPr>
            </w:pPr>
          </w:p>
        </w:tc>
        <w:tc>
          <w:tcPr>
            <w:tcW w:w="2665" w:type="dxa"/>
          </w:tcPr>
          <w:p w:rsidRPr="00FA0D75" w:rsidR="000505D2" w:rsidP="00DE4580" w:rsidRDefault="000505D2" w14:paraId="689F1906" w14:textId="1944DFB6">
            <w:pPr>
              <w:rPr>
                <w:rFonts w:asciiTheme="majorHAnsi" w:hAnsiTheme="majorHAnsi"/>
                <w:szCs w:val="18"/>
              </w:rPr>
            </w:pPr>
            <w:r w:rsidRPr="00FA0D75">
              <w:rPr>
                <w:rFonts w:asciiTheme="majorHAnsi" w:hAnsiTheme="majorHAnsi"/>
                <w:szCs w:val="18"/>
              </w:rPr>
              <w:t xml:space="preserve">Anti-witwasregelgeving </w:t>
            </w:r>
          </w:p>
        </w:tc>
        <w:tc>
          <w:tcPr>
            <w:tcW w:w="4678" w:type="dxa"/>
          </w:tcPr>
          <w:p w:rsidRPr="00FA0D75" w:rsidR="000505D2" w:rsidP="00DE4580" w:rsidRDefault="000505D2" w14:paraId="3A8FDCF6" w14:textId="5791755B">
            <w:pPr>
              <w:pStyle w:val="Lijstalinea"/>
              <w:numPr>
                <w:ilvl w:val="0"/>
                <w:numId w:val="32"/>
              </w:numPr>
              <w:rPr>
                <w:rFonts w:asciiTheme="majorHAnsi" w:hAnsiTheme="majorHAnsi"/>
                <w:szCs w:val="18"/>
              </w:rPr>
            </w:pPr>
            <w:r w:rsidRPr="00FA0D75">
              <w:rPr>
                <w:rFonts w:asciiTheme="majorHAnsi" w:hAnsiTheme="majorHAnsi"/>
                <w:szCs w:val="18"/>
              </w:rPr>
              <w:t>Op grond van de vierde anti-witwasrichtlijn</w:t>
            </w:r>
            <w:r w:rsidRPr="00FA0D75" w:rsidR="008F278F">
              <w:rPr>
                <w:rFonts w:asciiTheme="majorHAnsi" w:hAnsiTheme="majorHAnsi"/>
                <w:szCs w:val="18"/>
              </w:rPr>
              <w:t xml:space="preserve"> (AMLD)</w:t>
            </w:r>
            <w:r w:rsidRPr="00FA0D75">
              <w:rPr>
                <w:rStyle w:val="Voetnootmarkering"/>
                <w:rFonts w:asciiTheme="majorHAnsi" w:hAnsiTheme="majorHAnsi"/>
                <w:szCs w:val="18"/>
              </w:rPr>
              <w:footnoteReference w:id="1"/>
            </w:r>
            <w:r w:rsidRPr="00FA0D75">
              <w:rPr>
                <w:rFonts w:asciiTheme="majorHAnsi" w:hAnsiTheme="majorHAnsi"/>
                <w:szCs w:val="18"/>
              </w:rPr>
              <w:t xml:space="preserve"> bestaat een verplichting tot onderzoek naar cliënten en melden van verdachte transacties voor banken, andere financiële ondernemingen en diverse aangewezen beroepsgroepen zoals advocaten, notarissen.</w:t>
            </w:r>
          </w:p>
        </w:tc>
        <w:tc>
          <w:tcPr>
            <w:tcW w:w="6095" w:type="dxa"/>
          </w:tcPr>
          <w:p w:rsidRPr="00FA0D75" w:rsidR="000505D2" w:rsidP="00FC19C0" w:rsidRDefault="000505D2" w14:paraId="65E45BE3" w14:textId="12592F9D">
            <w:pPr>
              <w:pStyle w:val="Lijstalinea"/>
              <w:numPr>
                <w:ilvl w:val="0"/>
                <w:numId w:val="29"/>
              </w:numPr>
              <w:rPr>
                <w:rFonts w:asciiTheme="majorHAnsi" w:hAnsiTheme="majorHAnsi"/>
                <w:szCs w:val="18"/>
              </w:rPr>
            </w:pPr>
            <w:r w:rsidRPr="00FA0D75">
              <w:rPr>
                <w:rFonts w:asciiTheme="majorHAnsi" w:hAnsiTheme="majorHAnsi"/>
                <w:szCs w:val="18"/>
              </w:rPr>
              <w:t>De Nederlandse anti-witwasregels volgen uit de Wet ter voorkoming van witwassen en financieren van terrorisme.</w:t>
            </w:r>
          </w:p>
          <w:p w:rsidRPr="00FA0D75" w:rsidR="000505D2" w:rsidP="00FC19C0" w:rsidRDefault="000505D2" w14:paraId="23424199" w14:textId="7CA2ACE9">
            <w:pPr>
              <w:pStyle w:val="Lijstalinea"/>
              <w:numPr>
                <w:ilvl w:val="0"/>
                <w:numId w:val="29"/>
              </w:numPr>
              <w:rPr>
                <w:rFonts w:asciiTheme="majorHAnsi" w:hAnsiTheme="majorHAnsi"/>
                <w:szCs w:val="18"/>
              </w:rPr>
            </w:pPr>
            <w:r w:rsidRPr="00FA0D75">
              <w:rPr>
                <w:rFonts w:asciiTheme="majorHAnsi" w:hAnsiTheme="majorHAnsi"/>
                <w:szCs w:val="18"/>
              </w:rPr>
              <w:t>In plaats van verdachte transacties moeten instellingen in Nederland van oudsher (in elk geval sinds 1994) ongebruikelijke transacties melden.</w:t>
            </w:r>
          </w:p>
          <w:p w:rsidRPr="00FA0D75" w:rsidR="000505D2" w:rsidP="00FC19C0" w:rsidRDefault="000505D2" w14:paraId="10A3FD75" w14:textId="5A7D431F">
            <w:pPr>
              <w:pStyle w:val="Lijstalinea"/>
              <w:numPr>
                <w:ilvl w:val="0"/>
                <w:numId w:val="29"/>
              </w:numPr>
              <w:rPr>
                <w:rFonts w:asciiTheme="majorHAnsi" w:hAnsiTheme="majorHAnsi"/>
                <w:szCs w:val="18"/>
              </w:rPr>
            </w:pPr>
            <w:r w:rsidRPr="00FA0D75">
              <w:rPr>
                <w:rFonts w:asciiTheme="majorHAnsi" w:hAnsiTheme="majorHAnsi"/>
                <w:szCs w:val="18"/>
              </w:rPr>
              <w:t xml:space="preserve">In de Nederlandse wetgeving is de reikwijdte van de verplichtingen uitgebreid tot onder meer taxateurs onroerend goed (sinds 2013) en pandhuizen (sinds 2015). </w:t>
            </w:r>
          </w:p>
          <w:p w:rsidRPr="00FA0D75" w:rsidR="000505D2" w:rsidP="00FC19C0" w:rsidRDefault="000505D2" w14:paraId="7A917705" w14:textId="7355103E">
            <w:pPr>
              <w:pStyle w:val="Lijstalinea"/>
              <w:numPr>
                <w:ilvl w:val="0"/>
                <w:numId w:val="29"/>
              </w:numPr>
              <w:rPr>
                <w:rFonts w:asciiTheme="majorHAnsi" w:hAnsiTheme="majorHAnsi"/>
                <w:szCs w:val="18"/>
              </w:rPr>
            </w:pPr>
            <w:r w:rsidRPr="00FA0D75">
              <w:rPr>
                <w:rFonts w:asciiTheme="majorHAnsi" w:hAnsiTheme="majorHAnsi"/>
                <w:szCs w:val="18"/>
              </w:rPr>
              <w:t>Instellingen mogen in Nederland in minder gevallen vertrouwen op uitkomsten van eerder cliëntenonderzoek door andere instellingen en mogen instellingen transactiemonitoring niet volledig uitbesteden.</w:t>
            </w:r>
          </w:p>
          <w:p w:rsidRPr="00FA0D75" w:rsidR="000505D2" w:rsidP="000505D2" w:rsidRDefault="000505D2" w14:paraId="3C1CA4C8" w14:textId="501167D8">
            <w:pPr>
              <w:pStyle w:val="Lijstalinea"/>
              <w:numPr>
                <w:ilvl w:val="0"/>
                <w:numId w:val="29"/>
              </w:numPr>
              <w:rPr>
                <w:rFonts w:asciiTheme="majorHAnsi" w:hAnsiTheme="majorHAnsi"/>
                <w:szCs w:val="18"/>
              </w:rPr>
            </w:pPr>
            <w:r w:rsidRPr="00FA0D75">
              <w:rPr>
                <w:rFonts w:asciiTheme="majorHAnsi" w:hAnsiTheme="majorHAnsi"/>
                <w:szCs w:val="18"/>
              </w:rPr>
              <w:t>Door de anti-witwasverordening</w:t>
            </w:r>
            <w:r w:rsidRPr="00FA0D75" w:rsidR="008F278F">
              <w:rPr>
                <w:rFonts w:asciiTheme="majorHAnsi" w:hAnsiTheme="majorHAnsi"/>
                <w:szCs w:val="18"/>
              </w:rPr>
              <w:t xml:space="preserve"> (AMLR)</w:t>
            </w:r>
            <w:r w:rsidRPr="00FA0D75">
              <w:rPr>
                <w:rStyle w:val="Voetnootmarkering"/>
                <w:rFonts w:asciiTheme="majorHAnsi" w:hAnsiTheme="majorHAnsi"/>
                <w:szCs w:val="18"/>
              </w:rPr>
              <w:footnoteReference w:id="2"/>
            </w:r>
            <w:r w:rsidRPr="00FA0D75">
              <w:rPr>
                <w:rFonts w:asciiTheme="majorHAnsi" w:hAnsiTheme="majorHAnsi"/>
                <w:szCs w:val="18"/>
              </w:rPr>
              <w:t xml:space="preserve"> die in 2027 van toepassing wordt de Europese anti-witwasregelgeving verder geharmoniseerd. Dat geldt ook voor bovenstaande punten.</w:t>
            </w:r>
          </w:p>
        </w:tc>
      </w:tr>
      <w:tr w:rsidRPr="00FA0D75" w:rsidR="000505D2" w:rsidTr="008D7F36" w14:paraId="09A5CAFC" w14:textId="1D5584FC">
        <w:tc>
          <w:tcPr>
            <w:tcW w:w="562" w:type="dxa"/>
          </w:tcPr>
          <w:p w:rsidRPr="00FA0D75" w:rsidR="000505D2" w:rsidP="009A0D62" w:rsidRDefault="000505D2" w14:paraId="2B7D9FB9"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0D653887" w14:textId="7822D621">
            <w:pPr>
              <w:rPr>
                <w:rFonts w:asciiTheme="majorHAnsi" w:hAnsiTheme="majorHAnsi"/>
                <w:szCs w:val="18"/>
              </w:rPr>
            </w:pPr>
            <w:r w:rsidRPr="00FA0D75">
              <w:rPr>
                <w:rFonts w:asciiTheme="majorHAnsi" w:hAnsiTheme="majorHAnsi"/>
                <w:szCs w:val="18"/>
              </w:rPr>
              <w:t>Toezicht trustkantoren</w:t>
            </w:r>
          </w:p>
        </w:tc>
        <w:tc>
          <w:tcPr>
            <w:tcW w:w="4678" w:type="dxa"/>
          </w:tcPr>
          <w:p w:rsidRPr="00FA0D75" w:rsidR="00634947" w:rsidP="00634947" w:rsidRDefault="00634947" w14:paraId="2166B4CE" w14:textId="12B0EF4D">
            <w:pPr>
              <w:pStyle w:val="Lijstalinea"/>
              <w:numPr>
                <w:ilvl w:val="0"/>
                <w:numId w:val="17"/>
              </w:numPr>
              <w:rPr>
                <w:rFonts w:asciiTheme="majorHAnsi" w:hAnsiTheme="majorHAnsi"/>
                <w:szCs w:val="18"/>
              </w:rPr>
            </w:pPr>
            <w:r w:rsidRPr="00FA0D75">
              <w:rPr>
                <w:rFonts w:asciiTheme="majorHAnsi" w:hAnsiTheme="majorHAnsi"/>
                <w:szCs w:val="18"/>
              </w:rPr>
              <w:t xml:space="preserve">Verplichting tot onderzoek naar cliënten en meldplicht in het kader van voorkomen witwassen en terrorismefinanciering (op grond van de </w:t>
            </w:r>
            <w:r w:rsidRPr="00FA0D75" w:rsidR="008F278F">
              <w:rPr>
                <w:rFonts w:asciiTheme="majorHAnsi" w:hAnsiTheme="majorHAnsi"/>
                <w:szCs w:val="18"/>
              </w:rPr>
              <w:t>AMLD</w:t>
            </w:r>
            <w:r w:rsidRPr="00FA0D75">
              <w:rPr>
                <w:rFonts w:asciiTheme="majorHAnsi" w:hAnsiTheme="majorHAnsi"/>
                <w:szCs w:val="18"/>
              </w:rPr>
              <w:t>).</w:t>
            </w:r>
          </w:p>
          <w:p w:rsidRPr="00FA0D75" w:rsidR="000505D2" w:rsidP="00634947" w:rsidRDefault="000505D2" w14:paraId="7F364EFB" w14:textId="71B426CB">
            <w:pPr>
              <w:rPr>
                <w:rFonts w:asciiTheme="majorHAnsi" w:hAnsiTheme="majorHAnsi"/>
                <w:szCs w:val="18"/>
              </w:rPr>
            </w:pPr>
          </w:p>
        </w:tc>
        <w:tc>
          <w:tcPr>
            <w:tcW w:w="6095" w:type="dxa"/>
          </w:tcPr>
          <w:p w:rsidR="00FA0D75" w:rsidP="00FA0D75" w:rsidRDefault="000505D2" w14:paraId="14FB80D7" w14:textId="77777777">
            <w:pPr>
              <w:pStyle w:val="Lijstalinea"/>
              <w:numPr>
                <w:ilvl w:val="0"/>
                <w:numId w:val="17"/>
              </w:numPr>
              <w:rPr>
                <w:rFonts w:asciiTheme="majorHAnsi" w:hAnsiTheme="majorHAnsi"/>
                <w:szCs w:val="18"/>
              </w:rPr>
            </w:pPr>
            <w:r w:rsidRPr="00FA0D75">
              <w:rPr>
                <w:rFonts w:asciiTheme="majorHAnsi" w:hAnsiTheme="majorHAnsi"/>
                <w:szCs w:val="18"/>
              </w:rPr>
              <w:t xml:space="preserve">Op grond van de Wet toezicht trustkantoren </w:t>
            </w:r>
            <w:r w:rsidRPr="00FA0D75" w:rsidR="00FA0D75">
              <w:rPr>
                <w:rFonts w:asciiTheme="majorHAnsi" w:hAnsiTheme="majorHAnsi"/>
                <w:szCs w:val="18"/>
              </w:rPr>
              <w:t xml:space="preserve">2018 </w:t>
            </w:r>
            <w:r w:rsidRPr="00FA0D75">
              <w:rPr>
                <w:rFonts w:asciiTheme="majorHAnsi" w:hAnsiTheme="majorHAnsi"/>
                <w:szCs w:val="18"/>
              </w:rPr>
              <w:t xml:space="preserve">gelden in Nederland aanvullende eisen voor trustkantoren. </w:t>
            </w:r>
          </w:p>
          <w:p w:rsidR="00FA0D75" w:rsidP="00FA0D75" w:rsidRDefault="000505D2" w14:paraId="436B6F4E" w14:textId="77777777">
            <w:pPr>
              <w:pStyle w:val="Lijstalinea"/>
              <w:numPr>
                <w:ilvl w:val="0"/>
                <w:numId w:val="17"/>
              </w:numPr>
              <w:rPr>
                <w:rFonts w:asciiTheme="majorHAnsi" w:hAnsiTheme="majorHAnsi"/>
                <w:szCs w:val="18"/>
              </w:rPr>
            </w:pPr>
            <w:r w:rsidRPr="00FA0D75">
              <w:rPr>
                <w:rFonts w:asciiTheme="majorHAnsi" w:hAnsiTheme="majorHAnsi"/>
                <w:szCs w:val="18"/>
              </w:rPr>
              <w:t>Deze wetgeving bevat naast de verplichtingen uit hoofde van anti-witwasregelgeving ook eisen aan de bedrijfsvoering en eisen op fiscaal terrein.</w:t>
            </w:r>
          </w:p>
          <w:p w:rsidR="00FA0D75" w:rsidP="00FA0D75" w:rsidRDefault="000505D2" w14:paraId="075D725A" w14:textId="77777777">
            <w:pPr>
              <w:pStyle w:val="Lijstalinea"/>
              <w:numPr>
                <w:ilvl w:val="0"/>
                <w:numId w:val="17"/>
              </w:numPr>
              <w:rPr>
                <w:rFonts w:asciiTheme="majorHAnsi" w:hAnsiTheme="majorHAnsi"/>
                <w:szCs w:val="18"/>
              </w:rPr>
            </w:pPr>
            <w:r w:rsidRPr="00FA0D75">
              <w:rPr>
                <w:rFonts w:asciiTheme="majorHAnsi" w:hAnsiTheme="majorHAnsi"/>
                <w:szCs w:val="18"/>
              </w:rPr>
              <w:t xml:space="preserve">Er gelden daarnaast extra eisen voor het onderzoek naar cliënten. </w:t>
            </w:r>
          </w:p>
          <w:p w:rsidR="00FA0D75" w:rsidP="00FA0D75" w:rsidRDefault="000505D2" w14:paraId="200E8816" w14:textId="243DEC14">
            <w:pPr>
              <w:pStyle w:val="Lijstalinea"/>
              <w:numPr>
                <w:ilvl w:val="0"/>
                <w:numId w:val="17"/>
              </w:numPr>
              <w:rPr>
                <w:rFonts w:asciiTheme="majorHAnsi" w:hAnsiTheme="majorHAnsi"/>
                <w:szCs w:val="18"/>
              </w:rPr>
            </w:pPr>
            <w:r w:rsidRPr="00FA0D75">
              <w:rPr>
                <w:rFonts w:asciiTheme="majorHAnsi" w:hAnsiTheme="majorHAnsi"/>
                <w:szCs w:val="18"/>
              </w:rPr>
              <w:lastRenderedPageBreak/>
              <w:t xml:space="preserve">De Wet toezicht trustkantoren </w:t>
            </w:r>
            <w:r w:rsidRPr="00FA0D75" w:rsidR="00FA0D75">
              <w:rPr>
                <w:rFonts w:asciiTheme="majorHAnsi" w:hAnsiTheme="majorHAnsi"/>
                <w:szCs w:val="18"/>
              </w:rPr>
              <w:t xml:space="preserve">2018 </w:t>
            </w:r>
            <w:r w:rsidR="00FA0D75">
              <w:rPr>
                <w:rFonts w:asciiTheme="majorHAnsi" w:hAnsiTheme="majorHAnsi"/>
                <w:szCs w:val="18"/>
              </w:rPr>
              <w:t>wordt</w:t>
            </w:r>
            <w:r w:rsidRPr="00FA0D75">
              <w:rPr>
                <w:rFonts w:asciiTheme="majorHAnsi" w:hAnsiTheme="majorHAnsi"/>
                <w:szCs w:val="18"/>
              </w:rPr>
              <w:t xml:space="preserve"> gewijzigd ter uitvoering van de </w:t>
            </w:r>
            <w:r w:rsidRPr="00FA0D75" w:rsidR="008F278F">
              <w:rPr>
                <w:rFonts w:asciiTheme="majorHAnsi" w:hAnsiTheme="majorHAnsi"/>
                <w:szCs w:val="18"/>
              </w:rPr>
              <w:t>AMLR</w:t>
            </w:r>
            <w:r w:rsidR="00FA0D75">
              <w:rPr>
                <w:rFonts w:asciiTheme="majorHAnsi" w:hAnsiTheme="majorHAnsi"/>
                <w:szCs w:val="18"/>
              </w:rPr>
              <w:t>,</w:t>
            </w:r>
            <w:r w:rsidRPr="00FA0D75">
              <w:rPr>
                <w:rFonts w:asciiTheme="majorHAnsi" w:hAnsiTheme="majorHAnsi"/>
                <w:szCs w:val="18"/>
              </w:rPr>
              <w:t xml:space="preserve"> die in 2027 van toepassing wordt.</w:t>
            </w:r>
          </w:p>
          <w:p w:rsidRPr="00FA0D75" w:rsidR="000505D2" w:rsidP="00FA0D75" w:rsidRDefault="000505D2" w14:paraId="6180FF5F" w14:textId="100B642B">
            <w:pPr>
              <w:pStyle w:val="Lijstalinea"/>
              <w:numPr>
                <w:ilvl w:val="0"/>
                <w:numId w:val="17"/>
              </w:numPr>
              <w:rPr>
                <w:rFonts w:asciiTheme="majorHAnsi" w:hAnsiTheme="majorHAnsi"/>
                <w:szCs w:val="18"/>
              </w:rPr>
            </w:pPr>
            <w:r w:rsidRPr="00FA0D75">
              <w:rPr>
                <w:rFonts w:asciiTheme="majorHAnsi" w:hAnsiTheme="majorHAnsi"/>
                <w:szCs w:val="18"/>
              </w:rPr>
              <w:t>Deze verordening staat lidstaten toe bepaalde sectoren altijd verscherpte maatregelen op te leggen. De eisen omtrent bedrijfsvoering en fiscale aangelegenheden voor trustkantoren, die niet voortkomen uit Europese anti-witwasregelgeving, blijven onveranderd.</w:t>
            </w:r>
            <w:r w:rsidRPr="00FA0D75" w:rsidR="00EC5107">
              <w:rPr>
                <w:rFonts w:asciiTheme="majorHAnsi" w:hAnsiTheme="majorHAnsi"/>
                <w:szCs w:val="18"/>
              </w:rPr>
              <w:t xml:space="preserve"> </w:t>
            </w:r>
          </w:p>
        </w:tc>
      </w:tr>
      <w:tr w:rsidRPr="00FA0D75" w:rsidR="000505D2" w:rsidTr="008D7F36" w14:paraId="39C117C3" w14:textId="77777777">
        <w:tc>
          <w:tcPr>
            <w:tcW w:w="562" w:type="dxa"/>
          </w:tcPr>
          <w:p w:rsidRPr="00FA0D75" w:rsidR="000505D2" w:rsidP="009A0D62" w:rsidRDefault="000505D2" w14:paraId="6AC148F7"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141916CE" w14:textId="7AD21038">
            <w:pPr>
              <w:rPr>
                <w:rFonts w:asciiTheme="majorHAnsi" w:hAnsiTheme="majorHAnsi"/>
                <w:szCs w:val="18"/>
              </w:rPr>
            </w:pPr>
            <w:r w:rsidRPr="00FA0D75">
              <w:rPr>
                <w:rFonts w:asciiTheme="majorHAnsi" w:hAnsiTheme="majorHAnsi"/>
                <w:szCs w:val="18"/>
              </w:rPr>
              <w:t>Beloningsregels waaronder bonusplafond</w:t>
            </w:r>
          </w:p>
        </w:tc>
        <w:tc>
          <w:tcPr>
            <w:tcW w:w="4678" w:type="dxa"/>
          </w:tcPr>
          <w:p w:rsidRPr="00FA0D75" w:rsidR="000505D2" w:rsidP="009A0D62" w:rsidRDefault="00CE417F" w14:paraId="67C5221D" w14:textId="541375EE">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De richtlijn kapitaalvereisten voor banken (CRD)</w:t>
            </w:r>
            <w:r w:rsidRPr="00FA0D75">
              <w:rPr>
                <w:rStyle w:val="Voetnootmarkering"/>
                <w:rFonts w:asciiTheme="majorHAnsi" w:hAnsiTheme="majorHAnsi"/>
                <w:szCs w:val="18"/>
              </w:rPr>
              <w:footnoteReference w:id="3"/>
            </w:r>
            <w:r w:rsidRPr="00FA0D75">
              <w:rPr>
                <w:rFonts w:asciiTheme="majorHAnsi" w:hAnsiTheme="majorHAnsi"/>
                <w:szCs w:val="18"/>
              </w:rPr>
              <w:t xml:space="preserve"> kent een </w:t>
            </w:r>
            <w:r w:rsidRPr="00FA0D75" w:rsidR="000505D2">
              <w:rPr>
                <w:rFonts w:asciiTheme="majorHAnsi" w:hAnsiTheme="majorHAnsi"/>
                <w:szCs w:val="18"/>
              </w:rPr>
              <w:t xml:space="preserve">bonusplafond </w:t>
            </w:r>
            <w:r w:rsidRPr="00FA0D75">
              <w:rPr>
                <w:rFonts w:asciiTheme="majorHAnsi" w:hAnsiTheme="majorHAnsi"/>
                <w:szCs w:val="18"/>
              </w:rPr>
              <w:t>van</w:t>
            </w:r>
            <w:r w:rsidRPr="00FA0D75" w:rsidR="000505D2">
              <w:rPr>
                <w:rFonts w:asciiTheme="majorHAnsi" w:hAnsiTheme="majorHAnsi"/>
                <w:szCs w:val="18"/>
              </w:rPr>
              <w:t xml:space="preserve"> 100% van de vaste beloning, met de mogelijkheid om met toestemming van eigenaren of aandeelhouders naar 200% te gaan.</w:t>
            </w:r>
          </w:p>
          <w:p w:rsidRPr="00FA0D75" w:rsidR="000505D2" w:rsidP="009A0D62" w:rsidRDefault="000505D2" w14:paraId="10BA906C" w14:textId="42FE246D">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 xml:space="preserve">Het bonusplafond is van toepassing op </w:t>
            </w:r>
            <w:proofErr w:type="spellStart"/>
            <w:r w:rsidRPr="00FA0D75">
              <w:rPr>
                <w:rFonts w:asciiTheme="majorHAnsi" w:hAnsiTheme="majorHAnsi"/>
                <w:i/>
                <w:iCs/>
                <w:szCs w:val="18"/>
              </w:rPr>
              <w:t>identified</w:t>
            </w:r>
            <w:proofErr w:type="spellEnd"/>
            <w:r w:rsidRPr="00FA0D75">
              <w:rPr>
                <w:rFonts w:asciiTheme="majorHAnsi" w:hAnsiTheme="majorHAnsi"/>
                <w:i/>
                <w:iCs/>
                <w:szCs w:val="18"/>
              </w:rPr>
              <w:t xml:space="preserve"> </w:t>
            </w:r>
            <w:proofErr w:type="spellStart"/>
            <w:r w:rsidRPr="00FA0D75">
              <w:rPr>
                <w:rFonts w:asciiTheme="majorHAnsi" w:hAnsiTheme="majorHAnsi"/>
                <w:i/>
                <w:iCs/>
                <w:szCs w:val="18"/>
              </w:rPr>
              <w:t>staff</w:t>
            </w:r>
            <w:proofErr w:type="spellEnd"/>
            <w:r w:rsidRPr="00FA0D75">
              <w:rPr>
                <w:rFonts w:asciiTheme="majorHAnsi" w:hAnsiTheme="majorHAnsi"/>
                <w:szCs w:val="18"/>
              </w:rPr>
              <w:t xml:space="preserve"> (personen wiens werkzaamheden materiële invloed hebben op het risicoprofiel van de onderneming) bij banken en grote beleggingsondernemingen die moeten voldoen aan de verordening kapitaalvereisten</w:t>
            </w:r>
            <w:r w:rsidRPr="00FA0D75">
              <w:rPr>
                <w:rStyle w:val="Voetnootmarkering"/>
                <w:rFonts w:asciiTheme="majorHAnsi" w:hAnsiTheme="majorHAnsi"/>
                <w:szCs w:val="18"/>
              </w:rPr>
              <w:footnoteReference w:id="4"/>
            </w:r>
            <w:r w:rsidRPr="00FA0D75">
              <w:rPr>
                <w:rFonts w:asciiTheme="majorHAnsi" w:hAnsiTheme="majorHAnsi"/>
                <w:szCs w:val="18"/>
              </w:rPr>
              <w:t>.</w:t>
            </w:r>
          </w:p>
          <w:p w:rsidRPr="00FA0D75" w:rsidR="000505D2" w:rsidP="009A0D62" w:rsidRDefault="000505D2" w14:paraId="60434990" w14:textId="2A71B8D2">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Het aanpassen en terugvorderen van variabele beloningen (bijv. bij ernstig verwijtbaar handelen) geldt voor medewerkers van banken, beleggingsondernemingen en beheerders</w:t>
            </w:r>
            <w:r w:rsidRPr="00FA0D75" w:rsidR="003E6B28">
              <w:rPr>
                <w:rFonts w:asciiTheme="majorHAnsi" w:hAnsiTheme="majorHAnsi"/>
                <w:szCs w:val="18"/>
              </w:rPr>
              <w:t xml:space="preserve"> van beleggingsinstellingen/</w:t>
            </w:r>
            <w:proofErr w:type="spellStart"/>
            <w:r w:rsidRPr="00FA0D75" w:rsidR="003E6B28">
              <w:rPr>
                <w:rFonts w:asciiTheme="majorHAnsi" w:hAnsiTheme="majorHAnsi"/>
                <w:szCs w:val="18"/>
              </w:rPr>
              <w:t>icbe’s</w:t>
            </w:r>
            <w:proofErr w:type="spellEnd"/>
            <w:r w:rsidRPr="00FA0D75">
              <w:rPr>
                <w:rFonts w:asciiTheme="majorHAnsi" w:hAnsiTheme="majorHAnsi"/>
                <w:szCs w:val="18"/>
              </w:rPr>
              <w:t>.</w:t>
            </w:r>
          </w:p>
          <w:p w:rsidRPr="00FA0D75" w:rsidR="000505D2" w:rsidP="009A0D62" w:rsidRDefault="000505D2" w14:paraId="218CA5F8" w14:textId="4B1DB71E">
            <w:pPr>
              <w:pStyle w:val="Lijstalinea"/>
              <w:numPr>
                <w:ilvl w:val="0"/>
                <w:numId w:val="32"/>
              </w:numPr>
              <w:rPr>
                <w:rFonts w:asciiTheme="majorHAnsi" w:hAnsiTheme="majorHAnsi"/>
                <w:szCs w:val="18"/>
              </w:rPr>
            </w:pPr>
            <w:r w:rsidRPr="00FA0D75">
              <w:rPr>
                <w:rFonts w:asciiTheme="majorHAnsi" w:hAnsiTheme="majorHAnsi"/>
                <w:szCs w:val="18"/>
              </w:rPr>
              <w:t xml:space="preserve">In geval van staatssteun geldt (i) een herstructureringsverplichting voor beloningen en (ii) dat geen bonus aan het leidinggevend orgaan kan worden toegekend, tenzij gerechtvaardigd. </w:t>
            </w:r>
          </w:p>
        </w:tc>
        <w:tc>
          <w:tcPr>
            <w:tcW w:w="6095" w:type="dxa"/>
          </w:tcPr>
          <w:p w:rsidRPr="00FA0D75" w:rsidR="000505D2" w:rsidP="009A0D62" w:rsidRDefault="000505D2" w14:paraId="4CB5E46D" w14:textId="1FF6EFEE">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Er gelden op grond van hoofdstuk 1.7 van de Wet op het financieel toezicht (Wft) aanvullende regels voor een beheerst beloningsbeleid (zowel qua inhoud, als qua reikwijdte).</w:t>
            </w:r>
          </w:p>
          <w:p w:rsidRPr="00FA0D75" w:rsidR="000505D2" w:rsidP="009A0D62" w:rsidRDefault="000505D2" w14:paraId="7908F6FF" w14:textId="34FA73A1">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 xml:space="preserve">Zo geldt sinds 2015 een bonusplafond van 20%, waarop een aantal uitzonderingen bestaan waarbij een bonusplafond van 100% of 200% mogelijk is. </w:t>
            </w:r>
          </w:p>
          <w:p w:rsidRPr="00FA0D75" w:rsidR="00D120E5" w:rsidP="00D120E5" w:rsidRDefault="000505D2" w14:paraId="59A4E59C" w14:textId="5569CF3B">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Het Nederlandse bonusplafond is van toepassing op alle medewerkers bij alle financiële ondernemingen</w:t>
            </w:r>
            <w:r w:rsidRPr="00FA0D75" w:rsidR="00D120E5">
              <w:rPr>
                <w:rFonts w:asciiTheme="majorHAnsi" w:hAnsiTheme="majorHAnsi"/>
                <w:szCs w:val="18"/>
              </w:rPr>
              <w:t xml:space="preserve"> </w:t>
            </w:r>
            <w:r w:rsidRPr="00FA0D75">
              <w:rPr>
                <w:rFonts w:asciiTheme="majorHAnsi" w:hAnsiTheme="majorHAnsi"/>
                <w:szCs w:val="18"/>
              </w:rPr>
              <w:t>(m.u.v. fondsbeheerders en handelaren voor eigen rekening)</w:t>
            </w:r>
            <w:r w:rsidRPr="00FA0D75" w:rsidR="00D120E5">
              <w:rPr>
                <w:rFonts w:asciiTheme="majorHAnsi" w:hAnsiTheme="majorHAnsi"/>
                <w:szCs w:val="18"/>
              </w:rPr>
              <w:t xml:space="preserve">. </w:t>
            </w:r>
          </w:p>
          <w:p w:rsidRPr="00FA0D75" w:rsidR="00D120E5" w:rsidP="001958CD" w:rsidRDefault="00D120E5" w14:paraId="393B0DF0" w14:textId="42BEEC44">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De regels voor het aanpassen en terugvorderen van variabele beloningen gelden voor alle financiële ondernemingen.</w:t>
            </w:r>
            <w:r w:rsidRPr="00FA0D75" w:rsidR="008F278F">
              <w:rPr>
                <w:rFonts w:asciiTheme="majorHAnsi" w:hAnsiTheme="majorHAnsi"/>
                <w:szCs w:val="18"/>
              </w:rPr>
              <w:t xml:space="preserve"> </w:t>
            </w:r>
          </w:p>
          <w:p w:rsidRPr="00FA0D75" w:rsidR="000505D2" w:rsidP="009A0D62" w:rsidRDefault="000505D2" w14:paraId="2BC7D95C" w14:textId="0732AAB4">
            <w:pPr>
              <w:pStyle w:val="Lijstalinea"/>
              <w:numPr>
                <w:ilvl w:val="0"/>
                <w:numId w:val="22"/>
              </w:numPr>
              <w:ind w:left="360"/>
              <w:contextualSpacing w:val="0"/>
              <w:rPr>
                <w:rFonts w:asciiTheme="majorHAnsi" w:hAnsiTheme="majorHAnsi"/>
                <w:szCs w:val="18"/>
              </w:rPr>
            </w:pPr>
            <w:r w:rsidRPr="00FA0D75">
              <w:rPr>
                <w:rFonts w:asciiTheme="majorHAnsi" w:hAnsiTheme="majorHAnsi"/>
                <w:szCs w:val="18"/>
              </w:rPr>
              <w:t>In geval van staatssteun geldt een (i) bevriezingsgebod van de vaste beloning voor de top (bestuur en een deel van de laag eronder) en (ii) een bonusverbod voor de top.</w:t>
            </w:r>
          </w:p>
        </w:tc>
      </w:tr>
      <w:tr w:rsidRPr="00FA0D75" w:rsidR="000505D2" w:rsidTr="008D7F36" w14:paraId="7E5C71EE" w14:textId="77777777">
        <w:tc>
          <w:tcPr>
            <w:tcW w:w="562" w:type="dxa"/>
          </w:tcPr>
          <w:p w:rsidRPr="00FA0D75" w:rsidR="000505D2" w:rsidP="009A0D62" w:rsidRDefault="000505D2" w14:paraId="6AB6E86E"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69D231BF" w14:textId="77777777">
            <w:pPr>
              <w:rPr>
                <w:rFonts w:asciiTheme="majorHAnsi" w:hAnsiTheme="majorHAnsi"/>
                <w:szCs w:val="18"/>
              </w:rPr>
            </w:pPr>
            <w:r w:rsidRPr="00FA0D75">
              <w:rPr>
                <w:rFonts w:asciiTheme="majorHAnsi" w:hAnsiTheme="majorHAnsi"/>
                <w:szCs w:val="18"/>
              </w:rPr>
              <w:t>Handhaving/boetes/</w:t>
            </w:r>
          </w:p>
          <w:p w:rsidRPr="00FA0D75" w:rsidR="000505D2" w:rsidP="009A0D62" w:rsidRDefault="000505D2" w14:paraId="05FFA8BE" w14:textId="3FCB4973">
            <w:pPr>
              <w:rPr>
                <w:rFonts w:asciiTheme="majorHAnsi" w:hAnsiTheme="majorHAnsi"/>
                <w:szCs w:val="18"/>
              </w:rPr>
            </w:pPr>
            <w:proofErr w:type="gramStart"/>
            <w:r w:rsidRPr="00FA0D75">
              <w:rPr>
                <w:rFonts w:asciiTheme="majorHAnsi" w:hAnsiTheme="majorHAnsi"/>
                <w:szCs w:val="18"/>
              </w:rPr>
              <w:t>publicatie</w:t>
            </w:r>
            <w:proofErr w:type="gramEnd"/>
            <w:r w:rsidRPr="00FA0D75">
              <w:rPr>
                <w:rFonts w:asciiTheme="majorHAnsi" w:hAnsiTheme="majorHAnsi"/>
                <w:szCs w:val="18"/>
              </w:rPr>
              <w:t xml:space="preserve"> </w:t>
            </w:r>
          </w:p>
        </w:tc>
        <w:tc>
          <w:tcPr>
            <w:tcW w:w="4678" w:type="dxa"/>
          </w:tcPr>
          <w:p w:rsidRPr="00FA0D75" w:rsidR="000505D2" w:rsidP="009A0D62" w:rsidRDefault="000505D2" w14:paraId="74CD8B2E" w14:textId="3DCB6C3F">
            <w:pPr>
              <w:pStyle w:val="Lijstalinea"/>
              <w:numPr>
                <w:ilvl w:val="0"/>
                <w:numId w:val="19"/>
              </w:numPr>
              <w:rPr>
                <w:rFonts w:asciiTheme="majorHAnsi" w:hAnsiTheme="majorHAnsi"/>
                <w:szCs w:val="18"/>
              </w:rPr>
            </w:pPr>
            <w:r w:rsidRPr="00FA0D75">
              <w:rPr>
                <w:rFonts w:asciiTheme="majorHAnsi" w:hAnsiTheme="majorHAnsi"/>
                <w:szCs w:val="18"/>
              </w:rPr>
              <w:t>Het handhavingsinstrumentarium voor de toezichthouders is onderdeel van verschillende richtlijnen en verschilt per sector.</w:t>
            </w:r>
          </w:p>
          <w:p w:rsidRPr="00FA0D75" w:rsidR="000505D2" w:rsidP="009A0D62" w:rsidRDefault="000505D2" w14:paraId="6FCE26EA" w14:textId="056A0502">
            <w:pPr>
              <w:pStyle w:val="Lijstalinea"/>
              <w:numPr>
                <w:ilvl w:val="0"/>
                <w:numId w:val="19"/>
              </w:numPr>
              <w:rPr>
                <w:rFonts w:asciiTheme="majorHAnsi" w:hAnsiTheme="majorHAnsi"/>
                <w:szCs w:val="18"/>
              </w:rPr>
            </w:pPr>
            <w:r w:rsidRPr="00FA0D75">
              <w:rPr>
                <w:rFonts w:asciiTheme="majorHAnsi" w:hAnsiTheme="majorHAnsi"/>
                <w:szCs w:val="18"/>
              </w:rPr>
              <w:lastRenderedPageBreak/>
              <w:t xml:space="preserve">Voor de meeste sectoren zijn in de diverse Europese richtlijnen </w:t>
            </w:r>
            <w:proofErr w:type="spellStart"/>
            <w:r w:rsidRPr="00FA0D75">
              <w:rPr>
                <w:rFonts w:asciiTheme="majorHAnsi" w:hAnsiTheme="majorHAnsi"/>
                <w:szCs w:val="18"/>
              </w:rPr>
              <w:t>omzetgerelateerde</w:t>
            </w:r>
            <w:proofErr w:type="spellEnd"/>
            <w:r w:rsidRPr="00FA0D75">
              <w:rPr>
                <w:rFonts w:asciiTheme="majorHAnsi" w:hAnsiTheme="majorHAnsi"/>
                <w:szCs w:val="18"/>
              </w:rPr>
              <w:t xml:space="preserve"> boetes voorgeschreven.</w:t>
            </w:r>
          </w:p>
          <w:p w:rsidRPr="00FA0D75" w:rsidR="000505D2" w:rsidP="009A0D62" w:rsidRDefault="000505D2" w14:paraId="52B7CDAD" w14:textId="1FC7B207">
            <w:pPr>
              <w:pStyle w:val="Lijstalinea"/>
              <w:numPr>
                <w:ilvl w:val="0"/>
                <w:numId w:val="19"/>
              </w:numPr>
              <w:rPr>
                <w:rFonts w:asciiTheme="majorHAnsi" w:hAnsiTheme="majorHAnsi"/>
                <w:szCs w:val="18"/>
              </w:rPr>
            </w:pPr>
            <w:r w:rsidRPr="00FA0D75">
              <w:rPr>
                <w:rFonts w:asciiTheme="majorHAnsi" w:hAnsiTheme="majorHAnsi"/>
                <w:szCs w:val="18"/>
              </w:rPr>
              <w:t>Daarnaast voorzien de richtlijnen doorgaans in het beginsel van publicatie van overtredingen en handhavingsmaatregelen door de toezichthouder.</w:t>
            </w:r>
          </w:p>
          <w:p w:rsidRPr="00FA0D75" w:rsidR="000505D2" w:rsidP="009A0D62" w:rsidRDefault="000505D2" w14:paraId="3BF94043" w14:textId="283F9556">
            <w:pPr>
              <w:pStyle w:val="Lijstalinea"/>
              <w:numPr>
                <w:ilvl w:val="0"/>
                <w:numId w:val="32"/>
              </w:numPr>
              <w:rPr>
                <w:rFonts w:asciiTheme="majorHAnsi" w:hAnsiTheme="majorHAnsi"/>
                <w:szCs w:val="18"/>
              </w:rPr>
            </w:pPr>
            <w:r w:rsidRPr="00FA0D75">
              <w:rPr>
                <w:rFonts w:asciiTheme="majorHAnsi" w:hAnsiTheme="majorHAnsi"/>
                <w:szCs w:val="18"/>
              </w:rPr>
              <w:t xml:space="preserve">Voor andere sectoren, bijvoorbeeld voor het prudentieel toezicht op verzekeraars, op alternatieve beleggingsinstellingen en op pensioenuitvoerders geldt alleen een algemene eis dat wordt voorzien in effectieve handhavingsmogelijkheden. </w:t>
            </w:r>
          </w:p>
        </w:tc>
        <w:tc>
          <w:tcPr>
            <w:tcW w:w="6095" w:type="dxa"/>
          </w:tcPr>
          <w:p w:rsidRPr="00FA0D75" w:rsidR="000505D2" w:rsidP="009A0D62" w:rsidRDefault="000505D2" w14:paraId="56F98B62" w14:textId="7C8328CE">
            <w:pPr>
              <w:pStyle w:val="Lijstalinea"/>
              <w:numPr>
                <w:ilvl w:val="0"/>
                <w:numId w:val="19"/>
              </w:numPr>
              <w:rPr>
                <w:rFonts w:asciiTheme="majorHAnsi" w:hAnsiTheme="majorHAnsi"/>
                <w:szCs w:val="18"/>
              </w:rPr>
            </w:pPr>
            <w:r w:rsidRPr="00FA0D75">
              <w:rPr>
                <w:rFonts w:asciiTheme="majorHAnsi" w:hAnsiTheme="majorHAnsi"/>
                <w:szCs w:val="18"/>
              </w:rPr>
              <w:lastRenderedPageBreak/>
              <w:t>De Wft kent, vanwege haar cross-sectorale opzet, in hoofdstuk 1.4 een handhavingsinstrumentarium voor de toezichthouders dat voor alle sectoren in grote mate gelijk is.</w:t>
            </w:r>
          </w:p>
          <w:p w:rsidRPr="00FA0D75" w:rsidR="000505D2" w:rsidP="009A0D62" w:rsidRDefault="000505D2" w14:paraId="3F5CF142" w14:textId="5B59DAE8">
            <w:pPr>
              <w:pStyle w:val="Lijstalinea"/>
              <w:numPr>
                <w:ilvl w:val="0"/>
                <w:numId w:val="19"/>
              </w:numPr>
              <w:rPr>
                <w:rFonts w:asciiTheme="majorHAnsi" w:hAnsiTheme="majorHAnsi"/>
                <w:szCs w:val="18"/>
              </w:rPr>
            </w:pPr>
            <w:r w:rsidRPr="00FA0D75">
              <w:rPr>
                <w:rFonts w:asciiTheme="majorHAnsi" w:hAnsiTheme="majorHAnsi"/>
                <w:szCs w:val="18"/>
              </w:rPr>
              <w:lastRenderedPageBreak/>
              <w:t xml:space="preserve">Het Nederlandse handhavingsinstrumentarium is daarmee soms strenger dan het minimum uit een richtlijn. </w:t>
            </w:r>
          </w:p>
          <w:p w:rsidRPr="00FA0D75" w:rsidR="000505D2" w:rsidP="009A0D62" w:rsidRDefault="000505D2" w14:paraId="00A7D6FD" w14:textId="657E1361">
            <w:pPr>
              <w:pStyle w:val="Lijstalinea"/>
              <w:numPr>
                <w:ilvl w:val="0"/>
                <w:numId w:val="19"/>
              </w:numPr>
              <w:rPr>
                <w:rFonts w:asciiTheme="majorHAnsi" w:hAnsiTheme="majorHAnsi"/>
                <w:szCs w:val="18"/>
              </w:rPr>
            </w:pPr>
            <w:r w:rsidRPr="00FA0D75">
              <w:rPr>
                <w:rFonts w:asciiTheme="majorHAnsi" w:hAnsiTheme="majorHAnsi"/>
                <w:szCs w:val="18"/>
              </w:rPr>
              <w:t>Daarbij geldt het uitgangspunt van maximumboetes van 5 miljoen en 10% van de netto-jaaromzet voor zware overtredingen en van publicatie van overtredingen en handhavingsmaatregelen.</w:t>
            </w:r>
          </w:p>
          <w:p w:rsidRPr="00FA0D75" w:rsidR="000505D2" w:rsidP="009A0D62" w:rsidRDefault="000505D2" w14:paraId="64232FDE" w14:textId="30BA5FCF">
            <w:pPr>
              <w:pStyle w:val="Lijstalinea"/>
              <w:numPr>
                <w:ilvl w:val="0"/>
                <w:numId w:val="19"/>
              </w:numPr>
              <w:rPr>
                <w:rFonts w:asciiTheme="majorHAnsi" w:hAnsiTheme="majorHAnsi"/>
                <w:szCs w:val="18"/>
              </w:rPr>
            </w:pPr>
            <w:r w:rsidRPr="00FA0D75">
              <w:rPr>
                <w:rFonts w:asciiTheme="majorHAnsi" w:hAnsiTheme="majorHAnsi"/>
                <w:szCs w:val="18"/>
              </w:rPr>
              <w:t xml:space="preserve">Er bestaan voor de toezichthouders ook mogelijkheden voor een openbare waarschuwing. </w:t>
            </w:r>
          </w:p>
        </w:tc>
      </w:tr>
      <w:tr w:rsidRPr="00FA0D75" w:rsidR="000505D2" w:rsidTr="008D7F36" w14:paraId="03EF2988" w14:textId="77777777">
        <w:tc>
          <w:tcPr>
            <w:tcW w:w="562" w:type="dxa"/>
          </w:tcPr>
          <w:p w:rsidRPr="00FA0D75" w:rsidR="000505D2" w:rsidP="009A0D62" w:rsidRDefault="000505D2" w14:paraId="28BCE00F"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70EC64AE" w14:textId="78FA4D6E">
            <w:pPr>
              <w:rPr>
                <w:rFonts w:asciiTheme="majorHAnsi" w:hAnsiTheme="majorHAnsi"/>
                <w:szCs w:val="18"/>
              </w:rPr>
            </w:pPr>
            <w:r w:rsidRPr="00FA0D75">
              <w:rPr>
                <w:rFonts w:asciiTheme="majorHAnsi" w:hAnsiTheme="majorHAnsi"/>
                <w:szCs w:val="18"/>
              </w:rPr>
              <w:t xml:space="preserve">Toetsen van bestuurders </w:t>
            </w:r>
          </w:p>
        </w:tc>
        <w:tc>
          <w:tcPr>
            <w:tcW w:w="4678" w:type="dxa"/>
          </w:tcPr>
          <w:p w:rsidRPr="00FA0D75" w:rsidR="00634947" w:rsidP="00634947" w:rsidRDefault="00634947" w14:paraId="62EF5236" w14:textId="77777777">
            <w:pPr>
              <w:pStyle w:val="Lijstalinea"/>
              <w:numPr>
                <w:ilvl w:val="0"/>
                <w:numId w:val="19"/>
              </w:numPr>
              <w:rPr>
                <w:rFonts w:asciiTheme="majorHAnsi" w:hAnsiTheme="majorHAnsi"/>
                <w:szCs w:val="18"/>
              </w:rPr>
            </w:pPr>
            <w:r w:rsidRPr="00FA0D75">
              <w:rPr>
                <w:rFonts w:asciiTheme="majorHAnsi" w:hAnsiTheme="majorHAnsi"/>
                <w:szCs w:val="18"/>
              </w:rPr>
              <w:t xml:space="preserve">Geschiktheid- en betrouwbaarheidsvereisten maken deel uit van verschillende richtlijnen en verschillen per sector </w:t>
            </w:r>
          </w:p>
          <w:p w:rsidRPr="00FA0D75" w:rsidR="00634947" w:rsidP="00634947" w:rsidRDefault="00634947" w14:paraId="1231C38D" w14:textId="77777777">
            <w:pPr>
              <w:pStyle w:val="Lijstalinea"/>
              <w:numPr>
                <w:ilvl w:val="0"/>
                <w:numId w:val="19"/>
              </w:numPr>
              <w:rPr>
                <w:rFonts w:asciiTheme="majorHAnsi" w:hAnsiTheme="majorHAnsi"/>
                <w:szCs w:val="18"/>
              </w:rPr>
            </w:pPr>
            <w:r w:rsidRPr="00FA0D75">
              <w:rPr>
                <w:rFonts w:asciiTheme="majorHAnsi" w:hAnsiTheme="majorHAnsi"/>
                <w:szCs w:val="18"/>
              </w:rPr>
              <w:t>Vaak geldt een algemene eis dat bestuurders “fit en proper” zijn en de bedrijfsvoering integer</w:t>
            </w:r>
          </w:p>
          <w:p w:rsidRPr="00FA0D75" w:rsidR="00634947" w:rsidP="00634947" w:rsidRDefault="00634947" w14:paraId="1A27BB36" w14:textId="77777777">
            <w:pPr>
              <w:pStyle w:val="Lijstalinea"/>
              <w:numPr>
                <w:ilvl w:val="0"/>
                <w:numId w:val="19"/>
              </w:numPr>
              <w:rPr>
                <w:rFonts w:asciiTheme="majorHAnsi" w:hAnsiTheme="majorHAnsi"/>
                <w:szCs w:val="18"/>
              </w:rPr>
            </w:pPr>
            <w:r w:rsidRPr="00FA0D75">
              <w:rPr>
                <w:rFonts w:asciiTheme="majorHAnsi" w:hAnsiTheme="majorHAnsi"/>
                <w:szCs w:val="18"/>
              </w:rPr>
              <w:t>Soms wordt dit ingevuld met richtsnoeren door de Europese Toezichthoudende Autoriteiten en de nationale toezichthouders</w:t>
            </w:r>
          </w:p>
          <w:p w:rsidRPr="00FA0D75" w:rsidR="000505D2" w:rsidP="00634947" w:rsidRDefault="00634947" w14:paraId="37DF611F" w14:textId="0145C8EF">
            <w:pPr>
              <w:pStyle w:val="Lijstalinea"/>
              <w:numPr>
                <w:ilvl w:val="0"/>
                <w:numId w:val="19"/>
              </w:numPr>
              <w:rPr>
                <w:rFonts w:asciiTheme="majorHAnsi" w:hAnsiTheme="majorHAnsi"/>
                <w:szCs w:val="18"/>
              </w:rPr>
            </w:pPr>
            <w:r w:rsidRPr="00FA0D75">
              <w:rPr>
                <w:rFonts w:asciiTheme="majorHAnsi" w:hAnsiTheme="majorHAnsi"/>
                <w:szCs w:val="18"/>
              </w:rPr>
              <w:t>Voor verzekeraars en banken gelden deze vereisten ook voor de laag onder de directie (tweede echelon/sleutelfunctiehouders)</w:t>
            </w:r>
          </w:p>
        </w:tc>
        <w:tc>
          <w:tcPr>
            <w:tcW w:w="6095" w:type="dxa"/>
          </w:tcPr>
          <w:p w:rsidR="00FA0D75" w:rsidP="00FA0D75" w:rsidRDefault="000505D2" w14:paraId="283851DB" w14:textId="77777777">
            <w:pPr>
              <w:pStyle w:val="Lijstalinea"/>
              <w:numPr>
                <w:ilvl w:val="0"/>
                <w:numId w:val="19"/>
              </w:numPr>
              <w:rPr>
                <w:rFonts w:asciiTheme="majorHAnsi" w:hAnsiTheme="majorHAnsi"/>
                <w:szCs w:val="18"/>
              </w:rPr>
            </w:pPr>
            <w:r w:rsidRPr="00FA0D75">
              <w:rPr>
                <w:rFonts w:asciiTheme="majorHAnsi" w:hAnsiTheme="majorHAnsi"/>
                <w:szCs w:val="18"/>
              </w:rPr>
              <w:t>De reikwijdte van de geschiktheid- en betrouwbaarheidsvereisten in de Wft komt in grote lijnen overeen met de EU-voorschriften.</w:t>
            </w:r>
          </w:p>
          <w:p w:rsidR="00FA0D75" w:rsidP="00FA0D75" w:rsidRDefault="000505D2" w14:paraId="30387FF9" w14:textId="77777777">
            <w:pPr>
              <w:pStyle w:val="Lijstalinea"/>
              <w:numPr>
                <w:ilvl w:val="0"/>
                <w:numId w:val="19"/>
              </w:numPr>
              <w:rPr>
                <w:rFonts w:asciiTheme="majorHAnsi" w:hAnsiTheme="majorHAnsi"/>
                <w:szCs w:val="18"/>
              </w:rPr>
            </w:pPr>
            <w:r w:rsidRPr="00FA0D75">
              <w:rPr>
                <w:rFonts w:asciiTheme="majorHAnsi" w:hAnsiTheme="majorHAnsi"/>
                <w:szCs w:val="18"/>
              </w:rPr>
              <w:t xml:space="preserve">Aan de algemene eis wordt invulling gegeven door voorafgaand aan benoeming de geschiktheid (kunde) en betrouwbaarheid (vooral eventuele antecedenten) te laten toetsen door de AFM, DNB en/of de ECB, afhankelijk van het soort instelling. </w:t>
            </w:r>
          </w:p>
          <w:p w:rsidRPr="00FA0D75" w:rsidR="000505D2" w:rsidP="00FA0D75" w:rsidRDefault="000505D2" w14:paraId="0F9DAA1F" w14:textId="49E6A443">
            <w:pPr>
              <w:pStyle w:val="Lijstalinea"/>
              <w:numPr>
                <w:ilvl w:val="0"/>
                <w:numId w:val="19"/>
              </w:numPr>
              <w:rPr>
                <w:rFonts w:asciiTheme="majorHAnsi" w:hAnsiTheme="majorHAnsi"/>
                <w:szCs w:val="18"/>
              </w:rPr>
            </w:pPr>
            <w:r w:rsidRPr="00FA0D75">
              <w:rPr>
                <w:rFonts w:asciiTheme="majorHAnsi" w:hAnsiTheme="majorHAnsi"/>
                <w:szCs w:val="18"/>
              </w:rPr>
              <w:t>Deze ex ante toetsing wordt niet</w:t>
            </w:r>
            <w:r w:rsidRPr="00FA0D75" w:rsidR="00D120E5">
              <w:rPr>
                <w:rFonts w:asciiTheme="majorHAnsi" w:hAnsiTheme="majorHAnsi"/>
                <w:szCs w:val="18"/>
              </w:rPr>
              <w:t xml:space="preserve"> altijd</w:t>
            </w:r>
            <w:r w:rsidRPr="00FA0D75">
              <w:rPr>
                <w:rFonts w:asciiTheme="majorHAnsi" w:hAnsiTheme="majorHAnsi"/>
                <w:szCs w:val="18"/>
              </w:rPr>
              <w:t xml:space="preserve"> voorgeschreven in Europese regelgeving. De tendens in de EU is dat er wel steeds meer naar ex ante toetsing wordt gegaan. </w:t>
            </w:r>
          </w:p>
        </w:tc>
      </w:tr>
      <w:tr w:rsidRPr="00FA0D75" w:rsidR="000505D2" w:rsidTr="008D7F36" w14:paraId="31245F7B" w14:textId="77777777">
        <w:tc>
          <w:tcPr>
            <w:tcW w:w="562" w:type="dxa"/>
          </w:tcPr>
          <w:p w:rsidRPr="00FA0D75" w:rsidR="000505D2" w:rsidP="009A0D62" w:rsidRDefault="000505D2" w14:paraId="25246D5F"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01849222" w14:textId="71DECC1D">
            <w:pPr>
              <w:rPr>
                <w:rFonts w:asciiTheme="majorHAnsi" w:hAnsiTheme="majorHAnsi"/>
                <w:szCs w:val="18"/>
              </w:rPr>
            </w:pPr>
            <w:r w:rsidRPr="00FA0D75">
              <w:rPr>
                <w:rFonts w:asciiTheme="majorHAnsi" w:hAnsiTheme="majorHAnsi"/>
                <w:szCs w:val="18"/>
              </w:rPr>
              <w:t>Provisie</w:t>
            </w:r>
            <w:r w:rsidRPr="00FA0D75">
              <w:rPr>
                <w:rFonts w:asciiTheme="majorHAnsi" w:hAnsiTheme="majorHAnsi"/>
                <w:b/>
                <w:bCs/>
                <w:szCs w:val="18"/>
              </w:rPr>
              <w:t>verbod</w:t>
            </w:r>
            <w:r w:rsidRPr="00FA0D75">
              <w:rPr>
                <w:rFonts w:asciiTheme="majorHAnsi" w:hAnsiTheme="majorHAnsi"/>
                <w:szCs w:val="18"/>
              </w:rPr>
              <w:t xml:space="preserve"> </w:t>
            </w:r>
          </w:p>
        </w:tc>
        <w:tc>
          <w:tcPr>
            <w:tcW w:w="4678" w:type="dxa"/>
          </w:tcPr>
          <w:p w:rsidRPr="00FA0D75" w:rsidR="00634947" w:rsidP="00634947" w:rsidRDefault="00634947" w14:paraId="1AF66754" w14:textId="1AAC2246">
            <w:pPr>
              <w:pStyle w:val="Lijstalinea"/>
              <w:numPr>
                <w:ilvl w:val="0"/>
                <w:numId w:val="8"/>
              </w:numPr>
              <w:rPr>
                <w:rFonts w:asciiTheme="majorHAnsi" w:hAnsiTheme="majorHAnsi"/>
                <w:szCs w:val="18"/>
              </w:rPr>
            </w:pPr>
            <w:r w:rsidRPr="00FA0D75">
              <w:rPr>
                <w:rFonts w:asciiTheme="majorHAnsi" w:hAnsiTheme="majorHAnsi"/>
                <w:szCs w:val="18"/>
              </w:rPr>
              <w:t>De hypothekenrichtlijn (MCD</w:t>
            </w:r>
            <w:r w:rsidRPr="00FA0D75" w:rsidR="008F278F">
              <w:rPr>
                <w:rFonts w:asciiTheme="majorHAnsi" w:hAnsiTheme="majorHAnsi"/>
                <w:szCs w:val="18"/>
              </w:rPr>
              <w:t>)</w:t>
            </w:r>
            <w:r w:rsidRPr="00FA0D75" w:rsidR="00977EBE">
              <w:rPr>
                <w:rStyle w:val="Voetnootmarkering"/>
                <w:rFonts w:asciiTheme="majorHAnsi" w:hAnsiTheme="majorHAnsi"/>
                <w:szCs w:val="18"/>
              </w:rPr>
              <w:footnoteReference w:id="5"/>
            </w:r>
            <w:r w:rsidRPr="00FA0D75">
              <w:rPr>
                <w:rFonts w:asciiTheme="majorHAnsi" w:hAnsiTheme="majorHAnsi"/>
                <w:szCs w:val="18"/>
              </w:rPr>
              <w:t xml:space="preserve"> geeft de ruimte om kredietgevers te verbieden provisie te betalen aan de kredietbemiddelaar.</w:t>
            </w:r>
          </w:p>
          <w:p w:rsidRPr="00FA0D75" w:rsidR="00634947" w:rsidP="00634947" w:rsidRDefault="00634947" w14:paraId="79E6B12B" w14:textId="49BA43E8">
            <w:pPr>
              <w:pStyle w:val="Lijstalinea"/>
              <w:numPr>
                <w:ilvl w:val="0"/>
                <w:numId w:val="8"/>
              </w:numPr>
              <w:rPr>
                <w:rFonts w:asciiTheme="majorHAnsi" w:hAnsiTheme="majorHAnsi"/>
                <w:szCs w:val="18"/>
              </w:rPr>
            </w:pPr>
            <w:r w:rsidRPr="00FA0D75">
              <w:rPr>
                <w:rFonts w:asciiTheme="majorHAnsi" w:hAnsiTheme="majorHAnsi"/>
                <w:szCs w:val="18"/>
              </w:rPr>
              <w:t>In de verzekeringsdistributierichtlijn (IDD</w:t>
            </w:r>
            <w:r w:rsidRPr="00FA0D75" w:rsidR="008F278F">
              <w:rPr>
                <w:rFonts w:asciiTheme="majorHAnsi" w:hAnsiTheme="majorHAnsi"/>
                <w:szCs w:val="18"/>
              </w:rPr>
              <w:t>)</w:t>
            </w:r>
            <w:r w:rsidRPr="00FA0D75" w:rsidR="00977EBE">
              <w:rPr>
                <w:rStyle w:val="Voetnootmarkering"/>
                <w:rFonts w:asciiTheme="majorHAnsi" w:hAnsiTheme="majorHAnsi"/>
                <w:szCs w:val="18"/>
              </w:rPr>
              <w:footnoteReference w:id="6"/>
            </w:r>
            <w:r w:rsidRPr="00FA0D75" w:rsidR="008F278F">
              <w:rPr>
                <w:rFonts w:asciiTheme="majorHAnsi" w:hAnsiTheme="majorHAnsi"/>
                <w:szCs w:val="18"/>
              </w:rPr>
              <w:t xml:space="preserve"> </w:t>
            </w:r>
            <w:r w:rsidRPr="00FA0D75">
              <w:rPr>
                <w:rFonts w:asciiTheme="majorHAnsi" w:hAnsiTheme="majorHAnsi"/>
                <w:szCs w:val="18"/>
              </w:rPr>
              <w:t>zijn regels opgenomen die zien op transparantie over de aard van de provisie. De richtlijn kent geen provisieverbod, maar geeft lidstaten wel de ruimte een verbod te introduceren.</w:t>
            </w:r>
          </w:p>
          <w:p w:rsidRPr="00FA0D75" w:rsidR="000505D2" w:rsidP="00634947" w:rsidRDefault="00634947" w14:paraId="55E6D3CE" w14:textId="7278C18F">
            <w:pPr>
              <w:pStyle w:val="Lijstalinea"/>
              <w:numPr>
                <w:ilvl w:val="0"/>
                <w:numId w:val="8"/>
              </w:numPr>
              <w:rPr>
                <w:rFonts w:asciiTheme="majorHAnsi" w:hAnsiTheme="majorHAnsi"/>
                <w:szCs w:val="18"/>
              </w:rPr>
            </w:pPr>
            <w:r w:rsidRPr="00FA0D75">
              <w:rPr>
                <w:rFonts w:asciiTheme="majorHAnsi" w:hAnsiTheme="majorHAnsi"/>
                <w:szCs w:val="18"/>
              </w:rPr>
              <w:lastRenderedPageBreak/>
              <w:t>Op grond van de richtlijn markten voor financiële instrumenten 2014 (MiFID II</w:t>
            </w:r>
            <w:r w:rsidRPr="00FA0D75" w:rsidR="008F278F">
              <w:rPr>
                <w:rFonts w:asciiTheme="majorHAnsi" w:hAnsiTheme="majorHAnsi"/>
                <w:szCs w:val="18"/>
              </w:rPr>
              <w:t>)</w:t>
            </w:r>
            <w:r w:rsidRPr="00FA0D75" w:rsidR="008F278F">
              <w:rPr>
                <w:rStyle w:val="Voetnootmarkering"/>
                <w:rFonts w:asciiTheme="majorHAnsi" w:hAnsiTheme="majorHAnsi"/>
                <w:szCs w:val="18"/>
              </w:rPr>
              <w:footnoteReference w:id="7"/>
            </w:r>
            <w:r w:rsidRPr="00FA0D75" w:rsidR="008F278F">
              <w:rPr>
                <w:rFonts w:asciiTheme="majorHAnsi" w:hAnsiTheme="majorHAnsi"/>
                <w:szCs w:val="18"/>
              </w:rPr>
              <w:t xml:space="preserve"> </w:t>
            </w:r>
            <w:r w:rsidRPr="00FA0D75">
              <w:rPr>
                <w:rFonts w:asciiTheme="majorHAnsi" w:hAnsiTheme="majorHAnsi"/>
                <w:szCs w:val="18"/>
              </w:rPr>
              <w:t>geldt dat door een beleggingsonderneming ontvangen provisies voor onafhankelijk beleggingsadvies of vermogensbeheer zo snel mogelijk worden doorgegeven aan de betreffende klant. Provisies voor niet-onafhankelijke adviesdiensten en voor beleggen zonder advies zijn toegestaan, maar hiervoor gelden regels ten aanzien van transparantie van provisies en de kwaliteit van de dienstverlening.</w:t>
            </w:r>
          </w:p>
        </w:tc>
        <w:tc>
          <w:tcPr>
            <w:tcW w:w="6095" w:type="dxa"/>
          </w:tcPr>
          <w:p w:rsidRPr="00FA0D75" w:rsidR="000505D2" w:rsidP="009A0D62" w:rsidRDefault="000505D2" w14:paraId="0A7EC75C" w14:textId="31397C39">
            <w:pPr>
              <w:pStyle w:val="Lijstalinea"/>
              <w:numPr>
                <w:ilvl w:val="0"/>
                <w:numId w:val="23"/>
              </w:numPr>
              <w:rPr>
                <w:rFonts w:asciiTheme="majorHAnsi" w:hAnsiTheme="majorHAnsi"/>
                <w:szCs w:val="18"/>
              </w:rPr>
            </w:pPr>
            <w:r w:rsidRPr="00FA0D75">
              <w:rPr>
                <w:rFonts w:cs="Calibri" w:asciiTheme="majorHAnsi" w:hAnsiTheme="majorHAnsi"/>
                <w:szCs w:val="18"/>
              </w:rPr>
              <w:lastRenderedPageBreak/>
              <w:t>In Nederland is er in 2013 voor gekozen om voor complexe en/of impactvolle producten een provisieverbod te introduceren.</w:t>
            </w:r>
            <w:r w:rsidRPr="00FA0D75" w:rsidR="008D7F36">
              <w:rPr>
                <w:rStyle w:val="Voetnootmarkering"/>
                <w:rFonts w:cs="Calibri" w:asciiTheme="majorHAnsi" w:hAnsiTheme="majorHAnsi"/>
                <w:szCs w:val="18"/>
              </w:rPr>
              <w:footnoteReference w:id="8"/>
            </w:r>
            <w:r w:rsidRPr="00FA0D75">
              <w:rPr>
                <w:rFonts w:cs="Calibri" w:asciiTheme="majorHAnsi" w:hAnsiTheme="majorHAnsi"/>
                <w:szCs w:val="18"/>
              </w:rPr>
              <w:t xml:space="preserve"> </w:t>
            </w:r>
            <w:r w:rsidRPr="00FA0D75">
              <w:rPr>
                <w:rFonts w:asciiTheme="majorHAnsi" w:hAnsiTheme="majorHAnsi"/>
                <w:szCs w:val="18"/>
              </w:rPr>
              <w:t xml:space="preserve">Dit betekent dat aanbieders van bijv. hypotheken en beleggingsverzekeringen advies- en distributiekosten rechtstreeks in rekening moeten brengen bij de consument. </w:t>
            </w:r>
          </w:p>
          <w:p w:rsidRPr="00FA0D75" w:rsidR="000505D2" w:rsidP="009A0D62" w:rsidRDefault="000505D2" w14:paraId="13585B2F" w14:textId="3CB2D6CF">
            <w:pPr>
              <w:pStyle w:val="Lijstalinea"/>
              <w:numPr>
                <w:ilvl w:val="0"/>
                <w:numId w:val="23"/>
              </w:numPr>
              <w:rPr>
                <w:rFonts w:asciiTheme="majorHAnsi" w:hAnsiTheme="majorHAnsi"/>
                <w:szCs w:val="18"/>
              </w:rPr>
            </w:pPr>
            <w:r w:rsidRPr="00FA0D75">
              <w:rPr>
                <w:rFonts w:cs="Calibri" w:asciiTheme="majorHAnsi" w:hAnsiTheme="majorHAnsi"/>
                <w:szCs w:val="18"/>
              </w:rPr>
              <w:t xml:space="preserve">Sinds 2014 geldt voor beleggingsondernemingen die beleggingsdiensten verlenen aan niet-professionele beleggers dat zij geen provisie mogen betalen of ontvangen. </w:t>
            </w:r>
            <w:r w:rsidRPr="00FA0D75">
              <w:rPr>
                <w:rFonts w:cs="Calibri" w:asciiTheme="majorHAnsi" w:hAnsiTheme="majorHAnsi"/>
                <w:szCs w:val="18"/>
              </w:rPr>
              <w:lastRenderedPageBreak/>
              <w:t>Voor professionele beleggers gelden de provisieregels uit MiFID II.</w:t>
            </w:r>
          </w:p>
        </w:tc>
      </w:tr>
      <w:tr w:rsidRPr="00FA0D75" w:rsidR="000505D2" w:rsidTr="008D7F36" w14:paraId="7F50EFB0" w14:textId="77777777">
        <w:tc>
          <w:tcPr>
            <w:tcW w:w="562" w:type="dxa"/>
          </w:tcPr>
          <w:p w:rsidRPr="00FA0D75" w:rsidR="000505D2" w:rsidP="009A0D62" w:rsidRDefault="000505D2" w14:paraId="6FA1C428"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2BEF3848" w14:textId="4CBB2B71">
            <w:pPr>
              <w:rPr>
                <w:rFonts w:asciiTheme="majorHAnsi" w:hAnsiTheme="majorHAnsi"/>
                <w:szCs w:val="18"/>
              </w:rPr>
            </w:pPr>
            <w:r w:rsidRPr="00FA0D75">
              <w:rPr>
                <w:rFonts w:asciiTheme="majorHAnsi" w:hAnsiTheme="majorHAnsi"/>
                <w:szCs w:val="18"/>
              </w:rPr>
              <w:t>Provisie</w:t>
            </w:r>
            <w:r w:rsidRPr="00FA0D75">
              <w:rPr>
                <w:rFonts w:asciiTheme="majorHAnsi" w:hAnsiTheme="majorHAnsi"/>
                <w:b/>
                <w:bCs/>
                <w:szCs w:val="18"/>
              </w:rPr>
              <w:t>gebod</w:t>
            </w:r>
          </w:p>
        </w:tc>
        <w:tc>
          <w:tcPr>
            <w:tcW w:w="4678" w:type="dxa"/>
          </w:tcPr>
          <w:p w:rsidRPr="00FA0D75" w:rsidR="000505D2" w:rsidP="00634947" w:rsidRDefault="008D7F36" w14:paraId="134EDE7A" w14:textId="1A94AA5C">
            <w:pPr>
              <w:pStyle w:val="Lijstalinea"/>
              <w:numPr>
                <w:ilvl w:val="0"/>
                <w:numId w:val="8"/>
              </w:numPr>
              <w:rPr>
                <w:rFonts w:asciiTheme="majorHAnsi" w:hAnsiTheme="majorHAnsi"/>
                <w:szCs w:val="18"/>
              </w:rPr>
            </w:pPr>
            <w:r w:rsidRPr="00FA0D75">
              <w:rPr>
                <w:rFonts w:asciiTheme="majorHAnsi" w:hAnsiTheme="majorHAnsi"/>
                <w:szCs w:val="18"/>
              </w:rPr>
              <w:t>Er</w:t>
            </w:r>
            <w:r w:rsidRPr="00FA0D75" w:rsidR="00634947">
              <w:rPr>
                <w:rFonts w:asciiTheme="majorHAnsi" w:hAnsiTheme="majorHAnsi"/>
                <w:szCs w:val="18"/>
              </w:rPr>
              <w:t xml:space="preserve"> </w:t>
            </w:r>
            <w:r w:rsidRPr="00FA0D75">
              <w:rPr>
                <w:rFonts w:asciiTheme="majorHAnsi" w:hAnsiTheme="majorHAnsi"/>
                <w:szCs w:val="18"/>
              </w:rPr>
              <w:t>geldt</w:t>
            </w:r>
            <w:r w:rsidRPr="00FA0D75" w:rsidR="00634947">
              <w:rPr>
                <w:rFonts w:asciiTheme="majorHAnsi" w:hAnsiTheme="majorHAnsi"/>
                <w:szCs w:val="18"/>
              </w:rPr>
              <w:t xml:space="preserve"> geen provisiegebod voor consumptief kredietovereenkomsten op grond van Europese regelgeving.</w:t>
            </w:r>
          </w:p>
        </w:tc>
        <w:tc>
          <w:tcPr>
            <w:tcW w:w="6095" w:type="dxa"/>
          </w:tcPr>
          <w:p w:rsidRPr="00FA0D75" w:rsidR="000505D2" w:rsidP="009A0D62" w:rsidRDefault="000505D2" w14:paraId="657DEF50" w14:textId="22D5C6E7">
            <w:pPr>
              <w:pStyle w:val="Lijstalinea"/>
              <w:numPr>
                <w:ilvl w:val="0"/>
                <w:numId w:val="23"/>
              </w:numPr>
              <w:rPr>
                <w:rFonts w:cs="Calibri" w:asciiTheme="majorHAnsi" w:hAnsiTheme="majorHAnsi"/>
                <w:szCs w:val="18"/>
              </w:rPr>
            </w:pPr>
            <w:r w:rsidRPr="00FA0D75">
              <w:rPr>
                <w:rFonts w:asciiTheme="majorHAnsi" w:hAnsiTheme="majorHAnsi"/>
                <w:szCs w:val="18"/>
              </w:rPr>
              <w:t>Het provisiegebod geldt sinds 1991 bij consumptief kredietovereenkomsten en houdt in dat de kredietgever de kredietbemiddelaar maandelijks een provisie verstrekt gedurende de looptijd van de overeenkomst.</w:t>
            </w:r>
            <w:r w:rsidRPr="00FA0D75">
              <w:rPr>
                <w:rStyle w:val="Voetnootmarkering"/>
                <w:rFonts w:asciiTheme="majorHAnsi" w:hAnsiTheme="majorHAnsi"/>
                <w:szCs w:val="18"/>
              </w:rPr>
              <w:footnoteReference w:id="9"/>
            </w:r>
            <w:r w:rsidRPr="00FA0D75">
              <w:rPr>
                <w:rFonts w:asciiTheme="majorHAnsi" w:hAnsiTheme="majorHAnsi"/>
                <w:szCs w:val="18"/>
              </w:rPr>
              <w:t xml:space="preserve"> </w:t>
            </w:r>
          </w:p>
          <w:p w:rsidRPr="00FA0D75" w:rsidR="000505D2" w:rsidP="009A0D62" w:rsidRDefault="000505D2" w14:paraId="53B9AA43" w14:textId="60FEC277">
            <w:pPr>
              <w:pStyle w:val="Lijstalinea"/>
              <w:ind w:left="360"/>
              <w:rPr>
                <w:rFonts w:asciiTheme="majorHAnsi" w:hAnsiTheme="majorHAnsi"/>
                <w:szCs w:val="18"/>
              </w:rPr>
            </w:pPr>
          </w:p>
        </w:tc>
      </w:tr>
      <w:tr w:rsidRPr="00FA0D75" w:rsidR="000505D2" w:rsidTr="008D7F36" w14:paraId="354B671A" w14:textId="77777777">
        <w:tc>
          <w:tcPr>
            <w:tcW w:w="562" w:type="dxa"/>
          </w:tcPr>
          <w:p w:rsidRPr="00FA0D75" w:rsidR="000505D2" w:rsidP="009A0D62" w:rsidRDefault="000505D2" w14:paraId="18A21C3D"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0997FC58" w14:textId="77777777">
            <w:pPr>
              <w:rPr>
                <w:rFonts w:eastAsia="Times New Roman" w:asciiTheme="majorHAnsi" w:hAnsiTheme="majorHAnsi"/>
                <w:szCs w:val="18"/>
              </w:rPr>
            </w:pPr>
            <w:r w:rsidRPr="00FA0D75">
              <w:rPr>
                <w:rFonts w:eastAsia="Times New Roman" w:asciiTheme="majorHAnsi" w:hAnsiTheme="majorHAnsi"/>
                <w:szCs w:val="18"/>
              </w:rPr>
              <w:t xml:space="preserve">Actieve provisietransparantie bij schadeverzekeringen </w:t>
            </w:r>
          </w:p>
          <w:p w:rsidRPr="00FA0D75" w:rsidR="000505D2" w:rsidP="009A0D62" w:rsidRDefault="000505D2" w14:paraId="1E221A0B" w14:textId="77777777">
            <w:pPr>
              <w:rPr>
                <w:rFonts w:asciiTheme="majorHAnsi" w:hAnsiTheme="majorHAnsi"/>
                <w:szCs w:val="18"/>
              </w:rPr>
            </w:pPr>
          </w:p>
        </w:tc>
        <w:tc>
          <w:tcPr>
            <w:tcW w:w="4678" w:type="dxa"/>
          </w:tcPr>
          <w:p w:rsidRPr="00FA0D75" w:rsidR="000505D2" w:rsidP="00634947" w:rsidRDefault="00634947" w14:paraId="1D4DCF38" w14:textId="6D8D32EE">
            <w:pPr>
              <w:pStyle w:val="Lijstalinea"/>
              <w:numPr>
                <w:ilvl w:val="0"/>
                <w:numId w:val="8"/>
              </w:numPr>
              <w:rPr>
                <w:rFonts w:asciiTheme="majorHAnsi" w:hAnsiTheme="majorHAnsi"/>
                <w:szCs w:val="18"/>
              </w:rPr>
            </w:pPr>
            <w:r w:rsidRPr="00FA0D75">
              <w:rPr>
                <w:rFonts w:asciiTheme="majorHAnsi" w:hAnsiTheme="majorHAnsi"/>
                <w:szCs w:val="18"/>
              </w:rPr>
              <w:t>De IDD verplicht verzekeringstussenpersonen om precontractueel aan te geven welk soort vergoeding wordt ontvangen (bijvoorbeeld provisie).</w:t>
            </w:r>
          </w:p>
        </w:tc>
        <w:tc>
          <w:tcPr>
            <w:tcW w:w="6095" w:type="dxa"/>
          </w:tcPr>
          <w:p w:rsidRPr="00FA0D75" w:rsidR="000505D2" w:rsidP="009A0D62" w:rsidRDefault="000505D2" w14:paraId="4D136C29" w14:textId="66FBE65A">
            <w:pPr>
              <w:pStyle w:val="Lijstalinea"/>
              <w:numPr>
                <w:ilvl w:val="0"/>
                <w:numId w:val="23"/>
              </w:numPr>
              <w:rPr>
                <w:rFonts w:asciiTheme="majorHAnsi" w:hAnsiTheme="majorHAnsi"/>
                <w:szCs w:val="18"/>
              </w:rPr>
            </w:pPr>
            <w:r w:rsidRPr="00FA0D75">
              <w:rPr>
                <w:rFonts w:eastAsia="Times New Roman" w:asciiTheme="majorHAnsi" w:hAnsiTheme="majorHAnsi"/>
                <w:szCs w:val="18"/>
              </w:rPr>
              <w:t xml:space="preserve">Verplichting voor tussenpersonen om zo vroeg mogelijk </w:t>
            </w:r>
            <w:r w:rsidRPr="00FA0D75">
              <w:rPr>
                <w:rFonts w:eastAsia="Times New Roman" w:asciiTheme="majorHAnsi" w:hAnsiTheme="majorHAnsi"/>
                <w:i/>
                <w:iCs/>
                <w:szCs w:val="18"/>
              </w:rPr>
              <w:t>actief</w:t>
            </w:r>
            <w:r w:rsidRPr="00FA0D75">
              <w:rPr>
                <w:rFonts w:eastAsia="Times New Roman" w:asciiTheme="majorHAnsi" w:hAnsiTheme="majorHAnsi"/>
                <w:szCs w:val="18"/>
              </w:rPr>
              <w:t xml:space="preserve"> de klant te informeren over provisiestromen van de verzekeraar aan de tussenpersoon.</w:t>
            </w:r>
            <w:r w:rsidRPr="00FA0D75" w:rsidR="008D7F36">
              <w:rPr>
                <w:rStyle w:val="Voetnootmarkering"/>
                <w:rFonts w:eastAsia="Times New Roman" w:asciiTheme="majorHAnsi" w:hAnsiTheme="majorHAnsi"/>
                <w:szCs w:val="18"/>
              </w:rPr>
              <w:footnoteReference w:id="10"/>
            </w:r>
            <w:r w:rsidRPr="00FA0D75">
              <w:rPr>
                <w:rFonts w:eastAsia="Times New Roman" w:asciiTheme="majorHAnsi" w:hAnsiTheme="majorHAnsi"/>
                <w:szCs w:val="18"/>
              </w:rPr>
              <w:t xml:space="preserve"> Eerder waren tussenpersonen slechts verplicht deze informatie op verzoek van de klant (passief) te delen. </w:t>
            </w:r>
          </w:p>
        </w:tc>
      </w:tr>
      <w:tr w:rsidRPr="00FA0D75" w:rsidR="000505D2" w:rsidTr="008D7F36" w14:paraId="510C0A2B" w14:textId="77777777">
        <w:tc>
          <w:tcPr>
            <w:tcW w:w="562" w:type="dxa"/>
          </w:tcPr>
          <w:p w:rsidRPr="00FA0D75" w:rsidR="000505D2" w:rsidP="009A0D62" w:rsidRDefault="000505D2" w14:paraId="22F6336B"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5A1F64EA" w14:textId="3C512DD7">
            <w:pPr>
              <w:rPr>
                <w:rFonts w:asciiTheme="majorHAnsi" w:hAnsiTheme="majorHAnsi"/>
                <w:szCs w:val="18"/>
              </w:rPr>
            </w:pPr>
            <w:r w:rsidRPr="00FA0D75">
              <w:rPr>
                <w:rFonts w:asciiTheme="majorHAnsi" w:hAnsiTheme="majorHAnsi"/>
                <w:szCs w:val="18"/>
              </w:rPr>
              <w:t>Vakbekwaamheid</w:t>
            </w:r>
          </w:p>
        </w:tc>
        <w:tc>
          <w:tcPr>
            <w:tcW w:w="4678" w:type="dxa"/>
          </w:tcPr>
          <w:p w:rsidRPr="00FA0D75" w:rsidR="000505D2" w:rsidP="009A0D62" w:rsidRDefault="000505D2" w14:paraId="11587297" w14:textId="4044B77C">
            <w:pPr>
              <w:pStyle w:val="Lijstalinea"/>
              <w:numPr>
                <w:ilvl w:val="0"/>
                <w:numId w:val="31"/>
              </w:numPr>
              <w:rPr>
                <w:rFonts w:asciiTheme="majorHAnsi" w:hAnsiTheme="majorHAnsi"/>
                <w:szCs w:val="18"/>
              </w:rPr>
            </w:pPr>
            <w:r w:rsidRPr="00FA0D75">
              <w:rPr>
                <w:rFonts w:asciiTheme="majorHAnsi" w:hAnsiTheme="majorHAnsi"/>
                <w:szCs w:val="18"/>
              </w:rPr>
              <w:t>In diverse richtlijnen (bijv. MCD, IDD, MiFID II, CCDII</w:t>
            </w:r>
            <w:r w:rsidRPr="00FA0D75">
              <w:rPr>
                <w:rStyle w:val="Voetnootmarkering"/>
                <w:rFonts w:asciiTheme="majorHAnsi" w:hAnsiTheme="majorHAnsi"/>
                <w:szCs w:val="18"/>
              </w:rPr>
              <w:footnoteReference w:id="11"/>
            </w:r>
            <w:r w:rsidRPr="00FA0D75">
              <w:rPr>
                <w:rFonts w:asciiTheme="majorHAnsi" w:hAnsiTheme="majorHAnsi"/>
                <w:szCs w:val="18"/>
              </w:rPr>
              <w:t>) zijn eisen gesteld aan de vakbekwaamheid van medewerkers die informeren en adviseren. Soms ook aan feitelijk leidinggevenden.</w:t>
            </w:r>
          </w:p>
          <w:p w:rsidRPr="00FA0D75" w:rsidR="000505D2" w:rsidP="009A0D62" w:rsidRDefault="000505D2" w14:paraId="52B71017" w14:textId="77777777">
            <w:pPr>
              <w:pStyle w:val="Lijstalinea"/>
              <w:numPr>
                <w:ilvl w:val="0"/>
                <w:numId w:val="31"/>
              </w:numPr>
              <w:rPr>
                <w:rFonts w:asciiTheme="majorHAnsi" w:hAnsiTheme="majorHAnsi"/>
                <w:szCs w:val="18"/>
              </w:rPr>
            </w:pPr>
            <w:r w:rsidRPr="00FA0D75">
              <w:rPr>
                <w:rFonts w:asciiTheme="majorHAnsi" w:hAnsiTheme="majorHAnsi"/>
                <w:szCs w:val="18"/>
              </w:rPr>
              <w:t xml:space="preserve">Voor deze personen geldt dat zij over voldoende kennis dienen te beschikken. Permanente educatie van financieel adviseurs of medewerkers met klantcontact </w:t>
            </w:r>
            <w:r w:rsidRPr="00FA0D75">
              <w:rPr>
                <w:rFonts w:asciiTheme="majorHAnsi" w:hAnsiTheme="majorHAnsi"/>
                <w:szCs w:val="18"/>
              </w:rPr>
              <w:lastRenderedPageBreak/>
              <w:t>is op grond van Europese regelgeving dikwijls voorgeschreven.</w:t>
            </w:r>
          </w:p>
          <w:p w:rsidRPr="00FA0D75" w:rsidR="000505D2" w:rsidP="009A0D62" w:rsidRDefault="000505D2" w14:paraId="0E525703" w14:textId="36515A41">
            <w:pPr>
              <w:pStyle w:val="Lijstalinea"/>
              <w:numPr>
                <w:ilvl w:val="0"/>
                <w:numId w:val="31"/>
              </w:numPr>
              <w:rPr>
                <w:rFonts w:asciiTheme="majorHAnsi" w:hAnsiTheme="majorHAnsi"/>
                <w:szCs w:val="18"/>
              </w:rPr>
            </w:pPr>
            <w:r w:rsidRPr="00FA0D75">
              <w:rPr>
                <w:rFonts w:asciiTheme="majorHAnsi" w:hAnsiTheme="majorHAnsi"/>
                <w:szCs w:val="18"/>
              </w:rPr>
              <w:t>Op grond van de IDD geldt dat lidstaten regelingen in moeten voeren om bekwaamheid op effectieve wijze te controleren en te beoordelen, op basis van ten minste 15 uur beroepsopleiding of bijscholing per jaar, rekening houdend met de aard van de verkochte producten, het soort distributeur, de rol die zij spelen, en de werkzaamheid die zij verrichten in de verzekerings- of herverzekeringsdistributeur. De lidstaten van herkomst mogen voorschrijven dat de succesvolle afronding van de opleiding en bijscholing wordt aangetoond door het behalen van een getuigschrift.</w:t>
            </w:r>
            <w:r w:rsidRPr="00FA0D75" w:rsidR="008F278F">
              <w:rPr>
                <w:rFonts w:asciiTheme="majorHAnsi" w:hAnsiTheme="majorHAnsi"/>
                <w:szCs w:val="18"/>
              </w:rPr>
              <w:t xml:space="preserve"> </w:t>
            </w:r>
          </w:p>
          <w:p w:rsidRPr="00FA0D75" w:rsidR="000505D2" w:rsidP="009A0D62" w:rsidRDefault="000505D2" w14:paraId="1DA46F5D" w14:textId="243D64C9">
            <w:pPr>
              <w:pStyle w:val="Lijstalinea"/>
              <w:numPr>
                <w:ilvl w:val="0"/>
                <w:numId w:val="8"/>
              </w:numPr>
              <w:ind w:left="284" w:hanging="284"/>
              <w:rPr>
                <w:rFonts w:asciiTheme="majorHAnsi" w:hAnsiTheme="majorHAnsi"/>
                <w:szCs w:val="18"/>
              </w:rPr>
            </w:pPr>
            <w:r w:rsidRPr="00FA0D75">
              <w:rPr>
                <w:rFonts w:asciiTheme="majorHAnsi" w:hAnsiTheme="majorHAnsi"/>
                <w:szCs w:val="18"/>
              </w:rPr>
              <w:t xml:space="preserve"> Op grond van de CCDII</w:t>
            </w:r>
            <w:r w:rsidRPr="00FA0D75">
              <w:rPr>
                <w:rFonts w:asciiTheme="majorHAnsi" w:hAnsiTheme="majorHAnsi"/>
                <w:color w:val="000000"/>
                <w:szCs w:val="18"/>
                <w:shd w:val="clear" w:color="auto" w:fill="FFFFFF"/>
              </w:rPr>
              <w:t xml:space="preserve"> geldt dat</w:t>
            </w:r>
            <w:r w:rsidRPr="00FA0D75" w:rsidR="008F278F">
              <w:rPr>
                <w:rFonts w:asciiTheme="majorHAnsi" w:hAnsiTheme="majorHAnsi"/>
                <w:color w:val="000000"/>
                <w:szCs w:val="18"/>
                <w:shd w:val="clear" w:color="auto" w:fill="FFFFFF"/>
              </w:rPr>
              <w:t xml:space="preserve"> </w:t>
            </w:r>
          </w:p>
          <w:p w:rsidRPr="00FA0D75" w:rsidR="000505D2" w:rsidP="000505D2" w:rsidRDefault="000505D2" w14:paraId="245DAE5B" w14:textId="77777777">
            <w:pPr>
              <w:pStyle w:val="Lijstalinea"/>
              <w:ind w:left="284"/>
              <w:rPr>
                <w:rFonts w:asciiTheme="majorHAnsi" w:hAnsiTheme="majorHAnsi"/>
                <w:color w:val="000000"/>
                <w:szCs w:val="18"/>
                <w:shd w:val="clear" w:color="auto" w:fill="FFFFFF"/>
              </w:rPr>
            </w:pPr>
            <w:r w:rsidRPr="00FA0D75">
              <w:rPr>
                <w:rFonts w:asciiTheme="majorHAnsi" w:hAnsiTheme="majorHAnsi"/>
                <w:color w:val="000000"/>
                <w:szCs w:val="18"/>
                <w:shd w:val="clear" w:color="auto" w:fill="FFFFFF"/>
              </w:rPr>
              <w:t xml:space="preserve"> </w:t>
            </w:r>
            <w:proofErr w:type="gramStart"/>
            <w:r w:rsidRPr="00FA0D75">
              <w:rPr>
                <w:rFonts w:asciiTheme="majorHAnsi" w:hAnsiTheme="majorHAnsi"/>
                <w:color w:val="000000"/>
                <w:szCs w:val="18"/>
                <w:shd w:val="clear" w:color="auto" w:fill="FFFFFF"/>
              </w:rPr>
              <w:t>lidstaten</w:t>
            </w:r>
            <w:proofErr w:type="gramEnd"/>
            <w:r w:rsidRPr="00FA0D75">
              <w:rPr>
                <w:rFonts w:asciiTheme="majorHAnsi" w:hAnsiTheme="majorHAnsi"/>
                <w:color w:val="000000"/>
                <w:szCs w:val="18"/>
                <w:shd w:val="clear" w:color="auto" w:fill="FFFFFF"/>
              </w:rPr>
              <w:t xml:space="preserve"> minimumvereisten stellen </w:t>
            </w:r>
          </w:p>
          <w:p w:rsidRPr="00FA0D75" w:rsidR="000505D2" w:rsidP="000505D2" w:rsidRDefault="000505D2" w14:paraId="46E92018" w14:textId="3AD2C5ED">
            <w:pPr>
              <w:pStyle w:val="Lijstalinea"/>
              <w:ind w:left="284"/>
              <w:rPr>
                <w:rFonts w:asciiTheme="majorHAnsi" w:hAnsiTheme="majorHAnsi"/>
                <w:color w:val="000000"/>
                <w:szCs w:val="18"/>
                <w:shd w:val="clear" w:color="auto" w:fill="FFFFFF"/>
              </w:rPr>
            </w:pPr>
            <w:r w:rsidRPr="00FA0D75">
              <w:rPr>
                <w:rFonts w:asciiTheme="majorHAnsi" w:hAnsiTheme="majorHAnsi"/>
                <w:color w:val="000000"/>
                <w:szCs w:val="18"/>
                <w:shd w:val="clear" w:color="auto" w:fill="FFFFFF"/>
              </w:rPr>
              <w:t xml:space="preserve"> </w:t>
            </w:r>
            <w:proofErr w:type="gramStart"/>
            <w:r w:rsidRPr="00FA0D75">
              <w:rPr>
                <w:rFonts w:asciiTheme="majorHAnsi" w:hAnsiTheme="majorHAnsi"/>
                <w:color w:val="000000"/>
                <w:szCs w:val="18"/>
                <w:shd w:val="clear" w:color="auto" w:fill="FFFFFF"/>
              </w:rPr>
              <w:t>inzake</w:t>
            </w:r>
            <w:proofErr w:type="gramEnd"/>
            <w:r w:rsidRPr="00FA0D75">
              <w:rPr>
                <w:rFonts w:asciiTheme="majorHAnsi" w:hAnsiTheme="majorHAnsi"/>
                <w:color w:val="000000"/>
                <w:szCs w:val="18"/>
                <w:shd w:val="clear" w:color="auto" w:fill="FFFFFF"/>
              </w:rPr>
              <w:t xml:space="preserve"> kennis en bekwaamheid vast</w:t>
            </w:r>
            <w:r w:rsidRPr="00FA0D75" w:rsidR="008F278F">
              <w:rPr>
                <w:rFonts w:asciiTheme="majorHAnsi" w:hAnsiTheme="majorHAnsi"/>
                <w:color w:val="000000"/>
                <w:szCs w:val="18"/>
                <w:shd w:val="clear" w:color="auto" w:fill="FFFFFF"/>
              </w:rPr>
              <w:t xml:space="preserve"> </w:t>
            </w:r>
          </w:p>
          <w:p w:rsidRPr="00FA0D75" w:rsidR="000505D2" w:rsidP="000505D2" w:rsidRDefault="000505D2" w14:paraId="6DED3E96" w14:textId="6E984934">
            <w:pPr>
              <w:pStyle w:val="Lijstalinea"/>
              <w:ind w:left="284"/>
              <w:rPr>
                <w:rFonts w:asciiTheme="majorHAnsi" w:hAnsiTheme="majorHAnsi"/>
                <w:color w:val="000000"/>
                <w:szCs w:val="18"/>
                <w:shd w:val="clear" w:color="auto" w:fill="FFFFFF"/>
              </w:rPr>
            </w:pPr>
            <w:r w:rsidRPr="00FA0D75">
              <w:rPr>
                <w:rFonts w:asciiTheme="majorHAnsi" w:hAnsiTheme="majorHAnsi"/>
                <w:color w:val="000000"/>
                <w:szCs w:val="18"/>
                <w:shd w:val="clear" w:color="auto" w:fill="FFFFFF"/>
              </w:rPr>
              <w:t xml:space="preserve"> </w:t>
            </w:r>
            <w:proofErr w:type="gramStart"/>
            <w:r w:rsidRPr="00FA0D75">
              <w:rPr>
                <w:rFonts w:asciiTheme="majorHAnsi" w:hAnsiTheme="majorHAnsi"/>
                <w:color w:val="000000"/>
                <w:szCs w:val="18"/>
                <w:shd w:val="clear" w:color="auto" w:fill="FFFFFF"/>
              </w:rPr>
              <w:t>voor</w:t>
            </w:r>
            <w:proofErr w:type="gramEnd"/>
            <w:r w:rsidRPr="00FA0D75">
              <w:rPr>
                <w:rFonts w:asciiTheme="majorHAnsi" w:hAnsiTheme="majorHAnsi"/>
                <w:color w:val="000000"/>
                <w:szCs w:val="18"/>
                <w:shd w:val="clear" w:color="auto" w:fill="FFFFFF"/>
              </w:rPr>
              <w:t xml:space="preserve"> het personeel van kredietgevers en</w:t>
            </w:r>
            <w:r w:rsidRPr="00FA0D75" w:rsidR="008F278F">
              <w:rPr>
                <w:rFonts w:asciiTheme="majorHAnsi" w:hAnsiTheme="majorHAnsi"/>
                <w:color w:val="000000"/>
                <w:szCs w:val="18"/>
                <w:shd w:val="clear" w:color="auto" w:fill="FFFFFF"/>
              </w:rPr>
              <w:t xml:space="preserve"> </w:t>
            </w:r>
          </w:p>
          <w:p w:rsidRPr="00FA0D75" w:rsidR="000505D2" w:rsidP="000505D2" w:rsidRDefault="000505D2" w14:paraId="016F4512" w14:textId="4186E246">
            <w:pPr>
              <w:pStyle w:val="Lijstalinea"/>
              <w:ind w:left="284"/>
              <w:rPr>
                <w:rFonts w:asciiTheme="majorHAnsi" w:hAnsiTheme="majorHAnsi"/>
                <w:szCs w:val="18"/>
              </w:rPr>
            </w:pPr>
            <w:r w:rsidRPr="00FA0D75">
              <w:rPr>
                <w:rFonts w:asciiTheme="majorHAnsi" w:hAnsiTheme="majorHAnsi"/>
                <w:color w:val="000000"/>
                <w:szCs w:val="18"/>
                <w:shd w:val="clear" w:color="auto" w:fill="FFFFFF"/>
              </w:rPr>
              <w:t xml:space="preserve"> </w:t>
            </w:r>
            <w:proofErr w:type="gramStart"/>
            <w:r w:rsidRPr="00FA0D75">
              <w:rPr>
                <w:rFonts w:asciiTheme="majorHAnsi" w:hAnsiTheme="majorHAnsi"/>
                <w:color w:val="000000"/>
                <w:szCs w:val="18"/>
                <w:shd w:val="clear" w:color="auto" w:fill="FFFFFF"/>
              </w:rPr>
              <w:t>van</w:t>
            </w:r>
            <w:proofErr w:type="gramEnd"/>
            <w:r w:rsidRPr="00FA0D75">
              <w:rPr>
                <w:rFonts w:asciiTheme="majorHAnsi" w:hAnsiTheme="majorHAnsi"/>
                <w:color w:val="000000"/>
                <w:szCs w:val="18"/>
                <w:shd w:val="clear" w:color="auto" w:fill="FFFFFF"/>
              </w:rPr>
              <w:t xml:space="preserve"> kredietbemiddelaars.</w:t>
            </w:r>
          </w:p>
        </w:tc>
        <w:tc>
          <w:tcPr>
            <w:tcW w:w="6095" w:type="dxa"/>
          </w:tcPr>
          <w:p w:rsidRPr="00FA0D75" w:rsidR="000505D2" w:rsidP="009A0D62" w:rsidRDefault="000505D2" w14:paraId="3270876A" w14:textId="28DCF10A">
            <w:pPr>
              <w:pStyle w:val="Lijstalinea"/>
              <w:numPr>
                <w:ilvl w:val="0"/>
                <w:numId w:val="31"/>
              </w:numPr>
              <w:rPr>
                <w:rFonts w:asciiTheme="majorHAnsi" w:hAnsiTheme="majorHAnsi"/>
                <w:szCs w:val="18"/>
              </w:rPr>
            </w:pPr>
            <w:r w:rsidRPr="00FA0D75">
              <w:rPr>
                <w:rFonts w:asciiTheme="majorHAnsi" w:hAnsiTheme="majorHAnsi"/>
                <w:szCs w:val="18"/>
              </w:rPr>
              <w:lastRenderedPageBreak/>
              <w:t xml:space="preserve">In Nederland geldt sinds 2014 dat alle medewerkers permanent ‘actueel’ </w:t>
            </w:r>
            <w:r w:rsidRPr="00FA0D75" w:rsidR="002117C6">
              <w:rPr>
                <w:rFonts w:asciiTheme="majorHAnsi" w:hAnsiTheme="majorHAnsi"/>
                <w:szCs w:val="18"/>
              </w:rPr>
              <w:t xml:space="preserve">vakbekwaam </w:t>
            </w:r>
            <w:r w:rsidRPr="00FA0D75">
              <w:rPr>
                <w:rFonts w:asciiTheme="majorHAnsi" w:hAnsiTheme="majorHAnsi"/>
                <w:szCs w:val="18"/>
              </w:rPr>
              <w:t>moeten zijn en voor adviseurs geldt aanvullend dat zij moeten beschikken over een Wft-diploma en periodiek een Permanent Educatie (PE)-examen moeten afleggen om te mogen blijven adviseren.</w:t>
            </w:r>
          </w:p>
          <w:p w:rsidRPr="00FA0D75" w:rsidR="000505D2" w:rsidP="009A0D62" w:rsidRDefault="000505D2" w14:paraId="3FD44628" w14:textId="3F17C5A7">
            <w:pPr>
              <w:pStyle w:val="Lijstalinea"/>
              <w:numPr>
                <w:ilvl w:val="0"/>
                <w:numId w:val="31"/>
              </w:numPr>
              <w:rPr>
                <w:rFonts w:asciiTheme="majorHAnsi" w:hAnsiTheme="majorHAnsi"/>
                <w:szCs w:val="18"/>
              </w:rPr>
            </w:pPr>
            <w:r w:rsidRPr="00FA0D75">
              <w:rPr>
                <w:rFonts w:asciiTheme="majorHAnsi" w:hAnsiTheme="majorHAnsi"/>
                <w:szCs w:val="18"/>
              </w:rPr>
              <w:t>Deze diplomaplicht wordt niet verplicht gesteld in Europese regelgeving, maar is in Nederland per 2014 ingevoerd.</w:t>
            </w:r>
            <w:r w:rsidRPr="00FA0D75" w:rsidR="002117C6">
              <w:rPr>
                <w:rStyle w:val="Voetnootmarkering"/>
                <w:rFonts w:asciiTheme="majorHAnsi" w:hAnsiTheme="majorHAnsi"/>
                <w:szCs w:val="18"/>
              </w:rPr>
              <w:footnoteReference w:id="12"/>
            </w:r>
          </w:p>
          <w:p w:rsidRPr="00FA0D75" w:rsidR="000505D2" w:rsidP="009A0D62" w:rsidRDefault="000505D2" w14:paraId="24B971C6" w14:textId="44317446">
            <w:pPr>
              <w:pStyle w:val="Lijstalinea"/>
              <w:ind w:left="360"/>
              <w:rPr>
                <w:rFonts w:asciiTheme="majorHAnsi" w:hAnsiTheme="majorHAnsi"/>
                <w:szCs w:val="18"/>
              </w:rPr>
            </w:pPr>
          </w:p>
        </w:tc>
      </w:tr>
      <w:tr w:rsidRPr="00FA0D75" w:rsidR="000505D2" w:rsidTr="008D7F36" w14:paraId="067AC526" w14:textId="77777777">
        <w:tc>
          <w:tcPr>
            <w:tcW w:w="562" w:type="dxa"/>
          </w:tcPr>
          <w:p w:rsidRPr="00FA0D75" w:rsidR="000505D2" w:rsidP="009A0D62" w:rsidRDefault="000505D2" w14:paraId="76F649C1"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35682740" w14:textId="77777777">
            <w:pPr>
              <w:rPr>
                <w:rFonts w:asciiTheme="majorHAnsi" w:hAnsiTheme="majorHAnsi"/>
                <w:szCs w:val="18"/>
              </w:rPr>
            </w:pPr>
            <w:r w:rsidRPr="00FA0D75">
              <w:rPr>
                <w:rFonts w:asciiTheme="majorHAnsi" w:hAnsiTheme="majorHAnsi"/>
                <w:szCs w:val="18"/>
              </w:rPr>
              <w:t xml:space="preserve">Transparantie-vereisten: meldplicht bij belang </w:t>
            </w:r>
          </w:p>
          <w:p w:rsidRPr="00FA0D75" w:rsidR="000505D2" w:rsidP="009A0D62" w:rsidRDefault="000505D2" w14:paraId="61785A03" w14:textId="77777777">
            <w:pPr>
              <w:rPr>
                <w:rFonts w:asciiTheme="majorHAnsi" w:hAnsiTheme="majorHAnsi"/>
                <w:szCs w:val="18"/>
              </w:rPr>
            </w:pPr>
          </w:p>
        </w:tc>
        <w:tc>
          <w:tcPr>
            <w:tcW w:w="4678" w:type="dxa"/>
          </w:tcPr>
          <w:p w:rsidRPr="00FA0D75" w:rsidR="000505D2" w:rsidP="009A0D62" w:rsidRDefault="000505D2" w14:paraId="61220A51" w14:textId="7DD62C8A">
            <w:pPr>
              <w:pStyle w:val="Lijstalinea"/>
              <w:numPr>
                <w:ilvl w:val="0"/>
                <w:numId w:val="31"/>
              </w:numPr>
              <w:rPr>
                <w:rFonts w:asciiTheme="majorHAnsi" w:hAnsiTheme="majorHAnsi"/>
                <w:szCs w:val="18"/>
              </w:rPr>
            </w:pPr>
            <w:r w:rsidRPr="00FA0D75">
              <w:rPr>
                <w:rFonts w:asciiTheme="majorHAnsi" w:hAnsiTheme="majorHAnsi"/>
                <w:szCs w:val="18"/>
              </w:rPr>
              <w:t>De Transparantierichtlijn</w:t>
            </w:r>
            <w:r w:rsidRPr="00FA0D75">
              <w:rPr>
                <w:rStyle w:val="Voetnootmarkering"/>
                <w:rFonts w:asciiTheme="majorHAnsi" w:hAnsiTheme="majorHAnsi"/>
                <w:szCs w:val="18"/>
              </w:rPr>
              <w:footnoteReference w:id="13"/>
            </w:r>
            <w:r w:rsidRPr="00FA0D75">
              <w:rPr>
                <w:rFonts w:asciiTheme="majorHAnsi" w:hAnsiTheme="majorHAnsi"/>
                <w:szCs w:val="18"/>
              </w:rPr>
              <w:t xml:space="preserve"> regelt dat aandeelhouders hun belang in een uitgevende instelling moeten melden zodra dat belang 5% van de aandelen, het kapitaal of de stemrechten bereikt/overschrijdt/ onderschrijdt. De richtlijn bevat een lidstaatoptie voor lagere drempels. </w:t>
            </w:r>
          </w:p>
        </w:tc>
        <w:tc>
          <w:tcPr>
            <w:tcW w:w="6095" w:type="dxa"/>
          </w:tcPr>
          <w:p w:rsidRPr="00FA0D75" w:rsidR="000505D2" w:rsidP="009A0D62" w:rsidRDefault="000505D2" w14:paraId="325B5DDE" w14:textId="3CC375C8">
            <w:pPr>
              <w:pStyle w:val="Lijstalinea"/>
              <w:numPr>
                <w:ilvl w:val="0"/>
                <w:numId w:val="25"/>
              </w:numPr>
              <w:rPr>
                <w:rFonts w:asciiTheme="majorHAnsi" w:hAnsiTheme="majorHAnsi"/>
                <w:szCs w:val="18"/>
              </w:rPr>
            </w:pPr>
            <w:r w:rsidRPr="00FA0D75">
              <w:rPr>
                <w:rFonts w:asciiTheme="majorHAnsi" w:hAnsiTheme="majorHAnsi"/>
                <w:szCs w:val="18"/>
              </w:rPr>
              <w:t>In Nederland geldt sinds 1 juli 2013 een drempel van 3% voor aandelen, kapitaal of stemrechten.</w:t>
            </w:r>
            <w:r w:rsidRPr="00FA0D75" w:rsidR="008D7F36">
              <w:rPr>
                <w:rStyle w:val="Voetnootmarkering"/>
                <w:rFonts w:asciiTheme="majorHAnsi" w:hAnsiTheme="majorHAnsi"/>
                <w:szCs w:val="18"/>
              </w:rPr>
              <w:footnoteReference w:id="14"/>
            </w:r>
          </w:p>
          <w:p w:rsidRPr="00FA0D75" w:rsidR="000505D2" w:rsidP="009A0D62" w:rsidRDefault="000505D2" w14:paraId="762CD3B4" w14:textId="014695BA">
            <w:pPr>
              <w:pStyle w:val="Lijstalinea"/>
              <w:numPr>
                <w:ilvl w:val="0"/>
                <w:numId w:val="25"/>
              </w:numPr>
              <w:rPr>
                <w:rFonts w:asciiTheme="majorHAnsi" w:hAnsiTheme="majorHAnsi"/>
                <w:szCs w:val="18"/>
              </w:rPr>
            </w:pPr>
            <w:r w:rsidRPr="00FA0D75">
              <w:rPr>
                <w:rFonts w:asciiTheme="majorHAnsi" w:hAnsiTheme="majorHAnsi"/>
                <w:szCs w:val="18"/>
              </w:rPr>
              <w:t>In Nederland geldt ook een meldplicht voor bruto short posities die niet uit Europese wetgeving volgt.</w:t>
            </w:r>
            <w:r w:rsidRPr="00FA0D75" w:rsidR="00977EBE">
              <w:rPr>
                <w:rStyle w:val="Voetnootmarkering"/>
                <w:rFonts w:asciiTheme="majorHAnsi" w:hAnsiTheme="majorHAnsi"/>
                <w:szCs w:val="18"/>
              </w:rPr>
              <w:footnoteReference w:id="15"/>
            </w:r>
          </w:p>
          <w:p w:rsidRPr="00FA0D75" w:rsidR="000505D2" w:rsidP="009A0D62" w:rsidRDefault="000505D2" w14:paraId="71F2AE79" w14:textId="77777777">
            <w:pPr>
              <w:pStyle w:val="Lijstalinea"/>
              <w:ind w:left="360"/>
              <w:rPr>
                <w:rFonts w:asciiTheme="majorHAnsi" w:hAnsiTheme="majorHAnsi"/>
                <w:szCs w:val="18"/>
              </w:rPr>
            </w:pPr>
          </w:p>
        </w:tc>
      </w:tr>
      <w:tr w:rsidRPr="00FA0D75" w:rsidR="000505D2" w:rsidTr="008D7F36" w14:paraId="3D50034B" w14:textId="77777777">
        <w:tc>
          <w:tcPr>
            <w:tcW w:w="562" w:type="dxa"/>
          </w:tcPr>
          <w:p w:rsidRPr="00FA0D75" w:rsidR="000505D2" w:rsidP="009A0D62" w:rsidRDefault="000505D2" w14:paraId="1411ECCF"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0EB687A3" w14:textId="20984710">
            <w:pPr>
              <w:rPr>
                <w:rFonts w:asciiTheme="majorHAnsi" w:hAnsiTheme="majorHAnsi"/>
                <w:szCs w:val="18"/>
              </w:rPr>
            </w:pPr>
            <w:proofErr w:type="spellStart"/>
            <w:r w:rsidRPr="00FA0D75">
              <w:rPr>
                <w:rFonts w:asciiTheme="majorHAnsi" w:hAnsiTheme="majorHAnsi"/>
                <w:szCs w:val="18"/>
              </w:rPr>
              <w:t>Oob</w:t>
            </w:r>
            <w:proofErr w:type="spellEnd"/>
            <w:r w:rsidRPr="00FA0D75">
              <w:rPr>
                <w:rFonts w:asciiTheme="majorHAnsi" w:hAnsiTheme="majorHAnsi"/>
                <w:szCs w:val="18"/>
              </w:rPr>
              <w:t xml:space="preserve">-status ondernemingen of instellingen (in het kader van de wettelijke controle </w:t>
            </w:r>
            <w:r w:rsidRPr="00FA0D75">
              <w:rPr>
                <w:rFonts w:asciiTheme="majorHAnsi" w:hAnsiTheme="majorHAnsi"/>
                <w:szCs w:val="18"/>
              </w:rPr>
              <w:lastRenderedPageBreak/>
              <w:t>van hun financiële verantwoording)</w:t>
            </w:r>
          </w:p>
        </w:tc>
        <w:tc>
          <w:tcPr>
            <w:tcW w:w="4678" w:type="dxa"/>
          </w:tcPr>
          <w:p w:rsidRPr="00FA0D75" w:rsidR="000505D2" w:rsidP="009A0D62" w:rsidRDefault="000505D2" w14:paraId="0CEAFDFE" w14:textId="496AF850">
            <w:pPr>
              <w:pStyle w:val="Lijstalinea"/>
              <w:numPr>
                <w:ilvl w:val="0"/>
                <w:numId w:val="25"/>
              </w:numPr>
              <w:rPr>
                <w:rFonts w:asciiTheme="majorHAnsi" w:hAnsiTheme="majorHAnsi"/>
                <w:szCs w:val="18"/>
              </w:rPr>
            </w:pPr>
            <w:r w:rsidRPr="00FA0D75">
              <w:rPr>
                <w:rFonts w:asciiTheme="majorHAnsi" w:hAnsiTheme="majorHAnsi"/>
                <w:szCs w:val="18"/>
              </w:rPr>
              <w:lastRenderedPageBreak/>
              <w:t>De Auditrichtlijn</w:t>
            </w:r>
            <w:r w:rsidRPr="00FA0D75">
              <w:rPr>
                <w:rStyle w:val="Voetnootmarkering"/>
                <w:rFonts w:asciiTheme="majorHAnsi" w:hAnsiTheme="majorHAnsi"/>
                <w:szCs w:val="18"/>
              </w:rPr>
              <w:footnoteReference w:id="16"/>
            </w:r>
            <w:r w:rsidRPr="00FA0D75">
              <w:rPr>
                <w:rFonts w:asciiTheme="majorHAnsi" w:hAnsiTheme="majorHAnsi"/>
                <w:szCs w:val="18"/>
              </w:rPr>
              <w:t xml:space="preserve"> bepaalt welke organisaties kwalificeren als een organisatie van openbaar belang (</w:t>
            </w:r>
            <w:proofErr w:type="spellStart"/>
            <w:r w:rsidRPr="00FA0D75">
              <w:rPr>
                <w:rFonts w:asciiTheme="majorHAnsi" w:hAnsiTheme="majorHAnsi"/>
                <w:szCs w:val="18"/>
              </w:rPr>
              <w:t>oob</w:t>
            </w:r>
            <w:proofErr w:type="spellEnd"/>
            <w:r w:rsidRPr="00FA0D75">
              <w:rPr>
                <w:rFonts w:asciiTheme="majorHAnsi" w:hAnsiTheme="majorHAnsi"/>
                <w:szCs w:val="18"/>
              </w:rPr>
              <w:t xml:space="preserve">). Dat zijn beursgenoteerde ondernemingen, banken en </w:t>
            </w:r>
            <w:r w:rsidRPr="00FA0D75">
              <w:rPr>
                <w:rFonts w:asciiTheme="majorHAnsi" w:hAnsiTheme="majorHAnsi"/>
                <w:szCs w:val="18"/>
              </w:rPr>
              <w:lastRenderedPageBreak/>
              <w:t xml:space="preserve">verzekeraars. Voor de wettelijke controle van de jaarrekening van </w:t>
            </w:r>
            <w:proofErr w:type="spellStart"/>
            <w:r w:rsidRPr="00FA0D75">
              <w:rPr>
                <w:rFonts w:asciiTheme="majorHAnsi" w:hAnsiTheme="majorHAnsi"/>
                <w:szCs w:val="18"/>
              </w:rPr>
              <w:t>oob’s</w:t>
            </w:r>
            <w:proofErr w:type="spellEnd"/>
            <w:r w:rsidRPr="00FA0D75">
              <w:rPr>
                <w:rFonts w:asciiTheme="majorHAnsi" w:hAnsiTheme="majorHAnsi"/>
                <w:szCs w:val="18"/>
              </w:rPr>
              <w:t xml:space="preserve"> gelden extra voorschriften.</w:t>
            </w:r>
          </w:p>
          <w:p w:rsidRPr="00FA0D75" w:rsidR="000505D2" w:rsidP="009A0D62" w:rsidRDefault="000505D2" w14:paraId="0B7E21CE" w14:textId="2E1EB033">
            <w:pPr>
              <w:pStyle w:val="Lijstalinea"/>
              <w:numPr>
                <w:ilvl w:val="0"/>
                <w:numId w:val="31"/>
              </w:numPr>
              <w:rPr>
                <w:rFonts w:asciiTheme="majorHAnsi" w:hAnsiTheme="majorHAnsi"/>
                <w:szCs w:val="18"/>
              </w:rPr>
            </w:pPr>
            <w:r w:rsidRPr="00FA0D75">
              <w:rPr>
                <w:rFonts w:asciiTheme="majorHAnsi" w:hAnsiTheme="majorHAnsi"/>
                <w:szCs w:val="18"/>
              </w:rPr>
              <w:t xml:space="preserve">De richtlijn bevat een optie om ook andere organisaties als </w:t>
            </w:r>
            <w:proofErr w:type="spellStart"/>
            <w:r w:rsidRPr="00FA0D75">
              <w:rPr>
                <w:rFonts w:asciiTheme="majorHAnsi" w:hAnsiTheme="majorHAnsi"/>
                <w:szCs w:val="18"/>
              </w:rPr>
              <w:t>oob</w:t>
            </w:r>
            <w:proofErr w:type="spellEnd"/>
            <w:r w:rsidRPr="00FA0D75">
              <w:rPr>
                <w:rFonts w:asciiTheme="majorHAnsi" w:hAnsiTheme="majorHAnsi"/>
                <w:szCs w:val="18"/>
              </w:rPr>
              <w:t xml:space="preserve"> aan te merken die van groot algemeen belang zijn als gevolg van de aard van hun bedrijfsactiviteiten, hun omvang of de grootte van hun personeelsbestand.</w:t>
            </w:r>
          </w:p>
        </w:tc>
        <w:tc>
          <w:tcPr>
            <w:tcW w:w="6095" w:type="dxa"/>
          </w:tcPr>
          <w:p w:rsidRPr="00FA0D75" w:rsidR="000505D2" w:rsidP="009A0D62" w:rsidRDefault="000505D2" w14:paraId="6A5A4D78" w14:textId="7805E110">
            <w:pPr>
              <w:pStyle w:val="Lijstalinea"/>
              <w:numPr>
                <w:ilvl w:val="0"/>
                <w:numId w:val="25"/>
              </w:numPr>
              <w:rPr>
                <w:rFonts w:asciiTheme="majorHAnsi" w:hAnsiTheme="majorHAnsi"/>
                <w:szCs w:val="18"/>
              </w:rPr>
            </w:pPr>
            <w:r w:rsidRPr="00FA0D75">
              <w:rPr>
                <w:rFonts w:asciiTheme="majorHAnsi" w:hAnsiTheme="majorHAnsi"/>
                <w:szCs w:val="18"/>
              </w:rPr>
              <w:lastRenderedPageBreak/>
              <w:t xml:space="preserve">In Nederland zijn ook </w:t>
            </w:r>
            <w:r w:rsidRPr="00FA0D75" w:rsidR="007A606A">
              <w:rPr>
                <w:rFonts w:asciiTheme="majorHAnsi" w:hAnsiTheme="majorHAnsi"/>
                <w:szCs w:val="18"/>
              </w:rPr>
              <w:t>aanvullende soorten</w:t>
            </w:r>
            <w:r w:rsidRPr="00FA0D75">
              <w:rPr>
                <w:rFonts w:asciiTheme="majorHAnsi" w:hAnsiTheme="majorHAnsi"/>
                <w:szCs w:val="18"/>
              </w:rPr>
              <w:t xml:space="preserve"> entiteiten als </w:t>
            </w:r>
            <w:proofErr w:type="spellStart"/>
            <w:r w:rsidRPr="00FA0D75">
              <w:rPr>
                <w:rFonts w:asciiTheme="majorHAnsi" w:hAnsiTheme="majorHAnsi"/>
                <w:szCs w:val="18"/>
              </w:rPr>
              <w:t>oob</w:t>
            </w:r>
            <w:proofErr w:type="spellEnd"/>
            <w:r w:rsidRPr="00FA0D75">
              <w:rPr>
                <w:rFonts w:asciiTheme="majorHAnsi" w:hAnsiTheme="majorHAnsi"/>
                <w:szCs w:val="18"/>
              </w:rPr>
              <w:t xml:space="preserve"> aangewezen. Het betreft netbeheerders, grote woningcorporaties (toegelaten instellingen), drie instellingen </w:t>
            </w:r>
            <w:r w:rsidRPr="00FA0D75">
              <w:rPr>
                <w:rFonts w:asciiTheme="majorHAnsi" w:hAnsiTheme="majorHAnsi"/>
                <w:szCs w:val="18"/>
              </w:rPr>
              <w:lastRenderedPageBreak/>
              <w:t>voor het wetenschapsbeleid (KNAW, NWO en de Koninklijke Bibliotheek) en grote pensioenfondsen.</w:t>
            </w:r>
            <w:r w:rsidRPr="00FA0D75" w:rsidR="002117C6">
              <w:rPr>
                <w:rStyle w:val="Voetnootmarkering"/>
                <w:rFonts w:asciiTheme="majorHAnsi" w:hAnsiTheme="majorHAnsi"/>
                <w:szCs w:val="18"/>
              </w:rPr>
              <w:footnoteReference w:id="17"/>
            </w:r>
          </w:p>
          <w:p w:rsidRPr="00FA0D75" w:rsidR="000505D2" w:rsidP="009A0D62" w:rsidRDefault="000505D2" w14:paraId="00E3880C" w14:textId="255AF699">
            <w:pPr>
              <w:pStyle w:val="Lijstalinea"/>
              <w:numPr>
                <w:ilvl w:val="0"/>
                <w:numId w:val="25"/>
              </w:numPr>
              <w:rPr>
                <w:rFonts w:asciiTheme="majorHAnsi" w:hAnsiTheme="majorHAnsi"/>
                <w:szCs w:val="18"/>
              </w:rPr>
            </w:pPr>
            <w:r w:rsidRPr="00FA0D75">
              <w:rPr>
                <w:rFonts w:asciiTheme="majorHAnsi" w:hAnsiTheme="majorHAnsi"/>
                <w:szCs w:val="18"/>
              </w:rPr>
              <w:t xml:space="preserve">Door uitbreiding van de </w:t>
            </w:r>
            <w:proofErr w:type="spellStart"/>
            <w:r w:rsidRPr="00FA0D75">
              <w:rPr>
                <w:rFonts w:asciiTheme="majorHAnsi" w:hAnsiTheme="majorHAnsi"/>
                <w:szCs w:val="18"/>
              </w:rPr>
              <w:t>oob</w:t>
            </w:r>
            <w:proofErr w:type="spellEnd"/>
            <w:r w:rsidRPr="00FA0D75">
              <w:rPr>
                <w:rFonts w:asciiTheme="majorHAnsi" w:hAnsiTheme="majorHAnsi"/>
                <w:szCs w:val="18"/>
              </w:rPr>
              <w:t>-status gelden aanvullende waarborgen voor de kwaliteit van de accountantscontrole bij deze organisaties (ten opzichte van de waarborgen die gelden voor de kwaliteit van de «reguliere» wettelijke controle). Het gaat o.a. om het stelsel van kwaliteitsbeheersing en de onafhankelijkheid van de accountantsorganisatie.</w:t>
            </w:r>
          </w:p>
        </w:tc>
      </w:tr>
      <w:tr w:rsidRPr="00FA0D75" w:rsidR="000505D2" w:rsidTr="008D7F36" w14:paraId="20F0A21D" w14:textId="77777777">
        <w:tc>
          <w:tcPr>
            <w:tcW w:w="562" w:type="dxa"/>
          </w:tcPr>
          <w:p w:rsidRPr="00FA0D75" w:rsidR="000505D2" w:rsidP="009A0D62" w:rsidRDefault="000505D2" w14:paraId="77A161BC"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44202C4D" w14:textId="77777777">
            <w:pPr>
              <w:rPr>
                <w:rFonts w:asciiTheme="majorHAnsi" w:hAnsiTheme="majorHAnsi"/>
                <w:szCs w:val="18"/>
              </w:rPr>
            </w:pPr>
            <w:r w:rsidRPr="00FA0D75">
              <w:rPr>
                <w:rFonts w:asciiTheme="majorHAnsi" w:hAnsiTheme="majorHAnsi"/>
                <w:szCs w:val="18"/>
              </w:rPr>
              <w:t xml:space="preserve">Onafhankelijkheid accountantsorganisaties bij wettelijke controles bij </w:t>
            </w:r>
            <w:proofErr w:type="spellStart"/>
            <w:r w:rsidRPr="00FA0D75">
              <w:rPr>
                <w:rFonts w:asciiTheme="majorHAnsi" w:hAnsiTheme="majorHAnsi"/>
                <w:szCs w:val="18"/>
              </w:rPr>
              <w:t>oob’s</w:t>
            </w:r>
            <w:proofErr w:type="spellEnd"/>
            <w:r w:rsidRPr="00FA0D75">
              <w:rPr>
                <w:rFonts w:asciiTheme="majorHAnsi" w:hAnsiTheme="majorHAnsi"/>
                <w:szCs w:val="18"/>
              </w:rPr>
              <w:t xml:space="preserve"> (scheiding controle- en advies werkzaamheden) </w:t>
            </w:r>
          </w:p>
          <w:p w:rsidRPr="00FA0D75" w:rsidR="000505D2" w:rsidP="009A0D62" w:rsidRDefault="000505D2" w14:paraId="052F6D1A" w14:textId="77777777">
            <w:pPr>
              <w:rPr>
                <w:rFonts w:asciiTheme="majorHAnsi" w:hAnsiTheme="majorHAnsi"/>
                <w:szCs w:val="18"/>
              </w:rPr>
            </w:pPr>
          </w:p>
        </w:tc>
        <w:tc>
          <w:tcPr>
            <w:tcW w:w="4678" w:type="dxa"/>
          </w:tcPr>
          <w:p w:rsidRPr="00FA0D75" w:rsidR="000505D2" w:rsidP="009A0D62" w:rsidRDefault="000505D2" w14:paraId="21505D31" w14:textId="6F6B2B89">
            <w:pPr>
              <w:pStyle w:val="Lijstalinea"/>
              <w:numPr>
                <w:ilvl w:val="0"/>
                <w:numId w:val="30"/>
              </w:numPr>
              <w:rPr>
                <w:rFonts w:cs="Calibri Light" w:asciiTheme="majorHAnsi" w:hAnsiTheme="majorHAnsi"/>
                <w:szCs w:val="18"/>
                <w14:ligatures w14:val="standardContextual"/>
              </w:rPr>
            </w:pPr>
            <w:r w:rsidRPr="00FA0D75">
              <w:rPr>
                <w:rFonts w:cs="Calibri Light" w:asciiTheme="majorHAnsi" w:hAnsiTheme="majorHAnsi"/>
                <w:szCs w:val="18"/>
                <w14:ligatures w14:val="standardContextual"/>
              </w:rPr>
              <w:t>In de Auditverordening</w:t>
            </w:r>
            <w:r w:rsidRPr="00FA0D75">
              <w:rPr>
                <w:rStyle w:val="Voetnootmarkering"/>
                <w:rFonts w:cs="Calibri Light" w:asciiTheme="majorHAnsi" w:hAnsiTheme="majorHAnsi"/>
                <w:szCs w:val="18"/>
                <w14:ligatures w14:val="standardContextual"/>
              </w:rPr>
              <w:footnoteReference w:id="18"/>
            </w:r>
            <w:r w:rsidRPr="00FA0D75">
              <w:rPr>
                <w:rFonts w:cs="Calibri Light" w:asciiTheme="majorHAnsi" w:hAnsiTheme="majorHAnsi"/>
                <w:szCs w:val="18"/>
                <w14:ligatures w14:val="standardContextual"/>
              </w:rPr>
              <w:t xml:space="preserve"> over wettelijke controles van jaarrekeningen van </w:t>
            </w:r>
            <w:proofErr w:type="spellStart"/>
            <w:r w:rsidRPr="00FA0D75">
              <w:rPr>
                <w:rFonts w:cs="Calibri Light" w:asciiTheme="majorHAnsi" w:hAnsiTheme="majorHAnsi"/>
                <w:szCs w:val="18"/>
                <w14:ligatures w14:val="standardContextual"/>
              </w:rPr>
              <w:t>oob’s</w:t>
            </w:r>
            <w:proofErr w:type="spellEnd"/>
            <w:r w:rsidRPr="00FA0D75">
              <w:rPr>
                <w:rFonts w:cs="Calibri Light" w:asciiTheme="majorHAnsi" w:hAnsiTheme="majorHAnsi"/>
                <w:szCs w:val="18"/>
                <w14:ligatures w14:val="standardContextual"/>
              </w:rPr>
              <w:t xml:space="preserve"> staat een verbod op het leveren van bepaalde niet-controle diensten aan </w:t>
            </w:r>
            <w:proofErr w:type="spellStart"/>
            <w:r w:rsidRPr="00FA0D75">
              <w:rPr>
                <w:rFonts w:cs="Calibri Light" w:asciiTheme="majorHAnsi" w:hAnsiTheme="majorHAnsi"/>
                <w:szCs w:val="18"/>
                <w14:ligatures w14:val="standardContextual"/>
              </w:rPr>
              <w:t>oob’s</w:t>
            </w:r>
            <w:proofErr w:type="spellEnd"/>
            <w:r w:rsidRPr="00FA0D75">
              <w:rPr>
                <w:rFonts w:cs="Calibri Light" w:asciiTheme="majorHAnsi" w:hAnsiTheme="majorHAnsi"/>
                <w:szCs w:val="18"/>
                <w14:ligatures w14:val="standardContextual"/>
              </w:rPr>
              <w:t xml:space="preserve"> door accountantsorganisaties die de wettelijke controle verrichten bij deze </w:t>
            </w:r>
            <w:proofErr w:type="spellStart"/>
            <w:r w:rsidRPr="00FA0D75">
              <w:rPr>
                <w:rFonts w:cs="Calibri Light" w:asciiTheme="majorHAnsi" w:hAnsiTheme="majorHAnsi"/>
                <w:szCs w:val="18"/>
                <w14:ligatures w14:val="standardContextual"/>
              </w:rPr>
              <w:t>oob’s</w:t>
            </w:r>
            <w:proofErr w:type="spellEnd"/>
            <w:r w:rsidRPr="00FA0D75">
              <w:rPr>
                <w:rFonts w:cs="Calibri Light" w:asciiTheme="majorHAnsi" w:hAnsiTheme="majorHAnsi"/>
                <w:szCs w:val="18"/>
                <w14:ligatures w14:val="standardContextual"/>
              </w:rPr>
              <w:t xml:space="preserve"> en door hun netwerkonderdelen. </w:t>
            </w:r>
          </w:p>
          <w:p w:rsidRPr="00FA0D75" w:rsidR="000505D2" w:rsidP="009A0D62" w:rsidRDefault="000505D2" w14:paraId="2313E4C3" w14:textId="73FC7F2F">
            <w:pPr>
              <w:pStyle w:val="Lijstalinea"/>
              <w:numPr>
                <w:ilvl w:val="0"/>
                <w:numId w:val="19"/>
              </w:numPr>
              <w:rPr>
                <w:rFonts w:asciiTheme="majorHAnsi" w:hAnsiTheme="majorHAnsi"/>
                <w:szCs w:val="18"/>
              </w:rPr>
            </w:pPr>
            <w:r w:rsidRPr="00FA0D75">
              <w:rPr>
                <w:rFonts w:cs="Calibri Light" w:asciiTheme="majorHAnsi" w:hAnsiTheme="majorHAnsi"/>
                <w:szCs w:val="18"/>
                <w14:ligatures w14:val="standardContextual"/>
              </w:rPr>
              <w:t>De verordening bevat een lijst met verboden niet-controlediensten (zwarte lijst) en een optie om andere werkzaamheden te verbieden, teneinde de onafhankelijkheid van accountantsorganisaties verder te versterken.</w:t>
            </w:r>
          </w:p>
          <w:p w:rsidRPr="00FA0D75" w:rsidR="000505D2" w:rsidP="009A0D62" w:rsidRDefault="000505D2" w14:paraId="07791F0B" w14:textId="4D3BDD03">
            <w:pPr>
              <w:pStyle w:val="Lijstalinea"/>
              <w:numPr>
                <w:ilvl w:val="0"/>
                <w:numId w:val="25"/>
              </w:numPr>
              <w:rPr>
                <w:rFonts w:asciiTheme="majorHAnsi" w:hAnsiTheme="majorHAnsi"/>
                <w:szCs w:val="18"/>
              </w:rPr>
            </w:pPr>
            <w:r w:rsidRPr="00FA0D75">
              <w:rPr>
                <w:rFonts w:cs="Calibri Light" w:asciiTheme="majorHAnsi" w:hAnsiTheme="majorHAnsi"/>
                <w:szCs w:val="18"/>
                <w14:ligatures w14:val="standardContextual"/>
              </w:rPr>
              <w:t xml:space="preserve">Lidstaten hebben de optie om additionele niet-controlediensten naast de wettelijke controle bij een </w:t>
            </w:r>
            <w:proofErr w:type="spellStart"/>
            <w:r w:rsidRPr="00FA0D75">
              <w:rPr>
                <w:rFonts w:cs="Calibri Light" w:asciiTheme="majorHAnsi" w:hAnsiTheme="majorHAnsi"/>
                <w:szCs w:val="18"/>
                <w14:ligatures w14:val="standardContextual"/>
              </w:rPr>
              <w:t>oob</w:t>
            </w:r>
            <w:proofErr w:type="spellEnd"/>
            <w:r w:rsidRPr="00FA0D75">
              <w:rPr>
                <w:rFonts w:cs="Calibri Light" w:asciiTheme="majorHAnsi" w:hAnsiTheme="majorHAnsi"/>
                <w:szCs w:val="18"/>
                <w14:ligatures w14:val="standardContextual"/>
              </w:rPr>
              <w:t xml:space="preserve"> te verbieden.</w:t>
            </w:r>
          </w:p>
        </w:tc>
        <w:tc>
          <w:tcPr>
            <w:tcW w:w="6095" w:type="dxa"/>
          </w:tcPr>
          <w:p w:rsidRPr="00FA0D75" w:rsidR="000505D2" w:rsidP="009A0D62" w:rsidRDefault="000505D2" w14:paraId="4CA89CFF" w14:textId="648E9EFD">
            <w:pPr>
              <w:pStyle w:val="Lijstalinea"/>
              <w:numPr>
                <w:ilvl w:val="0"/>
                <w:numId w:val="25"/>
              </w:numPr>
              <w:rPr>
                <w:rFonts w:asciiTheme="majorHAnsi" w:hAnsiTheme="majorHAnsi"/>
                <w:szCs w:val="18"/>
              </w:rPr>
            </w:pPr>
            <w:r w:rsidRPr="00FA0D75">
              <w:rPr>
                <w:rFonts w:asciiTheme="majorHAnsi" w:hAnsiTheme="majorHAnsi"/>
                <w:szCs w:val="18"/>
              </w:rPr>
              <w:t xml:space="preserve">In Nederland geldt een algemeen verbod om naast controlediensten andere werkzaamheden te verrichten voor de </w:t>
            </w:r>
            <w:proofErr w:type="spellStart"/>
            <w:r w:rsidRPr="00FA0D75">
              <w:rPr>
                <w:rFonts w:asciiTheme="majorHAnsi" w:hAnsiTheme="majorHAnsi"/>
                <w:szCs w:val="18"/>
              </w:rPr>
              <w:t>oob</w:t>
            </w:r>
            <w:proofErr w:type="spellEnd"/>
            <w:r w:rsidRPr="00FA0D75">
              <w:rPr>
                <w:rFonts w:asciiTheme="majorHAnsi" w:hAnsiTheme="majorHAnsi"/>
                <w:szCs w:val="18"/>
              </w:rPr>
              <w:t xml:space="preserve"> (strikte scheiding van controle- en advieswerkzaamheden).</w:t>
            </w:r>
            <w:r w:rsidRPr="00FA0D75" w:rsidR="00EC5107">
              <w:rPr>
                <w:rStyle w:val="Voetnootmarkering"/>
                <w:rFonts w:asciiTheme="majorHAnsi" w:hAnsiTheme="majorHAnsi"/>
                <w:szCs w:val="18"/>
              </w:rPr>
              <w:footnoteReference w:id="19"/>
            </w:r>
          </w:p>
        </w:tc>
      </w:tr>
      <w:tr w:rsidRPr="00FA0D75" w:rsidR="000505D2" w:rsidTr="008D7F36" w14:paraId="7D55817A" w14:textId="77777777">
        <w:tc>
          <w:tcPr>
            <w:tcW w:w="562" w:type="dxa"/>
          </w:tcPr>
          <w:p w:rsidRPr="00FA0D75" w:rsidR="000505D2" w:rsidP="009A0D62" w:rsidRDefault="000505D2" w14:paraId="337FAA1F"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43AE4512" w14:textId="213A1EA3">
            <w:pPr>
              <w:rPr>
                <w:rFonts w:asciiTheme="majorHAnsi" w:hAnsiTheme="majorHAnsi"/>
                <w:szCs w:val="18"/>
              </w:rPr>
            </w:pPr>
            <w:r w:rsidRPr="00FA0D75">
              <w:rPr>
                <w:rFonts w:asciiTheme="majorHAnsi" w:hAnsiTheme="majorHAnsi"/>
                <w:szCs w:val="18"/>
              </w:rPr>
              <w:t>Bankenbelasting</w:t>
            </w:r>
          </w:p>
        </w:tc>
        <w:tc>
          <w:tcPr>
            <w:tcW w:w="4678" w:type="dxa"/>
          </w:tcPr>
          <w:p w:rsidRPr="00FA0D75" w:rsidR="000505D2" w:rsidP="009A0D62" w:rsidRDefault="000505D2" w14:paraId="4DB60F4F" w14:textId="18C4CC61">
            <w:pPr>
              <w:pStyle w:val="Lijstalinea"/>
              <w:numPr>
                <w:ilvl w:val="0"/>
                <w:numId w:val="32"/>
              </w:numPr>
              <w:rPr>
                <w:rFonts w:asciiTheme="majorHAnsi" w:hAnsiTheme="majorHAnsi"/>
                <w:szCs w:val="18"/>
              </w:rPr>
            </w:pPr>
            <w:r w:rsidRPr="00FA0D75">
              <w:rPr>
                <w:rFonts w:asciiTheme="majorHAnsi" w:hAnsiTheme="majorHAnsi"/>
                <w:szCs w:val="18"/>
              </w:rPr>
              <w:t xml:space="preserve">Er is geen EU-regelgeving die een bankenbelasting voorschrijft of reguleert. </w:t>
            </w:r>
          </w:p>
          <w:p w:rsidR="002A4F91" w:rsidP="009A0D62" w:rsidRDefault="009C519F" w14:paraId="6953926A" w14:textId="443EB186">
            <w:pPr>
              <w:pStyle w:val="Lijstalinea"/>
              <w:numPr>
                <w:ilvl w:val="0"/>
                <w:numId w:val="32"/>
              </w:numPr>
              <w:rPr>
                <w:rFonts w:asciiTheme="majorHAnsi" w:hAnsiTheme="majorHAnsi"/>
                <w:szCs w:val="18"/>
              </w:rPr>
            </w:pPr>
            <w:r w:rsidRPr="00FA0D75">
              <w:rPr>
                <w:rFonts w:asciiTheme="majorHAnsi" w:hAnsiTheme="majorHAnsi"/>
                <w:szCs w:val="18"/>
              </w:rPr>
              <w:t>Het internationale speelveld is diffuus</w:t>
            </w:r>
            <w:r w:rsidRPr="00FA0D75" w:rsidR="000505D2">
              <w:rPr>
                <w:rFonts w:asciiTheme="majorHAnsi" w:hAnsiTheme="majorHAnsi"/>
                <w:szCs w:val="18"/>
              </w:rPr>
              <w:t>. De EU-lidstaten die bankenbelasting heffen, hanteren verschillende grondslagen, tarieven en vrijstellingen, waardoor de uitwerking verschilt.</w:t>
            </w:r>
            <w:r w:rsidR="002A4F91">
              <w:rPr>
                <w:rFonts w:asciiTheme="majorHAnsi" w:hAnsiTheme="majorHAnsi"/>
                <w:szCs w:val="18"/>
              </w:rPr>
              <w:t xml:space="preserve"> </w:t>
            </w:r>
            <w:r w:rsidR="00970F1F">
              <w:rPr>
                <w:rFonts w:asciiTheme="majorHAnsi" w:hAnsiTheme="majorHAnsi"/>
                <w:szCs w:val="18"/>
              </w:rPr>
              <w:t>Nationale verschillen hebben implicaties voor een internationaal gelijk speelveld.</w:t>
            </w:r>
          </w:p>
          <w:p w:rsidRPr="00FA0D75" w:rsidR="000505D2" w:rsidP="009A0D62" w:rsidRDefault="002A4F91" w14:paraId="0F9CAD44" w14:textId="7C31C381">
            <w:pPr>
              <w:pStyle w:val="Lijstalinea"/>
              <w:numPr>
                <w:ilvl w:val="0"/>
                <w:numId w:val="32"/>
              </w:numPr>
              <w:rPr>
                <w:rFonts w:asciiTheme="majorHAnsi" w:hAnsiTheme="majorHAnsi"/>
                <w:szCs w:val="18"/>
              </w:rPr>
            </w:pPr>
            <w:r>
              <w:rPr>
                <w:rFonts w:asciiTheme="majorHAnsi" w:hAnsiTheme="majorHAnsi"/>
                <w:szCs w:val="18"/>
              </w:rPr>
              <w:lastRenderedPageBreak/>
              <w:t>Door verschillende grondslagen kan bij internationaal opererende banken sprake zijn van dubbele bankenbelasting.</w:t>
            </w:r>
            <w:r w:rsidR="00970F1F">
              <w:rPr>
                <w:rFonts w:asciiTheme="majorHAnsi" w:hAnsiTheme="majorHAnsi"/>
                <w:szCs w:val="18"/>
              </w:rPr>
              <w:t xml:space="preserve"> </w:t>
            </w:r>
          </w:p>
        </w:tc>
        <w:tc>
          <w:tcPr>
            <w:tcW w:w="6095" w:type="dxa"/>
          </w:tcPr>
          <w:p w:rsidRPr="00FA0D75" w:rsidR="00C5690C" w:rsidP="00C5690C" w:rsidRDefault="000505D2" w14:paraId="78C614B6" w14:textId="77777777">
            <w:pPr>
              <w:pStyle w:val="Lijstalinea"/>
              <w:numPr>
                <w:ilvl w:val="0"/>
                <w:numId w:val="29"/>
              </w:numPr>
              <w:rPr>
                <w:rFonts w:asciiTheme="majorHAnsi" w:hAnsiTheme="majorHAnsi"/>
                <w:szCs w:val="18"/>
              </w:rPr>
            </w:pPr>
            <w:r w:rsidRPr="00FA0D75">
              <w:rPr>
                <w:rFonts w:asciiTheme="majorHAnsi" w:hAnsiTheme="majorHAnsi"/>
                <w:szCs w:val="18"/>
              </w:rPr>
              <w:lastRenderedPageBreak/>
              <w:t>In Nederland is in 2012 de Wet bankenbelasting in werking getreden.</w:t>
            </w:r>
            <w:r w:rsidRPr="00FA0D75" w:rsidR="00C5690C">
              <w:rPr>
                <w:rFonts w:asciiTheme="majorHAnsi" w:hAnsiTheme="majorHAnsi"/>
                <w:szCs w:val="18"/>
              </w:rPr>
              <w:t xml:space="preserve"> </w:t>
            </w:r>
          </w:p>
          <w:p w:rsidRPr="00FA0D75" w:rsidR="00C5690C" w:rsidP="00C5690C" w:rsidRDefault="00C5690C" w14:paraId="0FF7623A" w14:textId="462AF356">
            <w:pPr>
              <w:pStyle w:val="Lijstalinea"/>
              <w:numPr>
                <w:ilvl w:val="0"/>
                <w:numId w:val="29"/>
              </w:numPr>
              <w:rPr>
                <w:rFonts w:asciiTheme="majorHAnsi" w:hAnsiTheme="majorHAnsi"/>
                <w:szCs w:val="18"/>
              </w:rPr>
            </w:pPr>
            <w:r w:rsidRPr="00FA0D75">
              <w:rPr>
                <w:rFonts w:asciiTheme="majorHAnsi" w:hAnsiTheme="majorHAnsi"/>
                <w:szCs w:val="18"/>
              </w:rPr>
              <w:t xml:space="preserve">Bankenbelasting wordt geheven over de zogenoemde ongedekte schulden van een bank. </w:t>
            </w:r>
          </w:p>
          <w:p w:rsidRPr="00FA0D75" w:rsidR="00C5690C" w:rsidP="00C5690C" w:rsidRDefault="00C5690C" w14:paraId="207FF927" w14:textId="77777777">
            <w:pPr>
              <w:pStyle w:val="Lijstalinea"/>
              <w:numPr>
                <w:ilvl w:val="0"/>
                <w:numId w:val="29"/>
              </w:numPr>
              <w:rPr>
                <w:rFonts w:asciiTheme="majorHAnsi" w:hAnsiTheme="majorHAnsi"/>
                <w:szCs w:val="18"/>
              </w:rPr>
            </w:pPr>
            <w:r w:rsidRPr="00FA0D75">
              <w:rPr>
                <w:rFonts w:asciiTheme="majorHAnsi" w:hAnsiTheme="majorHAnsi"/>
                <w:szCs w:val="18"/>
              </w:rPr>
              <w:t xml:space="preserve">Meer specifiek, de belastbare som is het geconsolideerde balanstotaal verminderd met het toetsingsvermogen, deposito’s voor zover die onder een depositogarantiestelsel vallen en passiva van het verzekeringsbedrijf. </w:t>
            </w:r>
          </w:p>
          <w:p w:rsidRPr="00FA0D75" w:rsidR="00C5690C" w:rsidP="00C5690C" w:rsidRDefault="00C5690C" w14:paraId="68861BD7" w14:textId="77777777">
            <w:pPr>
              <w:pStyle w:val="Lijstalinea"/>
              <w:numPr>
                <w:ilvl w:val="0"/>
                <w:numId w:val="29"/>
              </w:numPr>
              <w:rPr>
                <w:rFonts w:asciiTheme="majorHAnsi" w:hAnsiTheme="majorHAnsi"/>
                <w:szCs w:val="18"/>
              </w:rPr>
            </w:pPr>
            <w:r w:rsidRPr="00FA0D75">
              <w:rPr>
                <w:rFonts w:asciiTheme="majorHAnsi" w:hAnsiTheme="majorHAnsi"/>
                <w:szCs w:val="18"/>
              </w:rPr>
              <w:t xml:space="preserve">De belastbare som wordt vervolgens verlaagd met de doelmatigheidsvrijstelling van € 23,5 miljard. </w:t>
            </w:r>
          </w:p>
          <w:p w:rsidRPr="00FA0D75" w:rsidR="000505D2" w:rsidP="00C5690C" w:rsidRDefault="00C5690C" w14:paraId="08AFC87F" w14:textId="7BE6FCAA">
            <w:pPr>
              <w:pStyle w:val="Lijstalinea"/>
              <w:numPr>
                <w:ilvl w:val="0"/>
                <w:numId w:val="29"/>
              </w:numPr>
              <w:rPr>
                <w:rFonts w:asciiTheme="majorHAnsi" w:hAnsiTheme="majorHAnsi"/>
                <w:szCs w:val="18"/>
              </w:rPr>
            </w:pPr>
            <w:r w:rsidRPr="00FA0D75">
              <w:rPr>
                <w:rFonts w:asciiTheme="majorHAnsi" w:hAnsiTheme="majorHAnsi"/>
                <w:szCs w:val="18"/>
              </w:rPr>
              <w:lastRenderedPageBreak/>
              <w:t>De bankenbelasting kent 2 tarieven. Het tarief voor kortlopende schulden is 0,058% en het tarief voor langlopende schulden is 0,029%.</w:t>
            </w:r>
            <w:r w:rsidRPr="00FA0D75" w:rsidR="000505D2">
              <w:rPr>
                <w:rFonts w:asciiTheme="majorHAnsi" w:hAnsiTheme="majorHAnsi"/>
                <w:szCs w:val="18"/>
              </w:rPr>
              <w:t xml:space="preserve"> </w:t>
            </w:r>
          </w:p>
        </w:tc>
      </w:tr>
      <w:tr w:rsidRPr="00FA0D75" w:rsidR="000505D2" w:rsidTr="008D7F36" w14:paraId="7C09F772" w14:textId="77777777">
        <w:tc>
          <w:tcPr>
            <w:tcW w:w="562" w:type="dxa"/>
          </w:tcPr>
          <w:p w:rsidRPr="00FA0D75" w:rsidR="000505D2" w:rsidP="009A0D62" w:rsidRDefault="000505D2" w14:paraId="57DAE9D0"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0448C2E8" w14:textId="57B1F534">
            <w:pPr>
              <w:rPr>
                <w:rFonts w:asciiTheme="majorHAnsi" w:hAnsiTheme="majorHAnsi"/>
                <w:szCs w:val="18"/>
              </w:rPr>
            </w:pPr>
            <w:r w:rsidRPr="00FA0D75">
              <w:rPr>
                <w:rFonts w:asciiTheme="majorHAnsi" w:hAnsiTheme="majorHAnsi"/>
                <w:szCs w:val="18"/>
              </w:rPr>
              <w:t>Minimumkapitaalregel in de vennootschapsbelasting</w:t>
            </w:r>
          </w:p>
        </w:tc>
        <w:tc>
          <w:tcPr>
            <w:tcW w:w="4678" w:type="dxa"/>
          </w:tcPr>
          <w:p w:rsidRPr="00FA0D75" w:rsidR="000505D2" w:rsidP="009A0D62" w:rsidRDefault="000505D2" w14:paraId="6FF1DBD0" w14:textId="262B2F4F">
            <w:pPr>
              <w:pStyle w:val="Lijstalinea"/>
              <w:numPr>
                <w:ilvl w:val="0"/>
                <w:numId w:val="32"/>
              </w:numPr>
              <w:rPr>
                <w:rFonts w:asciiTheme="majorHAnsi" w:hAnsiTheme="majorHAnsi"/>
                <w:szCs w:val="18"/>
              </w:rPr>
            </w:pPr>
            <w:r w:rsidRPr="00FA0D75">
              <w:rPr>
                <w:rFonts w:asciiTheme="majorHAnsi" w:hAnsiTheme="majorHAnsi"/>
                <w:szCs w:val="18"/>
              </w:rPr>
              <w:t xml:space="preserve">Geen EU-regelgeving die dit voorschrijft of reguleert. </w:t>
            </w:r>
          </w:p>
          <w:p w:rsidRPr="00FA0D75" w:rsidR="000505D2" w:rsidP="009A0D62" w:rsidRDefault="000505D2" w14:paraId="7669F8CC" w14:textId="47DAC02B">
            <w:pPr>
              <w:pStyle w:val="Lijstalinea"/>
              <w:numPr>
                <w:ilvl w:val="0"/>
                <w:numId w:val="32"/>
              </w:numPr>
              <w:rPr>
                <w:rFonts w:asciiTheme="majorHAnsi" w:hAnsiTheme="majorHAnsi"/>
                <w:szCs w:val="18"/>
              </w:rPr>
            </w:pPr>
            <w:r w:rsidRPr="00FA0D75">
              <w:rPr>
                <w:rFonts w:asciiTheme="majorHAnsi" w:hAnsiTheme="majorHAnsi"/>
                <w:szCs w:val="18"/>
              </w:rPr>
              <w:t>In OESO verband is niet gekomen tot expliciete aanbevelingen voor banken en verzekeraars, maar is ruimte gelaten voor nationale maatregelen.</w:t>
            </w:r>
            <w:r w:rsidR="00970F1F">
              <w:rPr>
                <w:rFonts w:asciiTheme="majorHAnsi" w:hAnsiTheme="majorHAnsi"/>
                <w:szCs w:val="18"/>
              </w:rPr>
              <w:t xml:space="preserve"> Nationale verschillen hebben implicaties voor een internationaal gelijk speelveld.</w:t>
            </w:r>
          </w:p>
        </w:tc>
        <w:tc>
          <w:tcPr>
            <w:tcW w:w="6095" w:type="dxa"/>
          </w:tcPr>
          <w:p w:rsidRPr="00FA0D75" w:rsidR="000505D2" w:rsidP="009A0D62" w:rsidRDefault="000505D2" w14:paraId="47628207" w14:textId="5B7B892A">
            <w:pPr>
              <w:pStyle w:val="Lijstalinea"/>
              <w:numPr>
                <w:ilvl w:val="0"/>
                <w:numId w:val="29"/>
              </w:numPr>
              <w:rPr>
                <w:rFonts w:asciiTheme="majorHAnsi" w:hAnsiTheme="majorHAnsi"/>
                <w:szCs w:val="18"/>
              </w:rPr>
            </w:pPr>
            <w:r w:rsidRPr="00FA0D75">
              <w:rPr>
                <w:rFonts w:asciiTheme="majorHAnsi" w:hAnsiTheme="majorHAnsi"/>
                <w:szCs w:val="18"/>
              </w:rPr>
              <w:t>Nederland heeft in 2019 de generieke renteaftrekbeperking (earningsstrippingmaatregel) uit de eerste antibelastingontwijkingsrichtlijn (ATAD1)</w:t>
            </w:r>
            <w:r w:rsidRPr="00FA0D75">
              <w:rPr>
                <w:rStyle w:val="Voetnootmarkering"/>
                <w:rFonts w:asciiTheme="majorHAnsi" w:hAnsiTheme="majorHAnsi"/>
                <w:szCs w:val="18"/>
              </w:rPr>
              <w:footnoteReference w:id="20"/>
            </w:r>
            <w:r w:rsidRPr="00FA0D75">
              <w:rPr>
                <w:rFonts w:asciiTheme="majorHAnsi" w:hAnsiTheme="majorHAnsi"/>
                <w:szCs w:val="18"/>
              </w:rPr>
              <w:t xml:space="preserve"> geïmplementeerd. Deze maatregel beperkt de fiscale aftrekbaarheid van het saldo aan renten (dus rentelasten minus rentebaten). </w:t>
            </w:r>
          </w:p>
          <w:p w:rsidR="00792B2E" w:rsidP="009A0D62" w:rsidRDefault="000505D2" w14:paraId="724A173B" w14:textId="4ED17825">
            <w:pPr>
              <w:pStyle w:val="Lijstalinea"/>
              <w:numPr>
                <w:ilvl w:val="0"/>
                <w:numId w:val="29"/>
              </w:numPr>
              <w:rPr>
                <w:rFonts w:asciiTheme="majorHAnsi" w:hAnsiTheme="majorHAnsi"/>
                <w:szCs w:val="18"/>
              </w:rPr>
            </w:pPr>
            <w:r w:rsidRPr="00FA0D75">
              <w:rPr>
                <w:rFonts w:asciiTheme="majorHAnsi" w:hAnsiTheme="majorHAnsi"/>
                <w:szCs w:val="18"/>
              </w:rPr>
              <w:t xml:space="preserve">Nederland heeft daarnaast een minimumkapitaalregel ingevoerd voor banken en verzekeraars, omdat de </w:t>
            </w:r>
            <w:proofErr w:type="spellStart"/>
            <w:r w:rsidRPr="00FA0D75">
              <w:rPr>
                <w:rFonts w:asciiTheme="majorHAnsi" w:hAnsiTheme="majorHAnsi"/>
                <w:szCs w:val="18"/>
              </w:rPr>
              <w:t>earingsstrippingmaatregel</w:t>
            </w:r>
            <w:proofErr w:type="spellEnd"/>
            <w:r w:rsidRPr="00FA0D75">
              <w:rPr>
                <w:rFonts w:asciiTheme="majorHAnsi" w:hAnsiTheme="majorHAnsi"/>
                <w:szCs w:val="18"/>
              </w:rPr>
              <w:t xml:space="preserve"> uit ATAD1 niet aangrijpt op financiële ondernemingen</w:t>
            </w:r>
            <w:r w:rsidR="00792B2E">
              <w:rPr>
                <w:rFonts w:asciiTheme="majorHAnsi" w:hAnsiTheme="majorHAnsi"/>
                <w:szCs w:val="18"/>
              </w:rPr>
              <w:t xml:space="preserve"> en om ook voor hen de prikkel van financiering met vreemd vermogen te verminderen</w:t>
            </w:r>
            <w:r w:rsidRPr="00FA0D75">
              <w:rPr>
                <w:rFonts w:asciiTheme="majorHAnsi" w:hAnsiTheme="majorHAnsi"/>
                <w:szCs w:val="18"/>
              </w:rPr>
              <w:t>.</w:t>
            </w:r>
            <w:r w:rsidRPr="00FA0D75">
              <w:rPr>
                <w:rStyle w:val="Voetnootmarkering"/>
                <w:rFonts w:asciiTheme="majorHAnsi" w:hAnsiTheme="majorHAnsi"/>
                <w:szCs w:val="18"/>
              </w:rPr>
              <w:footnoteReference w:id="21"/>
            </w:r>
          </w:p>
          <w:p w:rsidRPr="00FA0D75" w:rsidR="000505D2" w:rsidP="009A0D62" w:rsidRDefault="00792B2E" w14:paraId="5A7AA4FE" w14:textId="7B7D30DD">
            <w:pPr>
              <w:pStyle w:val="Lijstalinea"/>
              <w:numPr>
                <w:ilvl w:val="0"/>
                <w:numId w:val="29"/>
              </w:numPr>
              <w:rPr>
                <w:rFonts w:asciiTheme="majorHAnsi" w:hAnsiTheme="majorHAnsi"/>
                <w:szCs w:val="18"/>
              </w:rPr>
            </w:pPr>
            <w:r>
              <w:rPr>
                <w:rFonts w:asciiTheme="majorHAnsi" w:hAnsiTheme="majorHAnsi"/>
                <w:szCs w:val="18"/>
              </w:rPr>
              <w:t>Nederland is voor zover bekend de enige EU-lidstaat met een minimumkapitaalregel specifiek voor banken en verzekeraars.</w:t>
            </w:r>
            <w:r w:rsidRPr="00FA0D75" w:rsidR="000505D2">
              <w:rPr>
                <w:rFonts w:asciiTheme="majorHAnsi" w:hAnsiTheme="majorHAnsi"/>
                <w:szCs w:val="18"/>
              </w:rPr>
              <w:t xml:space="preserve"> </w:t>
            </w:r>
          </w:p>
        </w:tc>
      </w:tr>
      <w:tr w:rsidRPr="00FA0D75" w:rsidR="000505D2" w:rsidTr="008D7F36" w14:paraId="2AE9952D" w14:textId="77777777">
        <w:tc>
          <w:tcPr>
            <w:tcW w:w="562" w:type="dxa"/>
          </w:tcPr>
          <w:p w:rsidRPr="00FA0D75" w:rsidR="000505D2" w:rsidP="009A0D62" w:rsidRDefault="000505D2" w14:paraId="351D9E64"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4C5227F0" w14:textId="6DD9D2BC">
            <w:pPr>
              <w:rPr>
                <w:rFonts w:asciiTheme="majorHAnsi" w:hAnsiTheme="majorHAnsi"/>
                <w:szCs w:val="18"/>
              </w:rPr>
            </w:pPr>
            <w:r w:rsidRPr="00FA0D75">
              <w:rPr>
                <w:rFonts w:asciiTheme="majorHAnsi" w:hAnsiTheme="majorHAnsi"/>
                <w:szCs w:val="18"/>
              </w:rPr>
              <w:t>Verklaring van geen bezwaar (vvgb)-plicht als banken bepaalde prudentieel relevante transacties doen</w:t>
            </w:r>
          </w:p>
        </w:tc>
        <w:tc>
          <w:tcPr>
            <w:tcW w:w="4678" w:type="dxa"/>
          </w:tcPr>
          <w:p w:rsidRPr="00FA0D75" w:rsidR="000505D2" w:rsidP="009A0D62" w:rsidRDefault="000505D2" w14:paraId="06D2F237" w14:textId="79C25A51">
            <w:pPr>
              <w:pStyle w:val="Lijstalinea"/>
              <w:numPr>
                <w:ilvl w:val="0"/>
                <w:numId w:val="32"/>
              </w:numPr>
              <w:rPr>
                <w:rFonts w:asciiTheme="majorHAnsi" w:hAnsiTheme="majorHAnsi"/>
                <w:szCs w:val="18"/>
              </w:rPr>
            </w:pPr>
            <w:r w:rsidRPr="00FA0D75">
              <w:rPr>
                <w:rFonts w:asciiTheme="majorHAnsi" w:hAnsiTheme="majorHAnsi"/>
                <w:szCs w:val="18"/>
              </w:rPr>
              <w:t xml:space="preserve">De CRD kende tot voor kort geen vvgb-plicht voor prudentieel relevante transacties door banken. </w:t>
            </w:r>
          </w:p>
        </w:tc>
        <w:tc>
          <w:tcPr>
            <w:tcW w:w="6095" w:type="dxa"/>
          </w:tcPr>
          <w:p w:rsidRPr="00FA0D75" w:rsidR="000505D2" w:rsidP="009A0D62" w:rsidRDefault="000505D2" w14:paraId="51C9F3F9" w14:textId="5EA79B3A">
            <w:pPr>
              <w:pStyle w:val="Lijstalinea"/>
              <w:numPr>
                <w:ilvl w:val="0"/>
                <w:numId w:val="29"/>
              </w:numPr>
              <w:rPr>
                <w:rFonts w:asciiTheme="majorHAnsi" w:hAnsiTheme="majorHAnsi"/>
                <w:szCs w:val="18"/>
              </w:rPr>
            </w:pPr>
            <w:r w:rsidRPr="00FA0D75">
              <w:rPr>
                <w:rFonts w:asciiTheme="majorHAnsi" w:hAnsiTheme="majorHAnsi"/>
                <w:szCs w:val="18"/>
              </w:rPr>
              <w:t>Het vvgb-regime in de Wet op het financieel toezicht</w:t>
            </w:r>
            <w:r w:rsidRPr="00FA0D75">
              <w:rPr>
                <w:rStyle w:val="Voetnootmarkering"/>
                <w:rFonts w:asciiTheme="majorHAnsi" w:hAnsiTheme="majorHAnsi"/>
                <w:szCs w:val="18"/>
              </w:rPr>
              <w:footnoteReference w:id="22"/>
            </w:r>
            <w:r w:rsidRPr="00FA0D75">
              <w:rPr>
                <w:rFonts w:asciiTheme="majorHAnsi" w:hAnsiTheme="majorHAnsi"/>
                <w:szCs w:val="18"/>
              </w:rPr>
              <w:t xml:space="preserve"> schrijft voor dat banken een vvgb van DNB moeten krijgen alvorens de prudentieel relevante transactie aan te gaan.</w:t>
            </w:r>
          </w:p>
          <w:p w:rsidRPr="00FA0D75" w:rsidR="000505D2" w:rsidP="009A0D62" w:rsidRDefault="000505D2" w14:paraId="4BA1799D" w14:textId="77777777">
            <w:pPr>
              <w:pStyle w:val="Lijstalinea"/>
              <w:numPr>
                <w:ilvl w:val="0"/>
                <w:numId w:val="29"/>
              </w:numPr>
              <w:rPr>
                <w:rFonts w:asciiTheme="majorHAnsi" w:hAnsiTheme="majorHAnsi"/>
                <w:szCs w:val="18"/>
              </w:rPr>
            </w:pPr>
            <w:r w:rsidRPr="00FA0D75">
              <w:rPr>
                <w:rFonts w:asciiTheme="majorHAnsi" w:hAnsiTheme="majorHAnsi"/>
                <w:szCs w:val="18"/>
              </w:rPr>
              <w:t>Prudentieel relevante transacties kunnen zijn: 1) een gekwalificeerde deelneming verwerven in een (niet-) financiële onderneming, 2) activa of passiva overnemen, 3) een fusie aangaan, 4) over te gaan tot een financiële reorganisatie en 5) een beherend vennoot tot de bank te doen toetreden.</w:t>
            </w:r>
          </w:p>
          <w:p w:rsidRPr="00FA0D75" w:rsidR="000505D2" w:rsidP="009A0D62" w:rsidRDefault="000505D2" w14:paraId="0CC353EE" w14:textId="619622C1">
            <w:pPr>
              <w:pStyle w:val="Lijstalinea"/>
              <w:numPr>
                <w:ilvl w:val="0"/>
                <w:numId w:val="29"/>
              </w:numPr>
              <w:rPr>
                <w:rFonts w:asciiTheme="majorHAnsi" w:hAnsiTheme="majorHAnsi"/>
                <w:szCs w:val="18"/>
              </w:rPr>
            </w:pPr>
            <w:r w:rsidRPr="00FA0D75">
              <w:rPr>
                <w:rFonts w:asciiTheme="majorHAnsi" w:hAnsiTheme="majorHAnsi"/>
                <w:szCs w:val="18"/>
              </w:rPr>
              <w:t xml:space="preserve">In deze gevallen beoordeelt DNB of de bank na deze transactie blijft voldoen aan haar solvabiliteit, de gezonde en prudente bedrijfsvoering en of de handeling leidt tot een ongewenste ontwikkeling van de financiële sector. </w:t>
            </w:r>
          </w:p>
          <w:p w:rsidRPr="00FA0D75" w:rsidR="000505D2" w:rsidP="000505D2" w:rsidRDefault="000505D2" w14:paraId="65A2DB28" w14:textId="386BBF7B">
            <w:pPr>
              <w:pStyle w:val="Lijstalinea"/>
              <w:numPr>
                <w:ilvl w:val="0"/>
                <w:numId w:val="29"/>
              </w:numPr>
              <w:rPr>
                <w:rFonts w:asciiTheme="majorHAnsi" w:hAnsiTheme="majorHAnsi"/>
                <w:szCs w:val="18"/>
              </w:rPr>
            </w:pPr>
            <w:r w:rsidRPr="00FA0D75">
              <w:rPr>
                <w:rFonts w:asciiTheme="majorHAnsi" w:hAnsiTheme="majorHAnsi"/>
                <w:szCs w:val="18"/>
              </w:rPr>
              <w:t xml:space="preserve">De CRD is in 2024 gewijzigd, waarbij voor dergelijke prudentieel relevante transacties een geharmoniseerd kader in Europa is geformuleerd. Implementatie hiervan is voorzien voor 2026 en leidt ertoe dat het voorheen nationale regime een Europese grondslag krijgt. </w:t>
            </w:r>
          </w:p>
        </w:tc>
      </w:tr>
      <w:tr w:rsidRPr="00FA0D75" w:rsidR="000505D2" w:rsidTr="008D7F36" w14:paraId="5938C9A0" w14:textId="77777777">
        <w:tc>
          <w:tcPr>
            <w:tcW w:w="562" w:type="dxa"/>
          </w:tcPr>
          <w:p w:rsidRPr="00FA0D75" w:rsidR="000505D2" w:rsidP="009A0D62" w:rsidRDefault="000505D2" w14:paraId="43FF4015"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324A47C9" w14:textId="349AB27B">
            <w:pPr>
              <w:rPr>
                <w:rFonts w:asciiTheme="majorHAnsi" w:hAnsiTheme="majorHAnsi"/>
                <w:szCs w:val="18"/>
              </w:rPr>
            </w:pPr>
            <w:r w:rsidRPr="00FA0D75">
              <w:rPr>
                <w:rFonts w:eastAsia="Times New Roman" w:asciiTheme="majorHAnsi" w:hAnsiTheme="majorHAnsi"/>
                <w:szCs w:val="18"/>
              </w:rPr>
              <w:t>Vormgeving depositogarantiestelsel</w:t>
            </w:r>
          </w:p>
        </w:tc>
        <w:tc>
          <w:tcPr>
            <w:tcW w:w="4678" w:type="dxa"/>
          </w:tcPr>
          <w:p w:rsidRPr="00FA0D75" w:rsidR="000505D2" w:rsidP="009A0D62" w:rsidRDefault="000505D2" w14:paraId="46C96F8E" w14:textId="6037F38C">
            <w:pPr>
              <w:pStyle w:val="Lijstalinea"/>
              <w:numPr>
                <w:ilvl w:val="0"/>
                <w:numId w:val="38"/>
              </w:numPr>
              <w:spacing w:after="160" w:line="252" w:lineRule="auto"/>
              <w:rPr>
                <w:rFonts w:asciiTheme="majorHAnsi" w:hAnsiTheme="majorHAnsi"/>
                <w:color w:val="000000" w:themeColor="text1"/>
                <w:szCs w:val="18"/>
              </w:rPr>
            </w:pPr>
            <w:r w:rsidRPr="00FA0D75">
              <w:rPr>
                <w:rFonts w:asciiTheme="majorHAnsi" w:hAnsiTheme="majorHAnsi"/>
                <w:color w:val="000000" w:themeColor="text1"/>
                <w:szCs w:val="18"/>
              </w:rPr>
              <w:t>Op grond van de richtlijn depositogarantiestelsels (DGSD)</w:t>
            </w:r>
            <w:r w:rsidRPr="00FA0D75">
              <w:rPr>
                <w:rStyle w:val="Voetnootmarkering"/>
                <w:rFonts w:asciiTheme="majorHAnsi" w:hAnsiTheme="majorHAnsi"/>
                <w:color w:val="000000" w:themeColor="text1"/>
                <w:szCs w:val="18"/>
              </w:rPr>
              <w:footnoteReference w:id="23"/>
            </w:r>
            <w:r w:rsidRPr="00FA0D75">
              <w:rPr>
                <w:rFonts w:asciiTheme="majorHAnsi" w:hAnsiTheme="majorHAnsi"/>
                <w:color w:val="000000" w:themeColor="text1"/>
                <w:szCs w:val="18"/>
              </w:rPr>
              <w:t xml:space="preserve"> dient de omvang van het depositogarantiefonds (DGF)</w:t>
            </w:r>
            <w:r w:rsidRPr="00FA0D75" w:rsidR="00030935">
              <w:rPr>
                <w:rFonts w:asciiTheme="majorHAnsi" w:hAnsiTheme="majorHAnsi"/>
                <w:color w:val="000000" w:themeColor="text1"/>
                <w:szCs w:val="18"/>
              </w:rPr>
              <w:t xml:space="preserve"> minimaal</w:t>
            </w:r>
            <w:r w:rsidRPr="00FA0D75">
              <w:rPr>
                <w:rFonts w:asciiTheme="majorHAnsi" w:hAnsiTheme="majorHAnsi"/>
                <w:color w:val="000000" w:themeColor="text1"/>
                <w:szCs w:val="18"/>
              </w:rPr>
              <w:t xml:space="preserve"> 0,8% van alle deposito’s bij banken in een land te betreffen.</w:t>
            </w:r>
          </w:p>
          <w:p w:rsidRPr="00FA0D75" w:rsidR="000505D2" w:rsidP="009A0D62" w:rsidRDefault="000505D2" w14:paraId="38C97EB1" w14:textId="77777777">
            <w:pPr>
              <w:pStyle w:val="Lijstalinea"/>
              <w:numPr>
                <w:ilvl w:val="0"/>
                <w:numId w:val="38"/>
              </w:numPr>
              <w:spacing w:after="160" w:line="252" w:lineRule="auto"/>
              <w:rPr>
                <w:rFonts w:asciiTheme="majorHAnsi" w:hAnsiTheme="majorHAnsi"/>
                <w:color w:val="000000" w:themeColor="text1"/>
                <w:szCs w:val="18"/>
              </w:rPr>
            </w:pPr>
            <w:r w:rsidRPr="00FA0D75">
              <w:rPr>
                <w:rFonts w:asciiTheme="majorHAnsi" w:hAnsiTheme="majorHAnsi"/>
                <w:color w:val="000000" w:themeColor="text1"/>
                <w:szCs w:val="18"/>
              </w:rPr>
              <w:t>In Nederland is de doelomvang geïmplementeerd op het Europees minimum van 0,8%.</w:t>
            </w:r>
          </w:p>
          <w:p w:rsidRPr="00FA0D75" w:rsidR="000505D2" w:rsidP="009A0D62" w:rsidRDefault="000505D2" w14:paraId="250E198E" w14:textId="77777777">
            <w:pPr>
              <w:pStyle w:val="Lijstalinea"/>
              <w:numPr>
                <w:ilvl w:val="0"/>
                <w:numId w:val="38"/>
              </w:numPr>
              <w:spacing w:after="160" w:line="252" w:lineRule="auto"/>
              <w:rPr>
                <w:rFonts w:asciiTheme="majorHAnsi" w:hAnsiTheme="majorHAnsi"/>
                <w:color w:val="000000" w:themeColor="text1"/>
                <w:szCs w:val="18"/>
              </w:rPr>
            </w:pPr>
            <w:r w:rsidRPr="00FA0D75">
              <w:rPr>
                <w:rFonts w:asciiTheme="majorHAnsi" w:hAnsiTheme="majorHAnsi"/>
                <w:color w:val="000000" w:themeColor="text1"/>
                <w:szCs w:val="18"/>
              </w:rPr>
              <w:t>De richtlijn betreft minimumharmonisatie. Het is aan de lidstaten zelf om de methodiek voor het opbouwen van het fonds te bepalen</w:t>
            </w:r>
          </w:p>
          <w:p w:rsidRPr="00FA0D75" w:rsidR="000505D2" w:rsidP="009A0D62" w:rsidRDefault="000505D2" w14:paraId="66B0C1E9" w14:textId="3C902854">
            <w:pPr>
              <w:pStyle w:val="Lijstalinea"/>
              <w:numPr>
                <w:ilvl w:val="0"/>
                <w:numId w:val="32"/>
              </w:numPr>
              <w:rPr>
                <w:rFonts w:asciiTheme="majorHAnsi" w:hAnsiTheme="majorHAnsi"/>
                <w:szCs w:val="18"/>
              </w:rPr>
            </w:pPr>
            <w:r w:rsidRPr="00FA0D75">
              <w:rPr>
                <w:rFonts w:asciiTheme="majorHAnsi" w:hAnsiTheme="majorHAnsi"/>
                <w:color w:val="000000" w:themeColor="text1"/>
                <w:szCs w:val="18"/>
              </w:rPr>
              <w:t xml:space="preserve">Wel heeft de Europese Bankenautoriteit (EBA) richtsnoeren opgesteld voor het berekenen van contributies aan het fonds. Nederland voldoet daaraan (bekrachtiging dateert van 2015). </w:t>
            </w:r>
          </w:p>
        </w:tc>
        <w:tc>
          <w:tcPr>
            <w:tcW w:w="6095" w:type="dxa"/>
          </w:tcPr>
          <w:p w:rsidRPr="00FA0D75" w:rsidR="000505D2" w:rsidP="009A0D62" w:rsidRDefault="000505D2" w14:paraId="2ABF9582" w14:textId="0DF17E40">
            <w:pPr>
              <w:pStyle w:val="Lijstalinea"/>
              <w:numPr>
                <w:ilvl w:val="0"/>
                <w:numId w:val="38"/>
              </w:numPr>
              <w:spacing w:after="160" w:line="252" w:lineRule="auto"/>
              <w:rPr>
                <w:rFonts w:asciiTheme="majorHAnsi" w:hAnsiTheme="majorHAnsi"/>
                <w:color w:val="000000" w:themeColor="text1"/>
                <w:szCs w:val="18"/>
              </w:rPr>
            </w:pPr>
            <w:r w:rsidRPr="00FA0D75">
              <w:rPr>
                <w:rFonts w:asciiTheme="majorHAnsi" w:hAnsiTheme="majorHAnsi"/>
                <w:color w:val="000000" w:themeColor="text1"/>
                <w:szCs w:val="18"/>
              </w:rPr>
              <w:t>In Nederland bestaat het DGF uit een individueel deel (0,4%) en algemeen deel (0,4%).</w:t>
            </w:r>
            <w:r w:rsidRPr="00FA0D75">
              <w:rPr>
                <w:rStyle w:val="Voetnootmarkering"/>
                <w:rFonts w:asciiTheme="majorHAnsi" w:hAnsiTheme="majorHAnsi"/>
                <w:color w:val="000000" w:themeColor="text1"/>
                <w:szCs w:val="18"/>
              </w:rPr>
              <w:footnoteReference w:id="24"/>
            </w:r>
            <w:r w:rsidRPr="00FA0D75">
              <w:rPr>
                <w:rFonts w:asciiTheme="majorHAnsi" w:hAnsiTheme="majorHAnsi"/>
                <w:color w:val="000000" w:themeColor="text1"/>
                <w:szCs w:val="18"/>
              </w:rPr>
              <w:t xml:space="preserve"> </w:t>
            </w:r>
          </w:p>
          <w:p w:rsidRPr="00FA0D75" w:rsidR="000505D2" w:rsidP="009A0D62" w:rsidRDefault="000505D2" w14:paraId="12D7783E" w14:textId="77777777">
            <w:pPr>
              <w:pStyle w:val="Lijstalinea"/>
              <w:numPr>
                <w:ilvl w:val="0"/>
                <w:numId w:val="38"/>
              </w:numPr>
              <w:spacing w:after="160" w:line="252" w:lineRule="auto"/>
              <w:rPr>
                <w:rFonts w:asciiTheme="majorHAnsi" w:hAnsiTheme="majorHAnsi"/>
                <w:color w:val="000000" w:themeColor="text1"/>
                <w:szCs w:val="18"/>
              </w:rPr>
            </w:pPr>
            <w:r w:rsidRPr="00FA0D75">
              <w:rPr>
                <w:rFonts w:asciiTheme="majorHAnsi" w:hAnsiTheme="majorHAnsi"/>
                <w:color w:val="000000" w:themeColor="text1"/>
                <w:szCs w:val="18"/>
              </w:rPr>
              <w:t>Het individuele deel is risico-ongewogen, het collectieve gedeelte kent een risicogebaseerde bijdrage.</w:t>
            </w:r>
          </w:p>
          <w:p w:rsidRPr="00FA0D75" w:rsidR="000505D2" w:rsidP="009A0D62" w:rsidRDefault="000505D2" w14:paraId="260BE3F5" w14:textId="6F2C9818">
            <w:pPr>
              <w:pStyle w:val="Lijstalinea"/>
              <w:numPr>
                <w:ilvl w:val="0"/>
                <w:numId w:val="29"/>
              </w:numPr>
              <w:rPr>
                <w:rFonts w:asciiTheme="majorHAnsi" w:hAnsiTheme="majorHAnsi"/>
                <w:szCs w:val="18"/>
              </w:rPr>
            </w:pPr>
            <w:r w:rsidRPr="00FA0D75">
              <w:rPr>
                <w:rFonts w:asciiTheme="majorHAnsi" w:hAnsiTheme="majorHAnsi"/>
                <w:color w:val="000000" w:themeColor="text1"/>
                <w:szCs w:val="18"/>
              </w:rPr>
              <w:t>Pas als het individuele deel van de faillerende bank onvoldoende is voor uitbetaling, wordt het algemene deel, waarin ook betalingen van andere banken zijn opgenomen, aangesproken. Als dat niet voldoende is, worden de individuele potjes van de andere banken aangesproken.</w:t>
            </w:r>
          </w:p>
        </w:tc>
      </w:tr>
      <w:tr w:rsidRPr="00FA0D75" w:rsidR="000505D2" w:rsidTr="008D7F36" w14:paraId="1CE1EA9E" w14:textId="77777777">
        <w:tc>
          <w:tcPr>
            <w:tcW w:w="562" w:type="dxa"/>
          </w:tcPr>
          <w:p w:rsidRPr="00FA0D75" w:rsidR="000505D2" w:rsidP="009A0D62" w:rsidRDefault="000505D2" w14:paraId="456853AB"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4E5EA4A2" w14:textId="4D4123AF">
            <w:pPr>
              <w:rPr>
                <w:rFonts w:asciiTheme="majorHAnsi" w:hAnsiTheme="majorHAnsi"/>
                <w:szCs w:val="18"/>
              </w:rPr>
            </w:pPr>
            <w:r w:rsidRPr="00FA0D75">
              <w:rPr>
                <w:rFonts w:asciiTheme="majorHAnsi" w:hAnsiTheme="majorHAnsi"/>
                <w:szCs w:val="18"/>
              </w:rPr>
              <w:t>Solvency Basic regime voor kleine verzekeraars</w:t>
            </w:r>
          </w:p>
        </w:tc>
        <w:tc>
          <w:tcPr>
            <w:tcW w:w="4678" w:type="dxa"/>
          </w:tcPr>
          <w:p w:rsidRPr="00FA0D75" w:rsidR="000505D2" w:rsidP="009A0D62" w:rsidRDefault="00D120E5" w14:paraId="4BBF1E39" w14:textId="3FCF5624">
            <w:pPr>
              <w:pStyle w:val="Lijstalinea"/>
              <w:numPr>
                <w:ilvl w:val="0"/>
                <w:numId w:val="32"/>
              </w:numPr>
              <w:rPr>
                <w:rFonts w:asciiTheme="majorHAnsi" w:hAnsiTheme="majorHAnsi"/>
                <w:szCs w:val="18"/>
              </w:rPr>
            </w:pPr>
            <w:r w:rsidRPr="00FA0D75">
              <w:rPr>
                <w:rFonts w:asciiTheme="majorHAnsi" w:hAnsiTheme="majorHAnsi"/>
                <w:szCs w:val="18"/>
              </w:rPr>
              <w:t>Bepaalde k</w:t>
            </w:r>
            <w:r w:rsidRPr="00FA0D75" w:rsidR="000505D2">
              <w:rPr>
                <w:rFonts w:asciiTheme="majorHAnsi" w:hAnsiTheme="majorHAnsi"/>
                <w:szCs w:val="18"/>
              </w:rPr>
              <w:t>leine verzekeraars vallen niet onder de</w:t>
            </w:r>
            <w:r w:rsidRPr="00FA0D75" w:rsidR="008F278F">
              <w:rPr>
                <w:rFonts w:asciiTheme="majorHAnsi" w:hAnsiTheme="majorHAnsi"/>
                <w:szCs w:val="18"/>
              </w:rPr>
              <w:t xml:space="preserve"> </w:t>
            </w:r>
            <w:r w:rsidRPr="00FA0D75" w:rsidR="000505D2">
              <w:rPr>
                <w:rFonts w:asciiTheme="majorHAnsi" w:hAnsiTheme="majorHAnsi"/>
                <w:szCs w:val="18"/>
              </w:rPr>
              <w:t>richtlijn Solvabiliteit II.</w:t>
            </w:r>
            <w:r w:rsidRPr="00FA0D75" w:rsidR="000505D2">
              <w:rPr>
                <w:rStyle w:val="Voetnootmarkering"/>
                <w:rFonts w:asciiTheme="majorHAnsi" w:hAnsiTheme="majorHAnsi"/>
                <w:szCs w:val="18"/>
              </w:rPr>
              <w:footnoteReference w:id="25"/>
            </w:r>
          </w:p>
          <w:p w:rsidRPr="00FA0D75" w:rsidR="000505D2" w:rsidP="009A0D62" w:rsidRDefault="000505D2" w14:paraId="1FDEA8B4" w14:textId="39CF791A">
            <w:pPr>
              <w:pStyle w:val="Lijstalinea"/>
              <w:ind w:left="360"/>
              <w:rPr>
                <w:rFonts w:asciiTheme="majorHAnsi" w:hAnsiTheme="majorHAnsi"/>
                <w:szCs w:val="18"/>
              </w:rPr>
            </w:pPr>
          </w:p>
        </w:tc>
        <w:tc>
          <w:tcPr>
            <w:tcW w:w="6095" w:type="dxa"/>
          </w:tcPr>
          <w:p w:rsidRPr="00FA0D75" w:rsidR="000505D2" w:rsidP="009A0D62" w:rsidRDefault="000505D2" w14:paraId="1FE8BF0B" w14:textId="7BF2DF6D">
            <w:pPr>
              <w:pStyle w:val="Lijstalinea"/>
              <w:numPr>
                <w:ilvl w:val="0"/>
                <w:numId w:val="29"/>
              </w:numPr>
              <w:rPr>
                <w:rFonts w:asciiTheme="majorHAnsi" w:hAnsiTheme="majorHAnsi"/>
                <w:szCs w:val="18"/>
              </w:rPr>
            </w:pPr>
            <w:r w:rsidRPr="00FA0D75">
              <w:rPr>
                <w:rFonts w:asciiTheme="majorHAnsi" w:hAnsiTheme="majorHAnsi"/>
                <w:szCs w:val="18"/>
              </w:rPr>
              <w:t>In Nederland geldt voor kleine verzekeraars die niet onder de richtlijn Solvabiliteit II vallen een lichter toezichtregime (Solvency Basic).</w:t>
            </w:r>
            <w:r w:rsidRPr="00FA0D75" w:rsidR="00AF01D5">
              <w:rPr>
                <w:rStyle w:val="Voetnootmarkering"/>
                <w:rFonts w:asciiTheme="majorHAnsi" w:hAnsiTheme="majorHAnsi"/>
                <w:szCs w:val="18"/>
              </w:rPr>
              <w:footnoteReference w:id="26"/>
            </w:r>
          </w:p>
          <w:p w:rsidRPr="00FA0D75" w:rsidR="000505D2" w:rsidP="009A0D62" w:rsidRDefault="000505D2" w14:paraId="55647D71" w14:textId="088297AF">
            <w:pPr>
              <w:pStyle w:val="Lijstalinea"/>
              <w:numPr>
                <w:ilvl w:val="0"/>
                <w:numId w:val="29"/>
              </w:numPr>
              <w:rPr>
                <w:rFonts w:asciiTheme="majorHAnsi" w:hAnsiTheme="majorHAnsi"/>
                <w:szCs w:val="18"/>
              </w:rPr>
            </w:pPr>
            <w:r w:rsidRPr="00FA0D75">
              <w:rPr>
                <w:rFonts w:asciiTheme="majorHAnsi" w:hAnsiTheme="majorHAnsi"/>
                <w:szCs w:val="18"/>
              </w:rPr>
              <w:t xml:space="preserve">Hele kleine </w:t>
            </w:r>
            <w:r w:rsidRPr="00FA0D75" w:rsidR="00D120E5">
              <w:rPr>
                <w:rFonts w:asciiTheme="majorHAnsi" w:hAnsiTheme="majorHAnsi"/>
                <w:szCs w:val="18"/>
              </w:rPr>
              <w:t>natura-uitvaart</w:t>
            </w:r>
            <w:r w:rsidRPr="00FA0D75">
              <w:rPr>
                <w:rFonts w:asciiTheme="majorHAnsi" w:hAnsiTheme="majorHAnsi"/>
                <w:szCs w:val="18"/>
              </w:rPr>
              <w:t>verzekeraars</w:t>
            </w:r>
            <w:r w:rsidRPr="00FA0D75" w:rsidR="00D120E5">
              <w:rPr>
                <w:rFonts w:asciiTheme="majorHAnsi" w:hAnsiTheme="majorHAnsi"/>
                <w:szCs w:val="18"/>
              </w:rPr>
              <w:t xml:space="preserve"> en schadeverzekeraars</w:t>
            </w:r>
            <w:r w:rsidRPr="00FA0D75">
              <w:rPr>
                <w:rFonts w:asciiTheme="majorHAnsi" w:hAnsiTheme="majorHAnsi"/>
                <w:szCs w:val="18"/>
              </w:rPr>
              <w:t xml:space="preserve"> die onder bepaalde drempelwaarden vallen zijn geheel vrijgesteld van prudentieel toezicht/vergunningplicht.</w:t>
            </w:r>
            <w:r w:rsidRPr="00FA0D75" w:rsidR="00AF01D5">
              <w:rPr>
                <w:rStyle w:val="Voetnootmarkering"/>
                <w:rFonts w:asciiTheme="majorHAnsi" w:hAnsiTheme="majorHAnsi"/>
                <w:szCs w:val="18"/>
              </w:rPr>
              <w:footnoteReference w:id="27"/>
            </w:r>
            <w:r w:rsidRPr="00FA0D75">
              <w:rPr>
                <w:rFonts w:asciiTheme="majorHAnsi" w:hAnsiTheme="majorHAnsi"/>
                <w:szCs w:val="18"/>
              </w:rPr>
              <w:t xml:space="preserve"> </w:t>
            </w:r>
            <w:r w:rsidRPr="00FA0D75" w:rsidR="008D01B2">
              <w:rPr>
                <w:rFonts w:asciiTheme="majorHAnsi" w:hAnsiTheme="majorHAnsi"/>
                <w:szCs w:val="18"/>
              </w:rPr>
              <w:t>De kleine</w:t>
            </w:r>
            <w:r w:rsidRPr="00FA0D75" w:rsidR="00D120E5">
              <w:rPr>
                <w:rFonts w:asciiTheme="majorHAnsi" w:hAnsiTheme="majorHAnsi"/>
                <w:szCs w:val="18"/>
              </w:rPr>
              <w:t xml:space="preserve"> natura-uitvaartverzekeraars</w:t>
            </w:r>
            <w:r w:rsidRPr="00FA0D75" w:rsidR="008D01B2">
              <w:rPr>
                <w:rFonts w:asciiTheme="majorHAnsi" w:hAnsiTheme="majorHAnsi"/>
                <w:szCs w:val="18"/>
              </w:rPr>
              <w:t xml:space="preserve"> die buiten toezicht van DNB komen te vallen, zullen hun klanten expliciet moeten melden dat zij niet onder toezicht van DNB staan.</w:t>
            </w:r>
          </w:p>
          <w:p w:rsidRPr="00FA0D75" w:rsidR="000505D2" w:rsidP="009A0D62" w:rsidRDefault="000505D2" w14:paraId="3BFAD0AA" w14:textId="04BF5BCD">
            <w:pPr>
              <w:pStyle w:val="Lijstalinea"/>
              <w:ind w:left="360"/>
              <w:rPr>
                <w:rFonts w:asciiTheme="majorHAnsi" w:hAnsiTheme="majorHAnsi"/>
                <w:szCs w:val="18"/>
              </w:rPr>
            </w:pPr>
          </w:p>
        </w:tc>
      </w:tr>
      <w:tr w:rsidRPr="00FA0D75" w:rsidR="000505D2" w:rsidTr="008D7F36" w14:paraId="4F91569D" w14:textId="77777777">
        <w:tc>
          <w:tcPr>
            <w:tcW w:w="562" w:type="dxa"/>
          </w:tcPr>
          <w:p w:rsidRPr="00FA0D75" w:rsidR="000505D2" w:rsidP="009A0D62" w:rsidRDefault="000505D2" w14:paraId="78A7783B" w14:textId="70DDF82E">
            <w:pPr>
              <w:pStyle w:val="Lijstalinea"/>
              <w:numPr>
                <w:ilvl w:val="0"/>
                <w:numId w:val="43"/>
              </w:numPr>
              <w:rPr>
                <w:rFonts w:asciiTheme="majorHAnsi" w:hAnsiTheme="majorHAnsi"/>
                <w:szCs w:val="18"/>
              </w:rPr>
            </w:pPr>
          </w:p>
        </w:tc>
        <w:tc>
          <w:tcPr>
            <w:tcW w:w="2665" w:type="dxa"/>
          </w:tcPr>
          <w:p w:rsidRPr="00FA0D75" w:rsidR="000505D2" w:rsidP="009A0D62" w:rsidRDefault="000505D2" w14:paraId="4BBC588F" w14:textId="008272B1">
            <w:pPr>
              <w:rPr>
                <w:rFonts w:asciiTheme="majorHAnsi" w:hAnsiTheme="majorHAnsi"/>
                <w:szCs w:val="18"/>
              </w:rPr>
            </w:pPr>
            <w:r w:rsidRPr="00FA0D75">
              <w:rPr>
                <w:rFonts w:asciiTheme="majorHAnsi" w:hAnsiTheme="majorHAnsi"/>
                <w:szCs w:val="18"/>
              </w:rPr>
              <w:t xml:space="preserve">Instemmingsplicht activa-intensieve </w:t>
            </w:r>
            <w:proofErr w:type="spellStart"/>
            <w:r w:rsidRPr="00FA0D75">
              <w:rPr>
                <w:rFonts w:asciiTheme="majorHAnsi" w:hAnsiTheme="majorHAnsi"/>
                <w:szCs w:val="18"/>
              </w:rPr>
              <w:t>herverzekerings-contracten</w:t>
            </w:r>
            <w:proofErr w:type="spellEnd"/>
            <w:r w:rsidRPr="00FA0D75">
              <w:rPr>
                <w:rFonts w:asciiTheme="majorHAnsi" w:hAnsiTheme="majorHAnsi"/>
                <w:szCs w:val="18"/>
              </w:rPr>
              <w:t xml:space="preserve"> bij mogelijkheid tot </w:t>
            </w:r>
            <w:r w:rsidRPr="00FA0D75">
              <w:rPr>
                <w:rFonts w:asciiTheme="majorHAnsi" w:hAnsiTheme="majorHAnsi"/>
                <w:szCs w:val="18"/>
              </w:rPr>
              <w:lastRenderedPageBreak/>
              <w:t xml:space="preserve">verplaatsen activa naar derde landen </w:t>
            </w:r>
          </w:p>
        </w:tc>
        <w:tc>
          <w:tcPr>
            <w:tcW w:w="4678" w:type="dxa"/>
          </w:tcPr>
          <w:p w:rsidRPr="00FA0D75" w:rsidR="000505D2" w:rsidP="009A0D62" w:rsidRDefault="000505D2" w14:paraId="139E39CC" w14:textId="1501CFD8">
            <w:pPr>
              <w:pStyle w:val="Lijstalinea"/>
              <w:numPr>
                <w:ilvl w:val="0"/>
                <w:numId w:val="32"/>
              </w:numPr>
              <w:rPr>
                <w:rFonts w:asciiTheme="majorHAnsi" w:hAnsiTheme="majorHAnsi"/>
                <w:szCs w:val="18"/>
              </w:rPr>
            </w:pPr>
            <w:r w:rsidRPr="00FA0D75">
              <w:rPr>
                <w:rFonts w:asciiTheme="majorHAnsi" w:hAnsiTheme="majorHAnsi"/>
                <w:szCs w:val="18"/>
              </w:rPr>
              <w:lastRenderedPageBreak/>
              <w:t xml:space="preserve">Richtlijn Solvabiliteit II bevat de prudent-person regel die ertoe strekt dat alleen wordt belegd in activa en instrumenten waarvan de verzekeraar de risico’s goed kan </w:t>
            </w:r>
            <w:r w:rsidRPr="00FA0D75">
              <w:rPr>
                <w:rFonts w:asciiTheme="majorHAnsi" w:hAnsiTheme="majorHAnsi"/>
                <w:szCs w:val="18"/>
              </w:rPr>
              <w:lastRenderedPageBreak/>
              <w:t>onderkennen, meten, bewaken, beheren</w:t>
            </w:r>
            <w:r w:rsidRPr="00FA0D75" w:rsidR="00D120E5">
              <w:rPr>
                <w:rFonts w:asciiTheme="majorHAnsi" w:hAnsiTheme="majorHAnsi"/>
                <w:szCs w:val="18"/>
              </w:rPr>
              <w:t>,</w:t>
            </w:r>
            <w:r w:rsidRPr="00FA0D75">
              <w:rPr>
                <w:rFonts w:asciiTheme="majorHAnsi" w:hAnsiTheme="majorHAnsi"/>
                <w:szCs w:val="18"/>
              </w:rPr>
              <w:t xml:space="preserve"> beheersen</w:t>
            </w:r>
            <w:r w:rsidRPr="00FA0D75" w:rsidR="00D120E5">
              <w:rPr>
                <w:rFonts w:asciiTheme="majorHAnsi" w:hAnsiTheme="majorHAnsi"/>
                <w:szCs w:val="18"/>
              </w:rPr>
              <w:t xml:space="preserve"> en rapporteren</w:t>
            </w:r>
            <w:r w:rsidRPr="00FA0D75">
              <w:rPr>
                <w:rFonts w:asciiTheme="majorHAnsi" w:hAnsiTheme="majorHAnsi"/>
                <w:szCs w:val="18"/>
              </w:rPr>
              <w:t>.</w:t>
            </w:r>
          </w:p>
        </w:tc>
        <w:tc>
          <w:tcPr>
            <w:tcW w:w="6095" w:type="dxa"/>
          </w:tcPr>
          <w:p w:rsidRPr="00FA0D75" w:rsidR="000505D2" w:rsidP="007E1ED0" w:rsidRDefault="000505D2" w14:paraId="25E1AD39" w14:textId="69C202F8">
            <w:pPr>
              <w:pStyle w:val="Lijstalinea"/>
              <w:numPr>
                <w:ilvl w:val="0"/>
                <w:numId w:val="29"/>
              </w:numPr>
              <w:rPr>
                <w:rFonts w:asciiTheme="majorHAnsi" w:hAnsiTheme="majorHAnsi"/>
                <w:szCs w:val="18"/>
              </w:rPr>
            </w:pPr>
            <w:r w:rsidRPr="00FA0D75">
              <w:rPr>
                <w:rFonts w:asciiTheme="majorHAnsi" w:hAnsiTheme="majorHAnsi"/>
                <w:szCs w:val="18"/>
              </w:rPr>
              <w:lastRenderedPageBreak/>
              <w:t xml:space="preserve">Een verzekeraar met zetel in Nederland die voornemens is een herverzekering te sluiten met een andere verzekeraar of die te wijzigen, en de betreffende herverzekering voorziet erin dat die andere verzekeraar op enig moment activa kan aanhouden in een staat die geen lidstaat is, kan daartoe </w:t>
            </w:r>
            <w:r w:rsidRPr="00FA0D75">
              <w:rPr>
                <w:rFonts w:asciiTheme="majorHAnsi" w:hAnsiTheme="majorHAnsi"/>
                <w:szCs w:val="18"/>
              </w:rPr>
              <w:lastRenderedPageBreak/>
              <w:t>slechts overgaan nadat DNB met dat voornemen heeft ingestemd.</w:t>
            </w:r>
            <w:r w:rsidRPr="00FA0D75">
              <w:rPr>
                <w:rStyle w:val="Voetnootmarkering"/>
                <w:rFonts w:asciiTheme="majorHAnsi" w:hAnsiTheme="majorHAnsi"/>
                <w:szCs w:val="18"/>
              </w:rPr>
              <w:footnoteReference w:id="28"/>
            </w:r>
            <w:r w:rsidRPr="00FA0D75">
              <w:rPr>
                <w:rFonts w:asciiTheme="majorHAnsi" w:hAnsiTheme="majorHAnsi"/>
                <w:szCs w:val="18"/>
              </w:rPr>
              <w:t xml:space="preserve"> Hiermee wordt nadere invulling gegeven aan het prudent person beginsel uit de richtlijn Solvabiliteit II. </w:t>
            </w:r>
          </w:p>
        </w:tc>
      </w:tr>
      <w:tr w:rsidRPr="00FA0D75" w:rsidR="000505D2" w:rsidTr="008D7F36" w14:paraId="51A0D469" w14:textId="77777777">
        <w:trPr>
          <w:trHeight w:val="1417"/>
        </w:trPr>
        <w:tc>
          <w:tcPr>
            <w:tcW w:w="562" w:type="dxa"/>
          </w:tcPr>
          <w:p w:rsidRPr="00FA0D75" w:rsidR="000505D2" w:rsidP="009A0D62" w:rsidRDefault="000505D2" w14:paraId="15B4B521" w14:textId="45725947">
            <w:pPr>
              <w:pStyle w:val="Lijstalinea"/>
              <w:numPr>
                <w:ilvl w:val="0"/>
                <w:numId w:val="43"/>
              </w:numPr>
              <w:rPr>
                <w:rFonts w:eastAsia="Times New Roman" w:asciiTheme="majorHAnsi" w:hAnsiTheme="majorHAnsi"/>
                <w:szCs w:val="18"/>
              </w:rPr>
            </w:pPr>
          </w:p>
        </w:tc>
        <w:tc>
          <w:tcPr>
            <w:tcW w:w="2665" w:type="dxa"/>
          </w:tcPr>
          <w:p w:rsidRPr="00FA0D75" w:rsidR="000505D2" w:rsidP="009A0D62" w:rsidRDefault="000505D2" w14:paraId="509582A3" w14:textId="6DA2B10B">
            <w:pPr>
              <w:rPr>
                <w:rFonts w:eastAsia="Times New Roman" w:asciiTheme="majorHAnsi" w:hAnsiTheme="majorHAnsi"/>
                <w:szCs w:val="18"/>
              </w:rPr>
            </w:pPr>
            <w:r w:rsidRPr="00FA0D75">
              <w:rPr>
                <w:rFonts w:eastAsia="Times New Roman" w:asciiTheme="majorHAnsi" w:hAnsiTheme="majorHAnsi"/>
                <w:szCs w:val="18"/>
              </w:rPr>
              <w:t xml:space="preserve">Vvgb-plicht voor a) (dividend)uitkeringen door verzekeringsrichtlijngroepen en b) een beursgang van een verzekeraar. </w:t>
            </w:r>
          </w:p>
        </w:tc>
        <w:tc>
          <w:tcPr>
            <w:tcW w:w="4678" w:type="dxa"/>
          </w:tcPr>
          <w:p w:rsidRPr="00FA0D75" w:rsidR="000505D2" w:rsidP="009A0D62" w:rsidRDefault="000505D2" w14:paraId="12C18447" w14:textId="2B9BCF58">
            <w:pPr>
              <w:pStyle w:val="Lijstalinea"/>
              <w:numPr>
                <w:ilvl w:val="0"/>
                <w:numId w:val="32"/>
              </w:numPr>
              <w:spacing w:after="160" w:line="252" w:lineRule="auto"/>
              <w:rPr>
                <w:rFonts w:eastAsia="Times New Roman" w:asciiTheme="majorHAnsi" w:hAnsiTheme="majorHAnsi"/>
                <w:color w:val="000000"/>
                <w:szCs w:val="18"/>
              </w:rPr>
            </w:pPr>
            <w:r w:rsidRPr="00FA0D75">
              <w:rPr>
                <w:rFonts w:asciiTheme="majorHAnsi" w:hAnsiTheme="majorHAnsi"/>
                <w:szCs w:val="18"/>
              </w:rPr>
              <w:t>Op grond van de richtlijn Solvabiliteit II zijn de bepalingen over het in aanmerking komend eigen vermogen en de berekening van het solvabiliteitskapitaalvereiste ook van toepassing op een groep.</w:t>
            </w:r>
          </w:p>
          <w:p w:rsidRPr="00FA0D75" w:rsidR="000505D2" w:rsidP="009A0D62" w:rsidRDefault="000505D2" w14:paraId="73C2B279" w14:textId="77777777">
            <w:pPr>
              <w:pStyle w:val="Lijstalinea"/>
              <w:numPr>
                <w:ilvl w:val="0"/>
                <w:numId w:val="32"/>
              </w:numPr>
              <w:spacing w:after="160" w:line="252" w:lineRule="auto"/>
              <w:rPr>
                <w:rFonts w:eastAsia="Times New Roman" w:asciiTheme="majorHAnsi" w:hAnsiTheme="majorHAnsi"/>
                <w:color w:val="000000"/>
                <w:szCs w:val="18"/>
              </w:rPr>
            </w:pPr>
            <w:r w:rsidRPr="00FA0D75">
              <w:rPr>
                <w:rFonts w:asciiTheme="majorHAnsi" w:hAnsiTheme="majorHAnsi"/>
                <w:szCs w:val="18"/>
              </w:rPr>
              <w:t>Solvabiliteit II schrijft echter geen vvgb-plicht voor (dividend)uitkeringen door een groep voor indien dit kan leiden tot non-compliance met de groeps-SCR. Dit is wel het geval voor een individuele verzekeraar.</w:t>
            </w:r>
          </w:p>
          <w:p w:rsidRPr="00FA0D75" w:rsidR="000505D2" w:rsidP="009A0D62" w:rsidRDefault="000505D2" w14:paraId="24FC6233" w14:textId="5B6C492C">
            <w:pPr>
              <w:pStyle w:val="Lijstalinea"/>
              <w:numPr>
                <w:ilvl w:val="0"/>
                <w:numId w:val="32"/>
              </w:numPr>
              <w:spacing w:after="160" w:line="252" w:lineRule="auto"/>
              <w:rPr>
                <w:rFonts w:eastAsia="Times New Roman" w:asciiTheme="majorHAnsi" w:hAnsiTheme="majorHAnsi"/>
                <w:color w:val="000000"/>
                <w:szCs w:val="18"/>
              </w:rPr>
            </w:pPr>
            <w:r w:rsidRPr="00FA0D75">
              <w:rPr>
                <w:rFonts w:asciiTheme="majorHAnsi" w:hAnsiTheme="majorHAnsi"/>
                <w:szCs w:val="18"/>
              </w:rPr>
              <w:t>Daarnaast bevat de richtlijn Solvabiliteit II geen vvgb-vereiste voor een beursgang van een verzekeraar</w:t>
            </w:r>
          </w:p>
        </w:tc>
        <w:tc>
          <w:tcPr>
            <w:tcW w:w="6095" w:type="dxa"/>
          </w:tcPr>
          <w:p w:rsidRPr="00FA0D75" w:rsidR="000505D2" w:rsidP="009A0D62" w:rsidRDefault="000505D2" w14:paraId="4BCDB8A2" w14:textId="643FF8D8">
            <w:pPr>
              <w:pStyle w:val="Lijstalinea"/>
              <w:numPr>
                <w:ilvl w:val="0"/>
                <w:numId w:val="32"/>
              </w:numPr>
              <w:spacing w:after="160" w:line="252" w:lineRule="auto"/>
              <w:rPr>
                <w:rFonts w:asciiTheme="majorHAnsi" w:hAnsiTheme="majorHAnsi"/>
                <w:szCs w:val="18"/>
              </w:rPr>
            </w:pPr>
            <w:r w:rsidRPr="00FA0D75">
              <w:rPr>
                <w:rFonts w:asciiTheme="majorHAnsi" w:hAnsiTheme="majorHAnsi"/>
                <w:szCs w:val="18"/>
              </w:rPr>
              <w:t>In Nederland geldt een vvgb-plicht indien een verzekeringsgroep ten tijde van de (dividend-)uitkeringen niet voldoet aan het solvabiliteitskapitaalvereiste of zou kunnen worden voorzien dat zij in de twaalf volgende maanden niet meer aan dat vereiste kan voldoen.</w:t>
            </w:r>
          </w:p>
          <w:p w:rsidRPr="00FA0D75" w:rsidR="000505D2" w:rsidP="009A0D62" w:rsidRDefault="000505D2" w14:paraId="0150002B" w14:textId="71375B31">
            <w:pPr>
              <w:pStyle w:val="Lijstalinea"/>
              <w:numPr>
                <w:ilvl w:val="0"/>
                <w:numId w:val="32"/>
              </w:numPr>
              <w:spacing w:after="160" w:line="252" w:lineRule="auto"/>
              <w:rPr>
                <w:rFonts w:asciiTheme="majorHAnsi" w:hAnsiTheme="majorHAnsi"/>
                <w:szCs w:val="18"/>
              </w:rPr>
            </w:pPr>
            <w:r w:rsidRPr="00FA0D75">
              <w:rPr>
                <w:rFonts w:asciiTheme="majorHAnsi" w:hAnsiTheme="majorHAnsi"/>
                <w:szCs w:val="18"/>
              </w:rPr>
              <w:t>Daarnaast geldt een vvgb-plicht voor een voorgenomen beursgang van een verzekeraar.</w:t>
            </w:r>
            <w:r w:rsidRPr="00FA0D75">
              <w:rPr>
                <w:rStyle w:val="Voetnootmarkering"/>
                <w:rFonts w:asciiTheme="majorHAnsi" w:hAnsiTheme="majorHAnsi"/>
                <w:szCs w:val="18"/>
              </w:rPr>
              <w:t xml:space="preserve"> </w:t>
            </w:r>
            <w:r w:rsidRPr="00FA0D75">
              <w:rPr>
                <w:rStyle w:val="Voetnootmarkering"/>
                <w:rFonts w:asciiTheme="majorHAnsi" w:hAnsiTheme="majorHAnsi"/>
                <w:szCs w:val="18"/>
              </w:rPr>
              <w:footnoteReference w:id="29"/>
            </w:r>
            <w:r w:rsidRPr="00FA0D75">
              <w:rPr>
                <w:rFonts w:asciiTheme="majorHAnsi" w:hAnsiTheme="majorHAnsi"/>
                <w:szCs w:val="18"/>
              </w:rPr>
              <w:br/>
            </w:r>
          </w:p>
          <w:p w:rsidRPr="00FA0D75" w:rsidR="000505D2" w:rsidP="009A0D62" w:rsidRDefault="000505D2" w14:paraId="75232997" w14:textId="77777777">
            <w:pPr>
              <w:spacing w:after="160" w:line="252" w:lineRule="auto"/>
              <w:rPr>
                <w:rFonts w:asciiTheme="majorHAnsi" w:hAnsiTheme="majorHAnsi"/>
                <w:szCs w:val="18"/>
              </w:rPr>
            </w:pPr>
          </w:p>
          <w:p w:rsidRPr="00FA0D75" w:rsidR="000505D2" w:rsidP="009A0D62" w:rsidRDefault="000505D2" w14:paraId="60FF79FE" w14:textId="77777777">
            <w:pPr>
              <w:spacing w:after="160" w:line="252" w:lineRule="auto"/>
              <w:rPr>
                <w:rFonts w:asciiTheme="majorHAnsi" w:hAnsiTheme="majorHAnsi"/>
                <w:szCs w:val="18"/>
              </w:rPr>
            </w:pPr>
          </w:p>
        </w:tc>
      </w:tr>
      <w:tr w:rsidRPr="00FA0D75" w:rsidR="000505D2" w:rsidTr="008D7F36" w14:paraId="70D19B5B" w14:textId="77777777">
        <w:tc>
          <w:tcPr>
            <w:tcW w:w="562" w:type="dxa"/>
          </w:tcPr>
          <w:p w:rsidRPr="00FA0D75" w:rsidR="000505D2" w:rsidP="009A0D62" w:rsidRDefault="000505D2" w14:paraId="23DA972A" w14:textId="0A07BFE3">
            <w:pPr>
              <w:pStyle w:val="Lijstalinea"/>
              <w:numPr>
                <w:ilvl w:val="0"/>
                <w:numId w:val="43"/>
              </w:numPr>
              <w:rPr>
                <w:rFonts w:asciiTheme="majorHAnsi" w:hAnsiTheme="majorHAnsi"/>
                <w:szCs w:val="18"/>
              </w:rPr>
            </w:pPr>
          </w:p>
        </w:tc>
        <w:tc>
          <w:tcPr>
            <w:tcW w:w="2665" w:type="dxa"/>
          </w:tcPr>
          <w:p w:rsidRPr="00FA0D75" w:rsidR="000505D2" w:rsidP="009A0D62" w:rsidRDefault="000505D2" w14:paraId="13E5EB1F" w14:textId="77777777">
            <w:pPr>
              <w:rPr>
                <w:rFonts w:asciiTheme="majorHAnsi" w:hAnsiTheme="majorHAnsi"/>
                <w:szCs w:val="18"/>
              </w:rPr>
            </w:pPr>
            <w:r w:rsidRPr="00FA0D75">
              <w:rPr>
                <w:rFonts w:asciiTheme="majorHAnsi" w:hAnsiTheme="majorHAnsi"/>
                <w:szCs w:val="18"/>
              </w:rPr>
              <w:t>Bijkantoorvereiste voor beleggings-ondernemingen uit derde landen</w:t>
            </w:r>
          </w:p>
          <w:p w:rsidRPr="00FA0D75" w:rsidR="000505D2" w:rsidP="009A0D62" w:rsidRDefault="000505D2" w14:paraId="7679B4F6" w14:textId="77777777">
            <w:pPr>
              <w:rPr>
                <w:rFonts w:asciiTheme="majorHAnsi" w:hAnsiTheme="majorHAnsi"/>
                <w:szCs w:val="18"/>
              </w:rPr>
            </w:pPr>
          </w:p>
        </w:tc>
        <w:tc>
          <w:tcPr>
            <w:tcW w:w="4678" w:type="dxa"/>
          </w:tcPr>
          <w:p w:rsidRPr="00FA0D75" w:rsidR="000505D2" w:rsidP="009A0D62" w:rsidRDefault="000505D2" w14:paraId="3620441E" w14:textId="4C117A4A">
            <w:pPr>
              <w:pStyle w:val="Lijstalinea"/>
              <w:numPr>
                <w:ilvl w:val="0"/>
                <w:numId w:val="19"/>
              </w:numPr>
              <w:rPr>
                <w:rFonts w:asciiTheme="majorHAnsi" w:hAnsiTheme="majorHAnsi"/>
                <w:szCs w:val="18"/>
              </w:rPr>
            </w:pPr>
            <w:r w:rsidRPr="00FA0D75">
              <w:rPr>
                <w:rFonts w:asciiTheme="majorHAnsi" w:hAnsiTheme="majorHAnsi"/>
                <w:szCs w:val="18"/>
              </w:rPr>
              <w:t>In MiFID II is de lidstaatoptie opgenomen om aan beleggingsondernemingen uit derde landen, die in Nederland beleggingsdiensten willen verlenen aan niet-professionele beleggers, de eis op te leggen een bijkantoor in Nederland te hebben.</w:t>
            </w:r>
          </w:p>
        </w:tc>
        <w:tc>
          <w:tcPr>
            <w:tcW w:w="6095" w:type="dxa"/>
          </w:tcPr>
          <w:p w:rsidRPr="00FA0D75" w:rsidR="000505D2" w:rsidP="009A0D62" w:rsidRDefault="000505D2" w14:paraId="0EE20B64" w14:textId="04E32551">
            <w:pPr>
              <w:pStyle w:val="Lijstalinea"/>
              <w:numPr>
                <w:ilvl w:val="0"/>
                <w:numId w:val="37"/>
              </w:numPr>
              <w:rPr>
                <w:rFonts w:cs="Calibri Light" w:asciiTheme="majorHAnsi" w:hAnsiTheme="majorHAnsi"/>
                <w:szCs w:val="18"/>
              </w:rPr>
            </w:pPr>
            <w:r w:rsidRPr="00FA0D75">
              <w:rPr>
                <w:rFonts w:cs="Calibri Light" w:asciiTheme="majorHAnsi" w:hAnsiTheme="majorHAnsi"/>
                <w:szCs w:val="18"/>
              </w:rPr>
              <w:t xml:space="preserve">Sinds 2018 wordt gebruik gemaakt van de mogelijkheid om een bijkantoor verplicht te stellen voor beleggingsondernemingen uit derde landen indien zij in Nederland beleggingsdiensten verlenen aan niet-professionele beleggers of aan </w:t>
            </w:r>
            <w:proofErr w:type="spellStart"/>
            <w:r w:rsidRPr="00FA0D75">
              <w:rPr>
                <w:rFonts w:cs="Calibri Light" w:asciiTheme="majorHAnsi" w:hAnsiTheme="majorHAnsi"/>
                <w:szCs w:val="18"/>
              </w:rPr>
              <w:t>opt</w:t>
            </w:r>
            <w:proofErr w:type="spellEnd"/>
            <w:r w:rsidRPr="00FA0D75">
              <w:rPr>
                <w:rFonts w:cs="Calibri Light" w:asciiTheme="majorHAnsi" w:hAnsiTheme="majorHAnsi"/>
                <w:szCs w:val="18"/>
              </w:rPr>
              <w:t>-up professionele beleggers (niet-professionele beleggers die zichzelf als professioneel willen kwalificeren).</w:t>
            </w:r>
            <w:r w:rsidRPr="00FA0D75" w:rsidR="008D7F36">
              <w:rPr>
                <w:rStyle w:val="Voetnootmarkering"/>
                <w:rFonts w:cs="Calibri Light" w:asciiTheme="majorHAnsi" w:hAnsiTheme="majorHAnsi"/>
                <w:szCs w:val="18"/>
              </w:rPr>
              <w:footnoteReference w:id="30"/>
            </w:r>
          </w:p>
          <w:p w:rsidRPr="00FA0D75" w:rsidR="000505D2" w:rsidP="009A0D62" w:rsidRDefault="000505D2" w14:paraId="10DBC2AA" w14:textId="7E8D8A21">
            <w:pPr>
              <w:pStyle w:val="Lijstalinea"/>
              <w:numPr>
                <w:ilvl w:val="0"/>
                <w:numId w:val="26"/>
              </w:numPr>
              <w:rPr>
                <w:rFonts w:asciiTheme="majorHAnsi" w:hAnsiTheme="majorHAnsi"/>
                <w:szCs w:val="18"/>
              </w:rPr>
            </w:pPr>
            <w:r w:rsidRPr="00FA0D75">
              <w:rPr>
                <w:rFonts w:eastAsia="Times New Roman" w:cs="Calibri Light" w:asciiTheme="majorHAnsi" w:hAnsiTheme="majorHAnsi"/>
                <w:szCs w:val="18"/>
              </w:rPr>
              <w:t>Het bijkantoorvereiste geldt niet voor beleggingsondernemingen uit derde landen die beleggingsdiensten verlenen aan uitsluitend per se professionele beleggers of in aanmerking komende tegenpartijen. Zij moeten wel beschikken over een vertegenwoordiger (contactpersoon) in Nederland. Het vertegenwoordigingsvereiste geldt niet voor vrijgestelde beleggingsondernemingen uit Australië, de VS en Zwitserland.</w:t>
            </w:r>
            <w:r w:rsidRPr="00FA0D75" w:rsidR="008D7F36">
              <w:rPr>
                <w:rStyle w:val="Voetnootmarkering"/>
                <w:rFonts w:eastAsia="Times New Roman" w:cs="Calibri Light" w:asciiTheme="majorHAnsi" w:hAnsiTheme="majorHAnsi"/>
                <w:szCs w:val="18"/>
              </w:rPr>
              <w:footnoteReference w:id="31"/>
            </w:r>
          </w:p>
        </w:tc>
      </w:tr>
      <w:tr w:rsidRPr="00FA0D75" w:rsidR="00EC5107" w:rsidTr="008D7F36" w14:paraId="590873CE" w14:textId="77777777">
        <w:tc>
          <w:tcPr>
            <w:tcW w:w="562" w:type="dxa"/>
          </w:tcPr>
          <w:p w:rsidRPr="00FA0D75" w:rsidR="00EC5107" w:rsidP="00EC5107" w:rsidRDefault="00EC5107" w14:paraId="21DCD8CC" w14:textId="77777777">
            <w:pPr>
              <w:pStyle w:val="Lijstalinea"/>
              <w:numPr>
                <w:ilvl w:val="0"/>
                <w:numId w:val="43"/>
              </w:numPr>
              <w:rPr>
                <w:rFonts w:asciiTheme="majorHAnsi" w:hAnsiTheme="majorHAnsi"/>
                <w:szCs w:val="18"/>
              </w:rPr>
            </w:pPr>
          </w:p>
        </w:tc>
        <w:tc>
          <w:tcPr>
            <w:tcW w:w="2665" w:type="dxa"/>
          </w:tcPr>
          <w:p w:rsidRPr="00FA0D75" w:rsidR="00EC5107" w:rsidP="00EC5107" w:rsidRDefault="00EC5107" w14:paraId="3075C514" w14:textId="3F0A1D3B">
            <w:pPr>
              <w:rPr>
                <w:rFonts w:asciiTheme="majorHAnsi" w:hAnsiTheme="majorHAnsi"/>
                <w:szCs w:val="18"/>
              </w:rPr>
            </w:pPr>
            <w:r w:rsidRPr="00FA0D75">
              <w:rPr>
                <w:rFonts w:asciiTheme="majorHAnsi" w:hAnsiTheme="majorHAnsi"/>
                <w:szCs w:val="18"/>
              </w:rPr>
              <w:t>Vrijstellingen van MiFID II-regels voor bepaald beleggingsadvies</w:t>
            </w:r>
            <w:r w:rsidRPr="00FA0D75" w:rsidR="00A04FAF">
              <w:rPr>
                <w:rFonts w:asciiTheme="majorHAnsi" w:hAnsiTheme="majorHAnsi"/>
                <w:szCs w:val="18"/>
              </w:rPr>
              <w:t xml:space="preserve"> </w:t>
            </w:r>
          </w:p>
        </w:tc>
        <w:tc>
          <w:tcPr>
            <w:tcW w:w="4678" w:type="dxa"/>
          </w:tcPr>
          <w:p w:rsidRPr="00FA0D75" w:rsidR="00EC5107" w:rsidP="00EC5107" w:rsidRDefault="00EC5107" w14:paraId="3116683C" w14:textId="3C7584DB">
            <w:pPr>
              <w:pStyle w:val="Lijstalinea"/>
              <w:numPr>
                <w:ilvl w:val="0"/>
                <w:numId w:val="19"/>
              </w:numPr>
              <w:rPr>
                <w:rFonts w:asciiTheme="majorHAnsi" w:hAnsiTheme="majorHAnsi"/>
                <w:szCs w:val="18"/>
              </w:rPr>
            </w:pPr>
            <w:r w:rsidRPr="00FA0D75">
              <w:rPr>
                <w:rFonts w:asciiTheme="majorHAnsi" w:hAnsiTheme="majorHAnsi"/>
                <w:szCs w:val="18"/>
              </w:rPr>
              <w:t xml:space="preserve">MiFID II bevat een lidstaatoptie om adviseurs in bepaalde gevallen vrij te stellen van de regels voor beleggingsadvies uit MiFID II. </w:t>
            </w:r>
            <w:r w:rsidRPr="00FA0D75" w:rsidR="00891529">
              <w:rPr>
                <w:rFonts w:asciiTheme="majorHAnsi" w:hAnsiTheme="majorHAnsi"/>
                <w:szCs w:val="18"/>
              </w:rPr>
              <w:t xml:space="preserve">Ze moeten zich dan wel melden bij de AFM en aan voorwaarden voldoen. </w:t>
            </w:r>
          </w:p>
        </w:tc>
        <w:tc>
          <w:tcPr>
            <w:tcW w:w="6095" w:type="dxa"/>
          </w:tcPr>
          <w:p w:rsidRPr="00FA0D75" w:rsidR="00EC5107" w:rsidP="00EC5107" w:rsidRDefault="00EC5107" w14:paraId="43A982B7" w14:textId="6B13AE78">
            <w:pPr>
              <w:pStyle w:val="Lijstalinea"/>
              <w:numPr>
                <w:ilvl w:val="0"/>
                <w:numId w:val="37"/>
              </w:numPr>
              <w:rPr>
                <w:rFonts w:cs="Calibri Light" w:asciiTheme="majorHAnsi" w:hAnsiTheme="majorHAnsi"/>
                <w:szCs w:val="18"/>
              </w:rPr>
            </w:pPr>
            <w:r w:rsidRPr="00FA0D75">
              <w:rPr>
                <w:rFonts w:asciiTheme="majorHAnsi" w:hAnsiTheme="majorHAnsi"/>
                <w:szCs w:val="18"/>
              </w:rPr>
              <w:t>Nederland heeft een lichter vergunningsregime/vrijstelling voor bepaalde adviseurs. Zij hoeven niet te voldoen uit alle regels uit MiFID II bij het geven van advies over sommige typen beleggingen in combinatie met bijvoorbeeld hypotheken.</w:t>
            </w:r>
            <w:r w:rsidRPr="00FA0D75">
              <w:rPr>
                <w:rStyle w:val="Voetnootmarkering"/>
                <w:rFonts w:asciiTheme="majorHAnsi" w:hAnsiTheme="majorHAnsi"/>
                <w:szCs w:val="18"/>
              </w:rPr>
              <w:footnoteReference w:id="32"/>
            </w:r>
            <w:r w:rsidRPr="00FA0D75">
              <w:rPr>
                <w:rFonts w:asciiTheme="majorHAnsi" w:hAnsiTheme="majorHAnsi"/>
                <w:szCs w:val="18"/>
              </w:rPr>
              <w:t xml:space="preserve"> </w:t>
            </w:r>
          </w:p>
        </w:tc>
      </w:tr>
      <w:tr w:rsidRPr="00FA0D75" w:rsidR="000505D2" w:rsidTr="008D7F36" w14:paraId="02A0AD97" w14:textId="77777777">
        <w:tc>
          <w:tcPr>
            <w:tcW w:w="562" w:type="dxa"/>
          </w:tcPr>
          <w:p w:rsidRPr="00FA0D75" w:rsidR="000505D2" w:rsidP="009A0D62" w:rsidRDefault="000505D2" w14:paraId="2CC5C05E"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3971977D" w14:textId="28F579C2">
            <w:pPr>
              <w:rPr>
                <w:rFonts w:asciiTheme="majorHAnsi" w:hAnsiTheme="majorHAnsi"/>
                <w:szCs w:val="18"/>
              </w:rPr>
            </w:pPr>
            <w:r w:rsidRPr="00FA0D75">
              <w:rPr>
                <w:rFonts w:asciiTheme="majorHAnsi" w:hAnsiTheme="majorHAnsi"/>
                <w:szCs w:val="18"/>
              </w:rPr>
              <w:t>Toepassing prudentiële vereisten voor beleggingsondernemingen op beheerders van een beleggingsinstelling en beheerders van een instelling voor collectieve belegging in effecten als zij beleggingsdiensten verlenen</w:t>
            </w:r>
          </w:p>
        </w:tc>
        <w:tc>
          <w:tcPr>
            <w:tcW w:w="4678" w:type="dxa"/>
          </w:tcPr>
          <w:p w:rsidRPr="00FA0D75" w:rsidR="000505D2" w:rsidP="009A0D62" w:rsidRDefault="000505D2" w14:paraId="1A7BB997" w14:textId="5A280C38">
            <w:pPr>
              <w:pStyle w:val="Lijstalinea"/>
              <w:numPr>
                <w:ilvl w:val="0"/>
                <w:numId w:val="32"/>
              </w:numPr>
              <w:rPr>
                <w:rFonts w:asciiTheme="majorHAnsi" w:hAnsiTheme="majorHAnsi"/>
                <w:szCs w:val="18"/>
              </w:rPr>
            </w:pPr>
            <w:r w:rsidRPr="00FA0D75">
              <w:rPr>
                <w:rFonts w:asciiTheme="majorHAnsi" w:hAnsiTheme="majorHAnsi"/>
                <w:szCs w:val="18"/>
              </w:rPr>
              <w:t>De prudentiële vereisten voor beleggingsondernemingen volgen uit de verordening en richtlijn inzake prudentiële vereisten voor beleggingsondernemingen (IFR en IFD)</w:t>
            </w:r>
            <w:r w:rsidRPr="00FA0D75">
              <w:rPr>
                <w:rStyle w:val="Voetnootmarkering"/>
                <w:rFonts w:asciiTheme="majorHAnsi" w:hAnsiTheme="majorHAnsi"/>
                <w:szCs w:val="18"/>
              </w:rPr>
              <w:footnoteReference w:id="33"/>
            </w:r>
            <w:r w:rsidRPr="00FA0D75">
              <w:rPr>
                <w:rFonts w:asciiTheme="majorHAnsi" w:hAnsiTheme="majorHAnsi"/>
                <w:szCs w:val="18"/>
              </w:rPr>
              <w:t>.</w:t>
            </w:r>
          </w:p>
          <w:p w:rsidRPr="00FA0D75" w:rsidR="000505D2" w:rsidP="009A0D62" w:rsidRDefault="000505D2" w14:paraId="55CD58DF" w14:textId="7D35EA90">
            <w:pPr>
              <w:pStyle w:val="Lijstalinea"/>
              <w:numPr>
                <w:ilvl w:val="0"/>
                <w:numId w:val="19"/>
              </w:numPr>
              <w:rPr>
                <w:rFonts w:asciiTheme="majorHAnsi" w:hAnsiTheme="majorHAnsi"/>
                <w:szCs w:val="18"/>
              </w:rPr>
            </w:pPr>
            <w:r w:rsidRPr="00FA0D75">
              <w:rPr>
                <w:rFonts w:asciiTheme="majorHAnsi" w:hAnsiTheme="majorHAnsi"/>
                <w:szCs w:val="18"/>
              </w:rPr>
              <w:t xml:space="preserve">De IFR en IFD zijn alleen van toepassing op beleggingsondernemingen, niet op beheerders van beleggingsinstellingen of beheerders van </w:t>
            </w:r>
            <w:proofErr w:type="spellStart"/>
            <w:r w:rsidRPr="00FA0D75">
              <w:rPr>
                <w:rFonts w:asciiTheme="majorHAnsi" w:hAnsiTheme="majorHAnsi"/>
                <w:szCs w:val="18"/>
              </w:rPr>
              <w:t>icbe’s</w:t>
            </w:r>
            <w:proofErr w:type="spellEnd"/>
            <w:r w:rsidRPr="00FA0D75">
              <w:rPr>
                <w:rFonts w:asciiTheme="majorHAnsi" w:hAnsiTheme="majorHAnsi"/>
                <w:szCs w:val="18"/>
              </w:rPr>
              <w:t xml:space="preserve"> die beleggingsdiensten verlenen.</w:t>
            </w:r>
            <w:r w:rsidRPr="00FA0D75" w:rsidR="008F278F">
              <w:rPr>
                <w:rFonts w:asciiTheme="majorHAnsi" w:hAnsiTheme="majorHAnsi"/>
                <w:szCs w:val="18"/>
              </w:rPr>
              <w:t xml:space="preserve"> </w:t>
            </w:r>
          </w:p>
        </w:tc>
        <w:tc>
          <w:tcPr>
            <w:tcW w:w="6095" w:type="dxa"/>
          </w:tcPr>
          <w:p w:rsidRPr="00FA0D75" w:rsidR="000505D2" w:rsidP="009A0D62" w:rsidRDefault="000505D2" w14:paraId="5E6B3BB2" w14:textId="2975E84B">
            <w:pPr>
              <w:pStyle w:val="Lijstalinea"/>
              <w:numPr>
                <w:ilvl w:val="0"/>
                <w:numId w:val="29"/>
              </w:numPr>
              <w:rPr>
                <w:rFonts w:asciiTheme="majorHAnsi" w:hAnsiTheme="majorHAnsi"/>
                <w:szCs w:val="18"/>
              </w:rPr>
            </w:pPr>
            <w:r w:rsidRPr="00FA0D75">
              <w:rPr>
                <w:rFonts w:asciiTheme="majorHAnsi" w:hAnsiTheme="majorHAnsi"/>
                <w:szCs w:val="18"/>
              </w:rPr>
              <w:t xml:space="preserve">Beheerders van beleggingsinstellingen en beheerders van </w:t>
            </w:r>
            <w:proofErr w:type="spellStart"/>
            <w:r w:rsidRPr="00FA0D75">
              <w:rPr>
                <w:rFonts w:asciiTheme="majorHAnsi" w:hAnsiTheme="majorHAnsi"/>
                <w:szCs w:val="18"/>
              </w:rPr>
              <w:t>icbe’s</w:t>
            </w:r>
            <w:proofErr w:type="spellEnd"/>
            <w:r w:rsidRPr="00FA0D75">
              <w:rPr>
                <w:rFonts w:asciiTheme="majorHAnsi" w:hAnsiTheme="majorHAnsi"/>
                <w:szCs w:val="18"/>
              </w:rPr>
              <w:t xml:space="preserve"> moeten in Nederland voldoen aan de prudentiële vereisten voor beleggingsondernemingen als zij, net als beleggingsondernemingen, beleggingsdiensten verlenen.</w:t>
            </w:r>
            <w:r w:rsidRPr="00FA0D75">
              <w:rPr>
                <w:rStyle w:val="Voetnootmarkering"/>
                <w:rFonts w:asciiTheme="majorHAnsi" w:hAnsiTheme="majorHAnsi"/>
                <w:szCs w:val="18"/>
              </w:rPr>
              <w:footnoteReference w:id="34"/>
            </w:r>
          </w:p>
          <w:p w:rsidRPr="00FA0D75" w:rsidR="000505D2" w:rsidP="009A0D62" w:rsidRDefault="000505D2" w14:paraId="41D74146" w14:textId="4D65A4C3">
            <w:pPr>
              <w:pStyle w:val="Lijstalinea"/>
              <w:numPr>
                <w:ilvl w:val="0"/>
                <w:numId w:val="37"/>
              </w:numPr>
              <w:rPr>
                <w:rFonts w:asciiTheme="majorHAnsi" w:hAnsiTheme="majorHAnsi"/>
                <w:szCs w:val="18"/>
              </w:rPr>
            </w:pPr>
            <w:r w:rsidRPr="00FA0D75">
              <w:rPr>
                <w:rFonts w:asciiTheme="majorHAnsi" w:hAnsiTheme="majorHAnsi"/>
                <w:szCs w:val="18"/>
              </w:rPr>
              <w:t>Dit betreft onder meer vereisten inzake risicobeheer, minimum vermogen, soliditeit en liquiditeit. Ook zijn de maatregelen die door de toezichthouder opgelegd kunnen worden aan beleggingsondernemingen in dit geval van overeenkomstige toepassing.</w:t>
            </w:r>
            <w:r w:rsidRPr="00FA0D75" w:rsidR="008F278F">
              <w:rPr>
                <w:rFonts w:asciiTheme="majorHAnsi" w:hAnsiTheme="majorHAnsi"/>
                <w:szCs w:val="18"/>
              </w:rPr>
              <w:t xml:space="preserve"> </w:t>
            </w:r>
          </w:p>
        </w:tc>
      </w:tr>
      <w:tr w:rsidRPr="00FA0D75" w:rsidR="000505D2" w:rsidTr="008D7F36" w14:paraId="2B16C266" w14:textId="77777777">
        <w:tc>
          <w:tcPr>
            <w:tcW w:w="562" w:type="dxa"/>
          </w:tcPr>
          <w:p w:rsidRPr="00FA0D75" w:rsidR="000505D2" w:rsidP="009A0D62" w:rsidRDefault="000505D2" w14:paraId="668F5798" w14:textId="77777777">
            <w:pPr>
              <w:pStyle w:val="Lijstalinea"/>
              <w:numPr>
                <w:ilvl w:val="0"/>
                <w:numId w:val="43"/>
              </w:numPr>
              <w:rPr>
                <w:rFonts w:asciiTheme="majorHAnsi" w:hAnsiTheme="majorHAnsi"/>
                <w:szCs w:val="18"/>
              </w:rPr>
            </w:pPr>
          </w:p>
        </w:tc>
        <w:tc>
          <w:tcPr>
            <w:tcW w:w="2665" w:type="dxa"/>
          </w:tcPr>
          <w:p w:rsidRPr="00FA0D75" w:rsidR="000505D2" w:rsidP="009A0D62" w:rsidRDefault="000505D2" w14:paraId="24204DD1" w14:textId="07917EA5">
            <w:pPr>
              <w:rPr>
                <w:rFonts w:asciiTheme="majorHAnsi" w:hAnsiTheme="majorHAnsi"/>
                <w:szCs w:val="18"/>
              </w:rPr>
            </w:pPr>
            <w:r w:rsidRPr="00FA0D75">
              <w:rPr>
                <w:rFonts w:asciiTheme="majorHAnsi" w:hAnsiTheme="majorHAnsi"/>
                <w:szCs w:val="18"/>
              </w:rPr>
              <w:t>Aanbieden deelnemingsrechten</w:t>
            </w:r>
            <w:r w:rsidRPr="00FA0D75" w:rsidR="008F278F">
              <w:rPr>
                <w:rFonts w:asciiTheme="majorHAnsi" w:hAnsiTheme="majorHAnsi"/>
                <w:szCs w:val="18"/>
              </w:rPr>
              <w:t xml:space="preserve"> </w:t>
            </w:r>
            <w:r w:rsidRPr="00FA0D75">
              <w:rPr>
                <w:rFonts w:asciiTheme="majorHAnsi" w:hAnsiTheme="majorHAnsi"/>
                <w:szCs w:val="18"/>
              </w:rPr>
              <w:t>door beleggingsinstellingen</w:t>
            </w:r>
          </w:p>
        </w:tc>
        <w:tc>
          <w:tcPr>
            <w:tcW w:w="4678" w:type="dxa"/>
          </w:tcPr>
          <w:p w:rsidRPr="00FA0D75" w:rsidR="000505D2" w:rsidP="009A0D62" w:rsidRDefault="000505D2" w14:paraId="06561E7A" w14:textId="39D5BC3A">
            <w:pPr>
              <w:pStyle w:val="Lijstalinea"/>
              <w:numPr>
                <w:ilvl w:val="0"/>
                <w:numId w:val="19"/>
              </w:numPr>
              <w:rPr>
                <w:rFonts w:asciiTheme="majorHAnsi" w:hAnsiTheme="majorHAnsi"/>
                <w:szCs w:val="18"/>
              </w:rPr>
            </w:pPr>
            <w:r w:rsidRPr="00FA0D75">
              <w:rPr>
                <w:rFonts w:asciiTheme="majorHAnsi" w:hAnsiTheme="majorHAnsi"/>
                <w:szCs w:val="18"/>
              </w:rPr>
              <w:t>In de richtlijn voor beheerders van alternatieve beleggingsinstellingen (AIFMD)</w:t>
            </w:r>
            <w:r w:rsidRPr="00FA0D75">
              <w:rPr>
                <w:rStyle w:val="Voetnootmarkering"/>
                <w:rFonts w:asciiTheme="majorHAnsi" w:hAnsiTheme="majorHAnsi"/>
                <w:szCs w:val="18"/>
              </w:rPr>
              <w:footnoteReference w:id="35"/>
            </w:r>
            <w:r w:rsidRPr="00FA0D75">
              <w:rPr>
                <w:rFonts w:asciiTheme="majorHAnsi" w:hAnsiTheme="majorHAnsi"/>
                <w:szCs w:val="18"/>
              </w:rPr>
              <w:t xml:space="preserve"> is de mogelijkheid opgenomen voor lidstaten om aanvullende nationale eisen te stellen wanneer beheerders van beleggingsinstellingen deelnemingsrechten aanbieden aan niet-professionele beleggers.</w:t>
            </w:r>
          </w:p>
        </w:tc>
        <w:tc>
          <w:tcPr>
            <w:tcW w:w="6095" w:type="dxa"/>
          </w:tcPr>
          <w:p w:rsidRPr="00FA0D75" w:rsidR="000505D2" w:rsidP="009A0D62" w:rsidRDefault="000505D2" w14:paraId="30DBCFBD" w14:textId="6B0B68ED">
            <w:pPr>
              <w:pStyle w:val="Lijstalinea"/>
              <w:numPr>
                <w:ilvl w:val="0"/>
                <w:numId w:val="37"/>
              </w:numPr>
              <w:rPr>
                <w:rFonts w:cs="Calibri Light" w:asciiTheme="majorHAnsi" w:hAnsiTheme="majorHAnsi"/>
                <w:szCs w:val="18"/>
              </w:rPr>
            </w:pPr>
            <w:r w:rsidRPr="00FA0D75">
              <w:rPr>
                <w:rFonts w:asciiTheme="majorHAnsi" w:hAnsiTheme="majorHAnsi"/>
                <w:szCs w:val="18"/>
              </w:rPr>
              <w:t>In Nederland gelden aanvullende eisen wanneer deelnemingsrechten aan niet-professionele beleggers worden aangeboden. Bijvoorbeeld vereisten met betrekking tot de inrichting van de bedrijfsvoering, informatieverstrekking aan beleggers en de klachtenbehandeling.</w:t>
            </w:r>
            <w:r w:rsidRPr="00FA0D75" w:rsidR="008D7F36">
              <w:rPr>
                <w:rStyle w:val="Voetnootmarkering"/>
                <w:rFonts w:asciiTheme="majorHAnsi" w:hAnsiTheme="majorHAnsi"/>
                <w:szCs w:val="18"/>
              </w:rPr>
              <w:footnoteReference w:id="36"/>
            </w:r>
            <w:r w:rsidRPr="00FA0D75" w:rsidR="00EC5107">
              <w:rPr>
                <w:rFonts w:asciiTheme="majorHAnsi" w:hAnsiTheme="majorHAnsi"/>
                <w:szCs w:val="18"/>
              </w:rPr>
              <w:t xml:space="preserve"> </w:t>
            </w:r>
          </w:p>
        </w:tc>
      </w:tr>
      <w:tr w:rsidRPr="00FA0D75" w:rsidR="000505D2" w:rsidTr="008D7F36" w14:paraId="22EE5E14" w14:textId="77777777">
        <w:tc>
          <w:tcPr>
            <w:tcW w:w="562" w:type="dxa"/>
          </w:tcPr>
          <w:p w:rsidRPr="00FA0D75" w:rsidR="000505D2" w:rsidP="009A0D62" w:rsidRDefault="000505D2" w14:paraId="55B30490" w14:textId="7904EAAC">
            <w:pPr>
              <w:pStyle w:val="Lijstalinea"/>
              <w:numPr>
                <w:ilvl w:val="0"/>
                <w:numId w:val="43"/>
              </w:numPr>
              <w:rPr>
                <w:rFonts w:eastAsia="Times New Roman" w:asciiTheme="majorHAnsi" w:hAnsiTheme="majorHAnsi"/>
                <w:szCs w:val="18"/>
              </w:rPr>
            </w:pPr>
          </w:p>
        </w:tc>
        <w:tc>
          <w:tcPr>
            <w:tcW w:w="2665" w:type="dxa"/>
          </w:tcPr>
          <w:p w:rsidRPr="00FA0D75" w:rsidR="000505D2" w:rsidP="009A0D62" w:rsidRDefault="000505D2" w14:paraId="4FC2FDF3" w14:textId="77777777">
            <w:pPr>
              <w:rPr>
                <w:rFonts w:eastAsia="Times New Roman" w:asciiTheme="majorHAnsi" w:hAnsiTheme="majorHAnsi"/>
                <w:szCs w:val="18"/>
              </w:rPr>
            </w:pPr>
            <w:r w:rsidRPr="00FA0D75">
              <w:rPr>
                <w:rFonts w:eastAsia="Times New Roman" w:asciiTheme="majorHAnsi" w:hAnsiTheme="majorHAnsi"/>
                <w:szCs w:val="18"/>
              </w:rPr>
              <w:t xml:space="preserve">Vergelijkingskaart </w:t>
            </w:r>
          </w:p>
          <w:p w:rsidRPr="00FA0D75" w:rsidR="000505D2" w:rsidP="009A0D62" w:rsidRDefault="000505D2" w14:paraId="069533DD" w14:textId="77777777">
            <w:pPr>
              <w:rPr>
                <w:rFonts w:asciiTheme="majorHAnsi" w:hAnsiTheme="majorHAnsi"/>
                <w:szCs w:val="18"/>
              </w:rPr>
            </w:pPr>
          </w:p>
        </w:tc>
        <w:tc>
          <w:tcPr>
            <w:tcW w:w="4678" w:type="dxa"/>
          </w:tcPr>
          <w:p w:rsidRPr="00FA0D75" w:rsidR="000505D2" w:rsidP="009A0D62" w:rsidRDefault="000505D2" w14:paraId="78684A06" w14:textId="4B059FBA">
            <w:pPr>
              <w:pStyle w:val="Lijstalinea"/>
              <w:numPr>
                <w:ilvl w:val="0"/>
                <w:numId w:val="19"/>
              </w:numPr>
              <w:rPr>
                <w:rFonts w:asciiTheme="majorHAnsi" w:hAnsiTheme="majorHAnsi"/>
                <w:szCs w:val="18"/>
              </w:rPr>
            </w:pPr>
            <w:r w:rsidRPr="00FA0D75">
              <w:rPr>
                <w:rFonts w:eastAsia="Times New Roman" w:asciiTheme="majorHAnsi" w:hAnsiTheme="majorHAnsi"/>
                <w:szCs w:val="18"/>
              </w:rPr>
              <w:t xml:space="preserve">Er is op Europees niveau geen wettelijk verplicht dienstverleningsdocument of vergelijkingskaart. </w:t>
            </w:r>
          </w:p>
          <w:p w:rsidRPr="00FA0D75" w:rsidR="000505D2" w:rsidP="009A0D62" w:rsidRDefault="000505D2" w14:paraId="24F35DEF" w14:textId="610FCA1B">
            <w:pPr>
              <w:pStyle w:val="Lijstalinea"/>
              <w:numPr>
                <w:ilvl w:val="0"/>
                <w:numId w:val="19"/>
              </w:numPr>
              <w:rPr>
                <w:rFonts w:asciiTheme="majorHAnsi" w:hAnsiTheme="majorHAnsi"/>
                <w:szCs w:val="18"/>
              </w:rPr>
            </w:pPr>
            <w:r w:rsidRPr="00FA0D75">
              <w:rPr>
                <w:rFonts w:eastAsia="Times New Roman" w:asciiTheme="majorHAnsi" w:hAnsiTheme="majorHAnsi"/>
                <w:szCs w:val="18"/>
              </w:rPr>
              <w:t xml:space="preserve">De IDD kent wel meer uitgebreide informatieregels voor verzekeringen met een beleggingscomponent. </w:t>
            </w:r>
          </w:p>
          <w:p w:rsidRPr="00FA0D75" w:rsidR="000505D2" w:rsidP="009A0D62" w:rsidRDefault="000505D2" w14:paraId="27675997" w14:textId="46B48698">
            <w:pPr>
              <w:pStyle w:val="Lijstalinea"/>
              <w:numPr>
                <w:ilvl w:val="0"/>
                <w:numId w:val="19"/>
              </w:numPr>
              <w:rPr>
                <w:rFonts w:asciiTheme="majorHAnsi" w:hAnsiTheme="majorHAnsi"/>
                <w:szCs w:val="18"/>
              </w:rPr>
            </w:pPr>
            <w:r w:rsidRPr="00FA0D75">
              <w:rPr>
                <w:rFonts w:eastAsia="Times New Roman" w:asciiTheme="majorHAnsi" w:hAnsiTheme="majorHAnsi"/>
                <w:szCs w:val="18"/>
              </w:rPr>
              <w:lastRenderedPageBreak/>
              <w:t>De IDD geeft lidstaten de mogelijkheid om aanvullende eisen op te nemen ten aanzien van informatieverstrekking aan klanten.</w:t>
            </w:r>
          </w:p>
        </w:tc>
        <w:tc>
          <w:tcPr>
            <w:tcW w:w="6095" w:type="dxa"/>
          </w:tcPr>
          <w:p w:rsidRPr="00FA0D75" w:rsidR="000505D2" w:rsidP="009A0D62" w:rsidRDefault="000505D2" w14:paraId="42E4BF6F" w14:textId="6333D225">
            <w:pPr>
              <w:pStyle w:val="Lijstalinea"/>
              <w:numPr>
                <w:ilvl w:val="0"/>
                <w:numId w:val="32"/>
              </w:numPr>
              <w:rPr>
                <w:rFonts w:eastAsia="Times New Roman" w:asciiTheme="majorHAnsi" w:hAnsiTheme="majorHAnsi"/>
                <w:szCs w:val="18"/>
              </w:rPr>
            </w:pPr>
            <w:r w:rsidRPr="00FA0D75">
              <w:rPr>
                <w:rFonts w:eastAsia="Times New Roman" w:asciiTheme="majorHAnsi" w:hAnsiTheme="majorHAnsi"/>
                <w:szCs w:val="18"/>
              </w:rPr>
              <w:lastRenderedPageBreak/>
              <w:t>Nederland kent een verplicht voorgeschreven informatiedocument over de dienstverlening bij complexe producten met aanvullende verplichtingen (wel of niet advies op onafhankelijke basis).</w:t>
            </w:r>
            <w:r w:rsidRPr="00FA0D75">
              <w:rPr>
                <w:rStyle w:val="Voetnootmarkering"/>
                <w:rFonts w:eastAsia="Times New Roman" w:asciiTheme="majorHAnsi" w:hAnsiTheme="majorHAnsi"/>
                <w:szCs w:val="18"/>
              </w:rPr>
              <w:footnoteReference w:id="37"/>
            </w:r>
          </w:p>
          <w:p w:rsidRPr="00FA0D75" w:rsidR="000505D2" w:rsidP="009A0D62" w:rsidRDefault="000505D2" w14:paraId="5C90ED66" w14:textId="77777777">
            <w:pPr>
              <w:rPr>
                <w:rFonts w:asciiTheme="majorHAnsi" w:hAnsiTheme="majorHAnsi"/>
                <w:szCs w:val="18"/>
              </w:rPr>
            </w:pPr>
          </w:p>
        </w:tc>
      </w:tr>
      <w:tr w:rsidRPr="00FA0D75" w:rsidR="000505D2" w:rsidTr="008D7F36" w14:paraId="2642B176" w14:textId="77777777">
        <w:tc>
          <w:tcPr>
            <w:tcW w:w="562" w:type="dxa"/>
          </w:tcPr>
          <w:p w:rsidRPr="00FA0D75" w:rsidR="000505D2" w:rsidP="009A0D62" w:rsidRDefault="000505D2" w14:paraId="197326EA" w14:textId="77777777">
            <w:pPr>
              <w:pStyle w:val="Lijstalinea"/>
              <w:numPr>
                <w:ilvl w:val="0"/>
                <w:numId w:val="43"/>
              </w:numPr>
              <w:rPr>
                <w:rFonts w:eastAsia="Times New Roman" w:asciiTheme="majorHAnsi" w:hAnsiTheme="majorHAnsi"/>
                <w:szCs w:val="18"/>
              </w:rPr>
            </w:pPr>
          </w:p>
        </w:tc>
        <w:tc>
          <w:tcPr>
            <w:tcW w:w="2665" w:type="dxa"/>
          </w:tcPr>
          <w:p w:rsidRPr="00FA0D75" w:rsidR="000505D2" w:rsidP="009A0D62" w:rsidRDefault="000505D2" w14:paraId="71A88C1D" w14:textId="52939532">
            <w:pPr>
              <w:rPr>
                <w:rFonts w:asciiTheme="majorHAnsi" w:hAnsiTheme="majorHAnsi"/>
                <w:szCs w:val="18"/>
              </w:rPr>
            </w:pPr>
            <w:r w:rsidRPr="00FA0D75">
              <w:rPr>
                <w:rFonts w:asciiTheme="majorHAnsi" w:hAnsiTheme="majorHAnsi"/>
                <w:szCs w:val="18"/>
              </w:rPr>
              <w:t>Kennisgeving verandering door een centrale tegenpartij (CCP) en centrale effectenbewaarinstelling (CSD)</w:t>
            </w:r>
          </w:p>
        </w:tc>
        <w:tc>
          <w:tcPr>
            <w:tcW w:w="4678" w:type="dxa"/>
          </w:tcPr>
          <w:p w:rsidRPr="00FA0D75" w:rsidR="00634947" w:rsidP="00634947" w:rsidRDefault="00634947" w14:paraId="11496B49" w14:textId="2BD25223">
            <w:pPr>
              <w:pStyle w:val="Lijstalinea"/>
              <w:numPr>
                <w:ilvl w:val="0"/>
                <w:numId w:val="17"/>
              </w:numPr>
              <w:rPr>
                <w:rFonts w:asciiTheme="majorHAnsi" w:hAnsiTheme="majorHAnsi"/>
                <w:szCs w:val="18"/>
              </w:rPr>
            </w:pPr>
            <w:r w:rsidRPr="00FA0D75">
              <w:rPr>
                <w:rFonts w:asciiTheme="majorHAnsi" w:hAnsiTheme="majorHAnsi"/>
                <w:szCs w:val="18"/>
              </w:rPr>
              <w:t>De Europese marktinfrastructuur verordening (EMIR)</w:t>
            </w:r>
            <w:r w:rsidRPr="00FA0D75" w:rsidR="008F278F">
              <w:rPr>
                <w:rStyle w:val="Voetnootmarkering"/>
                <w:rFonts w:asciiTheme="majorHAnsi" w:hAnsiTheme="majorHAnsi"/>
                <w:szCs w:val="18"/>
              </w:rPr>
              <w:footnoteReference w:id="38"/>
            </w:r>
            <w:r w:rsidRPr="00FA0D75" w:rsidR="008F278F">
              <w:rPr>
                <w:rFonts w:asciiTheme="majorHAnsi" w:hAnsiTheme="majorHAnsi"/>
                <w:szCs w:val="18"/>
              </w:rPr>
              <w:t xml:space="preserve"> </w:t>
            </w:r>
            <w:r w:rsidRPr="00FA0D75">
              <w:rPr>
                <w:rFonts w:asciiTheme="majorHAnsi" w:hAnsiTheme="majorHAnsi"/>
                <w:szCs w:val="18"/>
              </w:rPr>
              <w:t>en de verordening inzake centrale effectenbewaarinstellingen (CSDR)</w:t>
            </w:r>
            <w:r w:rsidRPr="00FA0D75" w:rsidR="008F278F">
              <w:rPr>
                <w:rStyle w:val="Voetnootmarkering"/>
                <w:rFonts w:asciiTheme="majorHAnsi" w:hAnsiTheme="majorHAnsi"/>
                <w:szCs w:val="18"/>
              </w:rPr>
              <w:footnoteReference w:id="39"/>
            </w:r>
            <w:r w:rsidRPr="00FA0D75" w:rsidR="008F278F">
              <w:rPr>
                <w:rFonts w:asciiTheme="majorHAnsi" w:hAnsiTheme="majorHAnsi"/>
                <w:szCs w:val="18"/>
              </w:rPr>
              <w:t xml:space="preserve"> </w:t>
            </w:r>
            <w:r w:rsidRPr="00FA0D75">
              <w:rPr>
                <w:rFonts w:asciiTheme="majorHAnsi" w:hAnsiTheme="majorHAnsi"/>
                <w:szCs w:val="18"/>
              </w:rPr>
              <w:t xml:space="preserve">schrijven voor dat veranderingen in de naleving van prudentiële vereisten door een </w:t>
            </w:r>
            <w:r w:rsidRPr="00FA0D75" w:rsidR="008F278F">
              <w:rPr>
                <w:rFonts w:asciiTheme="majorHAnsi" w:hAnsiTheme="majorHAnsi"/>
                <w:szCs w:val="18"/>
              </w:rPr>
              <w:t>centrale tegenpartij (</w:t>
            </w:r>
            <w:r w:rsidRPr="00FA0D75">
              <w:rPr>
                <w:rFonts w:asciiTheme="majorHAnsi" w:hAnsiTheme="majorHAnsi"/>
                <w:szCs w:val="18"/>
              </w:rPr>
              <w:t>CCP</w:t>
            </w:r>
            <w:r w:rsidRPr="00FA0D75" w:rsidR="008F278F">
              <w:rPr>
                <w:rFonts w:asciiTheme="majorHAnsi" w:hAnsiTheme="majorHAnsi"/>
                <w:szCs w:val="18"/>
              </w:rPr>
              <w:t>)</w:t>
            </w:r>
            <w:r w:rsidRPr="00FA0D75">
              <w:rPr>
                <w:rFonts w:asciiTheme="majorHAnsi" w:hAnsiTheme="majorHAnsi"/>
                <w:szCs w:val="18"/>
              </w:rPr>
              <w:t xml:space="preserve"> of </w:t>
            </w:r>
            <w:r w:rsidRPr="00FA0D75" w:rsidR="008F278F">
              <w:rPr>
                <w:rFonts w:asciiTheme="majorHAnsi" w:hAnsiTheme="majorHAnsi"/>
                <w:szCs w:val="18"/>
              </w:rPr>
              <w:t>centrale effectenbewaarinstelling (C</w:t>
            </w:r>
            <w:r w:rsidRPr="00FA0D75">
              <w:rPr>
                <w:rFonts w:asciiTheme="majorHAnsi" w:hAnsiTheme="majorHAnsi"/>
                <w:szCs w:val="18"/>
              </w:rPr>
              <w:t>SD</w:t>
            </w:r>
            <w:r w:rsidRPr="00FA0D75" w:rsidR="008F278F">
              <w:rPr>
                <w:rFonts w:asciiTheme="majorHAnsi" w:hAnsiTheme="majorHAnsi"/>
                <w:szCs w:val="18"/>
              </w:rPr>
              <w:t>)</w:t>
            </w:r>
            <w:r w:rsidRPr="00FA0D75">
              <w:rPr>
                <w:rFonts w:asciiTheme="majorHAnsi" w:hAnsiTheme="majorHAnsi"/>
                <w:szCs w:val="18"/>
              </w:rPr>
              <w:t xml:space="preserve"> in het jaarlijkse proces van toezicht en evaluatie worden beoordeeld.</w:t>
            </w:r>
            <w:r w:rsidRPr="00FA0D75" w:rsidR="008F278F">
              <w:rPr>
                <w:rFonts w:asciiTheme="majorHAnsi" w:hAnsiTheme="majorHAnsi"/>
                <w:szCs w:val="18"/>
              </w:rPr>
              <w:t xml:space="preserve"> </w:t>
            </w:r>
          </w:p>
          <w:p w:rsidRPr="00FA0D75" w:rsidR="00634947" w:rsidP="00634947" w:rsidRDefault="00634947" w14:paraId="48A59820" w14:textId="77777777">
            <w:pPr>
              <w:pStyle w:val="Lijstalinea"/>
              <w:numPr>
                <w:ilvl w:val="0"/>
                <w:numId w:val="17"/>
              </w:numPr>
              <w:rPr>
                <w:rFonts w:asciiTheme="majorHAnsi" w:hAnsiTheme="majorHAnsi"/>
                <w:szCs w:val="18"/>
              </w:rPr>
            </w:pPr>
            <w:r w:rsidRPr="00FA0D75">
              <w:rPr>
                <w:rFonts w:asciiTheme="majorHAnsi" w:hAnsiTheme="majorHAnsi"/>
                <w:szCs w:val="18"/>
              </w:rPr>
              <w:t>In sommige gevallen moet de CCP of CSD de bevoegde autoriteit van een wijziging in kennis stellen.</w:t>
            </w:r>
          </w:p>
          <w:p w:rsidRPr="00FA0D75" w:rsidR="000505D2" w:rsidP="00634947" w:rsidRDefault="00634947" w14:paraId="6A141BB6" w14:textId="18FE8AC8">
            <w:pPr>
              <w:pStyle w:val="Lijstalinea"/>
              <w:numPr>
                <w:ilvl w:val="0"/>
                <w:numId w:val="17"/>
              </w:numPr>
              <w:rPr>
                <w:rFonts w:asciiTheme="majorHAnsi" w:hAnsiTheme="majorHAnsi"/>
                <w:szCs w:val="18"/>
              </w:rPr>
            </w:pPr>
            <w:r w:rsidRPr="00FA0D75">
              <w:rPr>
                <w:rFonts w:asciiTheme="majorHAnsi" w:hAnsiTheme="majorHAnsi"/>
                <w:szCs w:val="18"/>
              </w:rPr>
              <w:t>In een enkel geval (bijv. bij uitbesteding van bepaalde werkzaamheden) bestaat er voorafgaande instemming van de toezichthouder.</w:t>
            </w:r>
          </w:p>
        </w:tc>
        <w:tc>
          <w:tcPr>
            <w:tcW w:w="6095" w:type="dxa"/>
          </w:tcPr>
          <w:p w:rsidRPr="00FA0D75" w:rsidR="000505D2" w:rsidP="009A0D62" w:rsidRDefault="000505D2" w14:paraId="2077F39B" w14:textId="07B4529F">
            <w:pPr>
              <w:pStyle w:val="Lijstalinea"/>
              <w:numPr>
                <w:ilvl w:val="0"/>
                <w:numId w:val="16"/>
              </w:numPr>
              <w:ind w:left="292" w:hanging="292"/>
              <w:rPr>
                <w:rFonts w:asciiTheme="majorHAnsi" w:hAnsiTheme="majorHAnsi"/>
                <w:szCs w:val="18"/>
              </w:rPr>
            </w:pPr>
            <w:r w:rsidRPr="00FA0D75">
              <w:rPr>
                <w:rFonts w:asciiTheme="majorHAnsi" w:hAnsiTheme="majorHAnsi"/>
                <w:szCs w:val="18"/>
              </w:rPr>
              <w:t>In de Wft zijn (ruimere) kennisgevingsvereisten opgenomen waarbij een CCP of CSD substantiële veranderingen in de naleving van prudentiële vereisten meldt aan DNB en in de naleving van vereisten inzake het gedragstoezicht meldt aan de AFM, waarbij de toezichthouder ook goedkeuring dient te verlenen</w:t>
            </w:r>
            <w:r w:rsidRPr="00FA0D75" w:rsidR="00EC5107">
              <w:rPr>
                <w:rFonts w:asciiTheme="majorHAnsi" w:hAnsiTheme="majorHAnsi"/>
                <w:szCs w:val="18"/>
              </w:rPr>
              <w:t>.</w:t>
            </w:r>
            <w:r w:rsidRPr="00FA0D75">
              <w:rPr>
                <w:rStyle w:val="Voetnootmarkering"/>
                <w:rFonts w:asciiTheme="majorHAnsi" w:hAnsiTheme="majorHAnsi"/>
                <w:szCs w:val="18"/>
              </w:rPr>
              <w:footnoteReference w:id="40"/>
            </w:r>
          </w:p>
        </w:tc>
      </w:tr>
      <w:tr w:rsidRPr="00FA0D75" w:rsidR="00DF2FB9" w:rsidTr="008D7F36" w14:paraId="357EC6DC" w14:textId="77777777">
        <w:tc>
          <w:tcPr>
            <w:tcW w:w="562" w:type="dxa"/>
          </w:tcPr>
          <w:p w:rsidRPr="00FA0D75" w:rsidR="00DF2FB9" w:rsidP="00DF2FB9" w:rsidRDefault="00DF2FB9" w14:paraId="23DD0B7F" w14:textId="77777777">
            <w:pPr>
              <w:pStyle w:val="Lijstalinea"/>
              <w:numPr>
                <w:ilvl w:val="0"/>
                <w:numId w:val="43"/>
              </w:numPr>
              <w:rPr>
                <w:rFonts w:eastAsia="Times New Roman" w:asciiTheme="majorHAnsi" w:hAnsiTheme="majorHAnsi"/>
                <w:szCs w:val="18"/>
              </w:rPr>
            </w:pPr>
          </w:p>
        </w:tc>
        <w:tc>
          <w:tcPr>
            <w:tcW w:w="2665" w:type="dxa"/>
          </w:tcPr>
          <w:p w:rsidRPr="00FA0D75" w:rsidR="00DF2FB9" w:rsidP="00DF2FB9" w:rsidRDefault="00DF2FB9" w14:paraId="720ED1B0" w14:textId="05D62599">
            <w:pPr>
              <w:rPr>
                <w:rFonts w:asciiTheme="majorHAnsi" w:hAnsiTheme="majorHAnsi"/>
                <w:szCs w:val="18"/>
              </w:rPr>
            </w:pPr>
            <w:r w:rsidRPr="00FA0D75">
              <w:rPr>
                <w:rFonts w:asciiTheme="majorHAnsi" w:hAnsiTheme="majorHAnsi"/>
                <w:szCs w:val="18"/>
              </w:rPr>
              <w:t xml:space="preserve">Consumentenbescherming bij consumptief krediet </w:t>
            </w:r>
          </w:p>
        </w:tc>
        <w:tc>
          <w:tcPr>
            <w:tcW w:w="4678" w:type="dxa"/>
          </w:tcPr>
          <w:p w:rsidRPr="00FA0D75" w:rsidR="00DF2FB9" w:rsidP="00DF2FB9" w:rsidRDefault="00DF2FB9" w14:paraId="062A8FFC" w14:textId="77777777">
            <w:pPr>
              <w:pStyle w:val="Lijstalinea"/>
              <w:numPr>
                <w:ilvl w:val="0"/>
                <w:numId w:val="17"/>
              </w:numPr>
              <w:ind w:left="284" w:hanging="284"/>
              <w:rPr>
                <w:rFonts w:asciiTheme="majorHAnsi" w:hAnsiTheme="majorHAnsi"/>
                <w:szCs w:val="18"/>
              </w:rPr>
            </w:pPr>
            <w:r w:rsidRPr="00FA0D75">
              <w:rPr>
                <w:rFonts w:asciiTheme="majorHAnsi" w:hAnsiTheme="majorHAnsi"/>
                <w:szCs w:val="18"/>
              </w:rPr>
              <w:t xml:space="preserve">De CCD bevat op een aantal punten open normen of minimumharmonisatie van consumentenbescherming bij het aangaan van consumptief krediet. </w:t>
            </w:r>
          </w:p>
          <w:p w:rsidRPr="00FA0D75" w:rsidR="00DF2FB9" w:rsidP="00DF2FB9" w:rsidRDefault="00DF2FB9" w14:paraId="29E25D49" w14:textId="77777777">
            <w:pPr>
              <w:pStyle w:val="Lijstalinea"/>
              <w:numPr>
                <w:ilvl w:val="0"/>
                <w:numId w:val="17"/>
              </w:numPr>
              <w:ind w:left="284" w:hanging="284"/>
              <w:rPr>
                <w:rFonts w:asciiTheme="majorHAnsi" w:hAnsiTheme="majorHAnsi"/>
                <w:szCs w:val="18"/>
              </w:rPr>
            </w:pPr>
            <w:r w:rsidRPr="00FA0D75">
              <w:rPr>
                <w:rFonts w:asciiTheme="majorHAnsi" w:hAnsiTheme="majorHAnsi"/>
                <w:szCs w:val="18"/>
              </w:rPr>
              <w:t xml:space="preserve">Uit de CCD volgt dat de richtlijn van toepassing is op overeenkomsten tussen de 200-75.000 euro. </w:t>
            </w:r>
          </w:p>
          <w:p w:rsidRPr="00FA0D75" w:rsidR="00DF2FB9" w:rsidP="00DF2FB9" w:rsidRDefault="00DF2FB9" w14:paraId="6C218FD6" w14:textId="4AAC8D38">
            <w:pPr>
              <w:pStyle w:val="Lijstalinea"/>
              <w:numPr>
                <w:ilvl w:val="0"/>
                <w:numId w:val="17"/>
              </w:numPr>
              <w:ind w:left="284" w:hanging="284"/>
              <w:rPr>
                <w:rFonts w:asciiTheme="majorHAnsi" w:hAnsiTheme="majorHAnsi"/>
                <w:szCs w:val="18"/>
              </w:rPr>
            </w:pPr>
            <w:r w:rsidRPr="00FA0D75">
              <w:rPr>
                <w:rFonts w:asciiTheme="majorHAnsi" w:hAnsiTheme="majorHAnsi"/>
                <w:szCs w:val="18"/>
              </w:rPr>
              <w:t xml:space="preserve">Uit de CCD volgt dat effectenkrediet uitgezonderd is van het toepassingsbereik van de richtlijn, ook zondert de CCD een aantal kredietvormen uit </w:t>
            </w:r>
          </w:p>
          <w:p w:rsidRPr="00FA0D75" w:rsidR="00DF2FB9" w:rsidP="00DF2FB9" w:rsidRDefault="00DF2FB9" w14:paraId="5E97E82C" w14:textId="58B289EA">
            <w:pPr>
              <w:pStyle w:val="Lijstalinea"/>
              <w:numPr>
                <w:ilvl w:val="0"/>
                <w:numId w:val="17"/>
              </w:numPr>
              <w:ind w:left="284" w:hanging="284"/>
              <w:rPr>
                <w:rFonts w:asciiTheme="majorHAnsi" w:hAnsiTheme="majorHAnsi"/>
                <w:szCs w:val="18"/>
              </w:rPr>
            </w:pPr>
            <w:r w:rsidRPr="00FA0D75">
              <w:rPr>
                <w:rFonts w:asciiTheme="majorHAnsi" w:hAnsiTheme="majorHAnsi"/>
                <w:szCs w:val="18"/>
              </w:rPr>
              <w:t xml:space="preserve">De CCD bepaalt dat lidstaten een vergoeding voor vervroegde aflossing alleen mogen </w:t>
            </w:r>
            <w:r w:rsidRPr="00FA0D75">
              <w:rPr>
                <w:rFonts w:asciiTheme="majorHAnsi" w:hAnsiTheme="majorHAnsi"/>
                <w:szCs w:val="18"/>
              </w:rPr>
              <w:lastRenderedPageBreak/>
              <w:t>vragen als deze een drempel van maximaal 10.000 euro over een periode van 12 maanden overschrijdt. Een bijzonder hoge vergoeding mag alleen gevraagd worden als het door vervroegde aflossing geleden verlies hoger is dan het bedrag hierboven.</w:t>
            </w:r>
          </w:p>
          <w:p w:rsidRPr="00FA0D75" w:rsidR="00DF2FB9" w:rsidP="00DF2FB9" w:rsidRDefault="00DF2FB9" w14:paraId="04B2BB53" w14:textId="77777777">
            <w:pPr>
              <w:pStyle w:val="Lijstalinea"/>
              <w:numPr>
                <w:ilvl w:val="0"/>
                <w:numId w:val="17"/>
              </w:numPr>
              <w:ind w:left="284" w:hanging="284"/>
              <w:rPr>
                <w:rFonts w:asciiTheme="majorHAnsi" w:hAnsiTheme="majorHAnsi"/>
                <w:szCs w:val="18"/>
              </w:rPr>
            </w:pPr>
            <w:r w:rsidRPr="00FA0D75">
              <w:rPr>
                <w:rFonts w:asciiTheme="majorHAnsi" w:hAnsiTheme="majorHAnsi"/>
                <w:szCs w:val="18"/>
              </w:rPr>
              <w:t>De CCD schrijft voor dat aanbieders van krediet een kredietwaardigheidstoets verrichten, maar laat grotendeels open hoe.</w:t>
            </w:r>
          </w:p>
          <w:p w:rsidRPr="00FA0D75" w:rsidR="00DF2FB9" w:rsidP="00DF2FB9" w:rsidRDefault="00DF2FB9" w14:paraId="57C922BD" w14:textId="77777777">
            <w:pPr>
              <w:pStyle w:val="Lijstalinea"/>
              <w:numPr>
                <w:ilvl w:val="0"/>
                <w:numId w:val="17"/>
              </w:numPr>
              <w:ind w:left="284" w:hanging="284"/>
              <w:rPr>
                <w:rFonts w:asciiTheme="majorHAnsi" w:hAnsiTheme="majorHAnsi"/>
                <w:szCs w:val="18"/>
              </w:rPr>
            </w:pPr>
            <w:r w:rsidRPr="00FA0D75">
              <w:rPr>
                <w:rFonts w:asciiTheme="majorHAnsi" w:hAnsiTheme="majorHAnsi"/>
                <w:szCs w:val="18"/>
              </w:rPr>
              <w:t xml:space="preserve">De CCD schrijft informatieverplichtingen voor ten aanzien van kosten en de wijze waarop de kosten van het krediet worden berekend. </w:t>
            </w:r>
          </w:p>
          <w:p w:rsidRPr="00FA0D75" w:rsidR="00DF2FB9" w:rsidP="00DF2FB9" w:rsidRDefault="00DF2FB9" w14:paraId="5A46805B" w14:textId="77777777">
            <w:pPr>
              <w:pStyle w:val="Lijstalinea"/>
              <w:numPr>
                <w:ilvl w:val="0"/>
                <w:numId w:val="17"/>
              </w:numPr>
              <w:ind w:left="284" w:hanging="284"/>
              <w:rPr>
                <w:rFonts w:asciiTheme="majorHAnsi" w:hAnsiTheme="majorHAnsi"/>
                <w:szCs w:val="18"/>
              </w:rPr>
            </w:pPr>
            <w:r w:rsidRPr="00FA0D75">
              <w:rPr>
                <w:rFonts w:asciiTheme="majorHAnsi" w:hAnsiTheme="majorHAnsi"/>
                <w:szCs w:val="18"/>
              </w:rPr>
              <w:t>De CCD schrijft voor dat kredietgevers toegang hebben tot databanken voor kredietregistratie.</w:t>
            </w:r>
          </w:p>
          <w:p w:rsidRPr="00FA0D75" w:rsidR="00DF2FB9" w:rsidP="00DF2FB9" w:rsidRDefault="00DF2FB9" w14:paraId="3D8F42E0" w14:textId="5DB6F8C6">
            <w:pPr>
              <w:pStyle w:val="Lijstalinea"/>
              <w:numPr>
                <w:ilvl w:val="0"/>
                <w:numId w:val="17"/>
              </w:numPr>
              <w:ind w:left="284" w:hanging="284"/>
              <w:rPr>
                <w:rFonts w:asciiTheme="majorHAnsi" w:hAnsiTheme="majorHAnsi"/>
                <w:szCs w:val="18"/>
              </w:rPr>
            </w:pPr>
            <w:r w:rsidRPr="00FA0D75">
              <w:rPr>
                <w:rFonts w:asciiTheme="majorHAnsi" w:hAnsiTheme="majorHAnsi"/>
                <w:szCs w:val="18"/>
              </w:rPr>
              <w:t xml:space="preserve">De CCD is onlangs herzien en de gewijzigde richtlijn wordt momenteel geïmplementeerd. Daarbij is consumentenbescherming op een aantal punten geharmoniseerd en zijn er daarnaast nieuwe nationale beleidskeuzes mogelijk. </w:t>
            </w:r>
          </w:p>
        </w:tc>
        <w:tc>
          <w:tcPr>
            <w:tcW w:w="6095" w:type="dxa"/>
          </w:tcPr>
          <w:p w:rsidRPr="00FA0D75" w:rsidR="00DF2FB9" w:rsidP="00DF2FB9" w:rsidRDefault="00DF2FB9" w14:paraId="2480A0F1" w14:textId="77777777">
            <w:pPr>
              <w:pStyle w:val="Lijstalinea"/>
              <w:numPr>
                <w:ilvl w:val="0"/>
                <w:numId w:val="16"/>
              </w:numPr>
              <w:ind w:left="292" w:hanging="292"/>
              <w:rPr>
                <w:rFonts w:asciiTheme="majorHAnsi" w:hAnsiTheme="majorHAnsi"/>
                <w:szCs w:val="18"/>
              </w:rPr>
            </w:pPr>
            <w:r w:rsidRPr="00FA0D75">
              <w:rPr>
                <w:rFonts w:asciiTheme="majorHAnsi" w:hAnsiTheme="majorHAnsi"/>
                <w:szCs w:val="18"/>
              </w:rPr>
              <w:lastRenderedPageBreak/>
              <w:t xml:space="preserve">In Nederland geldt geen maximumbedrag. Dat betekent dat ten aanzien van consumentenkredietovereenkomsten de regels uit de CCD, geïmplementeerd in de Wft/Boek 7 BW gelden voor overeenkomsten vanaf 200 euro. </w:t>
            </w:r>
          </w:p>
          <w:p w:rsidRPr="00FA0D75" w:rsidR="00DF2FB9" w:rsidP="00DF2FB9" w:rsidRDefault="00DF2FB9" w14:paraId="75AB0B40" w14:textId="01276176">
            <w:pPr>
              <w:pStyle w:val="Lijstalinea"/>
              <w:numPr>
                <w:ilvl w:val="0"/>
                <w:numId w:val="16"/>
              </w:numPr>
              <w:ind w:left="292" w:hanging="292"/>
              <w:rPr>
                <w:rFonts w:asciiTheme="majorHAnsi" w:hAnsiTheme="majorHAnsi"/>
                <w:szCs w:val="18"/>
              </w:rPr>
            </w:pPr>
            <w:r w:rsidRPr="00FA0D75">
              <w:rPr>
                <w:rFonts w:asciiTheme="majorHAnsi" w:hAnsiTheme="majorHAnsi"/>
                <w:szCs w:val="18"/>
              </w:rPr>
              <w:t>In Nederland vallen overeenkomsten voor effectenkrediet en de in artikel 2, tweede lid, onderdelen i t/m l en artikel 2, zesde lid van de CCD</w:t>
            </w:r>
            <w:r w:rsidRPr="00FA0D75" w:rsidR="00832719">
              <w:rPr>
                <w:rFonts w:asciiTheme="majorHAnsi" w:hAnsiTheme="majorHAnsi"/>
                <w:szCs w:val="18"/>
              </w:rPr>
              <w:t xml:space="preserve"> genoemde kredieten</w:t>
            </w:r>
            <w:r w:rsidRPr="00FA0D75">
              <w:rPr>
                <w:rFonts w:asciiTheme="majorHAnsi" w:hAnsiTheme="majorHAnsi"/>
                <w:szCs w:val="18"/>
              </w:rPr>
              <w:t xml:space="preserve"> (onder bepaalde voorwaarden) onder de regels voor consumptief krediet.</w:t>
            </w:r>
            <w:r w:rsidRPr="00FA0D75" w:rsidR="00832719">
              <w:rPr>
                <w:rStyle w:val="Voetnootmarkering"/>
                <w:rFonts w:asciiTheme="majorHAnsi" w:hAnsiTheme="majorHAnsi"/>
                <w:szCs w:val="18"/>
              </w:rPr>
              <w:footnoteReference w:id="41"/>
            </w:r>
          </w:p>
          <w:p w:rsidRPr="00FA0D75" w:rsidR="00DF2FB9" w:rsidP="00DF2FB9" w:rsidRDefault="00DF2FB9" w14:paraId="3DDB7DF4" w14:textId="50B555E3">
            <w:pPr>
              <w:pStyle w:val="Lijstalinea"/>
              <w:numPr>
                <w:ilvl w:val="0"/>
                <w:numId w:val="16"/>
              </w:numPr>
              <w:ind w:left="292" w:hanging="292"/>
              <w:rPr>
                <w:rFonts w:asciiTheme="majorHAnsi" w:hAnsiTheme="majorHAnsi"/>
                <w:szCs w:val="18"/>
              </w:rPr>
            </w:pPr>
            <w:r w:rsidRPr="00FA0D75">
              <w:rPr>
                <w:rFonts w:asciiTheme="majorHAnsi" w:hAnsiTheme="majorHAnsi"/>
                <w:szCs w:val="18"/>
              </w:rPr>
              <w:t>Nederland heeft de mogelijkheden van het vragen van een vergoeding bij vervroegde aflossing beperkt.</w:t>
            </w:r>
            <w:r w:rsidRPr="00FA0D75" w:rsidR="00832719">
              <w:rPr>
                <w:rStyle w:val="Voetnootmarkering"/>
                <w:rFonts w:asciiTheme="majorHAnsi" w:hAnsiTheme="majorHAnsi"/>
                <w:szCs w:val="18"/>
              </w:rPr>
              <w:footnoteReference w:id="42"/>
            </w:r>
            <w:r w:rsidRPr="00FA0D75">
              <w:rPr>
                <w:rFonts w:asciiTheme="majorHAnsi" w:hAnsiTheme="majorHAnsi"/>
                <w:szCs w:val="18"/>
              </w:rPr>
              <w:t xml:space="preserve"> </w:t>
            </w:r>
          </w:p>
          <w:p w:rsidRPr="00FA0D75" w:rsidR="00DF2FB9" w:rsidP="00DF2FB9" w:rsidRDefault="00DF2FB9" w14:paraId="287BBC1B" w14:textId="5ED2917B">
            <w:pPr>
              <w:pStyle w:val="Lijstalinea"/>
              <w:numPr>
                <w:ilvl w:val="0"/>
                <w:numId w:val="16"/>
              </w:numPr>
              <w:ind w:left="292" w:hanging="292"/>
              <w:rPr>
                <w:rFonts w:asciiTheme="majorHAnsi" w:hAnsiTheme="majorHAnsi"/>
                <w:szCs w:val="18"/>
              </w:rPr>
            </w:pPr>
            <w:r w:rsidRPr="00FA0D75">
              <w:rPr>
                <w:rFonts w:asciiTheme="majorHAnsi" w:hAnsiTheme="majorHAnsi"/>
                <w:szCs w:val="18"/>
              </w:rPr>
              <w:t>In Nederland omvatten de regels voor de kredietwaardigheidstoets in bepaalde gevallen een verplichte verificatie van aangeleverde informatie.</w:t>
            </w:r>
            <w:r w:rsidRPr="00FA0D75" w:rsidR="00832719">
              <w:rPr>
                <w:rStyle w:val="Voetnootmarkering"/>
                <w:rFonts w:asciiTheme="majorHAnsi" w:hAnsiTheme="majorHAnsi"/>
                <w:szCs w:val="18"/>
              </w:rPr>
              <w:footnoteReference w:id="43"/>
            </w:r>
          </w:p>
          <w:p w:rsidRPr="00FA0D75" w:rsidR="00DF2FB9" w:rsidP="00DF2FB9" w:rsidRDefault="00DF2FB9" w14:paraId="2DEC0FB5" w14:textId="01675A1D">
            <w:pPr>
              <w:pStyle w:val="Lijstalinea"/>
              <w:numPr>
                <w:ilvl w:val="0"/>
                <w:numId w:val="16"/>
              </w:numPr>
              <w:ind w:left="292" w:hanging="292"/>
              <w:rPr>
                <w:rFonts w:asciiTheme="majorHAnsi" w:hAnsiTheme="majorHAnsi"/>
                <w:szCs w:val="18"/>
              </w:rPr>
            </w:pPr>
            <w:r w:rsidRPr="00FA0D75">
              <w:rPr>
                <w:rFonts w:asciiTheme="majorHAnsi" w:hAnsiTheme="majorHAnsi"/>
                <w:szCs w:val="18"/>
              </w:rPr>
              <w:lastRenderedPageBreak/>
              <w:t>Nederland heeft een maximumpercentage gesteld aan de jaarlijkse kosten voor consumptief krediet (maximale kredietvergoeding) van – momenteel – 15%.</w:t>
            </w:r>
            <w:r w:rsidRPr="00FA0D75" w:rsidR="00832719">
              <w:rPr>
                <w:rStyle w:val="Voetnootmarkering"/>
                <w:rFonts w:asciiTheme="majorHAnsi" w:hAnsiTheme="majorHAnsi"/>
                <w:szCs w:val="18"/>
              </w:rPr>
              <w:footnoteReference w:id="44"/>
            </w:r>
            <w:r w:rsidRPr="00FA0D75">
              <w:rPr>
                <w:rFonts w:asciiTheme="majorHAnsi" w:hAnsiTheme="majorHAnsi"/>
                <w:szCs w:val="18"/>
              </w:rPr>
              <w:t xml:space="preserve"> </w:t>
            </w:r>
          </w:p>
          <w:p w:rsidRPr="00FA0D75" w:rsidR="00DF2FB9" w:rsidP="00DF2FB9" w:rsidRDefault="00DF2FB9" w14:paraId="5423598F" w14:textId="6F7879A5">
            <w:pPr>
              <w:pStyle w:val="Lijstalinea"/>
              <w:numPr>
                <w:ilvl w:val="0"/>
                <w:numId w:val="16"/>
              </w:numPr>
              <w:ind w:left="292" w:hanging="292"/>
              <w:rPr>
                <w:rFonts w:asciiTheme="majorHAnsi" w:hAnsiTheme="majorHAnsi"/>
                <w:szCs w:val="18"/>
              </w:rPr>
            </w:pPr>
            <w:r w:rsidRPr="00FA0D75">
              <w:rPr>
                <w:rFonts w:asciiTheme="majorHAnsi" w:hAnsiTheme="majorHAnsi"/>
                <w:szCs w:val="18"/>
              </w:rPr>
              <w:t>Nederland heeft ten aanzien van kredietregistratie de verplichting opgenomen om BKR te raadplegen vanaf 250 euro.</w:t>
            </w:r>
            <w:r w:rsidRPr="00FA0D75" w:rsidR="00832719">
              <w:rPr>
                <w:rStyle w:val="Voetnootmarkering"/>
                <w:rFonts w:asciiTheme="majorHAnsi" w:hAnsiTheme="majorHAnsi"/>
                <w:szCs w:val="18"/>
              </w:rPr>
              <w:footnoteReference w:id="45"/>
            </w:r>
            <w:r w:rsidRPr="00FA0D75">
              <w:rPr>
                <w:rFonts w:asciiTheme="majorHAnsi" w:hAnsiTheme="majorHAnsi"/>
                <w:szCs w:val="18"/>
              </w:rPr>
              <w:t xml:space="preserve"> </w:t>
            </w:r>
          </w:p>
          <w:p w:rsidRPr="00FA0D75" w:rsidR="00DF2FB9" w:rsidP="00DF2FB9" w:rsidRDefault="00DF2FB9" w14:paraId="3C05619E" w14:textId="617734C1">
            <w:pPr>
              <w:pStyle w:val="Lijstalinea"/>
              <w:numPr>
                <w:ilvl w:val="0"/>
                <w:numId w:val="16"/>
              </w:numPr>
              <w:ind w:left="292" w:hanging="292"/>
              <w:rPr>
                <w:rFonts w:asciiTheme="majorHAnsi" w:hAnsiTheme="majorHAnsi"/>
                <w:szCs w:val="18"/>
              </w:rPr>
            </w:pPr>
            <w:r w:rsidRPr="00FA0D75">
              <w:rPr>
                <w:rFonts w:asciiTheme="majorHAnsi" w:hAnsiTheme="majorHAnsi"/>
                <w:szCs w:val="18"/>
              </w:rPr>
              <w:t xml:space="preserve">Het wetsvoorstel voor de implementatie van de herziene CCD wordt naar verwachting in Q1 2026 ingediend </w:t>
            </w:r>
            <w:r w:rsidR="00041E38">
              <w:rPr>
                <w:rFonts w:asciiTheme="majorHAnsi" w:hAnsiTheme="majorHAnsi"/>
                <w:szCs w:val="18"/>
              </w:rPr>
              <w:t>bij</w:t>
            </w:r>
            <w:r w:rsidRPr="00FA0D75">
              <w:rPr>
                <w:rFonts w:asciiTheme="majorHAnsi" w:hAnsiTheme="majorHAnsi"/>
                <w:szCs w:val="18"/>
              </w:rPr>
              <w:t xml:space="preserve"> de TK. </w:t>
            </w:r>
          </w:p>
        </w:tc>
      </w:tr>
    </w:tbl>
    <w:p w:rsidRPr="00FA0D75" w:rsidR="00A17C6E" w:rsidP="00D92A48" w:rsidRDefault="00A17C6E" w14:paraId="739E3266" w14:textId="77777777">
      <w:pPr>
        <w:rPr>
          <w:rFonts w:asciiTheme="majorHAnsi" w:hAnsiTheme="majorHAnsi"/>
          <w:szCs w:val="18"/>
        </w:rPr>
      </w:pPr>
    </w:p>
    <w:sectPr w:rsidRPr="00FA0D75" w:rsidR="00A17C6E" w:rsidSect="00782CC3">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523C" w14:textId="77777777" w:rsidR="00BC57F5" w:rsidRDefault="00BC57F5" w:rsidP="007F58F7">
      <w:pPr>
        <w:spacing w:after="0" w:line="240" w:lineRule="auto"/>
      </w:pPr>
      <w:r>
        <w:separator/>
      </w:r>
    </w:p>
  </w:endnote>
  <w:endnote w:type="continuationSeparator" w:id="0">
    <w:p w14:paraId="124BCCA2" w14:textId="77777777" w:rsidR="00BC57F5" w:rsidRDefault="00BC57F5" w:rsidP="007F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1819" w14:textId="77777777" w:rsidR="00BC57F5" w:rsidRDefault="00BC57F5" w:rsidP="007F58F7">
      <w:pPr>
        <w:spacing w:after="0" w:line="240" w:lineRule="auto"/>
      </w:pPr>
      <w:r>
        <w:separator/>
      </w:r>
    </w:p>
  </w:footnote>
  <w:footnote w:type="continuationSeparator" w:id="0">
    <w:p w14:paraId="284AFE1D" w14:textId="77777777" w:rsidR="00BC57F5" w:rsidRDefault="00BC57F5" w:rsidP="007F58F7">
      <w:pPr>
        <w:spacing w:after="0" w:line="240" w:lineRule="auto"/>
      </w:pPr>
      <w:r>
        <w:continuationSeparator/>
      </w:r>
    </w:p>
  </w:footnote>
  <w:footnote w:id="1">
    <w:p w14:paraId="2B3C2F6E" w14:textId="24D20A0B"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p>
  </w:footnote>
  <w:footnote w:id="2">
    <w:p w14:paraId="7B98C9B3" w14:textId="081A36A7"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Verordening (EU) 2024/1624 van het Europees Parlement en de Raad van 31 mei 2024 tot voorkoming van het gebruik van het financiële stelsel voor witwassen of terrorismefinanciering.</w:t>
      </w:r>
    </w:p>
  </w:footnote>
  <w:footnote w:id="3">
    <w:p w14:paraId="3094EB00" w14:textId="77777777" w:rsidR="00CE417F" w:rsidRPr="00EC5107" w:rsidRDefault="00CE417F" w:rsidP="00CE417F">
      <w:pPr>
        <w:pStyle w:val="Voetnoottekst"/>
        <w:rPr>
          <w:sz w:val="16"/>
          <w:szCs w:val="16"/>
        </w:rPr>
      </w:pPr>
      <w:r w:rsidRPr="00EC5107">
        <w:rPr>
          <w:rStyle w:val="Voetnootmarkering"/>
          <w:sz w:val="16"/>
          <w:szCs w:val="16"/>
        </w:rPr>
        <w:footnoteRef/>
      </w:r>
      <w:r w:rsidRPr="00EC5107">
        <w:rPr>
          <w:sz w:val="16"/>
          <w:szCs w:val="16"/>
        </w:rP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w:t>
      </w:r>
    </w:p>
  </w:footnote>
  <w:footnote w:id="4">
    <w:p w14:paraId="429FC142" w14:textId="5A193AEC"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Verordening (EU) Nr. 575/2013 van het Europees Parlement en de Raad van 26 juni 2013 betreffende prudentiële vereisten voor kredietinstellingen en beleggingsondernemingen en tot wijziging van Verordening (EU) nr. 648/2012.</w:t>
      </w:r>
    </w:p>
  </w:footnote>
  <w:footnote w:id="5">
    <w:p w14:paraId="4E0719BC" w14:textId="2DB631A2" w:rsidR="00977EBE" w:rsidRPr="00EC5107" w:rsidRDefault="00977EBE">
      <w:pPr>
        <w:pStyle w:val="Voetnoottekst"/>
        <w:rPr>
          <w:sz w:val="16"/>
          <w:szCs w:val="16"/>
        </w:rPr>
      </w:pPr>
      <w:r w:rsidRPr="00EC5107">
        <w:rPr>
          <w:rStyle w:val="Voetnootmarkering"/>
          <w:sz w:val="16"/>
          <w:szCs w:val="16"/>
        </w:rPr>
        <w:footnoteRef/>
      </w:r>
      <w:r w:rsidRPr="00EC5107">
        <w:rPr>
          <w:sz w:val="16"/>
          <w:szCs w:val="16"/>
        </w:rPr>
        <w:t xml:space="preserve"> Richtlijn 2014/17/ЕU van het Europees Parlement en de Raad van 4 februari 2014 inzake kredietovereenkomsten voor consumenten met betrekking tot voor bewoning bestemde onroerende goederen en tot wijziging van de Richtlijnen 2008/48/EG en 2013/36/EU en Verordening (EU) nr. 1093/2010.</w:t>
      </w:r>
    </w:p>
  </w:footnote>
  <w:footnote w:id="6">
    <w:p w14:paraId="39C47CAF" w14:textId="0E6F7990" w:rsidR="00977EBE" w:rsidRPr="00EC5107" w:rsidRDefault="00977EBE">
      <w:pPr>
        <w:pStyle w:val="Voetnoottekst"/>
        <w:rPr>
          <w:sz w:val="16"/>
          <w:szCs w:val="16"/>
        </w:rPr>
      </w:pPr>
      <w:r w:rsidRPr="00EC5107">
        <w:rPr>
          <w:rStyle w:val="Voetnootmarkering"/>
          <w:sz w:val="16"/>
          <w:szCs w:val="16"/>
        </w:rPr>
        <w:footnoteRef/>
      </w:r>
      <w:r w:rsidRPr="00EC5107">
        <w:rPr>
          <w:sz w:val="16"/>
          <w:szCs w:val="16"/>
        </w:rPr>
        <w:t xml:space="preserve"> Richtlijn (EU) 2016/97 van het Europees Parlement en de Raad van 20 januari 2016 betreffende verzekeringsdistributie (herschikking).</w:t>
      </w:r>
    </w:p>
  </w:footnote>
  <w:footnote w:id="7">
    <w:p w14:paraId="2929FA70" w14:textId="2B67E14E" w:rsidR="008F278F" w:rsidRPr="00EC5107" w:rsidRDefault="008F278F">
      <w:pPr>
        <w:pStyle w:val="Voetnoottekst"/>
        <w:rPr>
          <w:sz w:val="16"/>
          <w:szCs w:val="16"/>
        </w:rPr>
      </w:pPr>
      <w:r w:rsidRPr="00EC5107">
        <w:rPr>
          <w:rStyle w:val="Voetnootmarkering"/>
          <w:sz w:val="16"/>
          <w:szCs w:val="16"/>
        </w:rPr>
        <w:footnoteRef/>
      </w:r>
      <w:r w:rsidRPr="00EC5107">
        <w:rPr>
          <w:sz w:val="16"/>
          <w:szCs w:val="16"/>
        </w:rPr>
        <w:t xml:space="preserve"> Richtlijn 2014/65/EU van het Europees Parlement en de Raad van 15 mei 2014 betreffende markten voor financiële instrumenten en tot wijziging van Richtlijn 2002/92/EG en Richtlijn 2011/61/EU (herschikking).</w:t>
      </w:r>
    </w:p>
  </w:footnote>
  <w:footnote w:id="8">
    <w:p w14:paraId="055F67DC" w14:textId="16D51255" w:rsidR="008D7F36" w:rsidRPr="00EC5107" w:rsidRDefault="008D7F36">
      <w:pPr>
        <w:pStyle w:val="Voetnoottekst"/>
        <w:rPr>
          <w:sz w:val="16"/>
          <w:szCs w:val="16"/>
        </w:rPr>
      </w:pPr>
      <w:r w:rsidRPr="00EC5107">
        <w:rPr>
          <w:rStyle w:val="Voetnootmarkering"/>
          <w:sz w:val="16"/>
          <w:szCs w:val="16"/>
        </w:rPr>
        <w:footnoteRef/>
      </w:r>
      <w:r w:rsidRPr="00EC5107">
        <w:rPr>
          <w:sz w:val="16"/>
          <w:szCs w:val="16"/>
        </w:rPr>
        <w:t xml:space="preserve"> Artikel 68c Besluit Gedragstoezicht financiële ondernemingen </w:t>
      </w:r>
      <w:proofErr w:type="spellStart"/>
      <w:r w:rsidRPr="00EC5107">
        <w:rPr>
          <w:sz w:val="16"/>
          <w:szCs w:val="16"/>
        </w:rPr>
        <w:t>Wft</w:t>
      </w:r>
      <w:proofErr w:type="spellEnd"/>
      <w:r w:rsidRPr="00EC5107">
        <w:rPr>
          <w:sz w:val="16"/>
          <w:szCs w:val="16"/>
        </w:rPr>
        <w:t xml:space="preserve"> (</w:t>
      </w:r>
      <w:proofErr w:type="spellStart"/>
      <w:r w:rsidRPr="00EC5107">
        <w:rPr>
          <w:sz w:val="16"/>
          <w:szCs w:val="16"/>
        </w:rPr>
        <w:t>BGfo</w:t>
      </w:r>
      <w:proofErr w:type="spellEnd"/>
      <w:r w:rsidRPr="00EC5107">
        <w:rPr>
          <w:sz w:val="16"/>
          <w:szCs w:val="16"/>
        </w:rPr>
        <w:t>)</w:t>
      </w:r>
    </w:p>
  </w:footnote>
  <w:footnote w:id="9">
    <w:p w14:paraId="7E3C51D3" w14:textId="45CE2969"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Artikel 155 </w:t>
      </w:r>
      <w:proofErr w:type="spellStart"/>
      <w:r w:rsidRPr="00EC5107">
        <w:rPr>
          <w:sz w:val="16"/>
          <w:szCs w:val="16"/>
        </w:rPr>
        <w:t>B</w:t>
      </w:r>
      <w:r w:rsidR="008D7F36" w:rsidRPr="00EC5107">
        <w:rPr>
          <w:sz w:val="16"/>
          <w:szCs w:val="16"/>
        </w:rPr>
        <w:t>Gf</w:t>
      </w:r>
      <w:r w:rsidR="00832719" w:rsidRPr="00EC5107">
        <w:rPr>
          <w:sz w:val="16"/>
          <w:szCs w:val="16"/>
        </w:rPr>
        <w:t>o</w:t>
      </w:r>
      <w:proofErr w:type="spellEnd"/>
      <w:r w:rsidRPr="00EC5107">
        <w:rPr>
          <w:sz w:val="16"/>
          <w:szCs w:val="16"/>
        </w:rPr>
        <w:t xml:space="preserve"> </w:t>
      </w:r>
      <w:r w:rsidR="001462DA">
        <w:rPr>
          <w:sz w:val="16"/>
          <w:szCs w:val="16"/>
        </w:rPr>
        <w:t>e.v</w:t>
      </w:r>
      <w:r w:rsidRPr="00EC5107">
        <w:rPr>
          <w:sz w:val="16"/>
          <w:szCs w:val="16"/>
        </w:rPr>
        <w:t>.</w:t>
      </w:r>
    </w:p>
  </w:footnote>
  <w:footnote w:id="10">
    <w:p w14:paraId="68C0EA27" w14:textId="155E4E1D" w:rsidR="008D7F36" w:rsidRPr="00EC5107" w:rsidRDefault="008D7F36">
      <w:pPr>
        <w:pStyle w:val="Voetnoottekst"/>
        <w:rPr>
          <w:sz w:val="16"/>
          <w:szCs w:val="16"/>
        </w:rPr>
      </w:pPr>
      <w:r w:rsidRPr="00EC5107">
        <w:rPr>
          <w:rStyle w:val="Voetnootmarkering"/>
          <w:sz w:val="16"/>
          <w:szCs w:val="16"/>
        </w:rPr>
        <w:footnoteRef/>
      </w:r>
      <w:r w:rsidRPr="00EC5107">
        <w:rPr>
          <w:sz w:val="16"/>
          <w:szCs w:val="16"/>
        </w:rPr>
        <w:t xml:space="preserve"> Artikel 86d </w:t>
      </w:r>
      <w:proofErr w:type="spellStart"/>
      <w:r w:rsidRPr="00EC5107">
        <w:rPr>
          <w:sz w:val="16"/>
          <w:szCs w:val="16"/>
        </w:rPr>
        <w:t>BGfo</w:t>
      </w:r>
      <w:proofErr w:type="spellEnd"/>
      <w:r w:rsidRPr="00EC5107">
        <w:rPr>
          <w:sz w:val="16"/>
          <w:szCs w:val="16"/>
        </w:rPr>
        <w:t>.</w:t>
      </w:r>
    </w:p>
  </w:footnote>
  <w:footnote w:id="11">
    <w:p w14:paraId="0C82B595" w14:textId="229F862B"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(EU) 2023/2225 van het Europees Parlement en de Raad van 18 oktober 2023 inzake kredietovereenkomsten voor consumenten en tot intrekking van Richtlijn 2008/48/EG.</w:t>
      </w:r>
    </w:p>
  </w:footnote>
  <w:footnote w:id="12">
    <w:p w14:paraId="0E067A47" w14:textId="6629681B" w:rsidR="002117C6" w:rsidRPr="00EC5107" w:rsidRDefault="002117C6">
      <w:pPr>
        <w:pStyle w:val="Voetnoottekst"/>
        <w:rPr>
          <w:sz w:val="16"/>
          <w:szCs w:val="16"/>
        </w:rPr>
      </w:pPr>
      <w:r w:rsidRPr="00EC5107">
        <w:rPr>
          <w:rStyle w:val="Voetnootmarkering"/>
          <w:sz w:val="16"/>
          <w:szCs w:val="16"/>
        </w:rPr>
        <w:footnoteRef/>
      </w:r>
      <w:r w:rsidRPr="00EC5107">
        <w:rPr>
          <w:sz w:val="16"/>
          <w:szCs w:val="16"/>
        </w:rPr>
        <w:t xml:space="preserve"> Artikel 4:9, tweede tot en met vierde lid, Wft en hoofdstuk 2 </w:t>
      </w:r>
      <w:proofErr w:type="spellStart"/>
      <w:r w:rsidRPr="00EC5107">
        <w:rPr>
          <w:sz w:val="16"/>
          <w:szCs w:val="16"/>
        </w:rPr>
        <w:t>BGfo</w:t>
      </w:r>
      <w:proofErr w:type="spellEnd"/>
      <w:r w:rsidRPr="00EC5107">
        <w:rPr>
          <w:sz w:val="16"/>
          <w:szCs w:val="16"/>
        </w:rPr>
        <w:t>.</w:t>
      </w:r>
    </w:p>
  </w:footnote>
  <w:footnote w:id="13">
    <w:p w14:paraId="1C77AF5C" w14:textId="42D5F671" w:rsidR="000505D2" w:rsidRPr="00EC5107" w:rsidRDefault="000505D2" w:rsidP="00AD7AD6">
      <w:pPr>
        <w:spacing w:after="0"/>
        <w:rPr>
          <w:sz w:val="16"/>
          <w:szCs w:val="16"/>
        </w:rPr>
      </w:pPr>
      <w:r w:rsidRPr="00EC5107">
        <w:rPr>
          <w:rStyle w:val="Voetnootmarkering"/>
          <w:sz w:val="16"/>
          <w:szCs w:val="16"/>
        </w:rPr>
        <w:footnoteRef/>
      </w:r>
      <w:r w:rsidRPr="00EC5107">
        <w:rPr>
          <w:sz w:val="16"/>
          <w:szCs w:val="16"/>
        </w:rPr>
        <w:t xml:space="preserve">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w:t>
      </w:r>
    </w:p>
  </w:footnote>
  <w:footnote w:id="14">
    <w:p w14:paraId="318A4DE0" w14:textId="01D7E6CB" w:rsidR="008D7F36" w:rsidRPr="00EC5107" w:rsidRDefault="008D7F36">
      <w:pPr>
        <w:pStyle w:val="Voetnoottekst"/>
        <w:rPr>
          <w:sz w:val="16"/>
          <w:szCs w:val="16"/>
        </w:rPr>
      </w:pPr>
      <w:r w:rsidRPr="00EC5107">
        <w:rPr>
          <w:rStyle w:val="Voetnootmarkering"/>
          <w:sz w:val="16"/>
          <w:szCs w:val="16"/>
        </w:rPr>
        <w:footnoteRef/>
      </w:r>
      <w:r w:rsidRPr="00EC5107">
        <w:rPr>
          <w:sz w:val="16"/>
          <w:szCs w:val="16"/>
        </w:rPr>
        <w:t xml:space="preserve"> Artikel 5:38, eerste en tweede lid, en 5:39, eerste lid, Wft.</w:t>
      </w:r>
    </w:p>
  </w:footnote>
  <w:footnote w:id="15">
    <w:p w14:paraId="0BEABDA4" w14:textId="09DF58B6" w:rsidR="00977EBE" w:rsidRPr="00EC5107" w:rsidRDefault="00977EBE">
      <w:pPr>
        <w:pStyle w:val="Voetnoottekst"/>
        <w:rPr>
          <w:sz w:val="16"/>
          <w:szCs w:val="16"/>
        </w:rPr>
      </w:pPr>
      <w:r w:rsidRPr="00EC5107">
        <w:rPr>
          <w:rStyle w:val="Voetnootmarkering"/>
          <w:sz w:val="16"/>
          <w:szCs w:val="16"/>
        </w:rPr>
        <w:footnoteRef/>
      </w:r>
      <w:r w:rsidRPr="00EC5107">
        <w:rPr>
          <w:sz w:val="16"/>
          <w:szCs w:val="16"/>
        </w:rPr>
        <w:t xml:space="preserve"> Artikel 5:38, derde lid, </w:t>
      </w:r>
      <w:r w:rsidR="008D7F36" w:rsidRPr="00EC5107">
        <w:rPr>
          <w:sz w:val="16"/>
          <w:szCs w:val="16"/>
        </w:rPr>
        <w:t xml:space="preserve">en 5:39, tweede lid, </w:t>
      </w:r>
      <w:r w:rsidRPr="00EC5107">
        <w:rPr>
          <w:sz w:val="16"/>
          <w:szCs w:val="16"/>
        </w:rPr>
        <w:t>Wft.</w:t>
      </w:r>
    </w:p>
  </w:footnote>
  <w:footnote w:id="16">
    <w:p w14:paraId="27C4F041" w14:textId="5031CD29"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w:t>
      </w:r>
    </w:p>
  </w:footnote>
  <w:footnote w:id="17">
    <w:p w14:paraId="56AABBC6" w14:textId="639D2812" w:rsidR="002117C6" w:rsidRPr="00EC5107" w:rsidRDefault="002117C6">
      <w:pPr>
        <w:pStyle w:val="Voetnoottekst"/>
        <w:rPr>
          <w:sz w:val="16"/>
          <w:szCs w:val="16"/>
        </w:rPr>
      </w:pPr>
      <w:r w:rsidRPr="00EC5107">
        <w:rPr>
          <w:rStyle w:val="Voetnootmarkering"/>
          <w:sz w:val="16"/>
          <w:szCs w:val="16"/>
        </w:rPr>
        <w:footnoteRef/>
      </w:r>
      <w:r w:rsidRPr="00EC5107">
        <w:rPr>
          <w:sz w:val="16"/>
          <w:szCs w:val="16"/>
        </w:rPr>
        <w:t xml:space="preserve"> Artikel 1a Besluit toezicht accountantsorganisaties.</w:t>
      </w:r>
    </w:p>
  </w:footnote>
  <w:footnote w:id="18">
    <w:p w14:paraId="7D722804" w14:textId="46B32A49"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Verordening (EU) nr. 537/2014 van het Europees Parlement en de Raad van 16 april 2014 betreffende specifieke eisen voor de wettelijke controles van financiële overzichten van organisaties van openbaar belang en tot intrekking van Besluit 2005/909/EG van de Commissie.</w:t>
      </w:r>
    </w:p>
  </w:footnote>
  <w:footnote w:id="19">
    <w:p w14:paraId="4E76416D" w14:textId="0D4CE6F0" w:rsidR="00EC5107" w:rsidRPr="00EC5107" w:rsidRDefault="00EC5107">
      <w:pPr>
        <w:pStyle w:val="Voetnoottekst"/>
        <w:rPr>
          <w:sz w:val="16"/>
          <w:szCs w:val="16"/>
        </w:rPr>
      </w:pPr>
      <w:r w:rsidRPr="00EC5107">
        <w:rPr>
          <w:rStyle w:val="Voetnootmarkering"/>
          <w:sz w:val="16"/>
          <w:szCs w:val="16"/>
        </w:rPr>
        <w:footnoteRef/>
      </w:r>
      <w:r w:rsidRPr="00EC5107">
        <w:rPr>
          <w:sz w:val="16"/>
          <w:szCs w:val="16"/>
        </w:rPr>
        <w:t xml:space="preserve"> Artikel 24b Wet toezicht accountantsorganisaties.</w:t>
      </w:r>
    </w:p>
  </w:footnote>
  <w:footnote w:id="20">
    <w:p w14:paraId="2D4A054C" w14:textId="23094F3E"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(EU) 2016/1164 van de Raad van 12 juli 2016 tot vaststelling van regels ter bestrijding van belastingontwijkingspraktijken welke rechtstreeks van invloed zijn op de werking van de interne markt.</w:t>
      </w:r>
    </w:p>
  </w:footnote>
  <w:footnote w:id="21">
    <w:p w14:paraId="2EC3ABEF" w14:textId="2219749C"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Art</w:t>
      </w:r>
      <w:r w:rsidR="007F6195" w:rsidRPr="00EC5107">
        <w:rPr>
          <w:sz w:val="16"/>
          <w:szCs w:val="16"/>
        </w:rPr>
        <w:t>ikel</w:t>
      </w:r>
      <w:r w:rsidRPr="00EC5107">
        <w:rPr>
          <w:sz w:val="16"/>
          <w:szCs w:val="16"/>
        </w:rPr>
        <w:t xml:space="preserve"> 15bd e.v. van de Wet op de vennootschapsbelasting 1969.</w:t>
      </w:r>
    </w:p>
  </w:footnote>
  <w:footnote w:id="22">
    <w:p w14:paraId="21A4F413" w14:textId="6F77A8C3"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Artikel 3:96 Wft.</w:t>
      </w:r>
    </w:p>
  </w:footnote>
  <w:footnote w:id="23">
    <w:p w14:paraId="2CD1A0C6" w14:textId="28826BDD"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2014/49/EU van het Europees Parlement en de Raad van 16 april 2014 inzake de depositogarantiestelsels.</w:t>
      </w:r>
    </w:p>
  </w:footnote>
  <w:footnote w:id="24">
    <w:p w14:paraId="6B67BDA1" w14:textId="41936D91"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Artikel 29.11 Besluit bijzondere prudentiële maatregelen beleggerscompensatie en depositogarantie Wft. </w:t>
      </w:r>
    </w:p>
  </w:footnote>
  <w:footnote w:id="25">
    <w:p w14:paraId="09773B02" w14:textId="2C8E40DF"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2009/138/EG van het Europees Parlement en de Raad van 25 november 2009 betreffende de toegang tot en uitoefening van het verzekerings- en het herverzekeringsbedrijf (Solvabiliteit II).</w:t>
      </w:r>
    </w:p>
  </w:footnote>
  <w:footnote w:id="26">
    <w:p w14:paraId="2F72628B" w14:textId="32793F29" w:rsidR="00AF01D5" w:rsidRPr="00EC5107" w:rsidRDefault="00AF01D5">
      <w:pPr>
        <w:pStyle w:val="Voetnoottekst"/>
        <w:rPr>
          <w:sz w:val="16"/>
          <w:szCs w:val="16"/>
        </w:rPr>
      </w:pPr>
      <w:r w:rsidRPr="00EC5107">
        <w:rPr>
          <w:rStyle w:val="Voetnootmarkering"/>
          <w:sz w:val="16"/>
          <w:szCs w:val="16"/>
        </w:rPr>
        <w:footnoteRef/>
      </w:r>
      <w:r w:rsidRPr="00EC5107">
        <w:rPr>
          <w:sz w:val="16"/>
          <w:szCs w:val="16"/>
        </w:rPr>
        <w:t xml:space="preserve"> Artikel</w:t>
      </w:r>
      <w:r w:rsidR="00D120E5" w:rsidRPr="00EC5107">
        <w:rPr>
          <w:sz w:val="16"/>
          <w:szCs w:val="16"/>
        </w:rPr>
        <w:t>en</w:t>
      </w:r>
      <w:r w:rsidRPr="00EC5107">
        <w:rPr>
          <w:sz w:val="16"/>
          <w:szCs w:val="16"/>
        </w:rPr>
        <w:t xml:space="preserve"> 2:48 Wft.</w:t>
      </w:r>
    </w:p>
  </w:footnote>
  <w:footnote w:id="27">
    <w:p w14:paraId="66DC6D7E" w14:textId="1B1FEA1B" w:rsidR="00AF01D5" w:rsidRPr="00EC5107" w:rsidRDefault="00AF01D5">
      <w:pPr>
        <w:pStyle w:val="Voetnoottekst"/>
        <w:rPr>
          <w:sz w:val="16"/>
          <w:szCs w:val="16"/>
        </w:rPr>
      </w:pPr>
      <w:r w:rsidRPr="00EC5107">
        <w:rPr>
          <w:rStyle w:val="Voetnootmarkering"/>
          <w:sz w:val="16"/>
          <w:szCs w:val="16"/>
        </w:rPr>
        <w:footnoteRef/>
      </w:r>
      <w:r w:rsidRPr="00EC5107">
        <w:rPr>
          <w:sz w:val="16"/>
          <w:szCs w:val="16"/>
        </w:rPr>
        <w:t xml:space="preserve"> Artikel </w:t>
      </w:r>
      <w:r w:rsidR="00D120E5" w:rsidRPr="00EC5107">
        <w:rPr>
          <w:sz w:val="16"/>
          <w:szCs w:val="16"/>
        </w:rPr>
        <w:t xml:space="preserve">2:49b Wft en artikelen </w:t>
      </w:r>
      <w:r w:rsidRPr="00EC5107">
        <w:rPr>
          <w:sz w:val="16"/>
          <w:szCs w:val="16"/>
        </w:rPr>
        <w:t>1e en 1f van de Vrijstellingsregeling Wft.</w:t>
      </w:r>
    </w:p>
  </w:footnote>
  <w:footnote w:id="28">
    <w:p w14:paraId="535A7B52" w14:textId="5BAD6BA2" w:rsidR="000505D2" w:rsidRPr="00EC5107" w:rsidRDefault="000505D2">
      <w:pPr>
        <w:pStyle w:val="Voetnoottekst"/>
        <w:rPr>
          <w:sz w:val="16"/>
          <w:szCs w:val="16"/>
          <w:lang w:val="de-DE"/>
        </w:rPr>
      </w:pPr>
      <w:r w:rsidRPr="00EC5107">
        <w:rPr>
          <w:rStyle w:val="Voetnootmarkering"/>
          <w:sz w:val="16"/>
          <w:szCs w:val="16"/>
        </w:rPr>
        <w:footnoteRef/>
      </w:r>
      <w:r w:rsidRPr="00EC5107">
        <w:rPr>
          <w:sz w:val="16"/>
          <w:szCs w:val="16"/>
          <w:lang w:val="de-DE"/>
        </w:rPr>
        <w:t xml:space="preserve"> Artikel 3:267e Wft.</w:t>
      </w:r>
    </w:p>
  </w:footnote>
  <w:footnote w:id="29">
    <w:p w14:paraId="03064462" w14:textId="77777777" w:rsidR="000505D2" w:rsidRPr="00EC5107" w:rsidRDefault="000505D2" w:rsidP="003F785B">
      <w:pPr>
        <w:pStyle w:val="Voetnoottekst"/>
        <w:rPr>
          <w:sz w:val="16"/>
          <w:szCs w:val="16"/>
          <w:lang w:val="de-DE"/>
        </w:rPr>
      </w:pPr>
      <w:r w:rsidRPr="00EC5107">
        <w:rPr>
          <w:rStyle w:val="Voetnootmarkering"/>
          <w:sz w:val="16"/>
          <w:szCs w:val="16"/>
        </w:rPr>
        <w:footnoteRef/>
      </w:r>
      <w:r w:rsidRPr="00EC5107">
        <w:rPr>
          <w:sz w:val="16"/>
          <w:szCs w:val="16"/>
          <w:lang w:val="de-DE"/>
        </w:rPr>
        <w:t xml:space="preserve"> Artikel 3:97 Wft.</w:t>
      </w:r>
    </w:p>
  </w:footnote>
  <w:footnote w:id="30">
    <w:p w14:paraId="191B4D86" w14:textId="490FCF39" w:rsidR="008D7F36" w:rsidRPr="00EC5107" w:rsidRDefault="008D7F36">
      <w:pPr>
        <w:pStyle w:val="Voetnoottekst"/>
        <w:rPr>
          <w:sz w:val="16"/>
          <w:szCs w:val="16"/>
        </w:rPr>
      </w:pPr>
      <w:r w:rsidRPr="00EC5107">
        <w:rPr>
          <w:rStyle w:val="Voetnootmarkering"/>
          <w:sz w:val="16"/>
          <w:szCs w:val="16"/>
        </w:rPr>
        <w:footnoteRef/>
      </w:r>
      <w:r w:rsidRPr="00EC5107">
        <w:rPr>
          <w:sz w:val="16"/>
          <w:szCs w:val="16"/>
        </w:rPr>
        <w:t xml:space="preserve"> Artikel 2:103c Wft.</w:t>
      </w:r>
    </w:p>
  </w:footnote>
  <w:footnote w:id="31">
    <w:p w14:paraId="16F91EAF" w14:textId="605EBD14" w:rsidR="008D7F36" w:rsidRPr="00EC5107" w:rsidRDefault="008D7F36">
      <w:pPr>
        <w:pStyle w:val="Voetnoottekst"/>
        <w:rPr>
          <w:sz w:val="16"/>
          <w:szCs w:val="16"/>
        </w:rPr>
      </w:pPr>
      <w:r w:rsidRPr="00EC5107">
        <w:rPr>
          <w:rStyle w:val="Voetnootmarkering"/>
          <w:sz w:val="16"/>
          <w:szCs w:val="16"/>
        </w:rPr>
        <w:footnoteRef/>
      </w:r>
      <w:r w:rsidRPr="00EC5107">
        <w:rPr>
          <w:sz w:val="16"/>
          <w:szCs w:val="16"/>
        </w:rPr>
        <w:t xml:space="preserve"> Artikel 2:104 Wft en artikel 10, eerste lid, Vrijstellingsregeling Wft.</w:t>
      </w:r>
    </w:p>
  </w:footnote>
  <w:footnote w:id="32">
    <w:p w14:paraId="6D192521" w14:textId="77777777" w:rsidR="00EC5107" w:rsidRDefault="00EC5107">
      <w:pPr>
        <w:pStyle w:val="Voetnoottekst"/>
      </w:pPr>
      <w:r>
        <w:rPr>
          <w:rStyle w:val="Voetnootmarkering"/>
        </w:rPr>
        <w:footnoteRef/>
      </w:r>
      <w:r>
        <w:t xml:space="preserve"> </w:t>
      </w:r>
      <w:r w:rsidRPr="00EC5107">
        <w:rPr>
          <w:sz w:val="16"/>
          <w:szCs w:val="16"/>
        </w:rPr>
        <w:t>Artikel 2:104 Wft en artikel 1</w:t>
      </w:r>
      <w:r>
        <w:rPr>
          <w:sz w:val="16"/>
          <w:szCs w:val="16"/>
        </w:rPr>
        <w:t>1 en 35a</w:t>
      </w:r>
      <w:r w:rsidRPr="00EC5107">
        <w:rPr>
          <w:sz w:val="16"/>
          <w:szCs w:val="16"/>
        </w:rPr>
        <w:t>, eerste lid, Vrijstellingsregeling Wft.</w:t>
      </w:r>
    </w:p>
  </w:footnote>
  <w:footnote w:id="33">
    <w:p w14:paraId="3EDDA523" w14:textId="238B2EBE"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Verordening (EU) 2019/2033 van het Europees Parlement en de Raad van 27 november 2019 betreffende prudentiële vereisten voor beleggingsondernemingen en tot wijziging van Verordeningen (EU) nr. 1093/2010, (EU) nr. 575/2013, (EU) nr. 600/2014 en (EU) nr. 806/2014 en Richtlijn (EU) 2019/2034 van het Europees Parlement en de Raad van 27 november 2019 betreffende het prudentiële toezicht op beleggingsondernemingen en tot wijziging van Richtlijnen 2002/87/EG, 2009/65/EG, 2011/61/EU, 2013/36/EU, 2014/59/EU en 2014/65/EU.</w:t>
      </w:r>
    </w:p>
  </w:footnote>
  <w:footnote w:id="34">
    <w:p w14:paraId="091C42A2" w14:textId="372CA9DB"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Artikel 1:19 Wft.</w:t>
      </w:r>
    </w:p>
  </w:footnote>
  <w:footnote w:id="35">
    <w:p w14:paraId="57A2BEA2" w14:textId="5B7111D7"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Richtlijn 2011/61/EU van het Europees Parlement en de Raad van 8 juni 2011 inzake beheerders van alternatieve beleggingsinstellingen en tot wijziging van de Richtlijnen 2003/41/EG en 2009/65/EG en van de Verordeningen (EG) nr. 1060/2009 en (EU) nr. 1095/2010.</w:t>
      </w:r>
    </w:p>
  </w:footnote>
  <w:footnote w:id="36">
    <w:p w14:paraId="737BC22C" w14:textId="23C601CB" w:rsidR="008D7F36" w:rsidRPr="00EC5107" w:rsidRDefault="008D7F36">
      <w:pPr>
        <w:pStyle w:val="Voetnoottekst"/>
        <w:rPr>
          <w:sz w:val="16"/>
          <w:szCs w:val="16"/>
        </w:rPr>
      </w:pPr>
      <w:r w:rsidRPr="00EC5107">
        <w:rPr>
          <w:rStyle w:val="Voetnootmarkering"/>
          <w:sz w:val="16"/>
          <w:szCs w:val="16"/>
        </w:rPr>
        <w:footnoteRef/>
      </w:r>
      <w:r w:rsidRPr="00EC5107">
        <w:rPr>
          <w:sz w:val="16"/>
          <w:szCs w:val="16"/>
        </w:rPr>
        <w:t xml:space="preserve"> Artikel 4:37p, eerste lid, Wft, artikelen 115p tot en met 115ee </w:t>
      </w:r>
      <w:proofErr w:type="spellStart"/>
      <w:r w:rsidRPr="00EC5107">
        <w:rPr>
          <w:sz w:val="16"/>
          <w:szCs w:val="16"/>
        </w:rPr>
        <w:t>BGfo</w:t>
      </w:r>
      <w:proofErr w:type="spellEnd"/>
      <w:r w:rsidRPr="00EC5107">
        <w:rPr>
          <w:sz w:val="16"/>
          <w:szCs w:val="16"/>
        </w:rPr>
        <w:t>.</w:t>
      </w:r>
    </w:p>
  </w:footnote>
  <w:footnote w:id="37">
    <w:p w14:paraId="45CE248E" w14:textId="599446F6" w:rsidR="000505D2" w:rsidRPr="00A03EFF" w:rsidRDefault="000505D2">
      <w:pPr>
        <w:pStyle w:val="Voetnoottekst"/>
        <w:rPr>
          <w:sz w:val="16"/>
          <w:szCs w:val="16"/>
        </w:rPr>
      </w:pPr>
      <w:r w:rsidRPr="00EC5107">
        <w:rPr>
          <w:rStyle w:val="Voetnootmarkering"/>
          <w:sz w:val="16"/>
          <w:szCs w:val="16"/>
        </w:rPr>
        <w:footnoteRef/>
      </w:r>
      <w:r w:rsidRPr="00A03EFF">
        <w:rPr>
          <w:sz w:val="16"/>
          <w:szCs w:val="16"/>
        </w:rPr>
        <w:t xml:space="preserve"> Artikel 86f </w:t>
      </w:r>
      <w:proofErr w:type="spellStart"/>
      <w:r w:rsidRPr="00A03EFF">
        <w:rPr>
          <w:sz w:val="16"/>
          <w:szCs w:val="16"/>
        </w:rPr>
        <w:t>B</w:t>
      </w:r>
      <w:r w:rsidR="00832719" w:rsidRPr="00A03EFF">
        <w:rPr>
          <w:sz w:val="16"/>
          <w:szCs w:val="16"/>
        </w:rPr>
        <w:t>Gfo</w:t>
      </w:r>
      <w:proofErr w:type="spellEnd"/>
      <w:r w:rsidRPr="00A03EFF">
        <w:rPr>
          <w:sz w:val="16"/>
          <w:szCs w:val="16"/>
        </w:rPr>
        <w:t>.</w:t>
      </w:r>
    </w:p>
  </w:footnote>
  <w:footnote w:id="38">
    <w:p w14:paraId="15C87070" w14:textId="0A2B40D0" w:rsidR="008F278F" w:rsidRPr="00EC5107" w:rsidRDefault="008F278F">
      <w:pPr>
        <w:pStyle w:val="Voetnoottekst"/>
        <w:rPr>
          <w:sz w:val="16"/>
          <w:szCs w:val="16"/>
        </w:rPr>
      </w:pPr>
      <w:r w:rsidRPr="00EC5107">
        <w:rPr>
          <w:rStyle w:val="Voetnootmarkering"/>
          <w:sz w:val="16"/>
          <w:szCs w:val="16"/>
        </w:rPr>
        <w:footnoteRef/>
      </w:r>
      <w:r w:rsidRPr="00EC5107">
        <w:rPr>
          <w:sz w:val="16"/>
          <w:szCs w:val="16"/>
        </w:rPr>
        <w:t xml:space="preserve"> Verordening (EU) nr. 648/2012 van het Europees Parlement en de Raad van 4 juli 2012 betreffende </w:t>
      </w:r>
      <w:proofErr w:type="spellStart"/>
      <w:r w:rsidRPr="00EC5107">
        <w:rPr>
          <w:sz w:val="16"/>
          <w:szCs w:val="16"/>
        </w:rPr>
        <w:t>otc</w:t>
      </w:r>
      <w:proofErr w:type="spellEnd"/>
      <w:r w:rsidRPr="00EC5107">
        <w:rPr>
          <w:sz w:val="16"/>
          <w:szCs w:val="16"/>
        </w:rPr>
        <w:t>-derivaten, centrale tegenpartijen en transactieregisters.</w:t>
      </w:r>
    </w:p>
  </w:footnote>
  <w:footnote w:id="39">
    <w:p w14:paraId="65A96462" w14:textId="518D26CC" w:rsidR="008F278F" w:rsidRPr="00EC5107" w:rsidRDefault="008F278F">
      <w:pPr>
        <w:pStyle w:val="Voetnoottekst"/>
        <w:rPr>
          <w:sz w:val="16"/>
          <w:szCs w:val="16"/>
        </w:rPr>
      </w:pPr>
      <w:r w:rsidRPr="00EC5107">
        <w:rPr>
          <w:rStyle w:val="Voetnootmarkering"/>
          <w:sz w:val="16"/>
          <w:szCs w:val="16"/>
        </w:rPr>
        <w:footnoteRef/>
      </w:r>
      <w:r w:rsidRPr="00EC5107">
        <w:rPr>
          <w:sz w:val="16"/>
          <w:szCs w:val="16"/>
        </w:rPr>
        <w:t xml:space="preserve"> Verordening (EU) nr. 909/2014 van het Europees Parlement en de Raad van 23 juli 2014 betreffende de verbetering van de effectenafwikkeling in de Europese Unie, betreffende centrale effectenbewaarinstellingen en tot wijziging van Richtlijnen 98/26/EG en 2014/65/EU en Verordening (EU) nr. 236/2012.</w:t>
      </w:r>
    </w:p>
  </w:footnote>
  <w:footnote w:id="40">
    <w:p w14:paraId="2FF6565F" w14:textId="7C89407F" w:rsidR="000505D2" w:rsidRPr="00EC5107" w:rsidRDefault="000505D2">
      <w:pPr>
        <w:pStyle w:val="Voetnoottekst"/>
        <w:rPr>
          <w:sz w:val="16"/>
          <w:szCs w:val="16"/>
        </w:rPr>
      </w:pPr>
      <w:r w:rsidRPr="00EC5107">
        <w:rPr>
          <w:rStyle w:val="Voetnootmarkering"/>
          <w:sz w:val="16"/>
          <w:szCs w:val="16"/>
        </w:rPr>
        <w:footnoteRef/>
      </w:r>
      <w:r w:rsidRPr="00EC5107">
        <w:rPr>
          <w:sz w:val="16"/>
          <w:szCs w:val="16"/>
        </w:rPr>
        <w:t xml:space="preserve"> </w:t>
      </w:r>
      <w:r w:rsidR="0022363D">
        <w:rPr>
          <w:sz w:val="16"/>
          <w:szCs w:val="16"/>
        </w:rPr>
        <w:t>A</w:t>
      </w:r>
      <w:r w:rsidRPr="00EC5107">
        <w:rPr>
          <w:sz w:val="16"/>
          <w:szCs w:val="16"/>
        </w:rPr>
        <w:t xml:space="preserve">rtikelen 3:28a en 4:27a Wft en de uitwerking daarvan in de artikelen 32aa en 32bb Besluit prudentiële regels Wft en de artikelen 108a en 108b </w:t>
      </w:r>
      <w:proofErr w:type="spellStart"/>
      <w:r w:rsidR="00832719" w:rsidRPr="00EC5107">
        <w:rPr>
          <w:sz w:val="16"/>
          <w:szCs w:val="16"/>
        </w:rPr>
        <w:t>BGfo</w:t>
      </w:r>
      <w:proofErr w:type="spellEnd"/>
      <w:r w:rsidRPr="00EC5107">
        <w:rPr>
          <w:sz w:val="16"/>
          <w:szCs w:val="16"/>
        </w:rPr>
        <w:t>.</w:t>
      </w:r>
    </w:p>
  </w:footnote>
  <w:footnote w:id="41">
    <w:p w14:paraId="5B5D5BA4" w14:textId="108F95F4" w:rsidR="00832719" w:rsidRPr="00EC5107" w:rsidRDefault="00832719">
      <w:pPr>
        <w:pStyle w:val="Voetnoottekst"/>
        <w:rPr>
          <w:sz w:val="16"/>
          <w:szCs w:val="16"/>
        </w:rPr>
      </w:pPr>
      <w:r w:rsidRPr="00EC5107">
        <w:rPr>
          <w:rStyle w:val="Voetnootmarkering"/>
          <w:sz w:val="16"/>
          <w:szCs w:val="16"/>
        </w:rPr>
        <w:footnoteRef/>
      </w:r>
      <w:r w:rsidRPr="00EC5107">
        <w:rPr>
          <w:sz w:val="16"/>
          <w:szCs w:val="16"/>
        </w:rPr>
        <w:t xml:space="preserve"> Artikel 7:59 BW e.v.</w:t>
      </w:r>
    </w:p>
  </w:footnote>
  <w:footnote w:id="42">
    <w:p w14:paraId="57ACCE10" w14:textId="509F7DD8" w:rsidR="00832719" w:rsidRPr="00EC5107" w:rsidRDefault="00832719">
      <w:pPr>
        <w:pStyle w:val="Voetnoottekst"/>
        <w:rPr>
          <w:sz w:val="16"/>
          <w:szCs w:val="16"/>
        </w:rPr>
      </w:pPr>
      <w:r w:rsidRPr="00EC5107">
        <w:rPr>
          <w:rStyle w:val="Voetnootmarkering"/>
          <w:sz w:val="16"/>
          <w:szCs w:val="16"/>
        </w:rPr>
        <w:footnoteRef/>
      </w:r>
      <w:r w:rsidRPr="00EC5107">
        <w:rPr>
          <w:sz w:val="16"/>
          <w:szCs w:val="16"/>
        </w:rPr>
        <w:t xml:space="preserve"> Artikel 7:68, derde lid, BW.</w:t>
      </w:r>
    </w:p>
  </w:footnote>
  <w:footnote w:id="43">
    <w:p w14:paraId="4F23FC91" w14:textId="7AC7B5DB" w:rsidR="00832719" w:rsidRPr="00EC5107" w:rsidRDefault="00832719">
      <w:pPr>
        <w:pStyle w:val="Voetnoottekst"/>
        <w:rPr>
          <w:sz w:val="16"/>
          <w:szCs w:val="16"/>
        </w:rPr>
      </w:pPr>
      <w:r w:rsidRPr="00EC5107">
        <w:rPr>
          <w:rStyle w:val="Voetnootmarkering"/>
          <w:sz w:val="16"/>
          <w:szCs w:val="16"/>
        </w:rPr>
        <w:footnoteRef/>
      </w:r>
      <w:r w:rsidRPr="00EC5107">
        <w:rPr>
          <w:sz w:val="16"/>
          <w:szCs w:val="16"/>
        </w:rPr>
        <w:t xml:space="preserve"> </w:t>
      </w:r>
      <w:r w:rsidR="005C10C8" w:rsidRPr="00EC5107">
        <w:rPr>
          <w:sz w:val="16"/>
          <w:szCs w:val="16"/>
        </w:rPr>
        <w:t xml:space="preserve">Artikel 113 </w:t>
      </w:r>
      <w:proofErr w:type="spellStart"/>
      <w:r w:rsidR="005C10C8" w:rsidRPr="00EC5107">
        <w:rPr>
          <w:sz w:val="16"/>
          <w:szCs w:val="16"/>
        </w:rPr>
        <w:t>BGfo</w:t>
      </w:r>
      <w:proofErr w:type="spellEnd"/>
      <w:r w:rsidR="005C10C8" w:rsidRPr="00EC5107">
        <w:rPr>
          <w:sz w:val="16"/>
          <w:szCs w:val="16"/>
        </w:rPr>
        <w:t>.</w:t>
      </w:r>
    </w:p>
  </w:footnote>
  <w:footnote w:id="44">
    <w:p w14:paraId="74F8BB3C" w14:textId="587D2CD0" w:rsidR="00832719" w:rsidRPr="00EC5107" w:rsidRDefault="00832719">
      <w:pPr>
        <w:pStyle w:val="Voetnoottekst"/>
        <w:rPr>
          <w:sz w:val="16"/>
          <w:szCs w:val="16"/>
        </w:rPr>
      </w:pPr>
      <w:r w:rsidRPr="00EC5107">
        <w:rPr>
          <w:rStyle w:val="Voetnootmarkering"/>
          <w:sz w:val="16"/>
          <w:szCs w:val="16"/>
        </w:rPr>
        <w:footnoteRef/>
      </w:r>
      <w:r w:rsidRPr="00EC5107">
        <w:rPr>
          <w:sz w:val="16"/>
          <w:szCs w:val="16"/>
        </w:rPr>
        <w:t xml:space="preserve"> Artikel 115a </w:t>
      </w:r>
      <w:proofErr w:type="spellStart"/>
      <w:r w:rsidRPr="00EC5107">
        <w:rPr>
          <w:sz w:val="16"/>
          <w:szCs w:val="16"/>
        </w:rPr>
        <w:t>BGfo</w:t>
      </w:r>
      <w:proofErr w:type="spellEnd"/>
      <w:r w:rsidRPr="00EC5107">
        <w:rPr>
          <w:sz w:val="16"/>
          <w:szCs w:val="16"/>
        </w:rPr>
        <w:t xml:space="preserve"> en Besluit kredietvergoeding.</w:t>
      </w:r>
    </w:p>
  </w:footnote>
  <w:footnote w:id="45">
    <w:p w14:paraId="7BDF9E22" w14:textId="09D92BE5" w:rsidR="00832719" w:rsidRPr="00EC5107" w:rsidRDefault="00832719">
      <w:pPr>
        <w:pStyle w:val="Voetnoottekst"/>
        <w:rPr>
          <w:sz w:val="16"/>
          <w:szCs w:val="16"/>
        </w:rPr>
      </w:pPr>
      <w:r w:rsidRPr="00EC5107">
        <w:rPr>
          <w:rStyle w:val="Voetnootmarkering"/>
          <w:sz w:val="16"/>
          <w:szCs w:val="16"/>
        </w:rPr>
        <w:footnoteRef/>
      </w:r>
      <w:r w:rsidRPr="00EC5107">
        <w:rPr>
          <w:sz w:val="16"/>
          <w:szCs w:val="16"/>
        </w:rPr>
        <w:t xml:space="preserve"> Artikel 114 </w:t>
      </w:r>
      <w:proofErr w:type="spellStart"/>
      <w:r w:rsidRPr="00EC5107">
        <w:rPr>
          <w:sz w:val="16"/>
          <w:szCs w:val="16"/>
        </w:rPr>
        <w:t>BGfo</w:t>
      </w:r>
      <w:proofErr w:type="spellEnd"/>
      <w:r w:rsidRPr="00EC5107">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39E"/>
    <w:multiLevelType w:val="hybridMultilevel"/>
    <w:tmpl w:val="9BC45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21369"/>
    <w:multiLevelType w:val="hybridMultilevel"/>
    <w:tmpl w:val="97146008"/>
    <w:lvl w:ilvl="0" w:tplc="04130001">
      <w:start w:val="1"/>
      <w:numFmt w:val="bullet"/>
      <w:lvlText w:val=""/>
      <w:lvlJc w:val="left"/>
      <w:pPr>
        <w:ind w:left="360" w:hanging="360"/>
      </w:pPr>
      <w:rPr>
        <w:rFonts w:ascii="Symbol" w:hAnsi="Symbol" w:hint="default"/>
      </w:rPr>
    </w:lvl>
    <w:lvl w:ilvl="1" w:tplc="90F4483C">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5C5C6E"/>
    <w:multiLevelType w:val="hybridMultilevel"/>
    <w:tmpl w:val="4D0C2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FC3E2F"/>
    <w:multiLevelType w:val="hybridMultilevel"/>
    <w:tmpl w:val="7166E3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0107D1"/>
    <w:multiLevelType w:val="hybridMultilevel"/>
    <w:tmpl w:val="09DCB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E674439"/>
    <w:multiLevelType w:val="hybridMultilevel"/>
    <w:tmpl w:val="4B58FE00"/>
    <w:lvl w:ilvl="0" w:tplc="AC0A838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F252171"/>
    <w:multiLevelType w:val="hybridMultilevel"/>
    <w:tmpl w:val="725EF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E94722"/>
    <w:multiLevelType w:val="hybridMultilevel"/>
    <w:tmpl w:val="61F45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716A34"/>
    <w:multiLevelType w:val="hybridMultilevel"/>
    <w:tmpl w:val="08366C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765682"/>
    <w:multiLevelType w:val="hybridMultilevel"/>
    <w:tmpl w:val="E1A874C2"/>
    <w:lvl w:ilvl="0" w:tplc="90F4483C">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764D30"/>
    <w:multiLevelType w:val="hybridMultilevel"/>
    <w:tmpl w:val="F856A5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3E4852"/>
    <w:multiLevelType w:val="hybridMultilevel"/>
    <w:tmpl w:val="D50231C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7C48C7"/>
    <w:multiLevelType w:val="hybridMultilevel"/>
    <w:tmpl w:val="EA36D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6A65B74"/>
    <w:multiLevelType w:val="hybridMultilevel"/>
    <w:tmpl w:val="534A9A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B674A1D"/>
    <w:multiLevelType w:val="hybridMultilevel"/>
    <w:tmpl w:val="0122D042"/>
    <w:lvl w:ilvl="0" w:tplc="DB5E30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B94F2E"/>
    <w:multiLevelType w:val="hybridMultilevel"/>
    <w:tmpl w:val="B2EEDD46"/>
    <w:lvl w:ilvl="0" w:tplc="04130001">
      <w:start w:val="1"/>
      <w:numFmt w:val="bullet"/>
      <w:lvlText w:val=""/>
      <w:lvlJc w:val="left"/>
      <w:pPr>
        <w:ind w:left="40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31F37138"/>
    <w:multiLevelType w:val="hybridMultilevel"/>
    <w:tmpl w:val="F9002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C80FC3"/>
    <w:multiLevelType w:val="hybridMultilevel"/>
    <w:tmpl w:val="257681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F541B0"/>
    <w:multiLevelType w:val="hybridMultilevel"/>
    <w:tmpl w:val="A0DC83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F1070A"/>
    <w:multiLevelType w:val="hybridMultilevel"/>
    <w:tmpl w:val="51522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C5076E4"/>
    <w:multiLevelType w:val="hybridMultilevel"/>
    <w:tmpl w:val="C8C4B9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ED827B8"/>
    <w:multiLevelType w:val="hybridMultilevel"/>
    <w:tmpl w:val="CB9006FC"/>
    <w:lvl w:ilvl="0" w:tplc="A36E351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7886D99"/>
    <w:multiLevelType w:val="hybridMultilevel"/>
    <w:tmpl w:val="8FECDEAE"/>
    <w:lvl w:ilvl="0" w:tplc="0413000F">
      <w:start w:val="1"/>
      <w:numFmt w:val="decimal"/>
      <w:lvlText w:val="%1."/>
      <w:lvlJc w:val="left"/>
      <w:pPr>
        <w:ind w:left="360" w:hanging="360"/>
      </w:p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23" w15:restartNumberingAfterBreak="0">
    <w:nsid w:val="49DE07CA"/>
    <w:multiLevelType w:val="hybridMultilevel"/>
    <w:tmpl w:val="0C2087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A3D39C3"/>
    <w:multiLevelType w:val="hybridMultilevel"/>
    <w:tmpl w:val="5B60F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B70352"/>
    <w:multiLevelType w:val="hybridMultilevel"/>
    <w:tmpl w:val="2458A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FA7BA5"/>
    <w:multiLevelType w:val="hybridMultilevel"/>
    <w:tmpl w:val="D19C0B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530526C3"/>
    <w:multiLevelType w:val="hybridMultilevel"/>
    <w:tmpl w:val="7E70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0C0D2E"/>
    <w:multiLevelType w:val="hybridMultilevel"/>
    <w:tmpl w:val="8CF4D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49D5E47"/>
    <w:multiLevelType w:val="hybridMultilevel"/>
    <w:tmpl w:val="91806B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A012C72"/>
    <w:multiLevelType w:val="hybridMultilevel"/>
    <w:tmpl w:val="7FB26952"/>
    <w:lvl w:ilvl="0" w:tplc="44D895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F063DC"/>
    <w:multiLevelType w:val="hybridMultilevel"/>
    <w:tmpl w:val="8D8A6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5D1076"/>
    <w:multiLevelType w:val="hybridMultilevel"/>
    <w:tmpl w:val="3F8AE6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EA611D"/>
    <w:multiLevelType w:val="hybridMultilevel"/>
    <w:tmpl w:val="5B0072B0"/>
    <w:lvl w:ilvl="0" w:tplc="A29CAF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804F3F"/>
    <w:multiLevelType w:val="hybridMultilevel"/>
    <w:tmpl w:val="F5B01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093010"/>
    <w:multiLevelType w:val="hybridMultilevel"/>
    <w:tmpl w:val="10F4C99C"/>
    <w:lvl w:ilvl="0" w:tplc="67C213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181806"/>
    <w:multiLevelType w:val="hybridMultilevel"/>
    <w:tmpl w:val="847ABA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6B67184"/>
    <w:multiLevelType w:val="hybridMultilevel"/>
    <w:tmpl w:val="705AC2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84E17F8"/>
    <w:multiLevelType w:val="hybridMultilevel"/>
    <w:tmpl w:val="66E4D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8B80366"/>
    <w:multiLevelType w:val="hybridMultilevel"/>
    <w:tmpl w:val="57E460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F331A95"/>
    <w:multiLevelType w:val="hybridMultilevel"/>
    <w:tmpl w:val="FF96D6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2360479">
    <w:abstractNumId w:val="21"/>
  </w:num>
  <w:num w:numId="2" w16cid:durableId="1789739871">
    <w:abstractNumId w:val="35"/>
  </w:num>
  <w:num w:numId="3" w16cid:durableId="650015048">
    <w:abstractNumId w:val="33"/>
  </w:num>
  <w:num w:numId="4" w16cid:durableId="380792612">
    <w:abstractNumId w:val="30"/>
  </w:num>
  <w:num w:numId="5" w16cid:durableId="1253705688">
    <w:abstractNumId w:val="5"/>
  </w:num>
  <w:num w:numId="6" w16cid:durableId="1623489805">
    <w:abstractNumId w:val="31"/>
  </w:num>
  <w:num w:numId="7" w16cid:durableId="1601058709">
    <w:abstractNumId w:val="14"/>
  </w:num>
  <w:num w:numId="8" w16cid:durableId="88308255">
    <w:abstractNumId w:val="1"/>
  </w:num>
  <w:num w:numId="9" w16cid:durableId="1938714938">
    <w:abstractNumId w:val="11"/>
  </w:num>
  <w:num w:numId="10" w16cid:durableId="309025197">
    <w:abstractNumId w:val="9"/>
  </w:num>
  <w:num w:numId="11" w16cid:durableId="1244071701">
    <w:abstractNumId w:val="32"/>
  </w:num>
  <w:num w:numId="12" w16cid:durableId="186985174">
    <w:abstractNumId w:val="10"/>
  </w:num>
  <w:num w:numId="13" w16cid:durableId="409036636">
    <w:abstractNumId w:val="40"/>
  </w:num>
  <w:num w:numId="14" w16cid:durableId="1499542350">
    <w:abstractNumId w:val="36"/>
  </w:num>
  <w:num w:numId="15" w16cid:durableId="1200171178">
    <w:abstractNumId w:val="24"/>
  </w:num>
  <w:num w:numId="16" w16cid:durableId="1095397267">
    <w:abstractNumId w:val="23"/>
  </w:num>
  <w:num w:numId="17" w16cid:durableId="1231841180">
    <w:abstractNumId w:val="2"/>
  </w:num>
  <w:num w:numId="18" w16cid:durableId="1481380277">
    <w:abstractNumId w:val="0"/>
  </w:num>
  <w:num w:numId="19" w16cid:durableId="1780369214">
    <w:abstractNumId w:val="8"/>
  </w:num>
  <w:num w:numId="20" w16cid:durableId="45809950">
    <w:abstractNumId w:val="34"/>
  </w:num>
  <w:num w:numId="21" w16cid:durableId="504052672">
    <w:abstractNumId w:val="15"/>
  </w:num>
  <w:num w:numId="22" w16cid:durableId="598608050">
    <w:abstractNumId w:val="25"/>
  </w:num>
  <w:num w:numId="23" w16cid:durableId="1439182550">
    <w:abstractNumId w:val="17"/>
  </w:num>
  <w:num w:numId="24" w16cid:durableId="756559192">
    <w:abstractNumId w:val="4"/>
  </w:num>
  <w:num w:numId="25" w16cid:durableId="391930812">
    <w:abstractNumId w:val="12"/>
  </w:num>
  <w:num w:numId="26" w16cid:durableId="447552800">
    <w:abstractNumId w:val="3"/>
  </w:num>
  <w:num w:numId="27" w16cid:durableId="583296419">
    <w:abstractNumId w:val="38"/>
  </w:num>
  <w:num w:numId="28" w16cid:durableId="37436447">
    <w:abstractNumId w:val="7"/>
  </w:num>
  <w:num w:numId="29" w16cid:durableId="562451303">
    <w:abstractNumId w:val="37"/>
  </w:num>
  <w:num w:numId="30" w16cid:durableId="1854612080">
    <w:abstractNumId w:val="29"/>
  </w:num>
  <w:num w:numId="31" w16cid:durableId="1446339946">
    <w:abstractNumId w:val="20"/>
  </w:num>
  <w:num w:numId="32" w16cid:durableId="94450219">
    <w:abstractNumId w:val="39"/>
  </w:num>
  <w:num w:numId="33" w16cid:durableId="1226258700">
    <w:abstractNumId w:val="16"/>
  </w:num>
  <w:num w:numId="34" w16cid:durableId="8353381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3967402">
    <w:abstractNumId w:val="26"/>
  </w:num>
  <w:num w:numId="36" w16cid:durableId="462770816">
    <w:abstractNumId w:val="6"/>
  </w:num>
  <w:num w:numId="37" w16cid:durableId="484393215">
    <w:abstractNumId w:val="18"/>
  </w:num>
  <w:num w:numId="38" w16cid:durableId="1993559160">
    <w:abstractNumId w:val="39"/>
  </w:num>
  <w:num w:numId="39" w16cid:durableId="1390419955">
    <w:abstractNumId w:val="28"/>
  </w:num>
  <w:num w:numId="40" w16cid:durableId="1925648045">
    <w:abstractNumId w:val="19"/>
  </w:num>
  <w:num w:numId="41" w16cid:durableId="1711342213">
    <w:abstractNumId w:val="27"/>
  </w:num>
  <w:num w:numId="42" w16cid:durableId="898858410">
    <w:abstractNumId w:val="13"/>
  </w:num>
  <w:num w:numId="43" w16cid:durableId="1731615134">
    <w:abstractNumId w:val="22"/>
  </w:num>
  <w:num w:numId="44" w16cid:durableId="4622393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C3"/>
    <w:rsid w:val="00001339"/>
    <w:rsid w:val="00003571"/>
    <w:rsid w:val="00004496"/>
    <w:rsid w:val="00012FD1"/>
    <w:rsid w:val="00014F74"/>
    <w:rsid w:val="000172EF"/>
    <w:rsid w:val="00030935"/>
    <w:rsid w:val="00031024"/>
    <w:rsid w:val="00040E65"/>
    <w:rsid w:val="00041E38"/>
    <w:rsid w:val="0004348A"/>
    <w:rsid w:val="000505D2"/>
    <w:rsid w:val="00052AE8"/>
    <w:rsid w:val="00052C60"/>
    <w:rsid w:val="00077117"/>
    <w:rsid w:val="00084ADB"/>
    <w:rsid w:val="000934D8"/>
    <w:rsid w:val="00093BF3"/>
    <w:rsid w:val="000A4C32"/>
    <w:rsid w:val="000A7C30"/>
    <w:rsid w:val="000B4F35"/>
    <w:rsid w:val="000B79CF"/>
    <w:rsid w:val="000C2554"/>
    <w:rsid w:val="000C28C6"/>
    <w:rsid w:val="000D01F8"/>
    <w:rsid w:val="000D5953"/>
    <w:rsid w:val="000D6093"/>
    <w:rsid w:val="000D6D60"/>
    <w:rsid w:val="000F6F74"/>
    <w:rsid w:val="000F79DC"/>
    <w:rsid w:val="0010417F"/>
    <w:rsid w:val="00115610"/>
    <w:rsid w:val="001225A3"/>
    <w:rsid w:val="001258E4"/>
    <w:rsid w:val="00133BD2"/>
    <w:rsid w:val="00135B2A"/>
    <w:rsid w:val="0013650E"/>
    <w:rsid w:val="00137C22"/>
    <w:rsid w:val="001400EC"/>
    <w:rsid w:val="00140CDC"/>
    <w:rsid w:val="001462DA"/>
    <w:rsid w:val="00146892"/>
    <w:rsid w:val="00160363"/>
    <w:rsid w:val="001603E5"/>
    <w:rsid w:val="00167749"/>
    <w:rsid w:val="00170793"/>
    <w:rsid w:val="0018013D"/>
    <w:rsid w:val="001821EF"/>
    <w:rsid w:val="00183F44"/>
    <w:rsid w:val="00184321"/>
    <w:rsid w:val="00185D87"/>
    <w:rsid w:val="00195BBD"/>
    <w:rsid w:val="001A081A"/>
    <w:rsid w:val="001A456A"/>
    <w:rsid w:val="001B15C2"/>
    <w:rsid w:val="001C185D"/>
    <w:rsid w:val="001C7DDE"/>
    <w:rsid w:val="001E1ED5"/>
    <w:rsid w:val="001E6197"/>
    <w:rsid w:val="001E627F"/>
    <w:rsid w:val="002111EE"/>
    <w:rsid w:val="002117C6"/>
    <w:rsid w:val="00220F9D"/>
    <w:rsid w:val="00223156"/>
    <w:rsid w:val="0022363D"/>
    <w:rsid w:val="00233C98"/>
    <w:rsid w:val="0023757A"/>
    <w:rsid w:val="00247B1B"/>
    <w:rsid w:val="002628B5"/>
    <w:rsid w:val="00283C6B"/>
    <w:rsid w:val="00297D15"/>
    <w:rsid w:val="002A4F91"/>
    <w:rsid w:val="002A632C"/>
    <w:rsid w:val="002B4E27"/>
    <w:rsid w:val="002C5074"/>
    <w:rsid w:val="002D177A"/>
    <w:rsid w:val="002D4446"/>
    <w:rsid w:val="002E6EEE"/>
    <w:rsid w:val="002F64D2"/>
    <w:rsid w:val="002F6BC0"/>
    <w:rsid w:val="002F7EF7"/>
    <w:rsid w:val="00323333"/>
    <w:rsid w:val="003241C2"/>
    <w:rsid w:val="0033447E"/>
    <w:rsid w:val="00337E66"/>
    <w:rsid w:val="003400CA"/>
    <w:rsid w:val="003420B0"/>
    <w:rsid w:val="00351549"/>
    <w:rsid w:val="00362391"/>
    <w:rsid w:val="00373483"/>
    <w:rsid w:val="003752E7"/>
    <w:rsid w:val="00375B74"/>
    <w:rsid w:val="003767B1"/>
    <w:rsid w:val="0038686F"/>
    <w:rsid w:val="003870F1"/>
    <w:rsid w:val="00391EAD"/>
    <w:rsid w:val="003A1957"/>
    <w:rsid w:val="003B2087"/>
    <w:rsid w:val="003B2292"/>
    <w:rsid w:val="003B45A2"/>
    <w:rsid w:val="003B4AD2"/>
    <w:rsid w:val="003C1F67"/>
    <w:rsid w:val="003D26E3"/>
    <w:rsid w:val="003D36CB"/>
    <w:rsid w:val="003E1D0B"/>
    <w:rsid w:val="003E6B28"/>
    <w:rsid w:val="003F4163"/>
    <w:rsid w:val="003F785B"/>
    <w:rsid w:val="00404097"/>
    <w:rsid w:val="00406D85"/>
    <w:rsid w:val="00406F94"/>
    <w:rsid w:val="00412340"/>
    <w:rsid w:val="0041392D"/>
    <w:rsid w:val="00416DE6"/>
    <w:rsid w:val="00425002"/>
    <w:rsid w:val="004260BD"/>
    <w:rsid w:val="00426CA3"/>
    <w:rsid w:val="00427587"/>
    <w:rsid w:val="00431B03"/>
    <w:rsid w:val="00444AF8"/>
    <w:rsid w:val="00453C7B"/>
    <w:rsid w:val="00454F7C"/>
    <w:rsid w:val="00470E11"/>
    <w:rsid w:val="0047249C"/>
    <w:rsid w:val="004739AD"/>
    <w:rsid w:val="0047485B"/>
    <w:rsid w:val="00485BDA"/>
    <w:rsid w:val="00486272"/>
    <w:rsid w:val="00494C1A"/>
    <w:rsid w:val="004960F8"/>
    <w:rsid w:val="004B1F30"/>
    <w:rsid w:val="004D128A"/>
    <w:rsid w:val="004E0D24"/>
    <w:rsid w:val="004E1DE3"/>
    <w:rsid w:val="004F2A2E"/>
    <w:rsid w:val="004F6C23"/>
    <w:rsid w:val="00511EDF"/>
    <w:rsid w:val="005128FD"/>
    <w:rsid w:val="0051694B"/>
    <w:rsid w:val="00520594"/>
    <w:rsid w:val="00525CC2"/>
    <w:rsid w:val="00530127"/>
    <w:rsid w:val="00550753"/>
    <w:rsid w:val="00550F1C"/>
    <w:rsid w:val="00581E1C"/>
    <w:rsid w:val="00583079"/>
    <w:rsid w:val="005923D5"/>
    <w:rsid w:val="005A2021"/>
    <w:rsid w:val="005C10C8"/>
    <w:rsid w:val="005C1839"/>
    <w:rsid w:val="005C2453"/>
    <w:rsid w:val="005C2D2A"/>
    <w:rsid w:val="005C2E83"/>
    <w:rsid w:val="005C3391"/>
    <w:rsid w:val="005C344C"/>
    <w:rsid w:val="005E0E22"/>
    <w:rsid w:val="005E3C10"/>
    <w:rsid w:val="005E4B3A"/>
    <w:rsid w:val="005E4E46"/>
    <w:rsid w:val="005E56F5"/>
    <w:rsid w:val="005E5AC5"/>
    <w:rsid w:val="005E5B56"/>
    <w:rsid w:val="005E5E7B"/>
    <w:rsid w:val="005F3C8E"/>
    <w:rsid w:val="0060226D"/>
    <w:rsid w:val="0061053E"/>
    <w:rsid w:val="006132CD"/>
    <w:rsid w:val="006138C3"/>
    <w:rsid w:val="0061611A"/>
    <w:rsid w:val="00634947"/>
    <w:rsid w:val="0064308F"/>
    <w:rsid w:val="00651BC8"/>
    <w:rsid w:val="006532A6"/>
    <w:rsid w:val="0067426F"/>
    <w:rsid w:val="00680C8D"/>
    <w:rsid w:val="0068496A"/>
    <w:rsid w:val="006956CC"/>
    <w:rsid w:val="006B5866"/>
    <w:rsid w:val="006C102F"/>
    <w:rsid w:val="006C1853"/>
    <w:rsid w:val="006C3843"/>
    <w:rsid w:val="006C4C7D"/>
    <w:rsid w:val="006C6754"/>
    <w:rsid w:val="006D1DDB"/>
    <w:rsid w:val="006D26FE"/>
    <w:rsid w:val="006D6A37"/>
    <w:rsid w:val="00723BA7"/>
    <w:rsid w:val="00725F2C"/>
    <w:rsid w:val="0074098D"/>
    <w:rsid w:val="00743645"/>
    <w:rsid w:val="00752631"/>
    <w:rsid w:val="00752D53"/>
    <w:rsid w:val="00756389"/>
    <w:rsid w:val="0075712D"/>
    <w:rsid w:val="0076032E"/>
    <w:rsid w:val="00767857"/>
    <w:rsid w:val="00770AA3"/>
    <w:rsid w:val="00782CC3"/>
    <w:rsid w:val="00791154"/>
    <w:rsid w:val="00792B2E"/>
    <w:rsid w:val="007A606A"/>
    <w:rsid w:val="007C3795"/>
    <w:rsid w:val="007D0CFC"/>
    <w:rsid w:val="007D193F"/>
    <w:rsid w:val="007E0D37"/>
    <w:rsid w:val="007E1ED0"/>
    <w:rsid w:val="007F58F7"/>
    <w:rsid w:val="007F6195"/>
    <w:rsid w:val="00803F6A"/>
    <w:rsid w:val="0081010D"/>
    <w:rsid w:val="0081229A"/>
    <w:rsid w:val="008135CC"/>
    <w:rsid w:val="00830D0D"/>
    <w:rsid w:val="00832719"/>
    <w:rsid w:val="00845BE3"/>
    <w:rsid w:val="00847506"/>
    <w:rsid w:val="008507A8"/>
    <w:rsid w:val="00873B49"/>
    <w:rsid w:val="008820FC"/>
    <w:rsid w:val="008879F1"/>
    <w:rsid w:val="00891529"/>
    <w:rsid w:val="008A5472"/>
    <w:rsid w:val="008A5573"/>
    <w:rsid w:val="008B0D75"/>
    <w:rsid w:val="008B422C"/>
    <w:rsid w:val="008C6991"/>
    <w:rsid w:val="008D01B2"/>
    <w:rsid w:val="008D0874"/>
    <w:rsid w:val="008D0DE6"/>
    <w:rsid w:val="008D7E3D"/>
    <w:rsid w:val="008D7F36"/>
    <w:rsid w:val="008E3D56"/>
    <w:rsid w:val="008F278F"/>
    <w:rsid w:val="00900329"/>
    <w:rsid w:val="00905545"/>
    <w:rsid w:val="00905C79"/>
    <w:rsid w:val="00914D24"/>
    <w:rsid w:val="00916421"/>
    <w:rsid w:val="00923A89"/>
    <w:rsid w:val="00946BDA"/>
    <w:rsid w:val="009566B3"/>
    <w:rsid w:val="00961EBF"/>
    <w:rsid w:val="00964241"/>
    <w:rsid w:val="00970F1F"/>
    <w:rsid w:val="009715D5"/>
    <w:rsid w:val="009731B2"/>
    <w:rsid w:val="00977EBE"/>
    <w:rsid w:val="0098276C"/>
    <w:rsid w:val="009929FC"/>
    <w:rsid w:val="0099537C"/>
    <w:rsid w:val="00995485"/>
    <w:rsid w:val="009A0D62"/>
    <w:rsid w:val="009A1776"/>
    <w:rsid w:val="009A2B02"/>
    <w:rsid w:val="009A534F"/>
    <w:rsid w:val="009A5E3D"/>
    <w:rsid w:val="009A612B"/>
    <w:rsid w:val="009C519F"/>
    <w:rsid w:val="009E0DD3"/>
    <w:rsid w:val="009F61BB"/>
    <w:rsid w:val="00A00B75"/>
    <w:rsid w:val="00A03848"/>
    <w:rsid w:val="00A03EFF"/>
    <w:rsid w:val="00A04FAF"/>
    <w:rsid w:val="00A130A2"/>
    <w:rsid w:val="00A16B78"/>
    <w:rsid w:val="00A17C6E"/>
    <w:rsid w:val="00A30F5B"/>
    <w:rsid w:val="00A3315C"/>
    <w:rsid w:val="00A364C3"/>
    <w:rsid w:val="00A52A62"/>
    <w:rsid w:val="00A57954"/>
    <w:rsid w:val="00A725D2"/>
    <w:rsid w:val="00A73013"/>
    <w:rsid w:val="00A8113F"/>
    <w:rsid w:val="00A82B2E"/>
    <w:rsid w:val="00A96BB5"/>
    <w:rsid w:val="00AA1055"/>
    <w:rsid w:val="00AB7EA8"/>
    <w:rsid w:val="00AC3612"/>
    <w:rsid w:val="00AC7F22"/>
    <w:rsid w:val="00AD269C"/>
    <w:rsid w:val="00AD6CD6"/>
    <w:rsid w:val="00AD7AD6"/>
    <w:rsid w:val="00AE3274"/>
    <w:rsid w:val="00AE6A83"/>
    <w:rsid w:val="00AE6D2D"/>
    <w:rsid w:val="00AF01D5"/>
    <w:rsid w:val="00AF04D0"/>
    <w:rsid w:val="00AF3948"/>
    <w:rsid w:val="00B00F43"/>
    <w:rsid w:val="00B05C46"/>
    <w:rsid w:val="00B10180"/>
    <w:rsid w:val="00B1190A"/>
    <w:rsid w:val="00B16512"/>
    <w:rsid w:val="00B2507E"/>
    <w:rsid w:val="00B2634D"/>
    <w:rsid w:val="00B346A2"/>
    <w:rsid w:val="00B4072F"/>
    <w:rsid w:val="00B44DA9"/>
    <w:rsid w:val="00B47520"/>
    <w:rsid w:val="00B56C58"/>
    <w:rsid w:val="00B743AB"/>
    <w:rsid w:val="00B76EF8"/>
    <w:rsid w:val="00B804AF"/>
    <w:rsid w:val="00B82FDD"/>
    <w:rsid w:val="00B94C74"/>
    <w:rsid w:val="00BA159C"/>
    <w:rsid w:val="00BA5E3A"/>
    <w:rsid w:val="00BB025E"/>
    <w:rsid w:val="00BB3B7B"/>
    <w:rsid w:val="00BC57F5"/>
    <w:rsid w:val="00BD1ECC"/>
    <w:rsid w:val="00BF0062"/>
    <w:rsid w:val="00BF59E5"/>
    <w:rsid w:val="00C01B34"/>
    <w:rsid w:val="00C01E2A"/>
    <w:rsid w:val="00C0716B"/>
    <w:rsid w:val="00C13294"/>
    <w:rsid w:val="00C16A9C"/>
    <w:rsid w:val="00C315C7"/>
    <w:rsid w:val="00C34130"/>
    <w:rsid w:val="00C34C9F"/>
    <w:rsid w:val="00C36009"/>
    <w:rsid w:val="00C43FA5"/>
    <w:rsid w:val="00C5690C"/>
    <w:rsid w:val="00C60C88"/>
    <w:rsid w:val="00C72F88"/>
    <w:rsid w:val="00C81217"/>
    <w:rsid w:val="00C82D6F"/>
    <w:rsid w:val="00C913AB"/>
    <w:rsid w:val="00C95123"/>
    <w:rsid w:val="00C97085"/>
    <w:rsid w:val="00CB38B3"/>
    <w:rsid w:val="00CB4BE3"/>
    <w:rsid w:val="00CE417F"/>
    <w:rsid w:val="00CE57D1"/>
    <w:rsid w:val="00D05EBC"/>
    <w:rsid w:val="00D1137A"/>
    <w:rsid w:val="00D120E5"/>
    <w:rsid w:val="00D13CAC"/>
    <w:rsid w:val="00D24B6E"/>
    <w:rsid w:val="00D31E04"/>
    <w:rsid w:val="00D361C7"/>
    <w:rsid w:val="00D40A1C"/>
    <w:rsid w:val="00D46C61"/>
    <w:rsid w:val="00D46F18"/>
    <w:rsid w:val="00D47C77"/>
    <w:rsid w:val="00D56A02"/>
    <w:rsid w:val="00D65F91"/>
    <w:rsid w:val="00D71CED"/>
    <w:rsid w:val="00D721D2"/>
    <w:rsid w:val="00D81171"/>
    <w:rsid w:val="00D839A9"/>
    <w:rsid w:val="00D83BA3"/>
    <w:rsid w:val="00D856D1"/>
    <w:rsid w:val="00D917E6"/>
    <w:rsid w:val="00D92073"/>
    <w:rsid w:val="00D92A48"/>
    <w:rsid w:val="00DB0F8B"/>
    <w:rsid w:val="00DB54DE"/>
    <w:rsid w:val="00DB5791"/>
    <w:rsid w:val="00DB772C"/>
    <w:rsid w:val="00DC4A31"/>
    <w:rsid w:val="00DC645C"/>
    <w:rsid w:val="00DC7F75"/>
    <w:rsid w:val="00DD7DDB"/>
    <w:rsid w:val="00DE41FD"/>
    <w:rsid w:val="00DE4580"/>
    <w:rsid w:val="00DF2396"/>
    <w:rsid w:val="00DF2FB9"/>
    <w:rsid w:val="00E21D94"/>
    <w:rsid w:val="00E53927"/>
    <w:rsid w:val="00E5586A"/>
    <w:rsid w:val="00E57EA1"/>
    <w:rsid w:val="00E6481E"/>
    <w:rsid w:val="00E77260"/>
    <w:rsid w:val="00E811CA"/>
    <w:rsid w:val="00E82E88"/>
    <w:rsid w:val="00E83692"/>
    <w:rsid w:val="00EB27EB"/>
    <w:rsid w:val="00EB293F"/>
    <w:rsid w:val="00EC32B3"/>
    <w:rsid w:val="00EC5107"/>
    <w:rsid w:val="00EC74D8"/>
    <w:rsid w:val="00ED2967"/>
    <w:rsid w:val="00ED792C"/>
    <w:rsid w:val="00EE699B"/>
    <w:rsid w:val="00EE7135"/>
    <w:rsid w:val="00EE7EEC"/>
    <w:rsid w:val="00EF6545"/>
    <w:rsid w:val="00F02E47"/>
    <w:rsid w:val="00F06C8F"/>
    <w:rsid w:val="00F11F72"/>
    <w:rsid w:val="00F13D4E"/>
    <w:rsid w:val="00F15AD7"/>
    <w:rsid w:val="00F22CDC"/>
    <w:rsid w:val="00F32EC9"/>
    <w:rsid w:val="00F40F63"/>
    <w:rsid w:val="00F5023E"/>
    <w:rsid w:val="00F51D29"/>
    <w:rsid w:val="00F54465"/>
    <w:rsid w:val="00F563B9"/>
    <w:rsid w:val="00F621E2"/>
    <w:rsid w:val="00F6738E"/>
    <w:rsid w:val="00F67FF7"/>
    <w:rsid w:val="00F77EF0"/>
    <w:rsid w:val="00F840B3"/>
    <w:rsid w:val="00F84A4D"/>
    <w:rsid w:val="00F953CA"/>
    <w:rsid w:val="00FA0D75"/>
    <w:rsid w:val="00FA40E3"/>
    <w:rsid w:val="00FA7F23"/>
    <w:rsid w:val="00FB6707"/>
    <w:rsid w:val="00FC19C0"/>
    <w:rsid w:val="00FC39D3"/>
    <w:rsid w:val="00FC429C"/>
    <w:rsid w:val="00FC50A7"/>
    <w:rsid w:val="00FD0E48"/>
    <w:rsid w:val="00FD1770"/>
    <w:rsid w:val="00FD66EF"/>
    <w:rsid w:val="00FF2AB2"/>
    <w:rsid w:val="00FF3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16BC"/>
  <w15:docId w15:val="{9113E8E2-739B-4488-8B30-5A718E29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78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782CC3"/>
    <w:pPr>
      <w:ind w:left="720"/>
      <w:contextualSpacing/>
    </w:pPr>
  </w:style>
  <w:style w:type="paragraph" w:styleId="Koptekst">
    <w:name w:val="header"/>
    <w:basedOn w:val="Standaard"/>
    <w:link w:val="KoptekstChar"/>
    <w:uiPriority w:val="99"/>
    <w:semiHidden/>
    <w:unhideWhenUsed/>
    <w:rsid w:val="007F58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F58F7"/>
    <w:rPr>
      <w:rFonts w:ascii="Verdana" w:hAnsi="Verdana"/>
      <w:sz w:val="18"/>
    </w:rPr>
  </w:style>
  <w:style w:type="paragraph" w:styleId="Voettekst">
    <w:name w:val="footer"/>
    <w:basedOn w:val="Standaard"/>
    <w:link w:val="VoettekstChar"/>
    <w:uiPriority w:val="99"/>
    <w:semiHidden/>
    <w:unhideWhenUsed/>
    <w:rsid w:val="007F58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F58F7"/>
    <w:rPr>
      <w:rFonts w:ascii="Verdana" w:hAnsi="Verdana"/>
      <w:sz w:val="18"/>
    </w:rPr>
  </w:style>
  <w:style w:type="character" w:styleId="Verwijzingopmerking">
    <w:name w:val="annotation reference"/>
    <w:basedOn w:val="Standaardalinea-lettertype"/>
    <w:uiPriority w:val="99"/>
    <w:semiHidden/>
    <w:unhideWhenUsed/>
    <w:rsid w:val="00C81217"/>
    <w:rPr>
      <w:sz w:val="16"/>
      <w:szCs w:val="16"/>
    </w:rPr>
  </w:style>
  <w:style w:type="paragraph" w:styleId="Tekstopmerking">
    <w:name w:val="annotation text"/>
    <w:basedOn w:val="Standaard"/>
    <w:link w:val="TekstopmerkingChar"/>
    <w:uiPriority w:val="99"/>
    <w:unhideWhenUsed/>
    <w:rsid w:val="00C81217"/>
    <w:pPr>
      <w:spacing w:line="240" w:lineRule="auto"/>
    </w:pPr>
    <w:rPr>
      <w:sz w:val="20"/>
      <w:szCs w:val="20"/>
    </w:rPr>
  </w:style>
  <w:style w:type="character" w:customStyle="1" w:styleId="TekstopmerkingChar">
    <w:name w:val="Tekst opmerking Char"/>
    <w:basedOn w:val="Standaardalinea-lettertype"/>
    <w:link w:val="Tekstopmerking"/>
    <w:uiPriority w:val="99"/>
    <w:rsid w:val="00C8121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81217"/>
    <w:rPr>
      <w:b/>
      <w:bCs/>
    </w:rPr>
  </w:style>
  <w:style w:type="character" w:customStyle="1" w:styleId="OnderwerpvanopmerkingChar">
    <w:name w:val="Onderwerp van opmerking Char"/>
    <w:basedOn w:val="TekstopmerkingChar"/>
    <w:link w:val="Onderwerpvanopmerking"/>
    <w:uiPriority w:val="99"/>
    <w:semiHidden/>
    <w:rsid w:val="00C81217"/>
    <w:rPr>
      <w:rFonts w:ascii="Verdana" w:hAnsi="Verdana"/>
      <w:b/>
      <w:bCs/>
      <w:sz w:val="20"/>
      <w:szCs w:val="20"/>
    </w:rPr>
  </w:style>
  <w:style w:type="paragraph" w:styleId="Ballontekst">
    <w:name w:val="Balloon Text"/>
    <w:basedOn w:val="Standaard"/>
    <w:link w:val="BallontekstChar"/>
    <w:uiPriority w:val="99"/>
    <w:semiHidden/>
    <w:unhideWhenUsed/>
    <w:rsid w:val="00C812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1217"/>
    <w:rPr>
      <w:rFonts w:ascii="Tahoma" w:hAnsi="Tahoma" w:cs="Tahoma"/>
      <w:sz w:val="16"/>
      <w:szCs w:val="16"/>
    </w:rPr>
  </w:style>
  <w:style w:type="paragraph" w:styleId="Revisie">
    <w:name w:val="Revision"/>
    <w:hidden/>
    <w:uiPriority w:val="99"/>
    <w:semiHidden/>
    <w:rsid w:val="00D56A02"/>
    <w:pPr>
      <w:spacing w:after="0" w:line="240" w:lineRule="auto"/>
    </w:pPr>
    <w:rPr>
      <w:rFonts w:ascii="Verdana" w:hAnsi="Verdana"/>
      <w:sz w:val="18"/>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AF3948"/>
    <w:rPr>
      <w:rFonts w:ascii="Verdana" w:hAnsi="Verdana"/>
      <w:sz w:val="18"/>
    </w:rPr>
  </w:style>
  <w:style w:type="paragraph" w:styleId="Voetnoottekst">
    <w:name w:val="footnote text"/>
    <w:basedOn w:val="Standaard"/>
    <w:link w:val="VoetnoottekstChar"/>
    <w:uiPriority w:val="99"/>
    <w:semiHidden/>
    <w:unhideWhenUsed/>
    <w:rsid w:val="00E82E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2E88"/>
    <w:rPr>
      <w:rFonts w:ascii="Verdana" w:hAnsi="Verdana"/>
      <w:sz w:val="20"/>
      <w:szCs w:val="20"/>
    </w:rPr>
  </w:style>
  <w:style w:type="character" w:styleId="Voetnootmarkering">
    <w:name w:val="footnote reference"/>
    <w:basedOn w:val="Standaardalinea-lettertype"/>
    <w:uiPriority w:val="99"/>
    <w:semiHidden/>
    <w:unhideWhenUsed/>
    <w:rsid w:val="00E8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693">
      <w:bodyDiv w:val="1"/>
      <w:marLeft w:val="0"/>
      <w:marRight w:val="0"/>
      <w:marTop w:val="0"/>
      <w:marBottom w:val="0"/>
      <w:divBdr>
        <w:top w:val="none" w:sz="0" w:space="0" w:color="auto"/>
        <w:left w:val="none" w:sz="0" w:space="0" w:color="auto"/>
        <w:bottom w:val="none" w:sz="0" w:space="0" w:color="auto"/>
        <w:right w:val="none" w:sz="0" w:space="0" w:color="auto"/>
      </w:divBdr>
    </w:div>
    <w:div w:id="118764168">
      <w:bodyDiv w:val="1"/>
      <w:marLeft w:val="0"/>
      <w:marRight w:val="0"/>
      <w:marTop w:val="0"/>
      <w:marBottom w:val="0"/>
      <w:divBdr>
        <w:top w:val="none" w:sz="0" w:space="0" w:color="auto"/>
        <w:left w:val="none" w:sz="0" w:space="0" w:color="auto"/>
        <w:bottom w:val="none" w:sz="0" w:space="0" w:color="auto"/>
        <w:right w:val="none" w:sz="0" w:space="0" w:color="auto"/>
      </w:divBdr>
    </w:div>
    <w:div w:id="649291384">
      <w:bodyDiv w:val="1"/>
      <w:marLeft w:val="0"/>
      <w:marRight w:val="0"/>
      <w:marTop w:val="0"/>
      <w:marBottom w:val="0"/>
      <w:divBdr>
        <w:top w:val="none" w:sz="0" w:space="0" w:color="auto"/>
        <w:left w:val="none" w:sz="0" w:space="0" w:color="auto"/>
        <w:bottom w:val="none" w:sz="0" w:space="0" w:color="auto"/>
        <w:right w:val="none" w:sz="0" w:space="0" w:color="auto"/>
      </w:divBdr>
    </w:div>
    <w:div w:id="789787446">
      <w:bodyDiv w:val="1"/>
      <w:marLeft w:val="0"/>
      <w:marRight w:val="0"/>
      <w:marTop w:val="0"/>
      <w:marBottom w:val="0"/>
      <w:divBdr>
        <w:top w:val="none" w:sz="0" w:space="0" w:color="auto"/>
        <w:left w:val="none" w:sz="0" w:space="0" w:color="auto"/>
        <w:bottom w:val="none" w:sz="0" w:space="0" w:color="auto"/>
        <w:right w:val="none" w:sz="0" w:space="0" w:color="auto"/>
      </w:divBdr>
    </w:div>
    <w:div w:id="799609582">
      <w:bodyDiv w:val="1"/>
      <w:marLeft w:val="0"/>
      <w:marRight w:val="0"/>
      <w:marTop w:val="0"/>
      <w:marBottom w:val="0"/>
      <w:divBdr>
        <w:top w:val="none" w:sz="0" w:space="0" w:color="auto"/>
        <w:left w:val="none" w:sz="0" w:space="0" w:color="auto"/>
        <w:bottom w:val="none" w:sz="0" w:space="0" w:color="auto"/>
        <w:right w:val="none" w:sz="0" w:space="0" w:color="auto"/>
      </w:divBdr>
    </w:div>
    <w:div w:id="992031591">
      <w:bodyDiv w:val="1"/>
      <w:marLeft w:val="0"/>
      <w:marRight w:val="0"/>
      <w:marTop w:val="0"/>
      <w:marBottom w:val="0"/>
      <w:divBdr>
        <w:top w:val="none" w:sz="0" w:space="0" w:color="auto"/>
        <w:left w:val="none" w:sz="0" w:space="0" w:color="auto"/>
        <w:bottom w:val="none" w:sz="0" w:space="0" w:color="auto"/>
        <w:right w:val="none" w:sz="0" w:space="0" w:color="auto"/>
      </w:divBdr>
    </w:div>
    <w:div w:id="1122308221">
      <w:bodyDiv w:val="1"/>
      <w:marLeft w:val="0"/>
      <w:marRight w:val="0"/>
      <w:marTop w:val="0"/>
      <w:marBottom w:val="0"/>
      <w:divBdr>
        <w:top w:val="none" w:sz="0" w:space="0" w:color="auto"/>
        <w:left w:val="none" w:sz="0" w:space="0" w:color="auto"/>
        <w:bottom w:val="none" w:sz="0" w:space="0" w:color="auto"/>
        <w:right w:val="none" w:sz="0" w:space="0" w:color="auto"/>
      </w:divBdr>
    </w:div>
    <w:div w:id="1158767266">
      <w:bodyDiv w:val="1"/>
      <w:marLeft w:val="0"/>
      <w:marRight w:val="0"/>
      <w:marTop w:val="0"/>
      <w:marBottom w:val="0"/>
      <w:divBdr>
        <w:top w:val="none" w:sz="0" w:space="0" w:color="auto"/>
        <w:left w:val="none" w:sz="0" w:space="0" w:color="auto"/>
        <w:bottom w:val="none" w:sz="0" w:space="0" w:color="auto"/>
        <w:right w:val="none" w:sz="0" w:space="0" w:color="auto"/>
      </w:divBdr>
    </w:div>
    <w:div w:id="1217207521">
      <w:bodyDiv w:val="1"/>
      <w:marLeft w:val="0"/>
      <w:marRight w:val="0"/>
      <w:marTop w:val="0"/>
      <w:marBottom w:val="0"/>
      <w:divBdr>
        <w:top w:val="none" w:sz="0" w:space="0" w:color="auto"/>
        <w:left w:val="none" w:sz="0" w:space="0" w:color="auto"/>
        <w:bottom w:val="none" w:sz="0" w:space="0" w:color="auto"/>
        <w:right w:val="none" w:sz="0" w:space="0" w:color="auto"/>
      </w:divBdr>
    </w:div>
    <w:div w:id="1341200040">
      <w:bodyDiv w:val="1"/>
      <w:marLeft w:val="0"/>
      <w:marRight w:val="0"/>
      <w:marTop w:val="0"/>
      <w:marBottom w:val="0"/>
      <w:divBdr>
        <w:top w:val="none" w:sz="0" w:space="0" w:color="auto"/>
        <w:left w:val="none" w:sz="0" w:space="0" w:color="auto"/>
        <w:bottom w:val="none" w:sz="0" w:space="0" w:color="auto"/>
        <w:right w:val="none" w:sz="0" w:space="0" w:color="auto"/>
      </w:divBdr>
    </w:div>
    <w:div w:id="1368986829">
      <w:bodyDiv w:val="1"/>
      <w:marLeft w:val="0"/>
      <w:marRight w:val="0"/>
      <w:marTop w:val="0"/>
      <w:marBottom w:val="0"/>
      <w:divBdr>
        <w:top w:val="none" w:sz="0" w:space="0" w:color="auto"/>
        <w:left w:val="none" w:sz="0" w:space="0" w:color="auto"/>
        <w:bottom w:val="none" w:sz="0" w:space="0" w:color="auto"/>
        <w:right w:val="none" w:sz="0" w:space="0" w:color="auto"/>
      </w:divBdr>
    </w:div>
    <w:div w:id="1443569319">
      <w:bodyDiv w:val="1"/>
      <w:marLeft w:val="0"/>
      <w:marRight w:val="0"/>
      <w:marTop w:val="0"/>
      <w:marBottom w:val="0"/>
      <w:divBdr>
        <w:top w:val="none" w:sz="0" w:space="0" w:color="auto"/>
        <w:left w:val="none" w:sz="0" w:space="0" w:color="auto"/>
        <w:bottom w:val="none" w:sz="0" w:space="0" w:color="auto"/>
        <w:right w:val="none" w:sz="0" w:space="0" w:color="auto"/>
      </w:divBdr>
    </w:div>
    <w:div w:id="1545870147">
      <w:bodyDiv w:val="1"/>
      <w:marLeft w:val="0"/>
      <w:marRight w:val="0"/>
      <w:marTop w:val="0"/>
      <w:marBottom w:val="0"/>
      <w:divBdr>
        <w:top w:val="none" w:sz="0" w:space="0" w:color="auto"/>
        <w:left w:val="none" w:sz="0" w:space="0" w:color="auto"/>
        <w:bottom w:val="none" w:sz="0" w:space="0" w:color="auto"/>
        <w:right w:val="none" w:sz="0" w:space="0" w:color="auto"/>
      </w:divBdr>
    </w:div>
    <w:div w:id="1547251234">
      <w:bodyDiv w:val="1"/>
      <w:marLeft w:val="0"/>
      <w:marRight w:val="0"/>
      <w:marTop w:val="0"/>
      <w:marBottom w:val="0"/>
      <w:divBdr>
        <w:top w:val="none" w:sz="0" w:space="0" w:color="auto"/>
        <w:left w:val="none" w:sz="0" w:space="0" w:color="auto"/>
        <w:bottom w:val="none" w:sz="0" w:space="0" w:color="auto"/>
        <w:right w:val="none" w:sz="0" w:space="0" w:color="auto"/>
      </w:divBdr>
    </w:div>
    <w:div w:id="1621836419">
      <w:bodyDiv w:val="1"/>
      <w:marLeft w:val="0"/>
      <w:marRight w:val="0"/>
      <w:marTop w:val="0"/>
      <w:marBottom w:val="0"/>
      <w:divBdr>
        <w:top w:val="none" w:sz="0" w:space="0" w:color="auto"/>
        <w:left w:val="none" w:sz="0" w:space="0" w:color="auto"/>
        <w:bottom w:val="none" w:sz="0" w:space="0" w:color="auto"/>
        <w:right w:val="none" w:sz="0" w:space="0" w:color="auto"/>
      </w:divBdr>
    </w:div>
    <w:div w:id="1696425999">
      <w:bodyDiv w:val="1"/>
      <w:marLeft w:val="0"/>
      <w:marRight w:val="0"/>
      <w:marTop w:val="0"/>
      <w:marBottom w:val="0"/>
      <w:divBdr>
        <w:top w:val="none" w:sz="0" w:space="0" w:color="auto"/>
        <w:left w:val="none" w:sz="0" w:space="0" w:color="auto"/>
        <w:bottom w:val="none" w:sz="0" w:space="0" w:color="auto"/>
        <w:right w:val="none" w:sz="0" w:space="0" w:color="auto"/>
      </w:divBdr>
    </w:div>
    <w:div w:id="1821074060">
      <w:bodyDiv w:val="1"/>
      <w:marLeft w:val="0"/>
      <w:marRight w:val="0"/>
      <w:marTop w:val="0"/>
      <w:marBottom w:val="0"/>
      <w:divBdr>
        <w:top w:val="none" w:sz="0" w:space="0" w:color="auto"/>
        <w:left w:val="none" w:sz="0" w:space="0" w:color="auto"/>
        <w:bottom w:val="none" w:sz="0" w:space="0" w:color="auto"/>
        <w:right w:val="none" w:sz="0" w:space="0" w:color="auto"/>
      </w:divBdr>
    </w:div>
    <w:div w:id="1845506976">
      <w:bodyDiv w:val="1"/>
      <w:marLeft w:val="0"/>
      <w:marRight w:val="0"/>
      <w:marTop w:val="0"/>
      <w:marBottom w:val="0"/>
      <w:divBdr>
        <w:top w:val="none" w:sz="0" w:space="0" w:color="auto"/>
        <w:left w:val="none" w:sz="0" w:space="0" w:color="auto"/>
        <w:bottom w:val="none" w:sz="0" w:space="0" w:color="auto"/>
        <w:right w:val="none" w:sz="0" w:space="0" w:color="auto"/>
      </w:divBdr>
    </w:div>
    <w:div w:id="1857769307">
      <w:bodyDiv w:val="1"/>
      <w:marLeft w:val="0"/>
      <w:marRight w:val="0"/>
      <w:marTop w:val="0"/>
      <w:marBottom w:val="0"/>
      <w:divBdr>
        <w:top w:val="none" w:sz="0" w:space="0" w:color="auto"/>
        <w:left w:val="none" w:sz="0" w:space="0" w:color="auto"/>
        <w:bottom w:val="none" w:sz="0" w:space="0" w:color="auto"/>
        <w:right w:val="none" w:sz="0" w:space="0" w:color="auto"/>
      </w:divBdr>
    </w:div>
    <w:div w:id="19481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4102</ap:Words>
  <ap:Characters>22562</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2025-09-08T11:27:00.0000000Z</dcterms:created>
  <dcterms:modified xsi:type="dcterms:W3CDTF">2025-09-08T11:27:00.0000000Z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2025-01-07T13:53:52Z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f3b2bf7c-b6d1-4a10-b3c2-e33707cd5b77</vt:lpwstr>
  </property>
  <property fmtid="{D5CDD505-2E9C-101B-9397-08002B2CF9AE}" pid="8" name="MSIP_Label_6800fede-0e59-47ad-af95-4e63bbdb932d_ContentBits">
    <vt:lpwstr>0</vt:lpwstr>
  </property>
</Properties>
</file>