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D8C" w:rsidR="00D72D8C" w:rsidP="00D72D8C" w:rsidRDefault="00D72D8C" w14:paraId="48E5CE9E"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D72D8C">
        <w:rPr>
          <w:rFonts w:ascii="Verdana" w:hAnsi="Verdana" w:eastAsia="DejaVuSerifCondensed-Bold" w:cs="DejaVuSerifCondensed-Bold"/>
          <w:b/>
          <w:bCs/>
          <w:color w:val="000000"/>
          <w:kern w:val="0"/>
          <w:sz w:val="18"/>
          <w:szCs w:val="18"/>
        </w:rPr>
        <w:t>2025Z12378</w:t>
      </w:r>
    </w:p>
    <w:p w:rsidRPr="00D72D8C" w:rsidR="00D72D8C" w:rsidP="00D72D8C" w:rsidRDefault="00D72D8C" w14:paraId="33346A0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D72D8C">
        <w:rPr>
          <w:rFonts w:ascii="Verdana" w:hAnsi="Verdana" w:eastAsia="DejaVuSerifCondensed" w:cs="DejaVuSerifCondensed"/>
          <w:color w:val="000000"/>
          <w:kern w:val="0"/>
          <w:sz w:val="18"/>
          <w:szCs w:val="18"/>
        </w:rPr>
        <w:t>(ingezonden 17 juni 2025)</w:t>
      </w:r>
    </w:p>
    <w:p w:rsidR="00D72D8C" w:rsidP="00D72D8C" w:rsidRDefault="00D72D8C" w14:paraId="1D538613" w14:textId="493510E8">
      <w:pPr>
        <w:autoSpaceDE w:val="0"/>
        <w:autoSpaceDN w:val="0"/>
        <w:adjustRightInd w:val="0"/>
        <w:spacing w:after="0" w:line="240" w:lineRule="auto"/>
        <w:rPr>
          <w:rFonts w:ascii="Verdana" w:hAnsi="Verdana" w:eastAsia="DejaVuSerifCondensed" w:cs="DejaVuSerifCondensed"/>
          <w:color w:val="000000"/>
          <w:kern w:val="0"/>
          <w:sz w:val="18"/>
          <w:szCs w:val="18"/>
        </w:rPr>
      </w:pPr>
      <w:r w:rsidRPr="00D72D8C">
        <w:rPr>
          <w:rFonts w:ascii="Verdana" w:hAnsi="Verdana" w:eastAsia="DejaVuSerifCondensed" w:cs="DejaVuSerifCondensed"/>
          <w:color w:val="000000"/>
          <w:kern w:val="0"/>
          <w:sz w:val="18"/>
          <w:szCs w:val="18"/>
        </w:rPr>
        <w:t>Vragen van het lid Joseph (Nieuw Sociaal Contract) aan de minister van Sociale Zaken en Werkgelegenheid</w:t>
      </w:r>
      <w:r>
        <w:rPr>
          <w:rFonts w:ascii="Verdana" w:hAnsi="Verdana" w:eastAsia="DejaVuSerifCondensed" w:cs="DejaVuSerifCondensed"/>
          <w:color w:val="000000"/>
          <w:kern w:val="0"/>
          <w:sz w:val="18"/>
          <w:szCs w:val="18"/>
        </w:rPr>
        <w:t xml:space="preserve"> </w:t>
      </w:r>
      <w:r w:rsidRPr="00D72D8C">
        <w:rPr>
          <w:rFonts w:ascii="Verdana" w:hAnsi="Verdana" w:eastAsia="DejaVuSerifCondensed" w:cs="DejaVuSerifCondensed"/>
          <w:color w:val="000000"/>
          <w:kern w:val="0"/>
          <w:sz w:val="18"/>
          <w:szCs w:val="18"/>
        </w:rPr>
        <w:t>over het bericht ‘Fondsen mogen operationele buffer toch aanvullen vanuit solidariteitsreserve’</w:t>
      </w:r>
    </w:p>
    <w:p w:rsidRPr="001D74AA" w:rsidR="00D72D8C" w:rsidP="00D72D8C" w:rsidRDefault="00D72D8C" w14:paraId="3FF67DE9"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1D74AA" w:rsidR="00D72D8C" w:rsidP="00D72D8C" w:rsidRDefault="00D72D8C" w14:paraId="6B27D498" w14:textId="1BDE5C96">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D74AA">
        <w:rPr>
          <w:rFonts w:ascii="Verdana" w:hAnsi="Verdana" w:eastAsia="DejaVuSerifCondensed" w:cs="DejaVuSerifCondensed"/>
          <w:b/>
          <w:bCs/>
          <w:color w:val="000000"/>
          <w:kern w:val="0"/>
          <w:sz w:val="18"/>
          <w:szCs w:val="18"/>
        </w:rPr>
        <w:t>Bent u bekend met het bericht ‘Fondsen mogen operationele buffer toch aanvullen vanuit solidariteitsreserve’? 1)</w:t>
      </w:r>
    </w:p>
    <w:p w:rsidR="000F2DB6" w:rsidP="000F2DB6" w:rsidRDefault="000F2DB6" w14:paraId="338659B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430FB" w:rsidP="00F430FB" w:rsidRDefault="000F2DB6" w14:paraId="2C5F6462" w14:textId="72885484">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r w:rsidR="002450D7">
        <w:rPr>
          <w:rFonts w:ascii="Verdana" w:hAnsi="Verdana" w:eastAsia="DejaVuSerifCondensed" w:cs="DejaVuSerifCondensed"/>
          <w:color w:val="000000"/>
          <w:kern w:val="0"/>
          <w:sz w:val="18"/>
          <w:szCs w:val="18"/>
        </w:rPr>
        <w:t>.</w:t>
      </w:r>
    </w:p>
    <w:p w:rsidRPr="001D74AA" w:rsidR="000F2DB6" w:rsidP="000F2DB6" w:rsidRDefault="000F2DB6" w14:paraId="49C8B0A0"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1D74AA" w:rsidR="00D72D8C" w:rsidP="00D72D8C" w:rsidRDefault="00D72D8C" w14:paraId="7B3F0DB0" w14:textId="2D04A591">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D74AA">
        <w:rPr>
          <w:rFonts w:ascii="Verdana" w:hAnsi="Verdana" w:eastAsia="DejaVuSerifCondensed" w:cs="DejaVuSerifCondensed"/>
          <w:b/>
          <w:bCs/>
          <w:color w:val="000000"/>
          <w:kern w:val="0"/>
          <w:sz w:val="18"/>
          <w:szCs w:val="18"/>
        </w:rPr>
        <w:t>Kunt u bevestigen dat in de Wet toekomst pensioenen expliciet staat dat de solidariteitsreserve niet mag worden gebruikt voor deling van operationele kosten?</w:t>
      </w:r>
    </w:p>
    <w:p w:rsidR="000F2DB6" w:rsidP="000F2DB6" w:rsidRDefault="000F2DB6" w14:paraId="582FE35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A1A2A" w:rsidP="00B771BB" w:rsidRDefault="00F60A1B" w14:paraId="3BB25596" w14:textId="043CEC15">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de Pensioenwet staat dat de solidariteits</w:t>
      </w:r>
      <w:r w:rsidR="00687809">
        <w:rPr>
          <w:rFonts w:ascii="Verdana" w:hAnsi="Verdana" w:eastAsia="DejaVuSerifCondensed" w:cs="DejaVuSerifCondensed"/>
          <w:color w:val="000000"/>
          <w:kern w:val="0"/>
          <w:sz w:val="18"/>
          <w:szCs w:val="18"/>
        </w:rPr>
        <w:t>- of risicodelings</w:t>
      </w:r>
      <w:r>
        <w:rPr>
          <w:rFonts w:ascii="Verdana" w:hAnsi="Verdana" w:eastAsia="DejaVuSerifCondensed" w:cs="DejaVuSerifCondensed"/>
          <w:color w:val="000000"/>
          <w:kern w:val="0"/>
          <w:sz w:val="18"/>
          <w:szCs w:val="18"/>
        </w:rPr>
        <w:t xml:space="preserve">reserve </w:t>
      </w:r>
      <w:r w:rsidR="005967B1">
        <w:rPr>
          <w:rFonts w:ascii="Verdana" w:hAnsi="Verdana" w:eastAsia="DejaVuSerifCondensed" w:cs="DejaVuSerifCondensed"/>
          <w:color w:val="000000"/>
          <w:kern w:val="0"/>
          <w:sz w:val="18"/>
          <w:szCs w:val="18"/>
        </w:rPr>
        <w:t xml:space="preserve">(hierna: solidariteitsreserve) </w:t>
      </w:r>
      <w:r>
        <w:rPr>
          <w:rFonts w:ascii="Verdana" w:hAnsi="Verdana" w:eastAsia="DejaVuSerifCondensed" w:cs="DejaVuSerifCondensed"/>
          <w:color w:val="000000"/>
          <w:kern w:val="0"/>
          <w:sz w:val="18"/>
          <w:szCs w:val="18"/>
        </w:rPr>
        <w:t xml:space="preserve">niet gebruikt wordt voor de deling van operationele kosten. Het is daarom niet mogelijk om de solidariteitsreserve te gebruiken voor het delen van de operationele kosten. </w:t>
      </w:r>
      <w:r w:rsidR="006A1A2A">
        <w:rPr>
          <w:rFonts w:ascii="Verdana" w:hAnsi="Verdana" w:eastAsia="DejaVuSerifCondensed" w:cs="DejaVuSerifCondensed"/>
          <w:color w:val="000000"/>
          <w:kern w:val="0"/>
          <w:sz w:val="18"/>
          <w:szCs w:val="18"/>
        </w:rPr>
        <w:t xml:space="preserve">In het aangehaalde artikel wordt verwezen naar </w:t>
      </w:r>
      <w:r w:rsidR="00687809">
        <w:rPr>
          <w:rFonts w:ascii="Verdana" w:hAnsi="Verdana" w:eastAsia="DejaVuSerifCondensed" w:cs="DejaVuSerifCondensed"/>
          <w:color w:val="000000"/>
          <w:kern w:val="0"/>
          <w:sz w:val="18"/>
          <w:szCs w:val="18"/>
        </w:rPr>
        <w:t>het</w:t>
      </w:r>
      <w:r w:rsidR="006A1A2A">
        <w:rPr>
          <w:rFonts w:ascii="Verdana" w:hAnsi="Verdana" w:eastAsia="DejaVuSerifCondensed" w:cs="DejaVuSerifCondensed"/>
          <w:color w:val="000000"/>
          <w:kern w:val="0"/>
          <w:sz w:val="18"/>
          <w:szCs w:val="18"/>
        </w:rPr>
        <w:t xml:space="preserve"> </w:t>
      </w:r>
      <w:r w:rsidR="00687809">
        <w:rPr>
          <w:rFonts w:ascii="Verdana" w:hAnsi="Verdana" w:eastAsia="DejaVuSerifCondensed" w:cs="DejaVuSerifCondensed"/>
          <w:color w:val="000000"/>
          <w:kern w:val="0"/>
          <w:sz w:val="18"/>
          <w:szCs w:val="18"/>
        </w:rPr>
        <w:t>c</w:t>
      </w:r>
      <w:r w:rsidR="006A1A2A">
        <w:rPr>
          <w:rFonts w:ascii="Verdana" w:hAnsi="Verdana" w:eastAsia="DejaVuSerifCondensed" w:cs="DejaVuSerifCondensed"/>
          <w:color w:val="000000"/>
          <w:kern w:val="0"/>
          <w:sz w:val="18"/>
          <w:szCs w:val="18"/>
        </w:rPr>
        <w:t>oncept</w:t>
      </w:r>
      <w:r w:rsidR="00687809">
        <w:rPr>
          <w:rFonts w:ascii="Verdana" w:hAnsi="Verdana" w:eastAsia="DejaVuSerifCondensed" w:cs="DejaVuSerifCondensed"/>
          <w:color w:val="000000"/>
          <w:kern w:val="0"/>
          <w:sz w:val="18"/>
          <w:szCs w:val="18"/>
        </w:rPr>
        <w:t xml:space="preserve"> </w:t>
      </w:r>
      <w:r w:rsidR="006A1A2A">
        <w:rPr>
          <w:rFonts w:ascii="Verdana" w:hAnsi="Verdana" w:eastAsia="DejaVuSerifCondensed" w:cs="DejaVuSerifCondensed"/>
          <w:color w:val="000000"/>
          <w:kern w:val="0"/>
          <w:sz w:val="18"/>
          <w:szCs w:val="18"/>
        </w:rPr>
        <w:t xml:space="preserve">verzamelbesluit </w:t>
      </w:r>
      <w:r w:rsidR="00687809">
        <w:rPr>
          <w:rFonts w:ascii="Verdana" w:hAnsi="Verdana" w:eastAsia="DejaVuSerifCondensed" w:cs="DejaVuSerifCondensed"/>
          <w:color w:val="000000"/>
          <w:kern w:val="0"/>
          <w:sz w:val="18"/>
          <w:szCs w:val="18"/>
        </w:rPr>
        <w:t>p</w:t>
      </w:r>
      <w:r w:rsidR="006A1A2A">
        <w:rPr>
          <w:rFonts w:ascii="Verdana" w:hAnsi="Verdana" w:eastAsia="DejaVuSerifCondensed" w:cs="DejaVuSerifCondensed"/>
          <w:color w:val="000000"/>
          <w:kern w:val="0"/>
          <w:sz w:val="18"/>
          <w:szCs w:val="18"/>
        </w:rPr>
        <w:t xml:space="preserve">ensioenen. Hierin is een regeling opgenomen waarin ter voorkoming van een vermindering van pensioenaanspraken en </w:t>
      </w:r>
      <w:r w:rsidR="366AF0E7">
        <w:rPr>
          <w:rFonts w:ascii="Verdana" w:hAnsi="Verdana" w:eastAsia="DejaVuSerifCondensed" w:cs="DejaVuSerifCondensed"/>
          <w:color w:val="000000"/>
          <w:kern w:val="0"/>
          <w:sz w:val="18"/>
          <w:szCs w:val="18"/>
        </w:rPr>
        <w:t>-</w:t>
      </w:r>
      <w:r w:rsidR="006A1A2A">
        <w:rPr>
          <w:rFonts w:ascii="Verdana" w:hAnsi="Verdana" w:eastAsia="DejaVuSerifCondensed" w:cs="DejaVuSerifCondensed"/>
          <w:color w:val="000000"/>
          <w:kern w:val="0"/>
          <w:sz w:val="18"/>
          <w:szCs w:val="18"/>
        </w:rPr>
        <w:t xml:space="preserve">uitkeringen de </w:t>
      </w:r>
      <w:r w:rsidR="0021169B">
        <w:rPr>
          <w:rFonts w:ascii="Verdana" w:hAnsi="Verdana" w:eastAsia="DejaVuSerifCondensed" w:cs="DejaVuSerifCondensed"/>
          <w:color w:val="000000"/>
          <w:kern w:val="0"/>
          <w:sz w:val="18"/>
          <w:szCs w:val="18"/>
        </w:rPr>
        <w:t xml:space="preserve">solidariteits- of risicodelingsreserve </w:t>
      </w:r>
      <w:r w:rsidR="006A1A2A">
        <w:rPr>
          <w:rFonts w:ascii="Verdana" w:hAnsi="Verdana" w:eastAsia="DejaVuSerifCondensed" w:cs="DejaVuSerifCondensed"/>
          <w:color w:val="000000"/>
          <w:kern w:val="0"/>
          <w:sz w:val="18"/>
          <w:szCs w:val="18"/>
        </w:rPr>
        <w:t>mag worden gebruikt</w:t>
      </w:r>
      <w:r w:rsidR="00687809">
        <w:rPr>
          <w:rFonts w:ascii="Verdana" w:hAnsi="Verdana" w:eastAsia="DejaVuSerifCondensed" w:cs="DejaVuSerifCondensed"/>
          <w:color w:val="000000"/>
          <w:kern w:val="0"/>
          <w:sz w:val="18"/>
          <w:szCs w:val="18"/>
        </w:rPr>
        <w:t xml:space="preserve"> om het eigen vermogen aan te vullen</w:t>
      </w:r>
      <w:r w:rsidR="006A1A2A">
        <w:rPr>
          <w:rFonts w:ascii="Verdana" w:hAnsi="Verdana" w:eastAsia="DejaVuSerifCondensed" w:cs="DejaVuSerifCondensed"/>
          <w:color w:val="000000"/>
          <w:kern w:val="0"/>
          <w:sz w:val="18"/>
          <w:szCs w:val="18"/>
        </w:rPr>
        <w:t>. Ik licht dat hieronder toe.</w:t>
      </w:r>
    </w:p>
    <w:p w:rsidR="006A1A2A" w:rsidP="00B771BB" w:rsidRDefault="006A1A2A" w14:paraId="7F06C4A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1169B" w:rsidP="00B771BB" w:rsidRDefault="006A1A2A" w14:paraId="45A44CBE" w14:textId="2A0EE183">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Pensioenfondsen moeten voor toekomstige </w:t>
      </w:r>
      <w:r w:rsidR="003B747C">
        <w:rPr>
          <w:rFonts w:ascii="Verdana" w:hAnsi="Verdana" w:eastAsia="DejaVuSerifCondensed" w:cs="DejaVuSerifCondensed"/>
          <w:color w:val="000000"/>
          <w:kern w:val="0"/>
          <w:sz w:val="18"/>
          <w:szCs w:val="18"/>
        </w:rPr>
        <w:t>uitvoeringskosten</w:t>
      </w:r>
      <w:r w:rsidR="0021169B">
        <w:rPr>
          <w:rFonts w:ascii="Verdana" w:hAnsi="Verdana" w:eastAsia="DejaVuSerifCondensed" w:cs="DejaVuSerifCondensed"/>
          <w:color w:val="000000"/>
          <w:kern w:val="0"/>
          <w:sz w:val="18"/>
          <w:szCs w:val="18"/>
        </w:rPr>
        <w:t xml:space="preserve"> een</w:t>
      </w:r>
      <w:r>
        <w:rPr>
          <w:rFonts w:ascii="Verdana" w:hAnsi="Verdana" w:eastAsia="DejaVuSerifCondensed" w:cs="DejaVuSerifCondensed"/>
          <w:color w:val="000000"/>
          <w:kern w:val="0"/>
          <w:sz w:val="18"/>
          <w:szCs w:val="18"/>
        </w:rPr>
        <w:t xml:space="preserve"> voorziening opnemen in hun administratie. De toekomstige </w:t>
      </w:r>
      <w:r w:rsidR="003B747C">
        <w:rPr>
          <w:rFonts w:ascii="Verdana" w:hAnsi="Verdana" w:eastAsia="DejaVuSerifCondensed" w:cs="DejaVuSerifCondensed"/>
          <w:color w:val="000000"/>
          <w:kern w:val="0"/>
          <w:sz w:val="18"/>
          <w:szCs w:val="18"/>
        </w:rPr>
        <w:t>uitvoeringskosten</w:t>
      </w:r>
      <w:r>
        <w:rPr>
          <w:rFonts w:ascii="Verdana" w:hAnsi="Verdana" w:eastAsia="DejaVuSerifCondensed" w:cs="DejaVuSerifCondensed"/>
          <w:color w:val="000000"/>
          <w:kern w:val="0"/>
          <w:sz w:val="18"/>
          <w:szCs w:val="18"/>
        </w:rPr>
        <w:t xml:space="preserve"> die het fonds verwacht te moeten maken voor bijvoorbeeld het uitkeren van pensioenen in de toekomst worden </w:t>
      </w:r>
      <w:r w:rsidR="003B747C">
        <w:rPr>
          <w:rFonts w:ascii="Verdana" w:hAnsi="Verdana" w:eastAsia="DejaVuSerifCondensed" w:cs="DejaVuSerifCondensed"/>
          <w:color w:val="000000"/>
          <w:kern w:val="0"/>
          <w:sz w:val="18"/>
          <w:szCs w:val="18"/>
        </w:rPr>
        <w:t xml:space="preserve">op de balans </w:t>
      </w:r>
      <w:r w:rsidR="00D05A4F">
        <w:rPr>
          <w:rFonts w:ascii="Verdana" w:hAnsi="Verdana" w:eastAsia="DejaVuSerifCondensed" w:cs="DejaVuSerifCondensed"/>
          <w:color w:val="000000"/>
          <w:kern w:val="0"/>
          <w:sz w:val="18"/>
          <w:szCs w:val="18"/>
        </w:rPr>
        <w:t>geadministreerd</w:t>
      </w:r>
      <w:r>
        <w:rPr>
          <w:rFonts w:ascii="Verdana" w:hAnsi="Verdana" w:eastAsia="DejaVuSerifCondensed" w:cs="DejaVuSerifCondensed"/>
          <w:color w:val="000000"/>
          <w:kern w:val="0"/>
          <w:sz w:val="18"/>
          <w:szCs w:val="18"/>
        </w:rPr>
        <w:t xml:space="preserve"> in de voorziening operationele kosten. </w:t>
      </w:r>
      <w:r w:rsidR="0021169B">
        <w:rPr>
          <w:rFonts w:ascii="Verdana" w:hAnsi="Verdana" w:eastAsia="DejaVuSerifCondensed" w:cs="DejaVuSerifCondensed"/>
          <w:color w:val="000000"/>
          <w:kern w:val="0"/>
          <w:sz w:val="18"/>
          <w:szCs w:val="18"/>
        </w:rPr>
        <w:t>Het kan echter voorkomen dat deze voorziening</w:t>
      </w:r>
      <w:r w:rsidR="000756F3">
        <w:rPr>
          <w:rFonts w:ascii="Verdana" w:hAnsi="Verdana" w:eastAsia="DejaVuSerifCondensed" w:cs="DejaVuSerifCondensed"/>
          <w:color w:val="000000"/>
          <w:kern w:val="0"/>
          <w:sz w:val="18"/>
          <w:szCs w:val="18"/>
        </w:rPr>
        <w:t xml:space="preserve"> wegens onverwachte ontwikkelingen</w:t>
      </w:r>
      <w:r w:rsidR="0021169B">
        <w:rPr>
          <w:rFonts w:ascii="Verdana" w:hAnsi="Verdana" w:eastAsia="DejaVuSerifCondensed" w:cs="DejaVuSerifCondensed"/>
          <w:color w:val="000000"/>
          <w:kern w:val="0"/>
          <w:sz w:val="18"/>
          <w:szCs w:val="18"/>
        </w:rPr>
        <w:t xml:space="preserve"> ontoereikend is. In dat geval komen de onvoorziene kosten ten laste van het eigen vermogen van het fonds</w:t>
      </w:r>
      <w:r w:rsidR="003B747C">
        <w:rPr>
          <w:rFonts w:ascii="Verdana" w:hAnsi="Verdana" w:eastAsia="DejaVuSerifCondensed" w:cs="DejaVuSerifCondensed"/>
          <w:color w:val="000000"/>
          <w:kern w:val="0"/>
          <w:sz w:val="18"/>
          <w:szCs w:val="18"/>
        </w:rPr>
        <w:t xml:space="preserve">. </w:t>
      </w:r>
      <w:r w:rsidRPr="0021169B" w:rsidR="0021169B">
        <w:rPr>
          <w:rFonts w:ascii="Verdana" w:hAnsi="Verdana" w:eastAsia="DejaVuSerifCondensed" w:cs="DejaVuSerifCondensed"/>
          <w:color w:val="000000"/>
          <w:kern w:val="0"/>
          <w:sz w:val="18"/>
          <w:szCs w:val="18"/>
        </w:rPr>
        <w:t xml:space="preserve">Behalve door een ontoereikende </w:t>
      </w:r>
      <w:r w:rsidR="003B747C">
        <w:rPr>
          <w:rFonts w:ascii="Verdana" w:hAnsi="Verdana" w:eastAsia="DejaVuSerifCondensed" w:cs="DejaVuSerifCondensed"/>
          <w:color w:val="000000"/>
          <w:kern w:val="0"/>
          <w:sz w:val="18"/>
          <w:szCs w:val="18"/>
        </w:rPr>
        <w:t>voorziening voor uitvoeringskosten</w:t>
      </w:r>
      <w:r w:rsidRPr="0021169B" w:rsidR="0021169B">
        <w:rPr>
          <w:rFonts w:ascii="Verdana" w:hAnsi="Verdana" w:eastAsia="DejaVuSerifCondensed" w:cs="DejaVuSerifCondensed"/>
          <w:color w:val="000000"/>
          <w:kern w:val="0"/>
          <w:sz w:val="18"/>
          <w:szCs w:val="18"/>
        </w:rPr>
        <w:t xml:space="preserve">, zou </w:t>
      </w:r>
      <w:r w:rsidR="00774666">
        <w:rPr>
          <w:rFonts w:ascii="Verdana" w:hAnsi="Verdana" w:eastAsia="DejaVuSerifCondensed" w:cs="DejaVuSerifCondensed"/>
          <w:color w:val="000000"/>
          <w:kern w:val="0"/>
          <w:sz w:val="18"/>
          <w:szCs w:val="18"/>
        </w:rPr>
        <w:t>het eigen vermogen</w:t>
      </w:r>
      <w:r w:rsidRPr="0021169B" w:rsidR="0021169B">
        <w:rPr>
          <w:rFonts w:ascii="Verdana" w:hAnsi="Verdana" w:eastAsia="DejaVuSerifCondensed" w:cs="DejaVuSerifCondensed"/>
          <w:color w:val="000000"/>
          <w:kern w:val="0"/>
          <w:sz w:val="18"/>
          <w:szCs w:val="18"/>
        </w:rPr>
        <w:t xml:space="preserve"> ook </w:t>
      </w:r>
      <w:r w:rsidR="00774666">
        <w:rPr>
          <w:rFonts w:ascii="Verdana" w:hAnsi="Verdana" w:eastAsia="DejaVuSerifCondensed" w:cs="DejaVuSerifCondensed"/>
          <w:color w:val="000000"/>
          <w:kern w:val="0"/>
          <w:sz w:val="18"/>
          <w:szCs w:val="18"/>
        </w:rPr>
        <w:t>lager kunnen worden</w:t>
      </w:r>
      <w:r w:rsidRPr="0021169B" w:rsidR="0021169B">
        <w:rPr>
          <w:rFonts w:ascii="Verdana" w:hAnsi="Verdana" w:eastAsia="DejaVuSerifCondensed" w:cs="DejaVuSerifCondensed"/>
          <w:color w:val="000000"/>
          <w:kern w:val="0"/>
          <w:sz w:val="18"/>
          <w:szCs w:val="18"/>
        </w:rPr>
        <w:t xml:space="preserve"> door andere financiële tegenvallers.</w:t>
      </w:r>
    </w:p>
    <w:p w:rsidR="0021169B" w:rsidP="00B771BB" w:rsidRDefault="0021169B" w14:paraId="14E3333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9C67B5" w:rsidP="00B771BB" w:rsidRDefault="0021169B" w14:paraId="284DD6EC" w14:textId="3BBD9F0E">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w:t>
      </w:r>
      <w:r w:rsidR="006A1A2A">
        <w:rPr>
          <w:rFonts w:ascii="Verdana" w:hAnsi="Verdana" w:eastAsia="DejaVuSerifCondensed" w:cs="DejaVuSerifCondensed"/>
          <w:color w:val="000000"/>
          <w:kern w:val="0"/>
          <w:sz w:val="18"/>
          <w:szCs w:val="18"/>
        </w:rPr>
        <w:t xml:space="preserve"> pensioenfonds </w:t>
      </w:r>
      <w:r>
        <w:rPr>
          <w:rFonts w:ascii="Verdana" w:hAnsi="Verdana" w:eastAsia="DejaVuSerifCondensed" w:cs="DejaVuSerifCondensed"/>
          <w:color w:val="000000"/>
          <w:kern w:val="0"/>
          <w:sz w:val="18"/>
          <w:szCs w:val="18"/>
        </w:rPr>
        <w:t xml:space="preserve">is </w:t>
      </w:r>
      <w:r w:rsidR="006A1A2A">
        <w:rPr>
          <w:rFonts w:ascii="Verdana" w:hAnsi="Verdana" w:eastAsia="DejaVuSerifCondensed" w:cs="DejaVuSerifCondensed"/>
          <w:color w:val="000000"/>
          <w:kern w:val="0"/>
          <w:sz w:val="18"/>
          <w:szCs w:val="18"/>
        </w:rPr>
        <w:t>vanuit nationale en Europese wet- en regelgeving gehouden om een reserve aan te houden om eventuele tegenvallen</w:t>
      </w:r>
      <w:r>
        <w:rPr>
          <w:rFonts w:ascii="Verdana" w:hAnsi="Verdana" w:eastAsia="DejaVuSerifCondensed" w:cs="DejaVuSerifCondensed"/>
          <w:color w:val="000000"/>
          <w:kern w:val="0"/>
          <w:sz w:val="18"/>
          <w:szCs w:val="18"/>
        </w:rPr>
        <w:t xml:space="preserve">de </w:t>
      </w:r>
      <w:r w:rsidR="006A1A2A">
        <w:rPr>
          <w:rFonts w:ascii="Verdana" w:hAnsi="Verdana" w:eastAsia="DejaVuSerifCondensed" w:cs="DejaVuSerifCondensed"/>
          <w:color w:val="000000"/>
          <w:kern w:val="0"/>
          <w:sz w:val="18"/>
          <w:szCs w:val="18"/>
        </w:rPr>
        <w:t xml:space="preserve">kosten te kunnen dekken, voor het geval dat onverhoopt het pensioenfonds de uitvoering van de pensioenregeling moet beëindigen. Deze </w:t>
      </w:r>
      <w:r>
        <w:rPr>
          <w:rFonts w:ascii="Verdana" w:hAnsi="Verdana" w:eastAsia="DejaVuSerifCondensed" w:cs="DejaVuSerifCondensed"/>
          <w:color w:val="000000"/>
          <w:kern w:val="0"/>
          <w:sz w:val="18"/>
          <w:szCs w:val="18"/>
        </w:rPr>
        <w:t xml:space="preserve">minimaal aan te houden </w:t>
      </w:r>
      <w:r w:rsidR="006A1A2A">
        <w:rPr>
          <w:rFonts w:ascii="Verdana" w:hAnsi="Verdana" w:eastAsia="DejaVuSerifCondensed" w:cs="DejaVuSerifCondensed"/>
          <w:color w:val="000000"/>
          <w:kern w:val="0"/>
          <w:sz w:val="18"/>
          <w:szCs w:val="18"/>
        </w:rPr>
        <w:t>reserve wordt in de Pensioenwet het minimaal vereist eigen</w:t>
      </w:r>
      <w:r>
        <w:rPr>
          <w:rFonts w:ascii="Verdana" w:hAnsi="Verdana" w:eastAsia="DejaVuSerifCondensed" w:cs="DejaVuSerifCondensed"/>
          <w:color w:val="000000"/>
          <w:kern w:val="0"/>
          <w:sz w:val="18"/>
          <w:szCs w:val="18"/>
        </w:rPr>
        <w:t xml:space="preserve"> </w:t>
      </w:r>
      <w:r w:rsidR="006A1A2A">
        <w:rPr>
          <w:rFonts w:ascii="Verdana" w:hAnsi="Verdana" w:eastAsia="DejaVuSerifCondensed" w:cs="DejaVuSerifCondensed"/>
          <w:color w:val="000000"/>
          <w:kern w:val="0"/>
          <w:sz w:val="18"/>
          <w:szCs w:val="18"/>
        </w:rPr>
        <w:t>vermogen</w:t>
      </w:r>
      <w:r w:rsidR="009C67B5">
        <w:rPr>
          <w:rFonts w:ascii="Verdana" w:hAnsi="Verdana" w:eastAsia="DejaVuSerifCondensed" w:cs="DejaVuSerifCondensed"/>
          <w:color w:val="000000"/>
          <w:kern w:val="0"/>
          <w:sz w:val="18"/>
          <w:szCs w:val="18"/>
        </w:rPr>
        <w:t xml:space="preserve"> (hierna: MVEV)</w:t>
      </w:r>
      <w:r w:rsidR="006A1A2A">
        <w:rPr>
          <w:rFonts w:ascii="Verdana" w:hAnsi="Verdana" w:eastAsia="DejaVuSerifCondensed" w:cs="DejaVuSerifCondensed"/>
          <w:color w:val="000000"/>
          <w:kern w:val="0"/>
          <w:sz w:val="18"/>
          <w:szCs w:val="18"/>
        </w:rPr>
        <w:t xml:space="preserve"> genoemd. Jaarlijks dient een pensioenfonds aan te tonen dat zij op 31 december van enig jaar beschikt over </w:t>
      </w:r>
      <w:r w:rsidR="009C67B5">
        <w:rPr>
          <w:rFonts w:ascii="Verdana" w:hAnsi="Verdana" w:eastAsia="DejaVuSerifCondensed" w:cs="DejaVuSerifCondensed"/>
          <w:color w:val="000000"/>
          <w:kern w:val="0"/>
          <w:sz w:val="18"/>
          <w:szCs w:val="18"/>
        </w:rPr>
        <w:t>dit MVEV.</w:t>
      </w:r>
      <w:r w:rsidR="001B07BB">
        <w:rPr>
          <w:rStyle w:val="Voetnootmarkering"/>
          <w:rFonts w:ascii="Verdana" w:hAnsi="Verdana" w:eastAsia="DejaVuSerifCondensed" w:cs="DejaVuSerifCondensed"/>
          <w:color w:val="000000"/>
          <w:kern w:val="0"/>
          <w:sz w:val="18"/>
          <w:szCs w:val="18"/>
        </w:rPr>
        <w:footnoteReference w:id="1"/>
      </w:r>
      <w:r w:rsidR="009C67B5">
        <w:rPr>
          <w:rFonts w:ascii="Verdana" w:hAnsi="Verdana" w:eastAsia="DejaVuSerifCondensed" w:cs="DejaVuSerifCondensed"/>
          <w:color w:val="000000"/>
          <w:kern w:val="0"/>
          <w:sz w:val="18"/>
          <w:szCs w:val="18"/>
        </w:rPr>
        <w:t xml:space="preserve"> </w:t>
      </w:r>
    </w:p>
    <w:p w:rsidR="009C67B5" w:rsidP="00B771BB" w:rsidRDefault="009C67B5" w14:paraId="7CE815F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60A1B" w:rsidP="00B771BB" w:rsidRDefault="0021169B" w14:paraId="7E7E7824" w14:textId="39478D1F">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Indien een pensioenfonds niet voldoet aan de vereisten ten aanzien van het MVEV, is d</w:t>
      </w:r>
      <w:r w:rsidR="009C67B5">
        <w:rPr>
          <w:rFonts w:ascii="Verdana" w:hAnsi="Verdana" w:eastAsia="DejaVuSerifCondensed" w:cs="DejaVuSerifCondensed"/>
          <w:color w:val="000000"/>
          <w:kern w:val="0"/>
          <w:sz w:val="18"/>
          <w:szCs w:val="18"/>
        </w:rPr>
        <w:t>e meest voor de hand liggende maatregel het verminderen van pensioenaanspraken en -uitkeringen</w:t>
      </w:r>
      <w:r>
        <w:rPr>
          <w:rFonts w:ascii="Verdana" w:hAnsi="Verdana" w:eastAsia="DejaVuSerifCondensed" w:cs="DejaVuSerifCondensed"/>
          <w:color w:val="000000"/>
          <w:kern w:val="0"/>
          <w:sz w:val="18"/>
          <w:szCs w:val="18"/>
        </w:rPr>
        <w:t xml:space="preserve">. De </w:t>
      </w:r>
      <w:r w:rsidR="34315202">
        <w:rPr>
          <w:rFonts w:ascii="Verdana" w:hAnsi="Verdana" w:eastAsia="DejaVuSerifCondensed" w:cs="DejaVuSerifCondensed"/>
          <w:color w:val="000000"/>
          <w:kern w:val="0"/>
          <w:sz w:val="18"/>
          <w:szCs w:val="18"/>
        </w:rPr>
        <w:t>P</w:t>
      </w:r>
      <w:r>
        <w:rPr>
          <w:rFonts w:ascii="Verdana" w:hAnsi="Verdana" w:eastAsia="DejaVuSerifCondensed" w:cs="DejaVuSerifCondensed"/>
          <w:color w:val="000000"/>
          <w:kern w:val="0"/>
          <w:sz w:val="18"/>
          <w:szCs w:val="18"/>
        </w:rPr>
        <w:t>ensioenwet</w:t>
      </w:r>
      <w:r w:rsidR="009C67B5">
        <w:rPr>
          <w:rFonts w:ascii="Verdana" w:hAnsi="Verdana" w:eastAsia="DejaVuSerifCondensed" w:cs="DejaVuSerifCondensed"/>
          <w:color w:val="000000"/>
          <w:kern w:val="0"/>
          <w:sz w:val="18"/>
          <w:szCs w:val="18"/>
        </w:rPr>
        <w:t xml:space="preserve"> voorziet </w:t>
      </w:r>
      <w:r>
        <w:rPr>
          <w:rFonts w:ascii="Verdana" w:hAnsi="Verdana" w:eastAsia="DejaVuSerifCondensed" w:cs="DejaVuSerifCondensed"/>
          <w:color w:val="000000"/>
          <w:kern w:val="0"/>
          <w:sz w:val="18"/>
          <w:szCs w:val="18"/>
        </w:rPr>
        <w:t xml:space="preserve">vooralsnog niet </w:t>
      </w:r>
      <w:r w:rsidR="009C67B5">
        <w:rPr>
          <w:rFonts w:ascii="Verdana" w:hAnsi="Verdana" w:eastAsia="DejaVuSerifCondensed" w:cs="DejaVuSerifCondensed"/>
          <w:color w:val="000000"/>
          <w:kern w:val="0"/>
          <w:sz w:val="18"/>
          <w:szCs w:val="18"/>
        </w:rPr>
        <w:t xml:space="preserve">in andere </w:t>
      </w:r>
      <w:r w:rsidR="0015522B">
        <w:rPr>
          <w:rFonts w:ascii="Verdana" w:hAnsi="Verdana" w:eastAsia="DejaVuSerifCondensed" w:cs="DejaVuSerifCondensed"/>
          <w:color w:val="000000"/>
          <w:kern w:val="0"/>
          <w:sz w:val="18"/>
          <w:szCs w:val="18"/>
        </w:rPr>
        <w:t xml:space="preserve">maatregelen. Het verminderen van pensioenaanspraken en </w:t>
      </w:r>
      <w:r w:rsidR="3C0D6F4A">
        <w:rPr>
          <w:rFonts w:ascii="Verdana" w:hAnsi="Verdana" w:eastAsia="DejaVuSerifCondensed" w:cs="DejaVuSerifCondensed"/>
          <w:color w:val="000000"/>
          <w:kern w:val="0"/>
          <w:sz w:val="18"/>
          <w:szCs w:val="18"/>
        </w:rPr>
        <w:t>-</w:t>
      </w:r>
      <w:r w:rsidR="0015522B">
        <w:rPr>
          <w:rFonts w:ascii="Verdana" w:hAnsi="Verdana" w:eastAsia="DejaVuSerifCondensed" w:cs="DejaVuSerifCondensed"/>
          <w:color w:val="000000"/>
          <w:kern w:val="0"/>
          <w:sz w:val="18"/>
          <w:szCs w:val="18"/>
        </w:rPr>
        <w:t xml:space="preserve">uitkeringen is </w:t>
      </w:r>
      <w:r w:rsidRPr="2E9C52C1" w:rsidR="00EB318D">
        <w:rPr>
          <w:rFonts w:ascii="Verdana" w:hAnsi="Verdana" w:eastAsia="DejaVuSerifCondensed" w:cs="DejaVuSerifCondensed"/>
          <w:color w:val="000000" w:themeColor="text1"/>
          <w:sz w:val="18"/>
          <w:szCs w:val="18"/>
        </w:rPr>
        <w:t xml:space="preserve">echter </w:t>
      </w:r>
      <w:r w:rsidR="00037AEA">
        <w:rPr>
          <w:rFonts w:ascii="Verdana" w:hAnsi="Verdana" w:eastAsia="DejaVuSerifCondensed" w:cs="DejaVuSerifCondensed"/>
          <w:color w:val="000000"/>
          <w:kern w:val="0"/>
          <w:sz w:val="18"/>
          <w:szCs w:val="18"/>
        </w:rPr>
        <w:t xml:space="preserve">terecht een uiterst </w:t>
      </w:r>
      <w:r w:rsidR="00176ABB">
        <w:rPr>
          <w:rFonts w:ascii="Verdana" w:hAnsi="Verdana" w:eastAsia="DejaVuSerifCondensed" w:cs="DejaVuSerifCondensed"/>
          <w:color w:val="000000"/>
          <w:kern w:val="0"/>
          <w:sz w:val="18"/>
          <w:szCs w:val="18"/>
        </w:rPr>
        <w:t>red</w:t>
      </w:r>
      <w:r w:rsidR="00037AEA">
        <w:rPr>
          <w:rFonts w:ascii="Verdana" w:hAnsi="Verdana" w:eastAsia="DejaVuSerifCondensed" w:cs="DejaVuSerifCondensed"/>
          <w:color w:val="000000"/>
          <w:kern w:val="0"/>
          <w:sz w:val="18"/>
          <w:szCs w:val="18"/>
        </w:rPr>
        <w:t>middel</w:t>
      </w:r>
      <w:r w:rsidR="009C67B5">
        <w:rPr>
          <w:rFonts w:ascii="Verdana" w:hAnsi="Verdana" w:eastAsia="DejaVuSerifCondensed" w:cs="DejaVuSerifCondensed"/>
          <w:color w:val="000000"/>
          <w:kern w:val="0"/>
          <w:sz w:val="18"/>
          <w:szCs w:val="18"/>
        </w:rPr>
        <w:t xml:space="preserve">. </w:t>
      </w:r>
      <w:r w:rsidR="00037AEA">
        <w:rPr>
          <w:rFonts w:ascii="Verdana" w:hAnsi="Verdana" w:eastAsia="DejaVuSerifCondensed" w:cs="DejaVuSerifCondensed"/>
          <w:color w:val="000000"/>
          <w:kern w:val="0"/>
          <w:sz w:val="18"/>
          <w:szCs w:val="18"/>
        </w:rPr>
        <w:t>D</w:t>
      </w:r>
      <w:r w:rsidR="009C67B5">
        <w:rPr>
          <w:rFonts w:ascii="Verdana" w:hAnsi="Verdana" w:eastAsia="DejaVuSerifCondensed" w:cs="DejaVuSerifCondensed"/>
          <w:color w:val="000000"/>
          <w:kern w:val="0"/>
          <w:sz w:val="18"/>
          <w:szCs w:val="18"/>
        </w:rPr>
        <w:t xml:space="preserve">oor </w:t>
      </w:r>
      <w:r w:rsidR="0015522B">
        <w:rPr>
          <w:rFonts w:ascii="Verdana" w:hAnsi="Verdana" w:eastAsia="DejaVuSerifCondensed" w:cs="DejaVuSerifCondensed"/>
          <w:color w:val="000000"/>
          <w:kern w:val="0"/>
          <w:sz w:val="18"/>
          <w:szCs w:val="18"/>
        </w:rPr>
        <w:t xml:space="preserve">de voorgestelde </w:t>
      </w:r>
      <w:r w:rsidR="00857A21">
        <w:rPr>
          <w:rFonts w:ascii="Verdana" w:hAnsi="Verdana" w:eastAsia="DejaVuSerifCondensed" w:cs="DejaVuSerifCondensed"/>
          <w:color w:val="000000"/>
          <w:kern w:val="0"/>
          <w:sz w:val="18"/>
          <w:szCs w:val="18"/>
        </w:rPr>
        <w:t>verduidelijking</w:t>
      </w:r>
      <w:r w:rsidR="00037AEA">
        <w:rPr>
          <w:rFonts w:ascii="Verdana" w:hAnsi="Verdana" w:eastAsia="DejaVuSerifCondensed" w:cs="DejaVuSerifCondensed"/>
          <w:color w:val="000000"/>
          <w:kern w:val="0"/>
          <w:sz w:val="18"/>
          <w:szCs w:val="18"/>
        </w:rPr>
        <w:t xml:space="preserve"> </w:t>
      </w:r>
      <w:r w:rsidR="0015522B">
        <w:rPr>
          <w:rFonts w:ascii="Verdana" w:hAnsi="Verdana" w:eastAsia="DejaVuSerifCondensed" w:cs="DejaVuSerifCondensed"/>
          <w:color w:val="000000"/>
          <w:kern w:val="0"/>
          <w:sz w:val="18"/>
          <w:szCs w:val="18"/>
        </w:rPr>
        <w:t xml:space="preserve">in het concept verzamelbesluit </w:t>
      </w:r>
      <w:r w:rsidR="009C67B5">
        <w:rPr>
          <w:rFonts w:ascii="Verdana" w:hAnsi="Verdana" w:eastAsia="DejaVuSerifCondensed" w:cs="DejaVuSerifCondensed"/>
          <w:color w:val="000000"/>
          <w:kern w:val="0"/>
          <w:sz w:val="18"/>
          <w:szCs w:val="18"/>
        </w:rPr>
        <w:t>wordt het pensioen van de deelnemers en gepensioneerden stabiel</w:t>
      </w:r>
      <w:r w:rsidR="00176ABB">
        <w:rPr>
          <w:rFonts w:ascii="Verdana" w:hAnsi="Verdana" w:eastAsia="DejaVuSerifCondensed" w:cs="DejaVuSerifCondensed"/>
          <w:color w:val="000000"/>
          <w:kern w:val="0"/>
          <w:sz w:val="18"/>
          <w:szCs w:val="18"/>
        </w:rPr>
        <w:t>er</w:t>
      </w:r>
      <w:r w:rsidR="009C67B5">
        <w:rPr>
          <w:rFonts w:ascii="Verdana" w:hAnsi="Verdana" w:eastAsia="DejaVuSerifCondensed" w:cs="DejaVuSerifCondensed"/>
          <w:color w:val="000000"/>
          <w:kern w:val="0"/>
          <w:sz w:val="18"/>
          <w:szCs w:val="18"/>
        </w:rPr>
        <w:t xml:space="preserve">. </w:t>
      </w:r>
    </w:p>
    <w:p w:rsidR="009C67B5" w:rsidP="00B771BB" w:rsidRDefault="009C67B5" w14:paraId="2497A7D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C7E88" w:rsidP="00B771BB" w:rsidRDefault="009C67B5" w14:paraId="2E7A3213" w14:textId="5FEB110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concept </w:t>
      </w:r>
      <w:r w:rsidR="00687809">
        <w:rPr>
          <w:rFonts w:ascii="Verdana" w:hAnsi="Verdana" w:eastAsia="DejaVuSerifCondensed" w:cs="DejaVuSerifCondensed"/>
          <w:color w:val="000000"/>
          <w:kern w:val="0"/>
          <w:sz w:val="18"/>
          <w:szCs w:val="18"/>
        </w:rPr>
        <w:t>v</w:t>
      </w:r>
      <w:r>
        <w:rPr>
          <w:rFonts w:ascii="Verdana" w:hAnsi="Verdana" w:eastAsia="DejaVuSerifCondensed" w:cs="DejaVuSerifCondensed"/>
          <w:color w:val="000000"/>
          <w:kern w:val="0"/>
          <w:sz w:val="18"/>
          <w:szCs w:val="18"/>
        </w:rPr>
        <w:t xml:space="preserve">erzamelbesluit is </w:t>
      </w:r>
      <w:r w:rsidR="00857A21">
        <w:rPr>
          <w:rFonts w:ascii="Verdana" w:hAnsi="Verdana" w:eastAsia="DejaVuSerifCondensed" w:cs="DejaVuSerifCondensed"/>
          <w:color w:val="000000"/>
          <w:kern w:val="0"/>
          <w:sz w:val="18"/>
          <w:szCs w:val="18"/>
        </w:rPr>
        <w:t>verduidelijkt</w:t>
      </w:r>
      <w:r>
        <w:rPr>
          <w:rFonts w:ascii="Verdana" w:hAnsi="Verdana" w:eastAsia="DejaVuSerifCondensed" w:cs="DejaVuSerifCondensed"/>
          <w:color w:val="000000"/>
          <w:kern w:val="0"/>
          <w:sz w:val="18"/>
          <w:szCs w:val="18"/>
        </w:rPr>
        <w:t xml:space="preserve"> dat onder voorwaarden eerst de </w:t>
      </w:r>
      <w:r w:rsidR="009D693F">
        <w:rPr>
          <w:rFonts w:ascii="Verdana" w:hAnsi="Verdana" w:eastAsia="DejaVuSerifCondensed" w:cs="DejaVuSerifCondensed"/>
          <w:color w:val="000000"/>
          <w:kern w:val="0"/>
          <w:sz w:val="18"/>
          <w:szCs w:val="18"/>
        </w:rPr>
        <w:t>solidariteitsreserve of risicodelingsreserve kan worden gebruikt voordat de pensioenaanspraken en -uitkeringen worden verminderd</w:t>
      </w:r>
      <w:r w:rsidR="00BC7E88">
        <w:rPr>
          <w:rFonts w:ascii="Verdana" w:hAnsi="Verdana" w:eastAsia="DejaVuSerifCondensed" w:cs="DejaVuSerifCondensed"/>
          <w:color w:val="000000"/>
          <w:kern w:val="0"/>
          <w:sz w:val="18"/>
          <w:szCs w:val="18"/>
        </w:rPr>
        <w:t xml:space="preserve">. Hierbij is geëxpliceerd dat dit </w:t>
      </w:r>
      <w:r w:rsidRPr="00BC7E88" w:rsidR="00BC7E88">
        <w:rPr>
          <w:rFonts w:ascii="Verdana" w:hAnsi="Verdana" w:eastAsia="DejaVuSerifCondensed" w:cs="DejaVuSerifCondensed"/>
          <w:i/>
          <w:iCs/>
          <w:color w:val="000000"/>
          <w:kern w:val="0"/>
          <w:sz w:val="18"/>
          <w:szCs w:val="18"/>
        </w:rPr>
        <w:t>ook</w:t>
      </w:r>
      <w:r w:rsidR="00BC7E88">
        <w:rPr>
          <w:rFonts w:ascii="Verdana" w:hAnsi="Verdana" w:eastAsia="DejaVuSerifCondensed" w:cs="DejaVuSerifCondensed"/>
          <w:color w:val="000000"/>
          <w:kern w:val="0"/>
          <w:sz w:val="18"/>
          <w:szCs w:val="18"/>
        </w:rPr>
        <w:t xml:space="preserve"> mogelijk is als het ontbreken van het MVEV het gevolg is van </w:t>
      </w:r>
      <w:r w:rsidR="00A517C6">
        <w:rPr>
          <w:rFonts w:ascii="Verdana" w:hAnsi="Verdana" w:eastAsia="DejaVuSerifCondensed" w:cs="DejaVuSerifCondensed"/>
          <w:color w:val="000000"/>
          <w:kern w:val="0"/>
          <w:sz w:val="18"/>
          <w:szCs w:val="18"/>
        </w:rPr>
        <w:t>uitvoeringskosten</w:t>
      </w:r>
      <w:r w:rsidR="00BC7E88">
        <w:rPr>
          <w:rFonts w:ascii="Verdana" w:hAnsi="Verdana" w:eastAsia="DejaVuSerifCondensed" w:cs="DejaVuSerifCondensed"/>
          <w:color w:val="000000"/>
          <w:kern w:val="0"/>
          <w:sz w:val="18"/>
          <w:szCs w:val="18"/>
        </w:rPr>
        <w:t xml:space="preserve"> die niet op een andere wijze gedekt zijn, bijvoorbeeld omdat de voorziening operationele kosten ontoereikend is. </w:t>
      </w:r>
      <w:r w:rsidR="009D693F">
        <w:rPr>
          <w:rFonts w:ascii="Verdana" w:hAnsi="Verdana" w:eastAsia="DejaVuSerifCondensed" w:cs="DejaVuSerifCondensed"/>
          <w:color w:val="000000"/>
          <w:kern w:val="0"/>
          <w:sz w:val="18"/>
          <w:szCs w:val="18"/>
        </w:rPr>
        <w:t xml:space="preserve"> </w:t>
      </w:r>
    </w:p>
    <w:p w:rsidR="00BC7E88" w:rsidP="00B771BB" w:rsidRDefault="00BC7E88" w14:paraId="57A3F3D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176ABB" w:rsidP="00B771BB" w:rsidRDefault="00746139" w14:paraId="0F30AD88" w14:textId="5C562F0A">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Naar mijn mening is </w:t>
      </w:r>
      <w:r w:rsidR="00176ABB">
        <w:rPr>
          <w:rFonts w:ascii="Verdana" w:hAnsi="Verdana" w:eastAsia="DejaVuSerifCondensed" w:cs="DejaVuSerifCondensed"/>
          <w:color w:val="000000"/>
          <w:kern w:val="0"/>
          <w:sz w:val="18"/>
          <w:szCs w:val="18"/>
        </w:rPr>
        <w:t>dan</w:t>
      </w:r>
      <w:r>
        <w:rPr>
          <w:rFonts w:ascii="Verdana" w:hAnsi="Verdana" w:eastAsia="DejaVuSerifCondensed" w:cs="DejaVuSerifCondensed"/>
          <w:color w:val="000000"/>
          <w:kern w:val="0"/>
          <w:sz w:val="18"/>
          <w:szCs w:val="18"/>
        </w:rPr>
        <w:t xml:space="preserve"> echter geen sprake van </w:t>
      </w:r>
      <w:r w:rsidR="00037AEA">
        <w:rPr>
          <w:rFonts w:ascii="Verdana" w:hAnsi="Verdana" w:eastAsia="DejaVuSerifCondensed" w:cs="DejaVuSerifCondensed"/>
          <w:color w:val="000000"/>
          <w:kern w:val="0"/>
          <w:sz w:val="18"/>
          <w:szCs w:val="18"/>
        </w:rPr>
        <w:t xml:space="preserve">het gebruiken van de solidariteitsreserve voor het delen van </w:t>
      </w:r>
      <w:r>
        <w:rPr>
          <w:rFonts w:ascii="Verdana" w:hAnsi="Verdana" w:eastAsia="DejaVuSerifCondensed" w:cs="DejaVuSerifCondensed"/>
          <w:color w:val="000000"/>
          <w:kern w:val="0"/>
          <w:sz w:val="18"/>
          <w:szCs w:val="18"/>
        </w:rPr>
        <w:t>operationele kosten</w:t>
      </w:r>
      <w:r w:rsidR="005967B1">
        <w:rPr>
          <w:rFonts w:ascii="Verdana" w:hAnsi="Verdana" w:eastAsia="DejaVuSerifCondensed" w:cs="DejaVuSerifCondensed"/>
          <w:color w:val="000000"/>
          <w:kern w:val="0"/>
          <w:sz w:val="18"/>
          <w:szCs w:val="18"/>
        </w:rPr>
        <w:t>,</w:t>
      </w:r>
      <w:r w:rsidR="00BC7E88">
        <w:rPr>
          <w:rFonts w:ascii="Verdana" w:hAnsi="Verdana" w:eastAsia="DejaVuSerifCondensed" w:cs="DejaVuSerifCondensed"/>
          <w:color w:val="000000"/>
          <w:kern w:val="0"/>
          <w:sz w:val="18"/>
          <w:szCs w:val="18"/>
        </w:rPr>
        <w:t xml:space="preserve"> aangezien het pensioenfonds hiervoor reeds een adequate voorziening</w:t>
      </w:r>
      <w:r w:rsidR="00857A21">
        <w:rPr>
          <w:rFonts w:ascii="Verdana" w:hAnsi="Verdana" w:eastAsia="DejaVuSerifCondensed" w:cs="DejaVuSerifCondensed"/>
          <w:color w:val="000000"/>
          <w:kern w:val="0"/>
          <w:sz w:val="18"/>
          <w:szCs w:val="18"/>
        </w:rPr>
        <w:t xml:space="preserve"> dient te</w:t>
      </w:r>
      <w:r w:rsidR="00BC7E88">
        <w:rPr>
          <w:rFonts w:ascii="Verdana" w:hAnsi="Verdana" w:eastAsia="DejaVuSerifCondensed" w:cs="DejaVuSerifCondensed"/>
          <w:color w:val="000000"/>
          <w:kern w:val="0"/>
          <w:sz w:val="18"/>
          <w:szCs w:val="18"/>
        </w:rPr>
        <w:t xml:space="preserve"> vorm</w:t>
      </w:r>
      <w:r w:rsidR="00857A21">
        <w:rPr>
          <w:rFonts w:ascii="Verdana" w:hAnsi="Verdana" w:eastAsia="DejaVuSerifCondensed" w:cs="DejaVuSerifCondensed"/>
          <w:color w:val="000000"/>
          <w:kern w:val="0"/>
          <w:sz w:val="18"/>
          <w:szCs w:val="18"/>
        </w:rPr>
        <w:t>en</w:t>
      </w:r>
      <w:r w:rsidR="00BC7E88">
        <w:rPr>
          <w:rFonts w:ascii="Verdana" w:hAnsi="Verdana" w:eastAsia="DejaVuSerifCondensed" w:cs="DejaVuSerifCondensed"/>
          <w:color w:val="000000"/>
          <w:kern w:val="0"/>
          <w:sz w:val="18"/>
          <w:szCs w:val="18"/>
        </w:rPr>
        <w:t>,</w:t>
      </w:r>
      <w:r w:rsidR="005967B1">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maar voor de voorkoming van een </w:t>
      </w:r>
      <w:proofErr w:type="spellStart"/>
      <w:r>
        <w:rPr>
          <w:rFonts w:ascii="Verdana" w:hAnsi="Verdana" w:eastAsia="DejaVuSerifCondensed" w:cs="DejaVuSerifCondensed"/>
          <w:color w:val="000000"/>
          <w:kern w:val="0"/>
          <w:sz w:val="18"/>
          <w:szCs w:val="18"/>
        </w:rPr>
        <w:t>fondsbrede</w:t>
      </w:r>
      <w:proofErr w:type="spellEnd"/>
      <w:r>
        <w:rPr>
          <w:rFonts w:ascii="Verdana" w:hAnsi="Verdana" w:eastAsia="DejaVuSerifCondensed" w:cs="DejaVuSerifCondensed"/>
          <w:color w:val="000000"/>
          <w:kern w:val="0"/>
          <w:sz w:val="18"/>
          <w:szCs w:val="18"/>
        </w:rPr>
        <w:t xml:space="preserve"> vermindering van pensioenaanspraken en -rechten</w:t>
      </w:r>
      <w:r w:rsidR="00176ABB">
        <w:rPr>
          <w:rFonts w:ascii="Verdana" w:hAnsi="Verdana" w:eastAsia="DejaVuSerifCondensed" w:cs="DejaVuSerifCondensed"/>
          <w:color w:val="000000"/>
          <w:kern w:val="0"/>
          <w:sz w:val="18"/>
          <w:szCs w:val="18"/>
        </w:rPr>
        <w:t>. Deze invulling voldoet daarmee aan een grote behoefte bij pensioenfondsen die verzocht hebben om verduidelijking op dit punt. Het betreft daarmee een concrete verbetering voor de uitvoering en voor diens deelnemers.</w:t>
      </w:r>
    </w:p>
    <w:p w:rsidR="00F60A1B" w:rsidP="00B771BB" w:rsidRDefault="00F60A1B" w14:paraId="22AFC931" w14:textId="074DADB4">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B45BC" w:rsidP="00B771BB" w:rsidRDefault="002B45BC" w14:paraId="343F660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21E74" w:rsidP="00B771BB" w:rsidRDefault="00421E74" w14:paraId="349E20EF" w14:textId="49D8C734">
      <w:pPr>
        <w:autoSpaceDE w:val="0"/>
        <w:autoSpaceDN w:val="0"/>
        <w:adjustRightInd w:val="0"/>
        <w:spacing w:after="0" w:line="240" w:lineRule="auto"/>
        <w:rPr>
          <w:rFonts w:ascii="Verdana" w:hAnsi="Verdana" w:eastAsia="DejaVuSerifCondensed" w:cs="DejaVuSerifCondensed"/>
          <w:color w:val="000000"/>
          <w:kern w:val="0"/>
          <w:sz w:val="18"/>
          <w:szCs w:val="18"/>
        </w:rPr>
      </w:pPr>
      <w:r w:rsidRPr="00421E74">
        <w:rPr>
          <w:rFonts w:ascii="Verdana" w:hAnsi="Verdana" w:eastAsia="DejaVuSerifCondensed" w:cs="DejaVuSerifCondensed"/>
          <w:color w:val="000000"/>
          <w:kern w:val="0"/>
          <w:sz w:val="18"/>
          <w:szCs w:val="18"/>
        </w:rPr>
        <w:lastRenderedPageBreak/>
        <w:t>De solidariteits</w:t>
      </w:r>
      <w:r w:rsidR="00746139">
        <w:rPr>
          <w:rFonts w:ascii="Verdana" w:hAnsi="Verdana" w:eastAsia="DejaVuSerifCondensed" w:cs="DejaVuSerifCondensed"/>
          <w:color w:val="000000"/>
          <w:kern w:val="0"/>
          <w:sz w:val="18"/>
          <w:szCs w:val="18"/>
        </w:rPr>
        <w:t xml:space="preserve">reserve wordt hiermee ingezet </w:t>
      </w:r>
      <w:r w:rsidRPr="00421E74">
        <w:rPr>
          <w:rFonts w:ascii="Verdana" w:hAnsi="Verdana" w:eastAsia="DejaVuSerifCondensed" w:cs="DejaVuSerifCondensed"/>
          <w:color w:val="000000"/>
          <w:kern w:val="0"/>
          <w:sz w:val="18"/>
          <w:szCs w:val="18"/>
        </w:rPr>
        <w:t xml:space="preserve">om </w:t>
      </w:r>
      <w:r w:rsidR="00746139">
        <w:rPr>
          <w:rFonts w:ascii="Verdana" w:hAnsi="Verdana" w:eastAsia="DejaVuSerifCondensed" w:cs="DejaVuSerifCondensed"/>
          <w:color w:val="000000"/>
          <w:kern w:val="0"/>
          <w:sz w:val="18"/>
          <w:szCs w:val="18"/>
        </w:rPr>
        <w:t xml:space="preserve">een </w:t>
      </w:r>
      <w:r w:rsidRPr="00421E74">
        <w:rPr>
          <w:rFonts w:ascii="Verdana" w:hAnsi="Verdana" w:eastAsia="DejaVuSerifCondensed" w:cs="DejaVuSerifCondensed"/>
          <w:color w:val="000000"/>
          <w:kern w:val="0"/>
          <w:sz w:val="18"/>
          <w:szCs w:val="18"/>
        </w:rPr>
        <w:t xml:space="preserve">financiële tegenvaller </w:t>
      </w:r>
      <w:r w:rsidR="00746139">
        <w:rPr>
          <w:rFonts w:ascii="Verdana" w:hAnsi="Verdana" w:eastAsia="DejaVuSerifCondensed" w:cs="DejaVuSerifCondensed"/>
          <w:color w:val="000000"/>
          <w:kern w:val="0"/>
          <w:sz w:val="18"/>
          <w:szCs w:val="18"/>
        </w:rPr>
        <w:t xml:space="preserve">in de uitvoering van een pensioenregeling op te vangen. </w:t>
      </w:r>
      <w:r w:rsidRPr="00421E74">
        <w:rPr>
          <w:rFonts w:ascii="Verdana" w:hAnsi="Verdana" w:eastAsia="DejaVuSerifCondensed" w:cs="DejaVuSerifCondensed"/>
          <w:color w:val="000000"/>
          <w:kern w:val="0"/>
          <w:sz w:val="18"/>
          <w:szCs w:val="18"/>
        </w:rPr>
        <w:t xml:space="preserve">Het inzetten van de solidariteitsreserve om daarmee een vermindering geheel of gedeeltelijk te voorkomen, </w:t>
      </w:r>
      <w:r w:rsidR="00746139">
        <w:rPr>
          <w:rFonts w:ascii="Verdana" w:hAnsi="Verdana" w:eastAsia="DejaVuSerifCondensed" w:cs="DejaVuSerifCondensed"/>
          <w:color w:val="000000"/>
          <w:kern w:val="0"/>
          <w:sz w:val="18"/>
          <w:szCs w:val="18"/>
        </w:rPr>
        <w:t>moet stroken met de doelstelling voor deze reserve bij het betreffende fonds</w:t>
      </w:r>
      <w:r w:rsidRPr="00421E74">
        <w:rPr>
          <w:rFonts w:ascii="Verdana" w:hAnsi="Verdana" w:eastAsia="DejaVuSerifCondensed" w:cs="DejaVuSerifCondensed"/>
          <w:color w:val="000000"/>
          <w:kern w:val="0"/>
          <w:sz w:val="18"/>
          <w:szCs w:val="18"/>
        </w:rPr>
        <w:t>. Denk hierbij aan de doelstelling om gemiddeld stabielere of hogere toekomstige en al ingegane pensioenuitkeringen voor alle generaties te bewerkstelligen.</w:t>
      </w:r>
      <w:r>
        <w:rPr>
          <w:rFonts w:ascii="Verdana" w:hAnsi="Verdana" w:eastAsia="DejaVuSerifCondensed" w:cs="DejaVuSerifCondensed"/>
          <w:color w:val="000000"/>
          <w:kern w:val="0"/>
          <w:sz w:val="18"/>
          <w:szCs w:val="18"/>
        </w:rPr>
        <w:t xml:space="preserve"> </w:t>
      </w:r>
    </w:p>
    <w:p w:rsidR="00421E74" w:rsidP="00B771BB" w:rsidRDefault="00421E74" w14:paraId="59F2FDC7" w14:textId="1C5EF8B9">
      <w:pPr>
        <w:autoSpaceDE w:val="0"/>
        <w:autoSpaceDN w:val="0"/>
        <w:adjustRightInd w:val="0"/>
        <w:spacing w:after="0" w:line="240" w:lineRule="auto"/>
        <w:rPr>
          <w:rFonts w:ascii="Verdana" w:hAnsi="Verdana" w:eastAsia="DejaVuSerifCondensed" w:cs="DejaVuSerifCondensed"/>
          <w:color w:val="000000"/>
          <w:kern w:val="0"/>
          <w:sz w:val="18"/>
          <w:szCs w:val="18"/>
        </w:rPr>
      </w:pPr>
    </w:p>
    <w:p w:rsidR="0072663F" w:rsidP="00B771BB" w:rsidRDefault="00421E74" w14:paraId="375EF68E" w14:textId="2F56B83B">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Dit wordt mogelijk gemaakt in het concept </w:t>
      </w:r>
      <w:r w:rsidR="00C95C84">
        <w:rPr>
          <w:rFonts w:ascii="Verdana" w:hAnsi="Verdana" w:eastAsia="DejaVuSerifCondensed" w:cs="DejaVuSerifCondensed"/>
          <w:color w:val="000000"/>
          <w:kern w:val="0"/>
          <w:sz w:val="18"/>
          <w:szCs w:val="18"/>
        </w:rPr>
        <w:t>V</w:t>
      </w:r>
      <w:r>
        <w:rPr>
          <w:rFonts w:ascii="Verdana" w:hAnsi="Verdana" w:eastAsia="DejaVuSerifCondensed" w:cs="DejaVuSerifCondensed"/>
          <w:color w:val="000000"/>
          <w:kern w:val="0"/>
          <w:sz w:val="18"/>
          <w:szCs w:val="18"/>
        </w:rPr>
        <w:t>erzamelbesluit pensioenen en is niet in strijd met de bovenliggende wetgeving. Het gaat hier specifiek om een nadere verduidelijking. Ook worden er voorwaarden geschetst waaronder dit mogelijk is voor fondsen.</w:t>
      </w:r>
      <w:r w:rsidRPr="00A940A7">
        <w:rPr>
          <w:rFonts w:ascii="Segoe UI" w:hAnsi="Segoe UI" w:cs="Segoe UI"/>
          <w:sz w:val="18"/>
          <w:szCs w:val="18"/>
        </w:rPr>
        <w:t xml:space="preserve"> </w:t>
      </w:r>
      <w:r w:rsidRPr="00A940A7" w:rsidR="00A940A7">
        <w:rPr>
          <w:rFonts w:ascii="Verdana" w:hAnsi="Verdana" w:eastAsia="DejaVuSerifCondensed" w:cs="DejaVuSerifCondensed"/>
          <w:color w:val="000000"/>
          <w:kern w:val="0"/>
          <w:sz w:val="18"/>
          <w:szCs w:val="18"/>
        </w:rPr>
        <w:t xml:space="preserve">Daarbij blijft gelden dat voor toekomstige uitvoeringskosten een adequate </w:t>
      </w:r>
      <w:r w:rsidR="00D05A4F">
        <w:rPr>
          <w:rFonts w:ascii="Verdana" w:hAnsi="Verdana" w:eastAsia="DejaVuSerifCondensed" w:cs="DejaVuSerifCondensed"/>
          <w:color w:val="000000"/>
          <w:kern w:val="0"/>
          <w:sz w:val="18"/>
          <w:szCs w:val="18"/>
        </w:rPr>
        <w:t xml:space="preserve">voorziening </w:t>
      </w:r>
      <w:r w:rsidRPr="00A940A7" w:rsidR="00A940A7">
        <w:rPr>
          <w:rFonts w:ascii="Verdana" w:hAnsi="Verdana" w:eastAsia="DejaVuSerifCondensed" w:cs="DejaVuSerifCondensed"/>
          <w:color w:val="000000"/>
          <w:kern w:val="0"/>
          <w:sz w:val="18"/>
          <w:szCs w:val="18"/>
        </w:rPr>
        <w:t>moet worden aangehouden</w:t>
      </w:r>
      <w:r w:rsidR="000D0764">
        <w:rPr>
          <w:rFonts w:ascii="Verdana" w:hAnsi="Verdana" w:eastAsia="DejaVuSerifCondensed" w:cs="DejaVuSerifCondensed"/>
          <w:color w:val="000000"/>
          <w:kern w:val="0"/>
          <w:sz w:val="18"/>
          <w:szCs w:val="18"/>
        </w:rPr>
        <w:t xml:space="preserve">. </w:t>
      </w:r>
    </w:p>
    <w:p w:rsidRPr="000F2DB6" w:rsidR="00ED0784" w:rsidP="000F2DB6" w:rsidRDefault="00ED0784" w14:paraId="76C0A56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82B89" w:rsidR="00D72D8C" w:rsidP="00D72D8C" w:rsidRDefault="00D72D8C" w14:paraId="2FD242B9" w14:textId="6B2DEB37">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982B89">
        <w:rPr>
          <w:rFonts w:ascii="Verdana" w:hAnsi="Verdana" w:eastAsia="DejaVuSerifCondensed" w:cs="DejaVuSerifCondensed"/>
          <w:b/>
          <w:bCs/>
          <w:color w:val="000000"/>
          <w:kern w:val="0"/>
          <w:sz w:val="18"/>
          <w:szCs w:val="18"/>
        </w:rPr>
        <w:t>Klopt het dat pensioenfonds APG is ingevaren terwijl in hun transitie- en implementatieplan staat dat ze de solidariteitsreserve willen kunnen inzetten om operationele tekorten aan te vullen? Zo ja, kunt u dan bevestigen dat dit in strijd is met de huidige Wet toekomst pensioenen?</w:t>
      </w:r>
    </w:p>
    <w:p w:rsidR="00F824C0" w:rsidP="00F824C0" w:rsidRDefault="00F824C0" w14:paraId="71349D3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824C0" w:rsidP="00F824C0" w:rsidRDefault="00982B89" w14:paraId="76B809DC" w14:textId="7D77F73F">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Ik ben ervan op de hoogte dat in het transitie- en implementatieplan van</w:t>
      </w:r>
      <w:r w:rsidR="00A578DF">
        <w:rPr>
          <w:rFonts w:ascii="Verdana" w:hAnsi="Verdana" w:eastAsia="DejaVuSerifCondensed" w:cs="DejaVuSerifCondensed"/>
          <w:color w:val="000000"/>
          <w:kern w:val="0"/>
          <w:sz w:val="18"/>
          <w:szCs w:val="18"/>
        </w:rPr>
        <w:t xml:space="preserve"> pensioenfonds</w:t>
      </w:r>
      <w:r>
        <w:rPr>
          <w:rFonts w:ascii="Verdana" w:hAnsi="Verdana" w:eastAsia="DejaVuSerifCondensed" w:cs="DejaVuSerifCondensed"/>
          <w:color w:val="000000"/>
          <w:kern w:val="0"/>
          <w:sz w:val="18"/>
          <w:szCs w:val="18"/>
        </w:rPr>
        <w:t xml:space="preserve"> APG staat </w:t>
      </w:r>
      <w:r w:rsidR="00276886">
        <w:rPr>
          <w:rFonts w:ascii="Verdana" w:hAnsi="Verdana" w:eastAsia="DejaVuSerifCondensed" w:cs="DejaVuSerifCondensed"/>
          <w:color w:val="000000"/>
          <w:kern w:val="0"/>
          <w:sz w:val="18"/>
          <w:szCs w:val="18"/>
        </w:rPr>
        <w:t>dat wanneer de algemene reserve</w:t>
      </w:r>
      <w:r w:rsidR="003645CF">
        <w:rPr>
          <w:rFonts w:ascii="Verdana" w:hAnsi="Verdana" w:eastAsia="DejaVuSerifCondensed" w:cs="DejaVuSerifCondensed"/>
          <w:color w:val="000000"/>
          <w:kern w:val="0"/>
          <w:sz w:val="18"/>
          <w:szCs w:val="18"/>
        </w:rPr>
        <w:t xml:space="preserve"> </w:t>
      </w:r>
      <w:r w:rsidR="00276886">
        <w:rPr>
          <w:rFonts w:ascii="Verdana" w:hAnsi="Verdana" w:eastAsia="DejaVuSerifCondensed" w:cs="DejaVuSerifCondensed"/>
          <w:color w:val="000000"/>
          <w:kern w:val="0"/>
          <w:sz w:val="18"/>
          <w:szCs w:val="18"/>
        </w:rPr>
        <w:t>lager is dan het MVEV, het tekort wordt aangevuld met de</w:t>
      </w:r>
      <w:r>
        <w:rPr>
          <w:rFonts w:ascii="Verdana" w:hAnsi="Verdana" w:eastAsia="DejaVuSerifCondensed" w:cs="DejaVuSerifCondensed"/>
          <w:color w:val="000000"/>
          <w:kern w:val="0"/>
          <w:sz w:val="18"/>
          <w:szCs w:val="18"/>
        </w:rPr>
        <w:t xml:space="preserve"> sol</w:t>
      </w:r>
      <w:r w:rsidR="00276886">
        <w:rPr>
          <w:rFonts w:ascii="Verdana" w:hAnsi="Verdana" w:eastAsia="DejaVuSerifCondensed" w:cs="DejaVuSerifCondensed"/>
          <w:color w:val="000000"/>
          <w:kern w:val="0"/>
          <w:sz w:val="18"/>
          <w:szCs w:val="18"/>
        </w:rPr>
        <w:t>i</w:t>
      </w:r>
      <w:r>
        <w:rPr>
          <w:rFonts w:ascii="Verdana" w:hAnsi="Verdana" w:eastAsia="DejaVuSerifCondensed" w:cs="DejaVuSerifCondensed"/>
          <w:color w:val="000000"/>
          <w:kern w:val="0"/>
          <w:sz w:val="18"/>
          <w:szCs w:val="18"/>
        </w:rPr>
        <w:t>dariteitsreserve</w:t>
      </w:r>
      <w:r w:rsidR="00276886">
        <w:rPr>
          <w:rFonts w:ascii="Verdana" w:hAnsi="Verdana" w:eastAsia="DejaVuSerifCondensed" w:cs="DejaVuSerifCondensed"/>
          <w:color w:val="000000"/>
          <w:kern w:val="0"/>
          <w:sz w:val="18"/>
          <w:szCs w:val="18"/>
        </w:rPr>
        <w:t xml:space="preserve">. </w:t>
      </w:r>
      <w:r w:rsidR="002A0768">
        <w:rPr>
          <w:rFonts w:ascii="Verdana" w:hAnsi="Verdana" w:eastAsia="DejaVuSerifCondensed" w:cs="DejaVuSerifCondensed"/>
          <w:color w:val="000000"/>
          <w:kern w:val="0"/>
          <w:sz w:val="18"/>
          <w:szCs w:val="18"/>
        </w:rPr>
        <w:t>Over specifieke casussen doe ik geen uitspraak</w:t>
      </w:r>
      <w:r w:rsidR="002941C9">
        <w:rPr>
          <w:rFonts w:ascii="Verdana" w:hAnsi="Verdana" w:eastAsia="DejaVuSerifCondensed" w:cs="DejaVuSerifCondensed"/>
          <w:color w:val="000000"/>
          <w:kern w:val="0"/>
          <w:sz w:val="18"/>
          <w:szCs w:val="18"/>
        </w:rPr>
        <w:t>, omdat ik niet in de relatie kan treden tussen het pensioenfonds en de</w:t>
      </w:r>
      <w:r w:rsidR="00A32215">
        <w:rPr>
          <w:rFonts w:ascii="Verdana" w:hAnsi="Verdana" w:eastAsia="DejaVuSerifCondensed" w:cs="DejaVuSerifCondensed"/>
          <w:color w:val="000000"/>
          <w:kern w:val="0"/>
          <w:sz w:val="18"/>
          <w:szCs w:val="18"/>
        </w:rPr>
        <w:t xml:space="preserve"> onafhankelijke</w:t>
      </w:r>
      <w:r w:rsidR="002941C9">
        <w:rPr>
          <w:rFonts w:ascii="Verdana" w:hAnsi="Verdana" w:eastAsia="DejaVuSerifCondensed" w:cs="DejaVuSerifCondensed"/>
          <w:color w:val="000000"/>
          <w:kern w:val="0"/>
          <w:sz w:val="18"/>
          <w:szCs w:val="18"/>
        </w:rPr>
        <w:t xml:space="preserve"> toezichthouder</w:t>
      </w:r>
      <w:r w:rsidR="002A0768">
        <w:rPr>
          <w:rFonts w:ascii="Verdana" w:hAnsi="Verdana" w:eastAsia="DejaVuSerifCondensed" w:cs="DejaVuSerifCondensed"/>
          <w:color w:val="000000"/>
          <w:kern w:val="0"/>
          <w:sz w:val="18"/>
          <w:szCs w:val="18"/>
        </w:rPr>
        <w:t>.</w:t>
      </w:r>
      <w:r w:rsidR="002941C9">
        <w:rPr>
          <w:rFonts w:ascii="Verdana" w:hAnsi="Verdana" w:eastAsia="DejaVuSerifCondensed" w:cs="DejaVuSerifCondensed"/>
          <w:color w:val="000000"/>
          <w:kern w:val="0"/>
          <w:sz w:val="18"/>
          <w:szCs w:val="18"/>
        </w:rPr>
        <w:t xml:space="preserve"> De toezichthouder is verantwoordelijk voor interpretatie en toepassing van de wet.</w:t>
      </w:r>
      <w:r w:rsidR="00A32215">
        <w:rPr>
          <w:rFonts w:ascii="Verdana" w:hAnsi="Verdana" w:eastAsia="DejaVuSerifCondensed" w:cs="DejaVuSerifCondensed"/>
          <w:color w:val="000000"/>
          <w:kern w:val="0"/>
          <w:sz w:val="18"/>
          <w:szCs w:val="18"/>
        </w:rPr>
        <w:t xml:space="preserve"> In algemene zin kan worden gesteld dat DNB in het toezicht en handhaving de proportionaliteit betrekt en daarbij kan bezien binnen welke redelijke termijn de fondsen maatregelen dienen te treffen in geval niet volledig aan de wettelijke vereisten is voldaan. </w:t>
      </w:r>
      <w:r w:rsidR="002941C9">
        <w:rPr>
          <w:rFonts w:ascii="Verdana" w:hAnsi="Verdana" w:eastAsia="DejaVuSerifCondensed" w:cs="DejaVuSerifCondensed"/>
          <w:color w:val="000000"/>
          <w:kern w:val="0"/>
          <w:sz w:val="18"/>
          <w:szCs w:val="18"/>
        </w:rPr>
        <w:t xml:space="preserve"> </w:t>
      </w:r>
    </w:p>
    <w:p w:rsidR="00CC5762" w:rsidP="00F824C0" w:rsidRDefault="00CC5762" w14:paraId="7331751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9900B1" w:rsidP="00F824C0" w:rsidRDefault="00A32215" w14:paraId="6EBFE642" w14:textId="09B6B6CF">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 moet e</w:t>
      </w:r>
      <w:r w:rsidRPr="003B5743" w:rsidR="003B5743">
        <w:rPr>
          <w:rFonts w:ascii="Verdana" w:hAnsi="Verdana" w:eastAsia="DejaVuSerifCondensed" w:cs="DejaVuSerifCondensed"/>
          <w:color w:val="000000"/>
          <w:kern w:val="0"/>
          <w:sz w:val="18"/>
          <w:szCs w:val="18"/>
        </w:rPr>
        <w:t>en pensioenfonds</w:t>
      </w:r>
      <w:r w:rsidR="008A369C">
        <w:rPr>
          <w:rFonts w:ascii="Verdana" w:hAnsi="Verdana" w:eastAsia="DejaVuSerifCondensed" w:cs="DejaVuSerifCondensed"/>
          <w:color w:val="000000"/>
          <w:kern w:val="0"/>
          <w:sz w:val="18"/>
          <w:szCs w:val="18"/>
        </w:rPr>
        <w:t xml:space="preserve"> </w:t>
      </w:r>
      <w:r w:rsidRPr="003B5743" w:rsidR="003B5743">
        <w:rPr>
          <w:rFonts w:ascii="Verdana" w:hAnsi="Verdana" w:eastAsia="DejaVuSerifCondensed" w:cs="DejaVuSerifCondensed"/>
          <w:color w:val="000000"/>
          <w:kern w:val="0"/>
          <w:sz w:val="18"/>
          <w:szCs w:val="18"/>
        </w:rPr>
        <w:t xml:space="preserve">een voornemen tot </w:t>
      </w:r>
      <w:r w:rsidR="008A369C">
        <w:rPr>
          <w:rFonts w:ascii="Verdana" w:hAnsi="Verdana" w:eastAsia="DejaVuSerifCondensed" w:cs="DejaVuSerifCondensed"/>
          <w:color w:val="000000"/>
          <w:kern w:val="0"/>
          <w:sz w:val="18"/>
          <w:szCs w:val="18"/>
        </w:rPr>
        <w:t xml:space="preserve">invaren </w:t>
      </w:r>
      <w:r w:rsidRPr="003B5743" w:rsidR="003B5743">
        <w:rPr>
          <w:rFonts w:ascii="Verdana" w:hAnsi="Verdana" w:eastAsia="DejaVuSerifCondensed" w:cs="DejaVuSerifCondensed"/>
          <w:color w:val="000000"/>
          <w:kern w:val="0"/>
          <w:sz w:val="18"/>
          <w:szCs w:val="18"/>
        </w:rPr>
        <w:t xml:space="preserve">melden bij </w:t>
      </w:r>
      <w:r w:rsidR="005E7057">
        <w:rPr>
          <w:rFonts w:ascii="Verdana" w:hAnsi="Verdana" w:eastAsia="DejaVuSerifCondensed" w:cs="DejaVuSerifCondensed"/>
          <w:color w:val="000000"/>
          <w:kern w:val="0"/>
          <w:sz w:val="18"/>
          <w:szCs w:val="18"/>
        </w:rPr>
        <w:t>De Nederlandsche Bank (DNB) (a</w:t>
      </w:r>
      <w:r w:rsidRPr="003B5743" w:rsidR="005E7057">
        <w:rPr>
          <w:rFonts w:ascii="Verdana" w:hAnsi="Verdana" w:eastAsia="DejaVuSerifCondensed" w:cs="DejaVuSerifCondensed"/>
          <w:color w:val="000000"/>
          <w:kern w:val="0"/>
          <w:sz w:val="18"/>
          <w:szCs w:val="18"/>
        </w:rPr>
        <w:t>rtikel 150m, tweede lid, P</w:t>
      </w:r>
      <w:r w:rsidR="005E7057">
        <w:rPr>
          <w:rFonts w:ascii="Verdana" w:hAnsi="Verdana" w:eastAsia="DejaVuSerifCondensed" w:cs="DejaVuSerifCondensed"/>
          <w:color w:val="000000"/>
          <w:kern w:val="0"/>
          <w:sz w:val="18"/>
          <w:szCs w:val="18"/>
        </w:rPr>
        <w:t>ensioenwet)</w:t>
      </w:r>
      <w:r w:rsidRPr="003B5743" w:rsidR="003B5743">
        <w:rPr>
          <w:rFonts w:ascii="Verdana" w:hAnsi="Verdana" w:eastAsia="DejaVuSerifCondensed" w:cs="DejaVuSerifCondensed"/>
          <w:color w:val="000000"/>
          <w:kern w:val="0"/>
          <w:sz w:val="18"/>
          <w:szCs w:val="18"/>
        </w:rPr>
        <w:t xml:space="preserve">. DNB kan in de periode tussen de melding bij DNB en de beoogde </w:t>
      </w:r>
      <w:r w:rsidR="005E7057">
        <w:rPr>
          <w:rFonts w:ascii="Verdana" w:hAnsi="Verdana" w:eastAsia="DejaVuSerifCondensed" w:cs="DejaVuSerifCondensed"/>
          <w:color w:val="000000"/>
          <w:kern w:val="0"/>
          <w:sz w:val="18"/>
          <w:szCs w:val="18"/>
        </w:rPr>
        <w:t>invaar</w:t>
      </w:r>
      <w:r w:rsidRPr="003B5743" w:rsidR="003B5743">
        <w:rPr>
          <w:rFonts w:ascii="Verdana" w:hAnsi="Verdana" w:eastAsia="DejaVuSerifCondensed" w:cs="DejaVuSerifCondensed"/>
          <w:color w:val="000000"/>
          <w:kern w:val="0"/>
          <w:sz w:val="18"/>
          <w:szCs w:val="18"/>
        </w:rPr>
        <w:t xml:space="preserve">datum een verbod tot </w:t>
      </w:r>
      <w:r w:rsidR="005E7057">
        <w:rPr>
          <w:rFonts w:ascii="Verdana" w:hAnsi="Verdana" w:eastAsia="DejaVuSerifCondensed" w:cs="DejaVuSerifCondensed"/>
          <w:color w:val="000000"/>
          <w:kern w:val="0"/>
          <w:sz w:val="18"/>
          <w:szCs w:val="18"/>
        </w:rPr>
        <w:t xml:space="preserve">invaren </w:t>
      </w:r>
      <w:r w:rsidRPr="003B5743" w:rsidR="003B5743">
        <w:rPr>
          <w:rFonts w:ascii="Verdana" w:hAnsi="Verdana" w:eastAsia="DejaVuSerifCondensed" w:cs="DejaVuSerifCondensed"/>
          <w:color w:val="000000"/>
          <w:kern w:val="0"/>
          <w:sz w:val="18"/>
          <w:szCs w:val="18"/>
        </w:rPr>
        <w:t xml:space="preserve">opleggen. DNB </w:t>
      </w:r>
      <w:r w:rsidR="004C6BF9">
        <w:rPr>
          <w:rFonts w:ascii="Verdana" w:hAnsi="Verdana" w:eastAsia="DejaVuSerifCondensed" w:cs="DejaVuSerifCondensed"/>
          <w:color w:val="000000"/>
          <w:kern w:val="0"/>
          <w:sz w:val="18"/>
          <w:szCs w:val="18"/>
        </w:rPr>
        <w:t xml:space="preserve">beoordeelt </w:t>
      </w:r>
      <w:r w:rsidR="00142566">
        <w:rPr>
          <w:rFonts w:ascii="Verdana" w:hAnsi="Verdana" w:eastAsia="DejaVuSerifCondensed" w:cs="DejaVuSerifCondensed"/>
          <w:color w:val="000000"/>
          <w:kern w:val="0"/>
          <w:sz w:val="18"/>
          <w:szCs w:val="18"/>
        </w:rPr>
        <w:t xml:space="preserve">de invaarmelding </w:t>
      </w:r>
      <w:r w:rsidRPr="003B5743" w:rsidR="003B5743">
        <w:rPr>
          <w:rFonts w:ascii="Verdana" w:hAnsi="Verdana" w:eastAsia="DejaVuSerifCondensed" w:cs="DejaVuSerifCondensed"/>
          <w:color w:val="000000"/>
          <w:kern w:val="0"/>
          <w:sz w:val="18"/>
          <w:szCs w:val="18"/>
        </w:rPr>
        <w:t>op vijf aspecten:</w:t>
      </w:r>
      <w:r w:rsidR="003B5743">
        <w:rPr>
          <w:rFonts w:ascii="Verdana" w:hAnsi="Verdana" w:eastAsia="DejaVuSerifCondensed" w:cs="DejaVuSerifCondensed"/>
          <w:color w:val="000000"/>
          <w:kern w:val="0"/>
          <w:sz w:val="18"/>
          <w:szCs w:val="18"/>
        </w:rPr>
        <w:t xml:space="preserve"> </w:t>
      </w:r>
      <w:r w:rsidRPr="003B5743" w:rsidR="003B5743">
        <w:rPr>
          <w:rFonts w:ascii="Verdana" w:hAnsi="Verdana" w:eastAsia="DejaVuSerifCondensed" w:cs="DejaVuSerifCondensed"/>
          <w:color w:val="000000"/>
          <w:kern w:val="0"/>
          <w:sz w:val="18"/>
          <w:szCs w:val="18"/>
        </w:rPr>
        <w:t>het besluitvormingsproces</w:t>
      </w:r>
      <w:r w:rsidR="003B5743">
        <w:rPr>
          <w:rFonts w:ascii="Verdana" w:hAnsi="Verdana" w:eastAsia="DejaVuSerifCondensed" w:cs="DejaVuSerifCondensed"/>
          <w:color w:val="000000"/>
          <w:kern w:val="0"/>
          <w:sz w:val="18"/>
          <w:szCs w:val="18"/>
        </w:rPr>
        <w:t xml:space="preserve">, </w:t>
      </w:r>
      <w:r w:rsidRPr="003B5743" w:rsidR="003B5743">
        <w:rPr>
          <w:rFonts w:ascii="Verdana" w:hAnsi="Verdana" w:eastAsia="DejaVuSerifCondensed" w:cs="DejaVuSerifCondensed"/>
          <w:color w:val="000000"/>
          <w:kern w:val="0"/>
          <w:sz w:val="18"/>
          <w:szCs w:val="18"/>
        </w:rPr>
        <w:t>financiële en andere risico’s</w:t>
      </w:r>
      <w:r w:rsidR="003B5743">
        <w:rPr>
          <w:rFonts w:ascii="Verdana" w:hAnsi="Verdana" w:eastAsia="DejaVuSerifCondensed" w:cs="DejaVuSerifCondensed"/>
          <w:color w:val="000000"/>
          <w:kern w:val="0"/>
          <w:sz w:val="18"/>
          <w:szCs w:val="18"/>
        </w:rPr>
        <w:t xml:space="preserve">, </w:t>
      </w:r>
      <w:r w:rsidRPr="003B5743" w:rsidR="003B5743">
        <w:rPr>
          <w:rFonts w:ascii="Verdana" w:hAnsi="Verdana" w:eastAsia="DejaVuSerifCondensed" w:cs="DejaVuSerifCondensed"/>
          <w:color w:val="000000"/>
          <w:kern w:val="0"/>
          <w:sz w:val="18"/>
          <w:szCs w:val="18"/>
        </w:rPr>
        <w:t>de financiële effecten</w:t>
      </w:r>
      <w:r w:rsidR="003B5743">
        <w:rPr>
          <w:rFonts w:ascii="Verdana" w:hAnsi="Verdana" w:eastAsia="DejaVuSerifCondensed" w:cs="DejaVuSerifCondensed"/>
          <w:color w:val="000000"/>
          <w:kern w:val="0"/>
          <w:sz w:val="18"/>
          <w:szCs w:val="18"/>
        </w:rPr>
        <w:t xml:space="preserve">, </w:t>
      </w:r>
      <w:r w:rsidRPr="003B5743" w:rsidR="003B5743">
        <w:rPr>
          <w:rFonts w:ascii="Verdana" w:hAnsi="Verdana" w:eastAsia="DejaVuSerifCondensed" w:cs="DejaVuSerifCondensed"/>
          <w:color w:val="000000"/>
          <w:kern w:val="0"/>
          <w:sz w:val="18"/>
          <w:szCs w:val="18"/>
        </w:rPr>
        <w:t>de collectieve actuariële gelijkwaardigheid</w:t>
      </w:r>
      <w:r w:rsidR="003B5743">
        <w:rPr>
          <w:rFonts w:ascii="Verdana" w:hAnsi="Verdana" w:eastAsia="DejaVuSerifCondensed" w:cs="DejaVuSerifCondensed"/>
          <w:color w:val="000000"/>
          <w:kern w:val="0"/>
          <w:sz w:val="18"/>
          <w:szCs w:val="18"/>
        </w:rPr>
        <w:t xml:space="preserve"> en </w:t>
      </w:r>
      <w:r w:rsidRPr="003B5743" w:rsidR="003B5743">
        <w:rPr>
          <w:rFonts w:ascii="Verdana" w:hAnsi="Verdana" w:eastAsia="DejaVuSerifCondensed" w:cs="DejaVuSerifCondensed"/>
          <w:color w:val="000000"/>
          <w:kern w:val="0"/>
          <w:sz w:val="18"/>
          <w:szCs w:val="18"/>
        </w:rPr>
        <w:t>de evenwichtige belangenafweging door het fonds</w:t>
      </w:r>
      <w:r w:rsidR="004C6BF9">
        <w:rPr>
          <w:rFonts w:ascii="Verdana" w:hAnsi="Verdana" w:eastAsia="DejaVuSerifCondensed" w:cs="DejaVuSerifCondensed"/>
          <w:color w:val="000000"/>
          <w:kern w:val="0"/>
          <w:sz w:val="18"/>
          <w:szCs w:val="18"/>
        </w:rPr>
        <w:t xml:space="preserve"> (a</w:t>
      </w:r>
      <w:r w:rsidRPr="003B5743" w:rsidR="004C6BF9">
        <w:rPr>
          <w:rFonts w:ascii="Verdana" w:hAnsi="Verdana" w:eastAsia="DejaVuSerifCondensed" w:cs="DejaVuSerifCondensed"/>
          <w:color w:val="000000"/>
          <w:kern w:val="0"/>
          <w:sz w:val="18"/>
          <w:szCs w:val="18"/>
        </w:rPr>
        <w:t>rtikel 46b Besluit uitvoering Pensioenwet en Wet verplichte beroepspensioenregeling</w:t>
      </w:r>
      <w:r w:rsidR="004C6BF9">
        <w:rPr>
          <w:rFonts w:ascii="Verdana" w:hAnsi="Verdana" w:eastAsia="DejaVuSerifCondensed" w:cs="DejaVuSerifCondensed"/>
          <w:color w:val="000000"/>
          <w:kern w:val="0"/>
          <w:sz w:val="18"/>
          <w:szCs w:val="18"/>
        </w:rPr>
        <w:t>)</w:t>
      </w:r>
      <w:r w:rsidR="00522F19">
        <w:rPr>
          <w:rFonts w:ascii="Verdana" w:hAnsi="Verdana" w:eastAsia="DejaVuSerifCondensed" w:cs="DejaVuSerifCondensed"/>
          <w:color w:val="000000"/>
          <w:kern w:val="0"/>
          <w:sz w:val="18"/>
          <w:szCs w:val="18"/>
        </w:rPr>
        <w:t>.</w:t>
      </w:r>
      <w:r w:rsidR="004C6BF9">
        <w:rPr>
          <w:rFonts w:ascii="Verdana" w:hAnsi="Verdana" w:eastAsia="DejaVuSerifCondensed" w:cs="DejaVuSerifCondensed"/>
          <w:color w:val="000000"/>
          <w:kern w:val="0"/>
          <w:sz w:val="18"/>
          <w:szCs w:val="18"/>
        </w:rPr>
        <w:t xml:space="preserve"> </w:t>
      </w:r>
    </w:p>
    <w:p w:rsidR="00CC5762" w:rsidP="00F824C0" w:rsidRDefault="004C6BF9" w14:paraId="4C90AB9A" w14:textId="7AD58A9E">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beoordeling </w:t>
      </w:r>
      <w:r w:rsidR="00142566">
        <w:rPr>
          <w:rFonts w:ascii="Verdana" w:hAnsi="Verdana" w:eastAsia="DejaVuSerifCondensed" w:cs="DejaVuSerifCondensed"/>
          <w:color w:val="000000"/>
          <w:kern w:val="0"/>
          <w:sz w:val="18"/>
          <w:szCs w:val="18"/>
        </w:rPr>
        <w:t xml:space="preserve">van de invaarmelding </w:t>
      </w:r>
      <w:r w:rsidR="006F330F">
        <w:rPr>
          <w:rFonts w:ascii="Verdana" w:hAnsi="Verdana" w:eastAsia="DejaVuSerifCondensed" w:cs="DejaVuSerifCondensed"/>
          <w:color w:val="000000"/>
          <w:kern w:val="0"/>
          <w:sz w:val="18"/>
          <w:szCs w:val="18"/>
        </w:rPr>
        <w:t>rond</w:t>
      </w:r>
      <w:r w:rsidR="006944D1">
        <w:rPr>
          <w:rFonts w:ascii="Verdana" w:hAnsi="Verdana" w:eastAsia="DejaVuSerifCondensed" w:cs="DejaVuSerifCondensed"/>
          <w:color w:val="000000"/>
          <w:kern w:val="0"/>
          <w:sz w:val="18"/>
          <w:szCs w:val="18"/>
        </w:rPr>
        <w:t>t</w:t>
      </w:r>
      <w:r w:rsidR="006F330F">
        <w:rPr>
          <w:rFonts w:ascii="Verdana" w:hAnsi="Verdana" w:eastAsia="DejaVuSerifCondensed" w:cs="DejaVuSerifCondensed"/>
          <w:color w:val="000000"/>
          <w:kern w:val="0"/>
          <w:sz w:val="18"/>
          <w:szCs w:val="18"/>
        </w:rPr>
        <w:t xml:space="preserve"> DNB af met een beschikking om wel of niet een </w:t>
      </w:r>
      <w:r w:rsidR="00792D74">
        <w:rPr>
          <w:rFonts w:ascii="Verdana" w:hAnsi="Verdana" w:eastAsia="DejaVuSerifCondensed" w:cs="DejaVuSerifCondensed"/>
          <w:color w:val="000000"/>
          <w:kern w:val="0"/>
          <w:sz w:val="18"/>
          <w:szCs w:val="18"/>
        </w:rPr>
        <w:t>invaar</w:t>
      </w:r>
      <w:r w:rsidR="006F330F">
        <w:rPr>
          <w:rFonts w:ascii="Verdana" w:hAnsi="Verdana" w:eastAsia="DejaVuSerifCondensed" w:cs="DejaVuSerifCondensed"/>
          <w:color w:val="000000"/>
          <w:kern w:val="0"/>
          <w:sz w:val="18"/>
          <w:szCs w:val="18"/>
        </w:rPr>
        <w:t>verbod op te leggen.</w:t>
      </w:r>
      <w:r w:rsidR="00082945">
        <w:rPr>
          <w:rStyle w:val="Voetnootmarkering"/>
          <w:rFonts w:ascii="Verdana" w:hAnsi="Verdana" w:eastAsia="DejaVuSerifCondensed" w:cs="DejaVuSerifCondensed"/>
          <w:color w:val="000000"/>
          <w:kern w:val="0"/>
          <w:sz w:val="18"/>
          <w:szCs w:val="18"/>
        </w:rPr>
        <w:footnoteReference w:id="2"/>
      </w:r>
      <w:r w:rsidR="006F330F">
        <w:rPr>
          <w:rFonts w:ascii="Verdana" w:hAnsi="Verdana" w:eastAsia="DejaVuSerifCondensed" w:cs="DejaVuSerifCondensed"/>
          <w:color w:val="000000"/>
          <w:kern w:val="0"/>
          <w:sz w:val="18"/>
          <w:szCs w:val="18"/>
        </w:rPr>
        <w:t xml:space="preserve"> </w:t>
      </w:r>
      <w:r w:rsidRPr="006F330F" w:rsidR="006F330F">
        <w:rPr>
          <w:rFonts w:ascii="Verdana" w:hAnsi="Verdana" w:eastAsia="DejaVuSerifCondensed" w:cs="DejaVuSerifCondensed"/>
          <w:color w:val="000000"/>
          <w:kern w:val="0"/>
          <w:sz w:val="18"/>
          <w:szCs w:val="18"/>
        </w:rPr>
        <w:t>DNB neemt de beschikking op basis van een totaalweging van de beoordeling van de bij invaren relevante wettelijke normen, met inachtneming van de algemene beginselen van behoorlijk bestuur.</w:t>
      </w:r>
      <w:r w:rsidR="00522F19">
        <w:rPr>
          <w:rFonts w:ascii="Verdana" w:hAnsi="Verdana" w:eastAsia="DejaVuSerifCondensed" w:cs="DejaVuSerifCondensed"/>
          <w:color w:val="000000"/>
          <w:kern w:val="0"/>
          <w:sz w:val="18"/>
          <w:szCs w:val="18"/>
        </w:rPr>
        <w:t xml:space="preserve"> </w:t>
      </w:r>
      <w:r w:rsidR="002171B2">
        <w:rPr>
          <w:rFonts w:ascii="Verdana" w:hAnsi="Verdana" w:eastAsia="DejaVuSerifCondensed" w:cs="DejaVuSerifCondensed"/>
          <w:color w:val="000000"/>
          <w:kern w:val="0"/>
          <w:sz w:val="18"/>
          <w:szCs w:val="18"/>
        </w:rPr>
        <w:t>H</w:t>
      </w:r>
      <w:r w:rsidRPr="002171B2" w:rsidR="002171B2">
        <w:rPr>
          <w:rFonts w:ascii="Verdana" w:hAnsi="Verdana" w:eastAsia="DejaVuSerifCondensed" w:cs="DejaVuSerifCondensed"/>
          <w:color w:val="000000"/>
          <w:kern w:val="0"/>
          <w:sz w:val="18"/>
          <w:szCs w:val="18"/>
        </w:rPr>
        <w:t xml:space="preserve">et </w:t>
      </w:r>
      <w:r w:rsidR="002171B2">
        <w:rPr>
          <w:rFonts w:ascii="Verdana" w:hAnsi="Verdana" w:eastAsia="DejaVuSerifCondensed" w:cs="DejaVuSerifCondensed"/>
          <w:color w:val="000000"/>
          <w:kern w:val="0"/>
          <w:sz w:val="18"/>
          <w:szCs w:val="18"/>
        </w:rPr>
        <w:t xml:space="preserve">is </w:t>
      </w:r>
      <w:r w:rsidRPr="002171B2" w:rsidR="002171B2">
        <w:rPr>
          <w:rFonts w:ascii="Verdana" w:hAnsi="Verdana" w:eastAsia="DejaVuSerifCondensed" w:cs="DejaVuSerifCondensed"/>
          <w:color w:val="000000"/>
          <w:kern w:val="0"/>
          <w:sz w:val="18"/>
          <w:szCs w:val="18"/>
        </w:rPr>
        <w:t>mogelijk dat DNB voorschriften opneemt over het nog uitvoeren van onderdelen van het implementatieplan of over bevindingen van DNB ten aanzien van de invaarmelding of naar aanleiding van een toezichtonderzoek d</w:t>
      </w:r>
      <w:r w:rsidR="006944D1">
        <w:rPr>
          <w:rFonts w:ascii="Verdana" w:hAnsi="Verdana" w:eastAsia="DejaVuSerifCondensed" w:cs="DejaVuSerifCondensed"/>
          <w:color w:val="000000"/>
          <w:kern w:val="0"/>
          <w:sz w:val="18"/>
          <w:szCs w:val="18"/>
        </w:rPr>
        <w:t>at</w:t>
      </w:r>
      <w:r w:rsidRPr="002171B2" w:rsidR="002171B2">
        <w:rPr>
          <w:rFonts w:ascii="Verdana" w:hAnsi="Verdana" w:eastAsia="DejaVuSerifCondensed" w:cs="DejaVuSerifCondensed"/>
          <w:color w:val="000000"/>
          <w:kern w:val="0"/>
          <w:sz w:val="18"/>
          <w:szCs w:val="18"/>
        </w:rPr>
        <w:t xml:space="preserve"> het pensioenfonds vóór het invaren moet adresseren.</w:t>
      </w:r>
      <w:r w:rsidR="008E7E96">
        <w:rPr>
          <w:rFonts w:ascii="Verdana" w:hAnsi="Verdana" w:eastAsia="DejaVuSerifCondensed" w:cs="DejaVuSerifCondensed"/>
          <w:color w:val="000000"/>
          <w:kern w:val="0"/>
          <w:sz w:val="18"/>
          <w:szCs w:val="18"/>
        </w:rPr>
        <w:t xml:space="preserve"> </w:t>
      </w:r>
      <w:r w:rsidRPr="008E7E96" w:rsidR="008E7E96">
        <w:rPr>
          <w:rFonts w:ascii="Verdana" w:hAnsi="Verdana" w:eastAsia="DejaVuSerifCondensed" w:cs="DejaVuSerifCondensed"/>
          <w:color w:val="000000"/>
          <w:kern w:val="0"/>
          <w:sz w:val="18"/>
          <w:szCs w:val="18"/>
        </w:rPr>
        <w:t>Als een pensioenfonds niet voldoet aan een voorschrift, kan DNB de beschikking om geen verbod op invaren op te leggen, heroverwegen.</w:t>
      </w:r>
      <w:r w:rsidR="009F173A">
        <w:rPr>
          <w:rStyle w:val="Voetnootmarkering"/>
          <w:rFonts w:ascii="Verdana" w:hAnsi="Verdana" w:eastAsia="DejaVuSerifCondensed" w:cs="DejaVuSerifCondensed"/>
          <w:color w:val="000000"/>
          <w:kern w:val="0"/>
          <w:sz w:val="18"/>
          <w:szCs w:val="18"/>
        </w:rPr>
        <w:footnoteReference w:id="3"/>
      </w:r>
      <w:r w:rsidR="00EA3CF1">
        <w:rPr>
          <w:rFonts w:ascii="Verdana" w:hAnsi="Verdana" w:eastAsia="DejaVuSerifCondensed" w:cs="DejaVuSerifCondensed"/>
          <w:color w:val="000000"/>
          <w:kern w:val="0"/>
          <w:sz w:val="18"/>
          <w:szCs w:val="18"/>
        </w:rPr>
        <w:t xml:space="preserve"> </w:t>
      </w:r>
      <w:r w:rsidRPr="003F60B8" w:rsidR="003F60B8">
        <w:rPr>
          <w:rFonts w:ascii="Verdana" w:hAnsi="Verdana" w:eastAsia="DejaVuSerifCondensed" w:cs="DejaVuSerifCondensed"/>
          <w:color w:val="000000"/>
          <w:kern w:val="0"/>
          <w:sz w:val="18"/>
          <w:szCs w:val="18"/>
        </w:rPr>
        <w:t xml:space="preserve">Het is </w:t>
      </w:r>
      <w:r w:rsidR="00EA3CF1">
        <w:rPr>
          <w:rFonts w:ascii="Verdana" w:hAnsi="Verdana" w:eastAsia="DejaVuSerifCondensed" w:cs="DejaVuSerifCondensed"/>
          <w:color w:val="000000"/>
          <w:kern w:val="0"/>
          <w:sz w:val="18"/>
          <w:szCs w:val="18"/>
        </w:rPr>
        <w:t xml:space="preserve">ook </w:t>
      </w:r>
      <w:r w:rsidRPr="003F60B8" w:rsidR="003F60B8">
        <w:rPr>
          <w:rFonts w:ascii="Verdana" w:hAnsi="Verdana" w:eastAsia="DejaVuSerifCondensed" w:cs="DejaVuSerifCondensed"/>
          <w:color w:val="000000"/>
          <w:kern w:val="0"/>
          <w:sz w:val="18"/>
          <w:szCs w:val="18"/>
        </w:rPr>
        <w:t>mogelijk dat DNB op basis van de beoordeelde informatie tot de conclusie komt dat het pensioenfonds na invaren op één of meer onderdelen niet zal voldoen aan de wet, maar dat dit geen aanleiding is voor een verbod of voorschriften. DNB kan het pensioenfonds dan, naast de beschikking over invaren, een toezichtbrief sturen over de betreffende bevindingen.</w:t>
      </w:r>
      <w:r w:rsidR="008A2E58">
        <w:rPr>
          <w:rStyle w:val="Voetnootmarkering"/>
          <w:rFonts w:ascii="Verdana" w:hAnsi="Verdana" w:eastAsia="DejaVuSerifCondensed" w:cs="DejaVuSerifCondensed"/>
          <w:color w:val="000000"/>
          <w:kern w:val="0"/>
          <w:sz w:val="18"/>
          <w:szCs w:val="18"/>
        </w:rPr>
        <w:footnoteReference w:id="4"/>
      </w:r>
      <w:r w:rsidR="00031D1A">
        <w:rPr>
          <w:rFonts w:ascii="Verdana" w:hAnsi="Verdana" w:eastAsia="DejaVuSerifCondensed" w:cs="DejaVuSerifCondensed"/>
          <w:color w:val="000000"/>
          <w:kern w:val="0"/>
          <w:sz w:val="18"/>
          <w:szCs w:val="18"/>
        </w:rPr>
        <w:t xml:space="preserve"> Dat kan het geval zijn indien een verbod </w:t>
      </w:r>
      <w:r w:rsidR="00722059">
        <w:rPr>
          <w:rFonts w:ascii="Verdana" w:hAnsi="Verdana" w:eastAsia="DejaVuSerifCondensed" w:cs="DejaVuSerifCondensed"/>
          <w:color w:val="000000"/>
          <w:kern w:val="0"/>
          <w:sz w:val="18"/>
          <w:szCs w:val="18"/>
        </w:rPr>
        <w:t xml:space="preserve">of voorschrift </w:t>
      </w:r>
      <w:r w:rsidR="00031D1A">
        <w:rPr>
          <w:rFonts w:ascii="Verdana" w:hAnsi="Verdana" w:eastAsia="DejaVuSerifCondensed" w:cs="DejaVuSerifCondensed"/>
          <w:color w:val="000000"/>
          <w:kern w:val="0"/>
          <w:sz w:val="18"/>
          <w:szCs w:val="18"/>
        </w:rPr>
        <w:t>niet evenredig zou zijn (een van de algemene beginselen van behoorlijk bestuur)</w:t>
      </w:r>
      <w:r w:rsidR="00D646ED">
        <w:rPr>
          <w:rFonts w:ascii="Verdana" w:hAnsi="Verdana" w:eastAsia="DejaVuSerifCondensed" w:cs="DejaVuSerifCondensed"/>
          <w:color w:val="000000"/>
          <w:kern w:val="0"/>
          <w:sz w:val="18"/>
          <w:szCs w:val="18"/>
        </w:rPr>
        <w:t>, bijvoorbeeld</w:t>
      </w:r>
      <w:r w:rsidR="00031D1A">
        <w:rPr>
          <w:rFonts w:ascii="Verdana" w:hAnsi="Verdana" w:eastAsia="DejaVuSerifCondensed" w:cs="DejaVuSerifCondensed"/>
          <w:color w:val="000000"/>
          <w:kern w:val="0"/>
          <w:sz w:val="18"/>
          <w:szCs w:val="18"/>
        </w:rPr>
        <w:t xml:space="preserve"> omdat de wetsovertreding geen of nauwelijks impact heeft op de vermogensverdeling bij invaren of op een beheerste transitie.</w:t>
      </w:r>
      <w:r w:rsidR="004E09BB">
        <w:rPr>
          <w:rFonts w:ascii="Verdana" w:hAnsi="Verdana" w:eastAsia="DejaVuSerifCondensed" w:cs="DejaVuSerifCondensed"/>
          <w:color w:val="000000"/>
          <w:kern w:val="0"/>
          <w:sz w:val="18"/>
          <w:szCs w:val="18"/>
        </w:rPr>
        <w:t xml:space="preserve"> De wetsovertredingen moeten dan binnen een bepaalde periode n</w:t>
      </w:r>
      <w:r w:rsidR="005B327B">
        <w:rPr>
          <w:rFonts w:ascii="Verdana" w:hAnsi="Verdana" w:eastAsia="DejaVuSerifCondensed" w:cs="DejaVuSerifCondensed"/>
          <w:color w:val="000000"/>
          <w:kern w:val="0"/>
          <w:sz w:val="18"/>
          <w:szCs w:val="18"/>
        </w:rPr>
        <w:t>á</w:t>
      </w:r>
      <w:r w:rsidR="004E09BB">
        <w:rPr>
          <w:rFonts w:ascii="Verdana" w:hAnsi="Verdana" w:eastAsia="DejaVuSerifCondensed" w:cs="DejaVuSerifCondensed"/>
          <w:color w:val="000000"/>
          <w:kern w:val="0"/>
          <w:sz w:val="18"/>
          <w:szCs w:val="18"/>
        </w:rPr>
        <w:t xml:space="preserve"> invaren worden opgelost door het pensioenfonds.</w:t>
      </w:r>
    </w:p>
    <w:p w:rsidRPr="00683458" w:rsidR="00F824C0" w:rsidP="00F824C0" w:rsidRDefault="00F824C0" w14:paraId="1A3FE05F"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683458" w:rsidR="00D72D8C" w:rsidP="00D72D8C" w:rsidRDefault="00D72D8C" w14:paraId="08F471DA" w14:textId="491EA737">
      <w:pPr>
        <w:pStyle w:val="Lijstalinea"/>
        <w:numPr>
          <w:ilvl w:val="0"/>
          <w:numId w:val="2"/>
        </w:numPr>
        <w:autoSpaceDE w:val="0"/>
        <w:autoSpaceDN w:val="0"/>
        <w:adjustRightInd w:val="0"/>
        <w:spacing w:after="0" w:line="240" w:lineRule="auto"/>
        <w:rPr>
          <w:rFonts w:ascii="Verdana" w:hAnsi="Verdana" w:eastAsia="DejaVuSerifCondensed" w:cs="DejaVuSerifCondensed"/>
          <w:b/>
          <w:bCs/>
          <w:kern w:val="0"/>
          <w:sz w:val="18"/>
          <w:szCs w:val="18"/>
        </w:rPr>
      </w:pPr>
      <w:r w:rsidRPr="00683458">
        <w:rPr>
          <w:rFonts w:ascii="Verdana" w:hAnsi="Verdana" w:eastAsia="DejaVuSerifCondensed" w:cs="DejaVuSerifCondensed"/>
          <w:b/>
          <w:bCs/>
          <w:kern w:val="0"/>
          <w:sz w:val="18"/>
          <w:szCs w:val="18"/>
        </w:rPr>
        <w:t>Wat zijn de beweegredenen om het wettelijk mogelijk te maken dat de operationele buffer mag worden aangevuld vanuit de solidariteitsreserve, ondanks dat dit uitgebreid is besproken tijdens de wetsbehandeling van de Wet toekomst pensioenen</w:t>
      </w:r>
      <w:r w:rsidRPr="00683458" w:rsidR="002D32BE">
        <w:rPr>
          <w:rFonts w:ascii="Verdana" w:hAnsi="Verdana" w:eastAsia="DejaVuSerifCondensed" w:cs="DejaVuSerifCondensed"/>
          <w:b/>
          <w:bCs/>
          <w:kern w:val="0"/>
          <w:sz w:val="18"/>
          <w:szCs w:val="18"/>
        </w:rPr>
        <w:t>?</w:t>
      </w:r>
    </w:p>
    <w:p w:rsidRPr="002D32BE" w:rsidR="002D32BE" w:rsidP="002D32BE" w:rsidRDefault="002D32BE" w14:paraId="389B83F2" w14:textId="77777777">
      <w:pPr>
        <w:autoSpaceDE w:val="0"/>
        <w:autoSpaceDN w:val="0"/>
        <w:adjustRightInd w:val="0"/>
        <w:spacing w:after="0" w:line="240" w:lineRule="auto"/>
        <w:rPr>
          <w:rFonts w:ascii="Verdana" w:hAnsi="Verdana" w:eastAsia="DejaVuSerifCondensed" w:cs="DejaVuSerifCondensed"/>
          <w:b/>
          <w:bCs/>
          <w:color w:val="FF0000"/>
          <w:kern w:val="0"/>
          <w:sz w:val="18"/>
          <w:szCs w:val="18"/>
        </w:rPr>
      </w:pPr>
    </w:p>
    <w:p w:rsidR="002D32BE" w:rsidP="00746139" w:rsidRDefault="00746139" w14:paraId="2D4C2291" w14:textId="2269FB43">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Zie mijn antwoord bij vraag 2. </w:t>
      </w:r>
    </w:p>
    <w:p w:rsidR="002B45BC" w:rsidP="00746139" w:rsidRDefault="002B45BC" w14:paraId="7F0AB9D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B45BC" w:rsidP="00746139" w:rsidRDefault="002B45BC" w14:paraId="61ED406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B45BC" w:rsidP="00746139" w:rsidRDefault="002B45BC" w14:paraId="000301A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76886" w:rsidR="00276886" w:rsidP="00276886" w:rsidRDefault="00276886" w14:paraId="44DDB85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1049BC" w:rsidR="00D72D8C" w:rsidP="00D72D8C" w:rsidRDefault="00D72D8C" w14:paraId="02B650C4" w14:textId="6C1BC6D4">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049BC">
        <w:rPr>
          <w:rFonts w:ascii="Verdana" w:hAnsi="Verdana" w:eastAsia="DejaVuSerifCondensed" w:cs="DejaVuSerifCondensed"/>
          <w:b/>
          <w:bCs/>
          <w:color w:val="000000"/>
          <w:kern w:val="0"/>
          <w:sz w:val="18"/>
          <w:szCs w:val="18"/>
        </w:rPr>
        <w:lastRenderedPageBreak/>
        <w:t>Kunt u bevestigen dat een aantal pensioenuitvoerders een niet-toegestane rekenmethode bij het toedelen van overrendement gebruikt? 2)</w:t>
      </w:r>
    </w:p>
    <w:p w:rsidR="00683458" w:rsidP="00683458" w:rsidRDefault="00683458" w14:paraId="4DDF386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1049BC" w:rsidP="00683458" w:rsidRDefault="001049BC" w14:paraId="0E7E1F33" w14:textId="70828D70">
      <w:pPr>
        <w:autoSpaceDE w:val="0"/>
        <w:autoSpaceDN w:val="0"/>
        <w:adjustRightInd w:val="0"/>
        <w:spacing w:after="0" w:line="240" w:lineRule="auto"/>
        <w:rPr>
          <w:rFonts w:ascii="Verdana" w:hAnsi="Verdana" w:eastAsia="DejaVuSerifCondensed" w:cs="DejaVuSerifCondensed"/>
          <w:color w:val="000000"/>
          <w:kern w:val="0"/>
          <w:sz w:val="18"/>
          <w:szCs w:val="18"/>
        </w:rPr>
      </w:pPr>
      <w:r w:rsidRPr="001049BC">
        <w:rPr>
          <w:rFonts w:ascii="Verdana" w:hAnsi="Verdana" w:eastAsia="DejaVuSerifCondensed" w:cs="DejaVuSerifCondensed"/>
          <w:color w:val="000000"/>
          <w:kern w:val="0"/>
          <w:sz w:val="18"/>
          <w:szCs w:val="18"/>
        </w:rPr>
        <w:t xml:space="preserve">Zoals gebruikelijk ga ik niet in op individuele casussen, dat is aan de toezichthouder en het pensioenfonds. DNB heeft zelf aangegeven dat zij bij het beoordelen van invaarmeldingen een alternatieve invulling van de toedelingsregels voor financieel beschermings- en overrendement zijn tegengekomen, in de sector geduid als de </w:t>
      </w:r>
      <w:proofErr w:type="spellStart"/>
      <w:r w:rsidRPr="001049BC">
        <w:rPr>
          <w:rFonts w:ascii="Verdana" w:hAnsi="Verdana" w:eastAsia="DejaVuSerifCondensed" w:cs="DejaVuSerifCondensed"/>
          <w:color w:val="000000"/>
          <w:kern w:val="0"/>
          <w:sz w:val="18"/>
          <w:szCs w:val="18"/>
        </w:rPr>
        <w:t>multiplicatieve</w:t>
      </w:r>
      <w:proofErr w:type="spellEnd"/>
      <w:r w:rsidRPr="001049BC">
        <w:rPr>
          <w:rFonts w:ascii="Verdana" w:hAnsi="Verdana" w:eastAsia="DejaVuSerifCondensed" w:cs="DejaVuSerifCondensed"/>
          <w:color w:val="000000"/>
          <w:kern w:val="0"/>
          <w:sz w:val="18"/>
          <w:szCs w:val="18"/>
        </w:rPr>
        <w:t xml:space="preserve"> methode. </w:t>
      </w:r>
    </w:p>
    <w:p w:rsidRPr="001049BC" w:rsidR="001049BC" w:rsidP="001049BC" w:rsidRDefault="001049BC" w14:paraId="138560E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1049BC" w:rsidR="00D72D8C" w:rsidP="00D72D8C" w:rsidRDefault="00D72D8C" w14:paraId="11D4AC10" w14:textId="502FF3C3">
      <w:pPr>
        <w:pStyle w:val="Lijstalinea"/>
        <w:numPr>
          <w:ilvl w:val="0"/>
          <w:numId w:val="2"/>
        </w:num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1049BC">
        <w:rPr>
          <w:rFonts w:ascii="Verdana" w:hAnsi="Verdana" w:eastAsia="DejaVuSerifCondensed" w:cs="DejaVuSerifCondensed"/>
          <w:b/>
          <w:bCs/>
          <w:color w:val="000000"/>
          <w:kern w:val="0"/>
          <w:sz w:val="18"/>
          <w:szCs w:val="18"/>
        </w:rPr>
        <w:t>Wat zegt het volgens u over de betrouwbaarheid van de pensioenwet- en regelgeving dat fondsen gewoon mogen invaren als het niet mogelijk blijkt te zijn om de rekenmethode voor het invaren aan te passen terwijl dit volgens De Nederlandsche Bank een overtreding van de geldende wet- en regelgeving is?</w:t>
      </w:r>
    </w:p>
    <w:p w:rsidR="00683458" w:rsidP="00683458" w:rsidRDefault="00683458" w14:paraId="0EA6971B"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A32215" w:rsidP="00A32215" w:rsidRDefault="00176ABB" w14:paraId="5B433A17" w14:textId="3E80AE4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Over specifieke casussen kan ik geen uitspraken doen</w:t>
      </w:r>
      <w:r w:rsidR="002941C9">
        <w:rPr>
          <w:rFonts w:ascii="Verdana" w:hAnsi="Verdana" w:eastAsia="DejaVuSerifCondensed" w:cs="DejaVuSerifCondensed"/>
          <w:color w:val="000000"/>
          <w:kern w:val="0"/>
          <w:sz w:val="18"/>
          <w:szCs w:val="18"/>
        </w:rPr>
        <w:t>, omdat ik niet in de relatie kan treden tussen het pensioenfonds en de toezichthouder</w:t>
      </w:r>
      <w:r>
        <w:rPr>
          <w:rFonts w:ascii="Verdana" w:hAnsi="Verdana" w:eastAsia="DejaVuSerifCondensed" w:cs="DejaVuSerifCondensed"/>
          <w:color w:val="000000"/>
          <w:kern w:val="0"/>
          <w:sz w:val="18"/>
          <w:szCs w:val="18"/>
        </w:rPr>
        <w:t>. Het is de rol van de</w:t>
      </w:r>
      <w:r w:rsidR="00A32215">
        <w:rPr>
          <w:rFonts w:ascii="Verdana" w:hAnsi="Verdana" w:eastAsia="DejaVuSerifCondensed" w:cs="DejaVuSerifCondensed"/>
          <w:color w:val="000000"/>
          <w:kern w:val="0"/>
          <w:sz w:val="18"/>
          <w:szCs w:val="18"/>
        </w:rPr>
        <w:t xml:space="preserve"> onafhankelijke</w:t>
      </w:r>
      <w:r>
        <w:rPr>
          <w:rFonts w:ascii="Verdana" w:hAnsi="Verdana" w:eastAsia="DejaVuSerifCondensed" w:cs="DejaVuSerifCondensed"/>
          <w:color w:val="000000"/>
          <w:kern w:val="0"/>
          <w:sz w:val="18"/>
          <w:szCs w:val="18"/>
        </w:rPr>
        <w:t xml:space="preserve"> toezichthouders om </w:t>
      </w:r>
      <w:r w:rsidR="0055122D">
        <w:rPr>
          <w:rFonts w:ascii="Verdana" w:hAnsi="Verdana" w:eastAsia="DejaVuSerifCondensed" w:cs="DejaVuSerifCondensed"/>
          <w:color w:val="000000"/>
          <w:kern w:val="0"/>
          <w:sz w:val="18"/>
          <w:szCs w:val="18"/>
        </w:rPr>
        <w:t xml:space="preserve">erop toe te zien dat fondsen </w:t>
      </w:r>
      <w:r>
        <w:rPr>
          <w:rFonts w:ascii="Verdana" w:hAnsi="Verdana" w:eastAsia="DejaVuSerifCondensed" w:cs="DejaVuSerifCondensed"/>
          <w:color w:val="000000"/>
          <w:kern w:val="0"/>
          <w:sz w:val="18"/>
          <w:szCs w:val="18"/>
        </w:rPr>
        <w:t xml:space="preserve">de </w:t>
      </w:r>
      <w:r w:rsidR="0055122D">
        <w:rPr>
          <w:rFonts w:ascii="Verdana" w:hAnsi="Verdana" w:eastAsia="DejaVuSerifCondensed" w:cs="DejaVuSerifCondensed"/>
          <w:color w:val="000000"/>
          <w:kern w:val="0"/>
          <w:sz w:val="18"/>
          <w:szCs w:val="18"/>
        </w:rPr>
        <w:t xml:space="preserve">wet- en regelgeving met betrekking tot het pensioenrecht </w:t>
      </w:r>
      <w:r>
        <w:rPr>
          <w:rFonts w:ascii="Verdana" w:hAnsi="Verdana" w:eastAsia="DejaVuSerifCondensed" w:cs="DejaVuSerifCondensed"/>
          <w:color w:val="000000"/>
          <w:kern w:val="0"/>
          <w:sz w:val="18"/>
          <w:szCs w:val="18"/>
        </w:rPr>
        <w:t>nalev</w:t>
      </w:r>
      <w:r w:rsidR="0055122D">
        <w:rPr>
          <w:rFonts w:ascii="Verdana" w:hAnsi="Verdana" w:eastAsia="DejaVuSerifCondensed" w:cs="DejaVuSerifCondensed"/>
          <w:color w:val="000000"/>
          <w:kern w:val="0"/>
          <w:sz w:val="18"/>
          <w:szCs w:val="18"/>
        </w:rPr>
        <w:t>en.</w:t>
      </w:r>
      <w:r w:rsidR="00A32215">
        <w:rPr>
          <w:rFonts w:ascii="Verdana" w:hAnsi="Verdana" w:eastAsia="DejaVuSerifCondensed" w:cs="DejaVuSerifCondensed"/>
          <w:color w:val="000000"/>
          <w:kern w:val="0"/>
          <w:sz w:val="18"/>
          <w:szCs w:val="18"/>
        </w:rPr>
        <w:t xml:space="preserve"> In algemene zin kan worden gesteld dat DNB in het toezicht en handhaving ook de proportionaliteit betrekt en daarbij kan bezien binnen welke redelijke termijn de fondsen maatregelen dienen te treffen in geval niet volledig aan de wettelijke vereisten is voldaan. </w:t>
      </w:r>
      <w:r w:rsidR="002229DB">
        <w:rPr>
          <w:rFonts w:ascii="Verdana" w:hAnsi="Verdana" w:eastAsia="DejaVuSerifCondensed" w:cs="DejaVuSerifCondensed"/>
          <w:color w:val="000000"/>
          <w:kern w:val="0"/>
          <w:sz w:val="18"/>
          <w:szCs w:val="18"/>
        </w:rPr>
        <w:t>Hiermee wordt de handhaving van de wet- en regelgeving geborgd, met oog voor een passende uitvoering in het belang van de deelnemers.</w:t>
      </w:r>
      <w:r w:rsidR="00A32215">
        <w:rPr>
          <w:rFonts w:ascii="Verdana" w:hAnsi="Verdana" w:eastAsia="DejaVuSerifCondensed" w:cs="DejaVuSerifCondensed"/>
          <w:color w:val="000000"/>
          <w:kern w:val="0"/>
          <w:sz w:val="18"/>
          <w:szCs w:val="18"/>
        </w:rPr>
        <w:t xml:space="preserve">   </w:t>
      </w:r>
    </w:p>
    <w:p w:rsidRPr="0039288C" w:rsidR="001049BC" w:rsidP="001049BC" w:rsidRDefault="001049BC" w14:paraId="6520C31D" w14:textId="77777777">
      <w:pPr>
        <w:autoSpaceDE w:val="0"/>
        <w:autoSpaceDN w:val="0"/>
        <w:adjustRightInd w:val="0"/>
        <w:spacing w:after="0" w:line="240" w:lineRule="auto"/>
        <w:rPr>
          <w:rFonts w:ascii="Verdana" w:hAnsi="Verdana" w:eastAsia="DejaVuSerifCondensed" w:cs="DejaVuSerifCondensed"/>
          <w:kern w:val="0"/>
          <w:sz w:val="18"/>
          <w:szCs w:val="18"/>
          <w:highlight w:val="yellow"/>
        </w:rPr>
      </w:pPr>
    </w:p>
    <w:p w:rsidRPr="0039288C" w:rsidR="00D72D8C" w:rsidP="00D72D8C" w:rsidRDefault="00D72D8C" w14:paraId="075785FE" w14:textId="07B52EFD">
      <w:pPr>
        <w:pStyle w:val="Lijstalinea"/>
        <w:numPr>
          <w:ilvl w:val="0"/>
          <w:numId w:val="2"/>
        </w:numPr>
        <w:autoSpaceDE w:val="0"/>
        <w:autoSpaceDN w:val="0"/>
        <w:adjustRightInd w:val="0"/>
        <w:spacing w:after="0" w:line="240" w:lineRule="auto"/>
        <w:rPr>
          <w:rFonts w:ascii="Verdana" w:hAnsi="Verdana" w:eastAsia="DejaVuSerifCondensed" w:cs="DejaVuSerifCondensed"/>
          <w:b/>
          <w:bCs/>
          <w:kern w:val="0"/>
          <w:sz w:val="18"/>
          <w:szCs w:val="18"/>
        </w:rPr>
      </w:pPr>
      <w:r w:rsidRPr="0039288C">
        <w:rPr>
          <w:rFonts w:ascii="Verdana" w:hAnsi="Verdana" w:eastAsia="DejaVuSerifCondensed" w:cs="DejaVuSerifCondensed"/>
          <w:b/>
          <w:bCs/>
          <w:kern w:val="0"/>
          <w:sz w:val="18"/>
          <w:szCs w:val="18"/>
        </w:rPr>
        <w:t>Herkent u een patroon in de overgang naar het nieuwe pensioenstelsel waarin weeffouten in de wetgeving steeds vaker naar voren komen? Zo niet, waarom niet?</w:t>
      </w:r>
    </w:p>
    <w:p w:rsidR="00D32777" w:rsidP="00D32777" w:rsidRDefault="00D32777" w14:paraId="2D8C648B" w14:textId="2210AA95">
      <w:pPr>
        <w:autoSpaceDE w:val="0"/>
        <w:autoSpaceDN w:val="0"/>
        <w:adjustRightInd w:val="0"/>
        <w:spacing w:after="0" w:line="240" w:lineRule="auto"/>
        <w:rPr>
          <w:rFonts w:ascii="Verdana" w:hAnsi="Verdana" w:eastAsia="DejaVuSerifCondensed" w:cs="DejaVuSerifCondensed"/>
          <w:kern w:val="0"/>
          <w:sz w:val="18"/>
          <w:szCs w:val="18"/>
        </w:rPr>
      </w:pPr>
    </w:p>
    <w:p w:rsidRPr="0039288C" w:rsidR="00D32777" w:rsidP="00D32777" w:rsidRDefault="000D1F2F" w14:paraId="428D679C" w14:textId="7E2D2C51">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Ik deel met het lid Joseph (BBB)</w:t>
      </w:r>
      <w:r w:rsidR="002229DB">
        <w:rPr>
          <w:rFonts w:ascii="Verdana" w:hAnsi="Verdana" w:eastAsia="DejaVuSerifCondensed" w:cs="DejaVuSerifCondensed"/>
          <w:kern w:val="0"/>
          <w:sz w:val="18"/>
          <w:szCs w:val="18"/>
        </w:rPr>
        <w:t xml:space="preserve"> het belang van een zorgvuldige en beheerste overgang naar het nieuwe pensioenstelsel.</w:t>
      </w:r>
      <w:r w:rsidR="00C80D71">
        <w:rPr>
          <w:rFonts w:ascii="Verdana" w:hAnsi="Verdana" w:eastAsia="DejaVuSerifCondensed" w:cs="DejaVuSerifCondensed"/>
          <w:kern w:val="0"/>
          <w:sz w:val="18"/>
          <w:szCs w:val="18"/>
        </w:rPr>
        <w:t xml:space="preserve"> </w:t>
      </w:r>
      <w:r w:rsidRPr="0039288C" w:rsidR="00E64DD4">
        <w:rPr>
          <w:rFonts w:ascii="Verdana" w:hAnsi="Verdana" w:eastAsia="DejaVuSerifCondensed" w:cs="DejaVuSerifCondensed"/>
          <w:kern w:val="0"/>
          <w:sz w:val="18"/>
          <w:szCs w:val="18"/>
        </w:rPr>
        <w:t xml:space="preserve">De wijzigingen die ik heb voorgesteld in </w:t>
      </w:r>
      <w:r w:rsidR="00C80D71">
        <w:rPr>
          <w:rFonts w:ascii="Verdana" w:hAnsi="Verdana" w:eastAsia="DejaVuSerifCondensed" w:cs="DejaVuSerifCondensed"/>
          <w:kern w:val="0"/>
          <w:sz w:val="18"/>
          <w:szCs w:val="18"/>
        </w:rPr>
        <w:t xml:space="preserve">lagere </w:t>
      </w:r>
      <w:r w:rsidRPr="0039288C" w:rsidR="00E64DD4">
        <w:rPr>
          <w:rFonts w:ascii="Verdana" w:hAnsi="Verdana" w:eastAsia="DejaVuSerifCondensed" w:cs="DejaVuSerifCondensed"/>
          <w:kern w:val="0"/>
          <w:sz w:val="18"/>
          <w:szCs w:val="18"/>
        </w:rPr>
        <w:t>regelgeving zijn</w:t>
      </w:r>
      <w:r w:rsidR="002229DB">
        <w:rPr>
          <w:rFonts w:ascii="Verdana" w:hAnsi="Verdana" w:eastAsia="DejaVuSerifCondensed" w:cs="DejaVuSerifCondensed"/>
          <w:kern w:val="0"/>
          <w:sz w:val="18"/>
          <w:szCs w:val="18"/>
        </w:rPr>
        <w:t xml:space="preserve"> daarom</w:t>
      </w:r>
      <w:r w:rsidRPr="0039288C" w:rsidR="00E64DD4">
        <w:rPr>
          <w:rFonts w:ascii="Verdana" w:hAnsi="Verdana" w:eastAsia="DejaVuSerifCondensed" w:cs="DejaVuSerifCondensed"/>
          <w:kern w:val="0"/>
          <w:sz w:val="18"/>
          <w:szCs w:val="18"/>
        </w:rPr>
        <w:t xml:space="preserve"> gericht op het bevorderen van de pensioentransitie en zie ik daarom niet als weeffouten die hersteld moeten worden.</w:t>
      </w:r>
      <w:r w:rsidR="002229DB">
        <w:rPr>
          <w:rFonts w:ascii="Verdana" w:hAnsi="Verdana" w:eastAsia="DejaVuSerifCondensed" w:cs="DejaVuSerifCondensed"/>
          <w:kern w:val="0"/>
          <w:sz w:val="18"/>
          <w:szCs w:val="18"/>
        </w:rPr>
        <w:t xml:space="preserve"> Tijdens zo’n </w:t>
      </w:r>
      <w:r w:rsidR="002450D7">
        <w:rPr>
          <w:rFonts w:ascii="Verdana" w:hAnsi="Verdana" w:eastAsia="DejaVuSerifCondensed" w:cs="DejaVuSerifCondensed"/>
          <w:kern w:val="0"/>
          <w:sz w:val="18"/>
          <w:szCs w:val="18"/>
        </w:rPr>
        <w:t>omvangrijke transitie</w:t>
      </w:r>
      <w:r w:rsidR="002229DB">
        <w:rPr>
          <w:rFonts w:ascii="Verdana" w:hAnsi="Verdana" w:eastAsia="DejaVuSerifCondensed" w:cs="DejaVuSerifCondensed"/>
          <w:kern w:val="0"/>
          <w:sz w:val="18"/>
          <w:szCs w:val="18"/>
        </w:rPr>
        <w:t xml:space="preserve"> zijn er altijd uitvoeringsvraagstukken </w:t>
      </w:r>
      <w:r w:rsidR="002450D7">
        <w:rPr>
          <w:rFonts w:ascii="Verdana" w:hAnsi="Verdana" w:eastAsia="DejaVuSerifCondensed" w:cs="DejaVuSerifCondensed"/>
          <w:kern w:val="0"/>
          <w:sz w:val="18"/>
          <w:szCs w:val="18"/>
        </w:rPr>
        <w:t>die op voorhand niet te bedenken waren</w:t>
      </w:r>
      <w:r w:rsidR="00A578DF">
        <w:rPr>
          <w:rFonts w:ascii="Verdana" w:hAnsi="Verdana" w:eastAsia="DejaVuSerifCondensed" w:cs="DejaVuSerifCondensed"/>
          <w:kern w:val="0"/>
          <w:sz w:val="18"/>
          <w:szCs w:val="18"/>
        </w:rPr>
        <w:t xml:space="preserve"> en ook niet tijdens de uitgebreide consultatie door sectorpartijen zijn opgebracht</w:t>
      </w:r>
      <w:r w:rsidR="002450D7">
        <w:rPr>
          <w:rFonts w:ascii="Verdana" w:hAnsi="Verdana" w:eastAsia="DejaVuSerifCondensed" w:cs="DejaVuSerifCondensed"/>
          <w:kern w:val="0"/>
          <w:sz w:val="18"/>
          <w:szCs w:val="18"/>
        </w:rPr>
        <w:t xml:space="preserve">. Het is daarom juist van grote toegevoegde waarde dat er nauw contact is tussen </w:t>
      </w:r>
      <w:r w:rsidR="0055122D">
        <w:rPr>
          <w:rFonts w:ascii="Verdana" w:hAnsi="Verdana" w:eastAsia="DejaVuSerifCondensed" w:cs="DejaVuSerifCondensed"/>
          <w:kern w:val="0"/>
          <w:sz w:val="18"/>
          <w:szCs w:val="18"/>
        </w:rPr>
        <w:t>stakeholders</w:t>
      </w:r>
      <w:r w:rsidR="002450D7">
        <w:rPr>
          <w:rFonts w:ascii="Verdana" w:hAnsi="Verdana" w:eastAsia="DejaVuSerifCondensed" w:cs="DejaVuSerifCondensed"/>
          <w:kern w:val="0"/>
          <w:sz w:val="18"/>
          <w:szCs w:val="18"/>
        </w:rPr>
        <w:t xml:space="preserve"> om tijdig te kunnen bijsturen wanneer dat nodig is. Tot dusver zijn er enkele</w:t>
      </w:r>
      <w:r w:rsidR="00C82696">
        <w:rPr>
          <w:rFonts w:ascii="Verdana" w:hAnsi="Verdana" w:eastAsia="DejaVuSerifCondensed" w:cs="DejaVuSerifCondensed"/>
          <w:kern w:val="0"/>
          <w:sz w:val="18"/>
          <w:szCs w:val="18"/>
        </w:rPr>
        <w:t xml:space="preserve"> zaken</w:t>
      </w:r>
      <w:r w:rsidR="002450D7">
        <w:rPr>
          <w:rFonts w:ascii="Verdana" w:hAnsi="Verdana" w:eastAsia="DejaVuSerifCondensed" w:cs="DejaVuSerifCondensed"/>
          <w:kern w:val="0"/>
          <w:sz w:val="18"/>
          <w:szCs w:val="18"/>
        </w:rPr>
        <w:t xml:space="preserve"> verduidelijk</w:t>
      </w:r>
      <w:r w:rsidR="00C82696">
        <w:rPr>
          <w:rFonts w:ascii="Verdana" w:hAnsi="Verdana" w:eastAsia="DejaVuSerifCondensed" w:cs="DejaVuSerifCondensed"/>
          <w:kern w:val="0"/>
          <w:sz w:val="18"/>
          <w:szCs w:val="18"/>
        </w:rPr>
        <w:t>t</w:t>
      </w:r>
      <w:r w:rsidR="002450D7">
        <w:rPr>
          <w:rFonts w:ascii="Verdana" w:hAnsi="Verdana" w:eastAsia="DejaVuSerifCondensed" w:cs="DejaVuSerifCondensed"/>
          <w:kern w:val="0"/>
          <w:sz w:val="18"/>
          <w:szCs w:val="18"/>
        </w:rPr>
        <w:t xml:space="preserve"> die de voortgang van de transitie</w:t>
      </w:r>
      <w:r w:rsidR="002229DB">
        <w:rPr>
          <w:rFonts w:ascii="Verdana" w:hAnsi="Verdana" w:eastAsia="DejaVuSerifCondensed" w:cs="DejaVuSerifCondensed"/>
          <w:kern w:val="0"/>
          <w:sz w:val="18"/>
          <w:szCs w:val="18"/>
        </w:rPr>
        <w:t xml:space="preserve"> in het belang van de deelnemers</w:t>
      </w:r>
      <w:r w:rsidR="002450D7">
        <w:rPr>
          <w:rFonts w:ascii="Verdana" w:hAnsi="Verdana" w:eastAsia="DejaVuSerifCondensed" w:cs="DejaVuSerifCondensed"/>
          <w:kern w:val="0"/>
          <w:sz w:val="18"/>
          <w:szCs w:val="18"/>
        </w:rPr>
        <w:t xml:space="preserve"> verder helpen. </w:t>
      </w:r>
    </w:p>
    <w:p w:rsidRPr="0039288C" w:rsidR="002A0768" w:rsidP="002A0768" w:rsidRDefault="002A0768" w14:paraId="47D2AB4E" w14:textId="77777777">
      <w:pPr>
        <w:autoSpaceDE w:val="0"/>
        <w:autoSpaceDN w:val="0"/>
        <w:adjustRightInd w:val="0"/>
        <w:spacing w:after="0" w:line="240" w:lineRule="auto"/>
        <w:rPr>
          <w:rFonts w:ascii="Verdana" w:hAnsi="Verdana" w:eastAsia="DejaVuSerifCondensed" w:cs="DejaVuSerifCondensed"/>
          <w:b/>
          <w:bCs/>
          <w:kern w:val="0"/>
          <w:sz w:val="18"/>
          <w:szCs w:val="18"/>
        </w:rPr>
      </w:pPr>
    </w:p>
    <w:p w:rsidRPr="003645CF" w:rsidR="0072663F" w:rsidP="003645CF" w:rsidRDefault="00D72D8C" w14:paraId="52438D14" w14:textId="20C9D616">
      <w:pPr>
        <w:pStyle w:val="Lijstalinea"/>
        <w:numPr>
          <w:ilvl w:val="0"/>
          <w:numId w:val="2"/>
        </w:numPr>
        <w:autoSpaceDE w:val="0"/>
        <w:autoSpaceDN w:val="0"/>
        <w:adjustRightInd w:val="0"/>
        <w:spacing w:after="0" w:line="240" w:lineRule="auto"/>
        <w:rPr>
          <w:rFonts w:ascii="Verdana" w:hAnsi="Verdana" w:eastAsia="DejaVuSerifCondensed" w:cs="DejaVuSerifCondensed"/>
          <w:kern w:val="0"/>
          <w:sz w:val="18"/>
          <w:szCs w:val="18"/>
        </w:rPr>
      </w:pPr>
      <w:r w:rsidRPr="0039288C">
        <w:rPr>
          <w:rFonts w:ascii="Verdana" w:hAnsi="Verdana" w:eastAsia="DejaVuSerifCondensed" w:cs="DejaVuSerifCondensed"/>
          <w:b/>
          <w:bCs/>
          <w:kern w:val="0"/>
          <w:sz w:val="18"/>
          <w:szCs w:val="18"/>
        </w:rPr>
        <w:t>Deelt u de mening dat pensioenwet- en regelgeving betrouwbaar moet zijn én moet aansluiten op de werkelijkheid in de praktijk? Zo niet, waarom niet?</w:t>
      </w:r>
    </w:p>
    <w:p w:rsidR="0072663F" w:rsidP="003645CF" w:rsidRDefault="0072663F" w14:paraId="3E9C0EB5" w14:textId="77777777">
      <w:pPr>
        <w:spacing w:after="0"/>
        <w:rPr>
          <w:rFonts w:ascii="Verdana" w:hAnsi="Verdana" w:eastAsia="DejaVuSerifCondensed" w:cs="DejaVuSerifCondensed"/>
          <w:kern w:val="0"/>
          <w:sz w:val="18"/>
          <w:szCs w:val="18"/>
        </w:rPr>
      </w:pPr>
    </w:p>
    <w:p w:rsidRPr="0039288C" w:rsidR="002A0768" w:rsidP="003645CF" w:rsidRDefault="002941C9" w14:paraId="7A8E773F" w14:textId="7C778497">
      <w:pPr>
        <w:rPr>
          <w:rFonts w:ascii="Verdana" w:hAnsi="Verdana" w:eastAsia="DejaVuSerifCondensed" w:cs="DejaVuSerifCondensed"/>
          <w:b/>
          <w:bCs/>
          <w:kern w:val="0"/>
          <w:sz w:val="18"/>
          <w:szCs w:val="18"/>
        </w:rPr>
      </w:pPr>
      <w:r>
        <w:rPr>
          <w:rFonts w:ascii="Verdana" w:hAnsi="Verdana" w:eastAsia="DejaVuSerifCondensed" w:cs="DejaVuSerifCondensed"/>
          <w:kern w:val="0"/>
          <w:sz w:val="18"/>
          <w:szCs w:val="18"/>
        </w:rPr>
        <w:t xml:space="preserve">Ik deel </w:t>
      </w:r>
      <w:r w:rsidR="001903BA">
        <w:rPr>
          <w:rFonts w:ascii="Verdana" w:hAnsi="Verdana" w:eastAsia="DejaVuSerifCondensed" w:cs="DejaVuSerifCondensed"/>
          <w:kern w:val="0"/>
          <w:sz w:val="18"/>
          <w:szCs w:val="18"/>
        </w:rPr>
        <w:t>de mening dat wet- en regelgeving betrouwbaar moet zijn.</w:t>
      </w:r>
      <w:r>
        <w:rPr>
          <w:rFonts w:ascii="Verdana" w:hAnsi="Verdana" w:eastAsia="DejaVuSerifCondensed" w:cs="DejaVuSerifCondensed"/>
          <w:kern w:val="0"/>
          <w:sz w:val="18"/>
          <w:szCs w:val="18"/>
        </w:rPr>
        <w:t xml:space="preserve"> </w:t>
      </w:r>
      <w:r w:rsidR="001903BA">
        <w:rPr>
          <w:rFonts w:ascii="Verdana" w:hAnsi="Verdana" w:eastAsia="DejaVuSerifCondensed" w:cs="DejaVuSerifCondensed"/>
          <w:kern w:val="0"/>
          <w:sz w:val="18"/>
          <w:szCs w:val="18"/>
        </w:rPr>
        <w:t xml:space="preserve">In mijn ogen is dat </w:t>
      </w:r>
      <w:r w:rsidR="002450D7">
        <w:rPr>
          <w:rFonts w:ascii="Verdana" w:hAnsi="Verdana" w:eastAsia="DejaVuSerifCondensed" w:cs="DejaVuSerifCondensed"/>
          <w:kern w:val="0"/>
          <w:sz w:val="18"/>
          <w:szCs w:val="18"/>
        </w:rPr>
        <w:t xml:space="preserve">ook het geval. Daarom is het van groot belang dat er tijdig geschakeld wordt tussen partijen om </w:t>
      </w:r>
      <w:r w:rsidR="00C82696">
        <w:rPr>
          <w:rFonts w:ascii="Verdana" w:hAnsi="Verdana" w:eastAsia="DejaVuSerifCondensed" w:cs="DejaVuSerifCondensed"/>
          <w:kern w:val="0"/>
          <w:sz w:val="18"/>
          <w:szCs w:val="18"/>
        </w:rPr>
        <w:t>zaken te verduidelijken</w:t>
      </w:r>
      <w:r w:rsidR="002450D7">
        <w:rPr>
          <w:rFonts w:ascii="Verdana" w:hAnsi="Verdana" w:eastAsia="DejaVuSerifCondensed" w:cs="DejaVuSerifCondensed"/>
          <w:kern w:val="0"/>
          <w:sz w:val="18"/>
          <w:szCs w:val="18"/>
        </w:rPr>
        <w:t xml:space="preserve"> wanneer dit noodzakelijk is. </w:t>
      </w:r>
      <w:r w:rsidR="000331B8">
        <w:rPr>
          <w:rFonts w:ascii="Verdana" w:hAnsi="Verdana" w:eastAsia="DejaVuSerifCondensed" w:cs="DejaVuSerifCondensed"/>
          <w:kern w:val="0"/>
          <w:sz w:val="18"/>
          <w:szCs w:val="18"/>
        </w:rPr>
        <w:t xml:space="preserve">Via </w:t>
      </w:r>
      <w:r w:rsidR="0055122D">
        <w:rPr>
          <w:rFonts w:ascii="Verdana" w:hAnsi="Verdana" w:eastAsia="DejaVuSerifCondensed" w:cs="DejaVuSerifCondensed"/>
          <w:kern w:val="0"/>
          <w:sz w:val="18"/>
          <w:szCs w:val="18"/>
        </w:rPr>
        <w:t>betrokken stakeholders</w:t>
      </w:r>
      <w:r w:rsidR="000331B8">
        <w:rPr>
          <w:rFonts w:ascii="Verdana" w:hAnsi="Verdana" w:eastAsia="DejaVuSerifCondensed" w:cs="DejaVuSerifCondensed"/>
          <w:kern w:val="0"/>
          <w:sz w:val="18"/>
          <w:szCs w:val="18"/>
        </w:rPr>
        <w:t xml:space="preserve"> ontvang ik signalen </w:t>
      </w:r>
      <w:r w:rsidR="0055122D">
        <w:rPr>
          <w:rFonts w:ascii="Verdana" w:hAnsi="Verdana" w:eastAsia="DejaVuSerifCondensed" w:cs="DejaVuSerifCondensed"/>
          <w:kern w:val="0"/>
          <w:sz w:val="18"/>
          <w:szCs w:val="18"/>
        </w:rPr>
        <w:t>over mogelijke verbeteringen in</w:t>
      </w:r>
      <w:r w:rsidR="00EE7833">
        <w:rPr>
          <w:rFonts w:ascii="Verdana" w:hAnsi="Verdana" w:eastAsia="DejaVuSerifCondensed" w:cs="DejaVuSerifCondensed"/>
          <w:kern w:val="0"/>
          <w:sz w:val="18"/>
          <w:szCs w:val="18"/>
        </w:rPr>
        <w:t xml:space="preserve"> de praktijk</w:t>
      </w:r>
      <w:r w:rsidR="000331B8">
        <w:rPr>
          <w:rFonts w:ascii="Verdana" w:hAnsi="Verdana" w:eastAsia="DejaVuSerifCondensed" w:cs="DejaVuSerifCondensed"/>
          <w:kern w:val="0"/>
          <w:sz w:val="18"/>
          <w:szCs w:val="18"/>
        </w:rPr>
        <w:t xml:space="preserve">. Hieruit blijkt in sommige gevallen dat wet- en regelgeving verduidelijkt dient te worden. </w:t>
      </w:r>
    </w:p>
    <w:p w:rsidRPr="0039288C" w:rsidR="00D72D8C" w:rsidP="00D72D8C" w:rsidRDefault="00D72D8C" w14:paraId="269361C9" w14:textId="1CC43927">
      <w:pPr>
        <w:pStyle w:val="Lijstalinea"/>
        <w:numPr>
          <w:ilvl w:val="0"/>
          <w:numId w:val="2"/>
        </w:numPr>
        <w:autoSpaceDE w:val="0"/>
        <w:autoSpaceDN w:val="0"/>
        <w:adjustRightInd w:val="0"/>
        <w:spacing w:after="0" w:line="240" w:lineRule="auto"/>
        <w:rPr>
          <w:rFonts w:ascii="Verdana" w:hAnsi="Verdana" w:eastAsia="DejaVuSerifCondensed" w:cs="DejaVuSerifCondensed"/>
          <w:b/>
          <w:bCs/>
          <w:kern w:val="0"/>
          <w:sz w:val="18"/>
          <w:szCs w:val="18"/>
        </w:rPr>
      </w:pPr>
      <w:r w:rsidRPr="0039288C">
        <w:rPr>
          <w:rFonts w:ascii="Verdana" w:hAnsi="Verdana" w:eastAsia="DejaVuSerifCondensed" w:cs="DejaVuSerifCondensed"/>
          <w:b/>
          <w:bCs/>
          <w:kern w:val="0"/>
          <w:sz w:val="18"/>
          <w:szCs w:val="18"/>
        </w:rPr>
        <w:t>Hoe wenselijk acht u het dat er invaarbesluiten worden gegeven door DNB aan pensioenfondsen die feitelijk gezien niet aan de wet voldoen?</w:t>
      </w:r>
    </w:p>
    <w:p w:rsidR="0072663F" w:rsidP="00D72D8C" w:rsidRDefault="0072663F" w14:paraId="1C77A36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E7833" w:rsidP="00D72D8C" w:rsidRDefault="00EE7833" w14:paraId="272128DD" w14:textId="0570C4DF">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DNB</w:t>
      </w:r>
      <w:r w:rsidR="0039288C">
        <w:rPr>
          <w:rFonts w:ascii="Verdana" w:hAnsi="Verdana" w:eastAsia="DejaVuSerifCondensed" w:cs="DejaVuSerifCondensed"/>
          <w:color w:val="000000"/>
          <w:kern w:val="0"/>
          <w:sz w:val="18"/>
          <w:szCs w:val="18"/>
        </w:rPr>
        <w:t xml:space="preserve"> </w:t>
      </w:r>
      <w:r w:rsidR="002450D7">
        <w:rPr>
          <w:rFonts w:ascii="Verdana" w:hAnsi="Verdana" w:eastAsia="DejaVuSerifCondensed" w:cs="DejaVuSerifCondensed"/>
          <w:color w:val="000000"/>
          <w:kern w:val="0"/>
          <w:sz w:val="18"/>
          <w:szCs w:val="18"/>
        </w:rPr>
        <w:t xml:space="preserve">beoordeelt zeer zorgvuldig </w:t>
      </w:r>
      <w:r w:rsidR="0039288C">
        <w:rPr>
          <w:rFonts w:ascii="Verdana" w:hAnsi="Verdana" w:eastAsia="DejaVuSerifCondensed" w:cs="DejaVuSerifCondensed"/>
          <w:color w:val="000000"/>
          <w:kern w:val="0"/>
          <w:sz w:val="18"/>
          <w:szCs w:val="18"/>
        </w:rPr>
        <w:t>aan de hand van wet- en regelgeving</w:t>
      </w:r>
      <w:r>
        <w:rPr>
          <w:rFonts w:ascii="Verdana" w:hAnsi="Verdana" w:eastAsia="DejaVuSerifCondensed" w:cs="DejaVuSerifCondensed"/>
          <w:color w:val="000000"/>
          <w:kern w:val="0"/>
          <w:sz w:val="18"/>
          <w:szCs w:val="18"/>
        </w:rPr>
        <w:t xml:space="preserve"> of het pensioenfonds mag invaren voordat het </w:t>
      </w:r>
      <w:r w:rsidR="0039288C">
        <w:rPr>
          <w:rFonts w:ascii="Verdana" w:hAnsi="Verdana" w:eastAsia="DejaVuSerifCondensed" w:cs="DejaVuSerifCondensed"/>
          <w:color w:val="000000"/>
          <w:kern w:val="0"/>
          <w:sz w:val="18"/>
          <w:szCs w:val="18"/>
        </w:rPr>
        <w:t xml:space="preserve">definitieve </w:t>
      </w:r>
      <w:r>
        <w:rPr>
          <w:rFonts w:ascii="Verdana" w:hAnsi="Verdana" w:eastAsia="DejaVuSerifCondensed" w:cs="DejaVuSerifCondensed"/>
          <w:color w:val="000000"/>
          <w:kern w:val="0"/>
          <w:sz w:val="18"/>
          <w:szCs w:val="18"/>
        </w:rPr>
        <w:t>invaarbesluit wordt gegeven.</w:t>
      </w:r>
      <w:r w:rsidR="009C2DE6">
        <w:rPr>
          <w:rFonts w:ascii="Verdana" w:hAnsi="Verdana" w:eastAsia="DejaVuSerifCondensed" w:cs="DejaVuSerifCondensed"/>
          <w:color w:val="000000"/>
          <w:kern w:val="0"/>
          <w:sz w:val="18"/>
          <w:szCs w:val="18"/>
        </w:rPr>
        <w:t xml:space="preserve"> Zie wederom mijn eerdere antwoord bij vraag 3.</w:t>
      </w:r>
      <w:r>
        <w:rPr>
          <w:rFonts w:ascii="Verdana" w:hAnsi="Verdana" w:eastAsia="DejaVuSerifCondensed" w:cs="DejaVuSerifCondensed"/>
          <w:color w:val="000000"/>
          <w:kern w:val="0"/>
          <w:sz w:val="18"/>
          <w:szCs w:val="18"/>
        </w:rPr>
        <w:t xml:space="preserve"> </w:t>
      </w:r>
    </w:p>
    <w:p w:rsidR="00EE7833" w:rsidP="00D72D8C" w:rsidRDefault="00EE7833" w14:paraId="5695BAC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D72D8C" w:rsidP="00D72D8C" w:rsidRDefault="00D72D8C" w14:paraId="09DA7D4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72D8C" w:rsidR="00D72D8C" w:rsidP="00D72D8C" w:rsidRDefault="00D72D8C" w14:paraId="3EDC91D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72D8C" w:rsidR="00D72D8C" w:rsidP="00D72D8C" w:rsidRDefault="00D72D8C" w14:paraId="7B5CF270" w14:textId="692AFA2D">
      <w:pPr>
        <w:pStyle w:val="Lijstalinea"/>
        <w:numPr>
          <w:ilvl w:val="0"/>
          <w:numId w:val="4"/>
        </w:numPr>
        <w:autoSpaceDE w:val="0"/>
        <w:autoSpaceDN w:val="0"/>
        <w:adjustRightInd w:val="0"/>
        <w:spacing w:after="0" w:line="240" w:lineRule="auto"/>
        <w:ind w:left="851"/>
        <w:rPr>
          <w:rFonts w:ascii="Verdana" w:hAnsi="Verdana" w:eastAsia="DejaVuSerifCondensed" w:cs="DejaVuSerifCondensed"/>
          <w:color w:val="000000"/>
          <w:kern w:val="0"/>
          <w:sz w:val="18"/>
          <w:szCs w:val="18"/>
        </w:rPr>
      </w:pPr>
      <w:r w:rsidRPr="00D72D8C">
        <w:rPr>
          <w:rFonts w:ascii="Verdana" w:hAnsi="Verdana" w:eastAsia="DejaVuSerifCondensed" w:cs="DejaVuSerifCondensed"/>
          <w:color w:val="000000"/>
          <w:kern w:val="0"/>
          <w:sz w:val="18"/>
          <w:szCs w:val="18"/>
        </w:rPr>
        <w:t xml:space="preserve">Pensioen Pro, 16 juni 2025, 'Fondsen mogen </w:t>
      </w:r>
      <w:proofErr w:type="spellStart"/>
      <w:r w:rsidRPr="00D72D8C">
        <w:rPr>
          <w:rFonts w:ascii="Verdana" w:hAnsi="Verdana" w:eastAsia="DejaVuSerifCondensed" w:cs="DejaVuSerifCondensed"/>
          <w:color w:val="000000"/>
          <w:kern w:val="0"/>
          <w:sz w:val="18"/>
          <w:szCs w:val="18"/>
        </w:rPr>
        <w:t>operationale</w:t>
      </w:r>
      <w:proofErr w:type="spellEnd"/>
      <w:r w:rsidRPr="00D72D8C">
        <w:rPr>
          <w:rFonts w:ascii="Verdana" w:hAnsi="Verdana" w:eastAsia="DejaVuSerifCondensed" w:cs="DejaVuSerifCondensed"/>
          <w:color w:val="000000"/>
          <w:kern w:val="0"/>
          <w:sz w:val="18"/>
          <w:szCs w:val="18"/>
        </w:rPr>
        <w:t xml:space="preserve"> buffer toch aanvullen vanuit</w:t>
      </w:r>
      <w:r>
        <w:rPr>
          <w:rFonts w:ascii="Verdana" w:hAnsi="Verdana" w:eastAsia="DejaVuSerifCondensed" w:cs="DejaVuSerifCondensed"/>
          <w:color w:val="000000"/>
          <w:kern w:val="0"/>
          <w:sz w:val="18"/>
          <w:szCs w:val="18"/>
        </w:rPr>
        <w:t xml:space="preserve"> </w:t>
      </w:r>
      <w:r w:rsidRPr="00D72D8C">
        <w:rPr>
          <w:rFonts w:ascii="Verdana" w:hAnsi="Verdana" w:eastAsia="DejaVuSerifCondensed" w:cs="DejaVuSerifCondensed"/>
          <w:color w:val="000000"/>
          <w:kern w:val="0"/>
          <w:sz w:val="18"/>
          <w:szCs w:val="18"/>
        </w:rPr>
        <w:t>solidariteitsreserve' (</w:t>
      </w:r>
      <w:r w:rsidRPr="00D72D8C">
        <w:rPr>
          <w:rFonts w:ascii="Verdana" w:hAnsi="Verdana" w:eastAsia="DejaVuSerifCondensed" w:cs="DejaVuSerifCondensed"/>
          <w:color w:val="0000FF"/>
          <w:kern w:val="0"/>
          <w:sz w:val="18"/>
          <w:szCs w:val="18"/>
        </w:rPr>
        <w:t>pensioenpro.nl/pensioenfondsen-mogen-solidariteitsreserve-toch-gebruiken-vooraanvullen-operationele-buffer/</w:t>
      </w:r>
      <w:r w:rsidRPr="00D72D8C">
        <w:rPr>
          <w:rFonts w:ascii="Verdana" w:hAnsi="Verdana" w:eastAsia="DejaVuSerifCondensed" w:cs="DejaVuSerifCondensed"/>
          <w:color w:val="000000"/>
          <w:kern w:val="0"/>
          <w:sz w:val="18"/>
          <w:szCs w:val="18"/>
        </w:rPr>
        <w:t>).</w:t>
      </w:r>
    </w:p>
    <w:p w:rsidRPr="00D72D8C" w:rsidR="00D72D8C" w:rsidP="00D72D8C" w:rsidRDefault="00D72D8C" w14:paraId="68F5CAEA" w14:textId="2E5963AB">
      <w:pPr>
        <w:pStyle w:val="Lijstalinea"/>
        <w:numPr>
          <w:ilvl w:val="0"/>
          <w:numId w:val="4"/>
        </w:numPr>
        <w:autoSpaceDE w:val="0"/>
        <w:autoSpaceDN w:val="0"/>
        <w:adjustRightInd w:val="0"/>
        <w:spacing w:after="0" w:line="240" w:lineRule="auto"/>
        <w:ind w:left="851"/>
        <w:rPr>
          <w:rFonts w:ascii="Verdana" w:hAnsi="Verdana" w:eastAsia="DejaVuSerifCondensed" w:cs="DejaVuSerifCondensed"/>
          <w:color w:val="000000"/>
          <w:kern w:val="0"/>
          <w:sz w:val="18"/>
          <w:szCs w:val="18"/>
        </w:rPr>
      </w:pPr>
      <w:r w:rsidRPr="00D72D8C">
        <w:rPr>
          <w:rFonts w:ascii="Verdana" w:hAnsi="Verdana" w:eastAsia="DejaVuSerifCondensed" w:cs="DejaVuSerifCondensed"/>
          <w:color w:val="000000"/>
          <w:kern w:val="0"/>
          <w:sz w:val="18"/>
          <w:szCs w:val="18"/>
        </w:rPr>
        <w:t>Pensioen Pro, 1 mei 2025, 'Uitvoerder moet van DNB sleutelen aan toedeling</w:t>
      </w:r>
      <w:r>
        <w:rPr>
          <w:rFonts w:ascii="Verdana" w:hAnsi="Verdana" w:eastAsia="DejaVuSerifCondensed" w:cs="DejaVuSerifCondensed"/>
          <w:color w:val="000000"/>
          <w:kern w:val="0"/>
          <w:sz w:val="18"/>
          <w:szCs w:val="18"/>
        </w:rPr>
        <w:t xml:space="preserve"> </w:t>
      </w:r>
      <w:r w:rsidRPr="00D72D8C">
        <w:rPr>
          <w:rFonts w:ascii="Verdana" w:hAnsi="Verdana" w:eastAsia="DejaVuSerifCondensed" w:cs="DejaVuSerifCondensed"/>
          <w:color w:val="000000"/>
          <w:kern w:val="0"/>
          <w:sz w:val="18"/>
          <w:szCs w:val="18"/>
        </w:rPr>
        <w:t>rendementen' (</w:t>
      </w:r>
      <w:r w:rsidRPr="00D72D8C">
        <w:rPr>
          <w:rFonts w:ascii="Verdana" w:hAnsi="Verdana" w:eastAsia="DejaVuSerifCondensed" w:cs="DejaVuSerifCondensed"/>
          <w:color w:val="0000FF"/>
          <w:kern w:val="0"/>
          <w:sz w:val="18"/>
          <w:szCs w:val="18"/>
        </w:rPr>
        <w:t>pensioenpro.nl/uitvoerders-moeten-van-dnb-opnieuw-sleutelen-aanrendementstoedeling/</w:t>
      </w:r>
      <w:r w:rsidRPr="00D72D8C">
        <w:rPr>
          <w:rFonts w:ascii="Verdana" w:hAnsi="Verdana" w:eastAsia="DejaVuSerifCondensed" w:cs="DejaVuSerifCondensed"/>
          <w:color w:val="000000"/>
          <w:kern w:val="0"/>
          <w:sz w:val="18"/>
          <w:szCs w:val="18"/>
        </w:rPr>
        <w:t>).</w:t>
      </w:r>
    </w:p>
    <w:p w:rsidRPr="00D72D8C" w:rsidR="00836E2B" w:rsidP="00D72D8C" w:rsidRDefault="00836E2B" w14:paraId="0838E70A" w14:textId="14E661FF">
      <w:pPr>
        <w:rPr>
          <w:rFonts w:ascii="Verdana" w:hAnsi="Verdana"/>
          <w:sz w:val="18"/>
          <w:szCs w:val="18"/>
        </w:rPr>
      </w:pPr>
    </w:p>
    <w:sectPr w:rsidRPr="00D72D8C" w:rsidR="00836E2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0CEB" w14:textId="77777777" w:rsidR="00AC22B7" w:rsidRDefault="00AC22B7" w:rsidP="00421E74">
      <w:pPr>
        <w:spacing w:after="0" w:line="240" w:lineRule="auto"/>
      </w:pPr>
      <w:r>
        <w:separator/>
      </w:r>
    </w:p>
  </w:endnote>
  <w:endnote w:type="continuationSeparator" w:id="0">
    <w:p w14:paraId="4D8D4EC4" w14:textId="77777777" w:rsidR="00AC22B7" w:rsidRDefault="00AC22B7" w:rsidP="0042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BD9A" w14:textId="77777777" w:rsidR="00392EA6" w:rsidRDefault="00392E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8E4" w14:textId="77777777" w:rsidR="00392EA6" w:rsidRDefault="00392E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E22B" w14:textId="77777777" w:rsidR="00392EA6" w:rsidRDefault="00392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84A8" w14:textId="77777777" w:rsidR="00AC22B7" w:rsidRDefault="00AC22B7" w:rsidP="00421E74">
      <w:pPr>
        <w:spacing w:after="0" w:line="240" w:lineRule="auto"/>
      </w:pPr>
      <w:r>
        <w:separator/>
      </w:r>
    </w:p>
  </w:footnote>
  <w:footnote w:type="continuationSeparator" w:id="0">
    <w:p w14:paraId="0C7BD59D" w14:textId="77777777" w:rsidR="00AC22B7" w:rsidRDefault="00AC22B7" w:rsidP="00421E74">
      <w:pPr>
        <w:spacing w:after="0" w:line="240" w:lineRule="auto"/>
      </w:pPr>
      <w:r>
        <w:continuationSeparator/>
      </w:r>
    </w:p>
  </w:footnote>
  <w:footnote w:id="1">
    <w:p w14:paraId="6C427839" w14:textId="77777777" w:rsidR="001B07BB" w:rsidRDefault="001B07BB" w:rsidP="001B07BB">
      <w:pPr>
        <w:pStyle w:val="Voetnoottekst"/>
      </w:pPr>
      <w:r>
        <w:rPr>
          <w:rStyle w:val="Voetnootmarkering"/>
        </w:rPr>
        <w:footnoteRef/>
      </w:r>
      <w:r>
        <w:t xml:space="preserve"> </w:t>
      </w:r>
      <w:r w:rsidRPr="002B45BC">
        <w:rPr>
          <w:rFonts w:ascii="Verdana" w:eastAsia="DejaVuSerifCondensed" w:hAnsi="Verdana" w:cs="DejaVuSerifCondensed"/>
          <w:color w:val="000000"/>
          <w:kern w:val="0"/>
          <w:sz w:val="16"/>
          <w:szCs w:val="16"/>
        </w:rPr>
        <w:t>In het concept verzamelbesluit bepaal ik dat indien een pensioenfonds dit tweemaal achter elkaar niet lukt, dat het pensioenfonds direct maatregelen moet nemen.</w:t>
      </w:r>
    </w:p>
  </w:footnote>
  <w:footnote w:id="2">
    <w:p w14:paraId="762D53C8" w14:textId="43ED3CC4" w:rsidR="00082945" w:rsidRPr="002B45BC" w:rsidRDefault="00082945" w:rsidP="00082945">
      <w:pPr>
        <w:pStyle w:val="Voetnoottekst"/>
        <w:rPr>
          <w:rFonts w:ascii="Verdana" w:hAnsi="Verdana"/>
          <w:sz w:val="16"/>
          <w:szCs w:val="16"/>
        </w:rPr>
      </w:pPr>
      <w:r w:rsidRPr="002B45BC">
        <w:rPr>
          <w:rStyle w:val="Voetnootmarkering"/>
          <w:rFonts w:ascii="Verdana" w:hAnsi="Verdana"/>
          <w:sz w:val="16"/>
          <w:szCs w:val="16"/>
        </w:rPr>
        <w:footnoteRef/>
      </w:r>
      <w:r w:rsidRPr="002B45BC">
        <w:rPr>
          <w:rFonts w:ascii="Verdana" w:hAnsi="Verdana"/>
          <w:sz w:val="16"/>
          <w:szCs w:val="16"/>
        </w:rPr>
        <w:t xml:space="preserve"> Zie de DNB Q&amp;A </w:t>
      </w:r>
      <w:hyperlink r:id="rId1" w:history="1">
        <w:r w:rsidRPr="002B45BC">
          <w:rPr>
            <w:rStyle w:val="Hyperlink"/>
            <w:rFonts w:ascii="Verdana" w:hAnsi="Verdana"/>
            <w:i/>
            <w:iCs/>
            <w:sz w:val="16"/>
            <w:szCs w:val="16"/>
          </w:rPr>
          <w:t>Redenen voor DNB om een verbod op invaren op te leggen</w:t>
        </w:r>
      </w:hyperlink>
      <w:r w:rsidRPr="002B45BC">
        <w:rPr>
          <w:rFonts w:ascii="Verdana" w:hAnsi="Verdana"/>
          <w:sz w:val="16"/>
          <w:szCs w:val="16"/>
        </w:rPr>
        <w:t>.</w:t>
      </w:r>
    </w:p>
  </w:footnote>
  <w:footnote w:id="3">
    <w:p w14:paraId="1D0D86E1" w14:textId="00C19406" w:rsidR="009F173A" w:rsidRPr="002B45BC" w:rsidRDefault="009F173A">
      <w:pPr>
        <w:pStyle w:val="Voetnoottekst"/>
        <w:rPr>
          <w:rFonts w:ascii="Verdana" w:hAnsi="Verdana"/>
          <w:sz w:val="16"/>
          <w:szCs w:val="16"/>
        </w:rPr>
      </w:pPr>
      <w:r w:rsidRPr="002B45BC">
        <w:rPr>
          <w:rStyle w:val="Voetnootmarkering"/>
          <w:rFonts w:ascii="Verdana" w:hAnsi="Verdana"/>
          <w:sz w:val="16"/>
          <w:szCs w:val="16"/>
        </w:rPr>
        <w:footnoteRef/>
      </w:r>
      <w:r w:rsidRPr="002B45BC">
        <w:rPr>
          <w:rFonts w:ascii="Verdana" w:hAnsi="Verdana"/>
          <w:sz w:val="16"/>
          <w:szCs w:val="16"/>
        </w:rPr>
        <w:t xml:space="preserve"> Zie de DNB </w:t>
      </w:r>
      <w:r w:rsidRPr="002B45BC">
        <w:rPr>
          <w:rFonts w:ascii="Verdana" w:hAnsi="Verdana"/>
          <w:sz w:val="16"/>
          <w:szCs w:val="16"/>
        </w:rPr>
        <w:t xml:space="preserve">factsheet </w:t>
      </w:r>
      <w:hyperlink r:id="rId2" w:history="1">
        <w:r w:rsidRPr="002B45BC">
          <w:rPr>
            <w:rStyle w:val="Hyperlink"/>
            <w:rFonts w:ascii="Verdana" w:hAnsi="Verdana"/>
            <w:i/>
            <w:iCs/>
            <w:sz w:val="16"/>
            <w:szCs w:val="16"/>
          </w:rPr>
          <w:t>Factsheet voorschriften in besluit DNB over invaren</w:t>
        </w:r>
      </w:hyperlink>
      <w:r w:rsidRPr="002B45BC">
        <w:rPr>
          <w:rFonts w:ascii="Arial" w:hAnsi="Arial" w:cs="Arial"/>
          <w:i/>
          <w:iCs/>
          <w:sz w:val="16"/>
          <w:szCs w:val="16"/>
        </w:rPr>
        <w:t>​</w:t>
      </w:r>
      <w:r w:rsidRPr="002B45BC">
        <w:rPr>
          <w:rFonts w:ascii="Verdana" w:hAnsi="Verdana"/>
          <w:sz w:val="16"/>
          <w:szCs w:val="16"/>
        </w:rPr>
        <w:t>.</w:t>
      </w:r>
    </w:p>
  </w:footnote>
  <w:footnote w:id="4">
    <w:p w14:paraId="4DC4FE33" w14:textId="503E538E" w:rsidR="008A2E58" w:rsidRPr="002B45BC" w:rsidRDefault="008A2E58" w:rsidP="008A2E58">
      <w:pPr>
        <w:pStyle w:val="Voetnoottekst"/>
        <w:rPr>
          <w:rFonts w:ascii="Verdana" w:hAnsi="Verdana"/>
          <w:sz w:val="16"/>
          <w:szCs w:val="16"/>
        </w:rPr>
      </w:pPr>
      <w:r w:rsidRPr="002B45BC">
        <w:rPr>
          <w:rStyle w:val="Voetnootmarkering"/>
          <w:rFonts w:ascii="Verdana" w:hAnsi="Verdana"/>
          <w:sz w:val="16"/>
          <w:szCs w:val="16"/>
        </w:rPr>
        <w:footnoteRef/>
      </w:r>
      <w:r w:rsidRPr="002B45BC">
        <w:rPr>
          <w:rFonts w:ascii="Verdana" w:hAnsi="Verdana"/>
          <w:sz w:val="16"/>
          <w:szCs w:val="16"/>
        </w:rPr>
        <w:t xml:space="preserve"> Zie de </w:t>
      </w:r>
      <w:r w:rsidR="006F330F" w:rsidRPr="002B45BC">
        <w:rPr>
          <w:rFonts w:ascii="Verdana" w:hAnsi="Verdana"/>
          <w:sz w:val="16"/>
          <w:szCs w:val="16"/>
        </w:rPr>
        <w:t xml:space="preserve">DNB </w:t>
      </w:r>
      <w:r w:rsidR="006F330F" w:rsidRPr="002B45BC">
        <w:rPr>
          <w:rFonts w:ascii="Verdana" w:hAnsi="Verdana"/>
          <w:sz w:val="16"/>
          <w:szCs w:val="16"/>
        </w:rPr>
        <w:t>f</w:t>
      </w:r>
      <w:r w:rsidRPr="002B45BC">
        <w:rPr>
          <w:rFonts w:ascii="Verdana" w:hAnsi="Verdana"/>
          <w:sz w:val="16"/>
          <w:szCs w:val="16"/>
        </w:rPr>
        <w:t xml:space="preserve">actsheet </w:t>
      </w:r>
      <w:hyperlink r:id="rId3" w:history="1">
        <w:r w:rsidRPr="002B45BC">
          <w:rPr>
            <w:rStyle w:val="Hyperlink"/>
            <w:rFonts w:ascii="Verdana" w:hAnsi="Verdana"/>
            <w:i/>
            <w:iCs/>
            <w:sz w:val="16"/>
            <w:szCs w:val="16"/>
          </w:rPr>
          <w:t>Proces voor behandeling invaarmelding door DNB</w:t>
        </w:r>
      </w:hyperlink>
      <w:r w:rsidR="00470376" w:rsidRPr="002B45BC">
        <w:rPr>
          <w:rFonts w:ascii="Verdana" w:hAnsi="Verdana"/>
          <w:sz w:val="16"/>
          <w:szCs w:val="16"/>
        </w:rPr>
        <w:t>.</w:t>
      </w:r>
    </w:p>
    <w:p w14:paraId="3B5C1AD1" w14:textId="1958C02C" w:rsidR="008A2E58" w:rsidRDefault="008A2E5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B2B3" w14:textId="77777777" w:rsidR="00392EA6" w:rsidRDefault="00392E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EBB6" w14:textId="77777777" w:rsidR="00392EA6" w:rsidRDefault="00392E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89E1" w14:textId="77777777" w:rsidR="00392EA6" w:rsidRDefault="00392E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72E1"/>
    <w:multiLevelType w:val="hybridMultilevel"/>
    <w:tmpl w:val="7E5E7FC0"/>
    <w:lvl w:ilvl="0" w:tplc="04130011">
      <w:start w:val="1"/>
      <w:numFmt w:val="decimal"/>
      <w:lvlText w:val="%1)"/>
      <w:lvlJc w:val="left"/>
      <w:pPr>
        <w:ind w:left="458" w:hanging="360"/>
      </w:pPr>
    </w:lvl>
    <w:lvl w:ilvl="1" w:tplc="04130019" w:tentative="1">
      <w:start w:val="1"/>
      <w:numFmt w:val="lowerLetter"/>
      <w:lvlText w:val="%2."/>
      <w:lvlJc w:val="left"/>
      <w:pPr>
        <w:ind w:left="1178" w:hanging="360"/>
      </w:pPr>
    </w:lvl>
    <w:lvl w:ilvl="2" w:tplc="0413001B" w:tentative="1">
      <w:start w:val="1"/>
      <w:numFmt w:val="lowerRoman"/>
      <w:lvlText w:val="%3."/>
      <w:lvlJc w:val="right"/>
      <w:pPr>
        <w:ind w:left="1898" w:hanging="180"/>
      </w:pPr>
    </w:lvl>
    <w:lvl w:ilvl="3" w:tplc="0413000F" w:tentative="1">
      <w:start w:val="1"/>
      <w:numFmt w:val="decimal"/>
      <w:lvlText w:val="%4."/>
      <w:lvlJc w:val="left"/>
      <w:pPr>
        <w:ind w:left="2618" w:hanging="360"/>
      </w:pPr>
    </w:lvl>
    <w:lvl w:ilvl="4" w:tplc="04130019" w:tentative="1">
      <w:start w:val="1"/>
      <w:numFmt w:val="lowerLetter"/>
      <w:lvlText w:val="%5."/>
      <w:lvlJc w:val="left"/>
      <w:pPr>
        <w:ind w:left="3338" w:hanging="360"/>
      </w:pPr>
    </w:lvl>
    <w:lvl w:ilvl="5" w:tplc="0413001B" w:tentative="1">
      <w:start w:val="1"/>
      <w:numFmt w:val="lowerRoman"/>
      <w:lvlText w:val="%6."/>
      <w:lvlJc w:val="right"/>
      <w:pPr>
        <w:ind w:left="4058" w:hanging="180"/>
      </w:pPr>
    </w:lvl>
    <w:lvl w:ilvl="6" w:tplc="0413000F" w:tentative="1">
      <w:start w:val="1"/>
      <w:numFmt w:val="decimal"/>
      <w:lvlText w:val="%7."/>
      <w:lvlJc w:val="left"/>
      <w:pPr>
        <w:ind w:left="4778" w:hanging="360"/>
      </w:pPr>
    </w:lvl>
    <w:lvl w:ilvl="7" w:tplc="04130019" w:tentative="1">
      <w:start w:val="1"/>
      <w:numFmt w:val="lowerLetter"/>
      <w:lvlText w:val="%8."/>
      <w:lvlJc w:val="left"/>
      <w:pPr>
        <w:ind w:left="5498" w:hanging="360"/>
      </w:pPr>
    </w:lvl>
    <w:lvl w:ilvl="8" w:tplc="0413001B" w:tentative="1">
      <w:start w:val="1"/>
      <w:numFmt w:val="lowerRoman"/>
      <w:lvlText w:val="%9."/>
      <w:lvlJc w:val="right"/>
      <w:pPr>
        <w:ind w:left="6218" w:hanging="180"/>
      </w:pPr>
    </w:lvl>
  </w:abstractNum>
  <w:abstractNum w:abstractNumId="1" w15:restartNumberingAfterBreak="0">
    <w:nsid w:val="1BFE109C"/>
    <w:multiLevelType w:val="multilevel"/>
    <w:tmpl w:val="E8966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A471AF9"/>
    <w:multiLevelType w:val="hybridMultilevel"/>
    <w:tmpl w:val="E99241E8"/>
    <w:lvl w:ilvl="0" w:tplc="F022F17C">
      <w:start w:val="1"/>
      <w:numFmt w:val="decimal"/>
      <w:lvlText w:val="%1."/>
      <w:lvlJc w:val="left"/>
      <w:pPr>
        <w:ind w:left="360" w:hanging="360"/>
      </w:pPr>
      <w:rPr>
        <w:rFonts w:hint="default"/>
        <w:b/>
        <w:bCs/>
      </w:rPr>
    </w:lvl>
    <w:lvl w:ilvl="1" w:tplc="32DA2DDC">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88C069F"/>
    <w:multiLevelType w:val="multilevel"/>
    <w:tmpl w:val="650CF5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90271A2"/>
    <w:multiLevelType w:val="hybridMultilevel"/>
    <w:tmpl w:val="22C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EC3525"/>
    <w:multiLevelType w:val="hybridMultilevel"/>
    <w:tmpl w:val="F1FE4BA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9A5D2F"/>
    <w:multiLevelType w:val="hybridMultilevel"/>
    <w:tmpl w:val="245EA09E"/>
    <w:lvl w:ilvl="0" w:tplc="453C8104">
      <w:start w:val="1"/>
      <w:numFmt w:val="decimal"/>
      <w:lvlText w:val="%1)"/>
      <w:lvlJc w:val="left"/>
      <w:pPr>
        <w:ind w:left="1020" w:hanging="360"/>
      </w:pPr>
    </w:lvl>
    <w:lvl w:ilvl="1" w:tplc="F82E92E8">
      <w:start w:val="1"/>
      <w:numFmt w:val="decimal"/>
      <w:lvlText w:val="%2)"/>
      <w:lvlJc w:val="left"/>
      <w:pPr>
        <w:ind w:left="1020" w:hanging="360"/>
      </w:pPr>
    </w:lvl>
    <w:lvl w:ilvl="2" w:tplc="430479F2">
      <w:start w:val="1"/>
      <w:numFmt w:val="decimal"/>
      <w:lvlText w:val="%3)"/>
      <w:lvlJc w:val="left"/>
      <w:pPr>
        <w:ind w:left="1020" w:hanging="360"/>
      </w:pPr>
    </w:lvl>
    <w:lvl w:ilvl="3" w:tplc="B68C9086">
      <w:start w:val="1"/>
      <w:numFmt w:val="decimal"/>
      <w:lvlText w:val="%4)"/>
      <w:lvlJc w:val="left"/>
      <w:pPr>
        <w:ind w:left="1020" w:hanging="360"/>
      </w:pPr>
    </w:lvl>
    <w:lvl w:ilvl="4" w:tplc="F4E6E404">
      <w:start w:val="1"/>
      <w:numFmt w:val="decimal"/>
      <w:lvlText w:val="%5)"/>
      <w:lvlJc w:val="left"/>
      <w:pPr>
        <w:ind w:left="1020" w:hanging="360"/>
      </w:pPr>
    </w:lvl>
    <w:lvl w:ilvl="5" w:tplc="ED8838E8">
      <w:start w:val="1"/>
      <w:numFmt w:val="decimal"/>
      <w:lvlText w:val="%6)"/>
      <w:lvlJc w:val="left"/>
      <w:pPr>
        <w:ind w:left="1020" w:hanging="360"/>
      </w:pPr>
    </w:lvl>
    <w:lvl w:ilvl="6" w:tplc="80085704">
      <w:start w:val="1"/>
      <w:numFmt w:val="decimal"/>
      <w:lvlText w:val="%7)"/>
      <w:lvlJc w:val="left"/>
      <w:pPr>
        <w:ind w:left="1020" w:hanging="360"/>
      </w:pPr>
    </w:lvl>
    <w:lvl w:ilvl="7" w:tplc="9C3AD6B4">
      <w:start w:val="1"/>
      <w:numFmt w:val="decimal"/>
      <w:lvlText w:val="%8)"/>
      <w:lvlJc w:val="left"/>
      <w:pPr>
        <w:ind w:left="1020" w:hanging="360"/>
      </w:pPr>
    </w:lvl>
    <w:lvl w:ilvl="8" w:tplc="5DEA330A">
      <w:start w:val="1"/>
      <w:numFmt w:val="decimal"/>
      <w:lvlText w:val="%9)"/>
      <w:lvlJc w:val="left"/>
      <w:pPr>
        <w:ind w:left="1020" w:hanging="360"/>
      </w:pPr>
    </w:lvl>
  </w:abstractNum>
  <w:num w:numId="1" w16cid:durableId="1850214829">
    <w:abstractNumId w:val="4"/>
  </w:num>
  <w:num w:numId="2" w16cid:durableId="1300066650">
    <w:abstractNumId w:val="2"/>
  </w:num>
  <w:num w:numId="3" w16cid:durableId="343438929">
    <w:abstractNumId w:val="5"/>
  </w:num>
  <w:num w:numId="4" w16cid:durableId="21175574">
    <w:abstractNumId w:val="0"/>
  </w:num>
  <w:num w:numId="5" w16cid:durableId="995184495">
    <w:abstractNumId w:val="6"/>
  </w:num>
  <w:num w:numId="6" w16cid:durableId="856693518">
    <w:abstractNumId w:val="1"/>
  </w:num>
  <w:num w:numId="7" w16cid:durableId="1712656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8C"/>
    <w:rsid w:val="00014C8B"/>
    <w:rsid w:val="0002107F"/>
    <w:rsid w:val="00031D1A"/>
    <w:rsid w:val="000331B8"/>
    <w:rsid w:val="00037AEA"/>
    <w:rsid w:val="00050F71"/>
    <w:rsid w:val="00056D1B"/>
    <w:rsid w:val="000638B7"/>
    <w:rsid w:val="00071FEC"/>
    <w:rsid w:val="000756F3"/>
    <w:rsid w:val="00075838"/>
    <w:rsid w:val="0008263C"/>
    <w:rsid w:val="00082945"/>
    <w:rsid w:val="000A4E27"/>
    <w:rsid w:val="000B34B9"/>
    <w:rsid w:val="000D0764"/>
    <w:rsid w:val="000D1F2F"/>
    <w:rsid w:val="000E7EB5"/>
    <w:rsid w:val="000F2DB6"/>
    <w:rsid w:val="0010038A"/>
    <w:rsid w:val="00100544"/>
    <w:rsid w:val="001006E3"/>
    <w:rsid w:val="001049BC"/>
    <w:rsid w:val="00111080"/>
    <w:rsid w:val="001149BE"/>
    <w:rsid w:val="00137DA6"/>
    <w:rsid w:val="00140CC8"/>
    <w:rsid w:val="00142566"/>
    <w:rsid w:val="0015522B"/>
    <w:rsid w:val="0017210E"/>
    <w:rsid w:val="0017583D"/>
    <w:rsid w:val="00176ABB"/>
    <w:rsid w:val="00181553"/>
    <w:rsid w:val="001903BA"/>
    <w:rsid w:val="0019057F"/>
    <w:rsid w:val="00192616"/>
    <w:rsid w:val="001926DF"/>
    <w:rsid w:val="001B07BB"/>
    <w:rsid w:val="001D74AA"/>
    <w:rsid w:val="001E466D"/>
    <w:rsid w:val="00207BCE"/>
    <w:rsid w:val="002108D4"/>
    <w:rsid w:val="0021169B"/>
    <w:rsid w:val="00211E09"/>
    <w:rsid w:val="00213998"/>
    <w:rsid w:val="002171B2"/>
    <w:rsid w:val="002229DB"/>
    <w:rsid w:val="002450D7"/>
    <w:rsid w:val="00246C8A"/>
    <w:rsid w:val="00254AAB"/>
    <w:rsid w:val="00254F37"/>
    <w:rsid w:val="00272AB8"/>
    <w:rsid w:val="00276886"/>
    <w:rsid w:val="00284D5B"/>
    <w:rsid w:val="002941C9"/>
    <w:rsid w:val="002A0768"/>
    <w:rsid w:val="002B45BC"/>
    <w:rsid w:val="002B62D2"/>
    <w:rsid w:val="002C302A"/>
    <w:rsid w:val="002D0C8E"/>
    <w:rsid w:val="002D0DC4"/>
    <w:rsid w:val="002D1CB9"/>
    <w:rsid w:val="002D32BE"/>
    <w:rsid w:val="002F3BFF"/>
    <w:rsid w:val="0030620C"/>
    <w:rsid w:val="00321609"/>
    <w:rsid w:val="00334681"/>
    <w:rsid w:val="003516AE"/>
    <w:rsid w:val="0035346B"/>
    <w:rsid w:val="00353F73"/>
    <w:rsid w:val="003641F8"/>
    <w:rsid w:val="003645CF"/>
    <w:rsid w:val="003924A6"/>
    <w:rsid w:val="0039288C"/>
    <w:rsid w:val="00392EA6"/>
    <w:rsid w:val="003936BC"/>
    <w:rsid w:val="003B44B8"/>
    <w:rsid w:val="003B5743"/>
    <w:rsid w:val="003B747C"/>
    <w:rsid w:val="003C16F5"/>
    <w:rsid w:val="003C5974"/>
    <w:rsid w:val="003F077B"/>
    <w:rsid w:val="003F60B8"/>
    <w:rsid w:val="003F6A29"/>
    <w:rsid w:val="00414E04"/>
    <w:rsid w:val="00421D7F"/>
    <w:rsid w:val="00421E74"/>
    <w:rsid w:val="004377D9"/>
    <w:rsid w:val="00445382"/>
    <w:rsid w:val="00453648"/>
    <w:rsid w:val="00456E72"/>
    <w:rsid w:val="00465503"/>
    <w:rsid w:val="00470376"/>
    <w:rsid w:val="00490F55"/>
    <w:rsid w:val="00493307"/>
    <w:rsid w:val="004A4B7E"/>
    <w:rsid w:val="004B2566"/>
    <w:rsid w:val="004B371B"/>
    <w:rsid w:val="004C66D1"/>
    <w:rsid w:val="004C6BF9"/>
    <w:rsid w:val="004E09BB"/>
    <w:rsid w:val="004E24CC"/>
    <w:rsid w:val="004E3293"/>
    <w:rsid w:val="004F5C44"/>
    <w:rsid w:val="00514DEF"/>
    <w:rsid w:val="00522F19"/>
    <w:rsid w:val="0054213B"/>
    <w:rsid w:val="005461E6"/>
    <w:rsid w:val="0055122D"/>
    <w:rsid w:val="00556873"/>
    <w:rsid w:val="00564AA0"/>
    <w:rsid w:val="005710FB"/>
    <w:rsid w:val="00575FB1"/>
    <w:rsid w:val="005774F2"/>
    <w:rsid w:val="00585602"/>
    <w:rsid w:val="00587DE4"/>
    <w:rsid w:val="005967B1"/>
    <w:rsid w:val="005A3EA1"/>
    <w:rsid w:val="005B0B88"/>
    <w:rsid w:val="005B327B"/>
    <w:rsid w:val="005B385E"/>
    <w:rsid w:val="005B68C0"/>
    <w:rsid w:val="005D0315"/>
    <w:rsid w:val="005D4847"/>
    <w:rsid w:val="005E50AF"/>
    <w:rsid w:val="005E7057"/>
    <w:rsid w:val="005F2F48"/>
    <w:rsid w:val="00603F64"/>
    <w:rsid w:val="00604999"/>
    <w:rsid w:val="00605C42"/>
    <w:rsid w:val="006243AD"/>
    <w:rsid w:val="00627EBD"/>
    <w:rsid w:val="00672185"/>
    <w:rsid w:val="00683458"/>
    <w:rsid w:val="006866DE"/>
    <w:rsid w:val="00687809"/>
    <w:rsid w:val="006944D1"/>
    <w:rsid w:val="006A1A2A"/>
    <w:rsid w:val="006A4089"/>
    <w:rsid w:val="006A728D"/>
    <w:rsid w:val="006B2D70"/>
    <w:rsid w:val="006C344F"/>
    <w:rsid w:val="006C55B6"/>
    <w:rsid w:val="006C571B"/>
    <w:rsid w:val="006D17A7"/>
    <w:rsid w:val="006D2456"/>
    <w:rsid w:val="006E76E2"/>
    <w:rsid w:val="006F330F"/>
    <w:rsid w:val="006F5EF3"/>
    <w:rsid w:val="00701FA8"/>
    <w:rsid w:val="00714157"/>
    <w:rsid w:val="00722059"/>
    <w:rsid w:val="007262E8"/>
    <w:rsid w:val="0072663F"/>
    <w:rsid w:val="007345FC"/>
    <w:rsid w:val="0073679A"/>
    <w:rsid w:val="007374FA"/>
    <w:rsid w:val="00746139"/>
    <w:rsid w:val="00767F0F"/>
    <w:rsid w:val="00773F0D"/>
    <w:rsid w:val="00774666"/>
    <w:rsid w:val="00781BB7"/>
    <w:rsid w:val="007826C5"/>
    <w:rsid w:val="00782FCE"/>
    <w:rsid w:val="00792D74"/>
    <w:rsid w:val="00795C4A"/>
    <w:rsid w:val="007A116E"/>
    <w:rsid w:val="007A71B8"/>
    <w:rsid w:val="007B1099"/>
    <w:rsid w:val="007B69A4"/>
    <w:rsid w:val="007C3849"/>
    <w:rsid w:val="007C7E0A"/>
    <w:rsid w:val="00803270"/>
    <w:rsid w:val="00812F63"/>
    <w:rsid w:val="00824D47"/>
    <w:rsid w:val="00830F22"/>
    <w:rsid w:val="00831A96"/>
    <w:rsid w:val="00836E2B"/>
    <w:rsid w:val="00837B0C"/>
    <w:rsid w:val="00844871"/>
    <w:rsid w:val="0085153B"/>
    <w:rsid w:val="00857A21"/>
    <w:rsid w:val="0086464B"/>
    <w:rsid w:val="0087051D"/>
    <w:rsid w:val="00883AD5"/>
    <w:rsid w:val="0088630C"/>
    <w:rsid w:val="008A2E58"/>
    <w:rsid w:val="008A369C"/>
    <w:rsid w:val="008A50AC"/>
    <w:rsid w:val="008B1230"/>
    <w:rsid w:val="008B140B"/>
    <w:rsid w:val="008C6ADB"/>
    <w:rsid w:val="008D4EE0"/>
    <w:rsid w:val="008E4C09"/>
    <w:rsid w:val="008E7E96"/>
    <w:rsid w:val="008F086A"/>
    <w:rsid w:val="008F75D4"/>
    <w:rsid w:val="009070C4"/>
    <w:rsid w:val="0091270F"/>
    <w:rsid w:val="0091291B"/>
    <w:rsid w:val="009265E1"/>
    <w:rsid w:val="009312F3"/>
    <w:rsid w:val="00936BB1"/>
    <w:rsid w:val="00954D77"/>
    <w:rsid w:val="00955518"/>
    <w:rsid w:val="00956606"/>
    <w:rsid w:val="00963335"/>
    <w:rsid w:val="00965E2C"/>
    <w:rsid w:val="00982B89"/>
    <w:rsid w:val="009900B1"/>
    <w:rsid w:val="00990F6E"/>
    <w:rsid w:val="009952B1"/>
    <w:rsid w:val="00995ADC"/>
    <w:rsid w:val="009B2673"/>
    <w:rsid w:val="009C2DE6"/>
    <w:rsid w:val="009C67B5"/>
    <w:rsid w:val="009D693F"/>
    <w:rsid w:val="009F173A"/>
    <w:rsid w:val="009F347A"/>
    <w:rsid w:val="009F62CD"/>
    <w:rsid w:val="00A019C9"/>
    <w:rsid w:val="00A02884"/>
    <w:rsid w:val="00A06F30"/>
    <w:rsid w:val="00A24216"/>
    <w:rsid w:val="00A30865"/>
    <w:rsid w:val="00A320F7"/>
    <w:rsid w:val="00A32215"/>
    <w:rsid w:val="00A33417"/>
    <w:rsid w:val="00A517C6"/>
    <w:rsid w:val="00A52770"/>
    <w:rsid w:val="00A56EF2"/>
    <w:rsid w:val="00A578DF"/>
    <w:rsid w:val="00A678FC"/>
    <w:rsid w:val="00A84CAE"/>
    <w:rsid w:val="00A85135"/>
    <w:rsid w:val="00A940A7"/>
    <w:rsid w:val="00AA053D"/>
    <w:rsid w:val="00AC22B7"/>
    <w:rsid w:val="00AC511E"/>
    <w:rsid w:val="00AC7451"/>
    <w:rsid w:val="00AC7D45"/>
    <w:rsid w:val="00AD1239"/>
    <w:rsid w:val="00AE046A"/>
    <w:rsid w:val="00B16D57"/>
    <w:rsid w:val="00B31827"/>
    <w:rsid w:val="00B32A28"/>
    <w:rsid w:val="00B405CD"/>
    <w:rsid w:val="00B44B1A"/>
    <w:rsid w:val="00B65E73"/>
    <w:rsid w:val="00B771BB"/>
    <w:rsid w:val="00B9428E"/>
    <w:rsid w:val="00B974E5"/>
    <w:rsid w:val="00BA61AF"/>
    <w:rsid w:val="00BB30E4"/>
    <w:rsid w:val="00BC7E88"/>
    <w:rsid w:val="00BD2F99"/>
    <w:rsid w:val="00BD62A5"/>
    <w:rsid w:val="00BE63D5"/>
    <w:rsid w:val="00BE7423"/>
    <w:rsid w:val="00BE7953"/>
    <w:rsid w:val="00C100F0"/>
    <w:rsid w:val="00C227A0"/>
    <w:rsid w:val="00C267C9"/>
    <w:rsid w:val="00C41617"/>
    <w:rsid w:val="00C41EA7"/>
    <w:rsid w:val="00C54CD9"/>
    <w:rsid w:val="00C65AEC"/>
    <w:rsid w:val="00C70B0D"/>
    <w:rsid w:val="00C70EFA"/>
    <w:rsid w:val="00C77B48"/>
    <w:rsid w:val="00C80D71"/>
    <w:rsid w:val="00C82696"/>
    <w:rsid w:val="00C90E66"/>
    <w:rsid w:val="00C95C84"/>
    <w:rsid w:val="00CA2292"/>
    <w:rsid w:val="00CA4B22"/>
    <w:rsid w:val="00CB1877"/>
    <w:rsid w:val="00CB71C6"/>
    <w:rsid w:val="00CC1ABA"/>
    <w:rsid w:val="00CC5762"/>
    <w:rsid w:val="00CE2B0E"/>
    <w:rsid w:val="00CF6AC8"/>
    <w:rsid w:val="00D05A4F"/>
    <w:rsid w:val="00D32777"/>
    <w:rsid w:val="00D431BB"/>
    <w:rsid w:val="00D646ED"/>
    <w:rsid w:val="00D72D8C"/>
    <w:rsid w:val="00D7337F"/>
    <w:rsid w:val="00D8279C"/>
    <w:rsid w:val="00DC695B"/>
    <w:rsid w:val="00DD0EAD"/>
    <w:rsid w:val="00DF0B2C"/>
    <w:rsid w:val="00DF5B13"/>
    <w:rsid w:val="00E06F46"/>
    <w:rsid w:val="00E231E3"/>
    <w:rsid w:val="00E37F18"/>
    <w:rsid w:val="00E46C7F"/>
    <w:rsid w:val="00E53250"/>
    <w:rsid w:val="00E606BF"/>
    <w:rsid w:val="00E64DD4"/>
    <w:rsid w:val="00E757D9"/>
    <w:rsid w:val="00E77786"/>
    <w:rsid w:val="00E878BA"/>
    <w:rsid w:val="00EA3CF1"/>
    <w:rsid w:val="00EA6805"/>
    <w:rsid w:val="00EB318D"/>
    <w:rsid w:val="00ED0784"/>
    <w:rsid w:val="00EE7833"/>
    <w:rsid w:val="00EF251E"/>
    <w:rsid w:val="00F004E2"/>
    <w:rsid w:val="00F05EBB"/>
    <w:rsid w:val="00F076D7"/>
    <w:rsid w:val="00F1557F"/>
    <w:rsid w:val="00F30697"/>
    <w:rsid w:val="00F365D1"/>
    <w:rsid w:val="00F425B0"/>
    <w:rsid w:val="00F430FB"/>
    <w:rsid w:val="00F60A1B"/>
    <w:rsid w:val="00F722DC"/>
    <w:rsid w:val="00F824C0"/>
    <w:rsid w:val="00FA594D"/>
    <w:rsid w:val="00FC3C72"/>
    <w:rsid w:val="00FE0585"/>
    <w:rsid w:val="00FF5620"/>
    <w:rsid w:val="2E9C52C1"/>
    <w:rsid w:val="34315202"/>
    <w:rsid w:val="366AF0E7"/>
    <w:rsid w:val="3C0D6F4A"/>
    <w:rsid w:val="44DA9600"/>
    <w:rsid w:val="6DAC8DC7"/>
    <w:rsid w:val="7E1D640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5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ABB"/>
  </w:style>
  <w:style w:type="paragraph" w:styleId="Kop1">
    <w:name w:val="heading 1"/>
    <w:basedOn w:val="Standaard"/>
    <w:next w:val="Standaard"/>
    <w:link w:val="Kop1Char"/>
    <w:uiPriority w:val="9"/>
    <w:qFormat/>
    <w:rsid w:val="00D72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2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2D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2D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2D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2D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D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D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D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D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2D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2D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2D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2D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2D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D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D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D8C"/>
    <w:rPr>
      <w:rFonts w:eastAsiaTheme="majorEastAsia" w:cstheme="majorBidi"/>
      <w:color w:val="272727" w:themeColor="text1" w:themeTint="D8"/>
    </w:rPr>
  </w:style>
  <w:style w:type="paragraph" w:styleId="Titel">
    <w:name w:val="Title"/>
    <w:basedOn w:val="Standaard"/>
    <w:next w:val="Standaard"/>
    <w:link w:val="TitelChar"/>
    <w:uiPriority w:val="10"/>
    <w:qFormat/>
    <w:rsid w:val="00D7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D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D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D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D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D8C"/>
    <w:rPr>
      <w:i/>
      <w:iCs/>
      <w:color w:val="404040" w:themeColor="text1" w:themeTint="BF"/>
    </w:rPr>
  </w:style>
  <w:style w:type="paragraph" w:styleId="Lijstalinea">
    <w:name w:val="List Paragraph"/>
    <w:basedOn w:val="Standaard"/>
    <w:uiPriority w:val="34"/>
    <w:qFormat/>
    <w:rsid w:val="00D72D8C"/>
    <w:pPr>
      <w:ind w:left="720"/>
      <w:contextualSpacing/>
    </w:pPr>
  </w:style>
  <w:style w:type="character" w:styleId="Intensievebenadrukking">
    <w:name w:val="Intense Emphasis"/>
    <w:basedOn w:val="Standaardalinea-lettertype"/>
    <w:uiPriority w:val="21"/>
    <w:qFormat/>
    <w:rsid w:val="00D72D8C"/>
    <w:rPr>
      <w:i/>
      <w:iCs/>
      <w:color w:val="2F5496" w:themeColor="accent1" w:themeShade="BF"/>
    </w:rPr>
  </w:style>
  <w:style w:type="paragraph" w:styleId="Duidelijkcitaat">
    <w:name w:val="Intense Quote"/>
    <w:basedOn w:val="Standaard"/>
    <w:next w:val="Standaard"/>
    <w:link w:val="DuidelijkcitaatChar"/>
    <w:uiPriority w:val="30"/>
    <w:qFormat/>
    <w:rsid w:val="00D72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2D8C"/>
    <w:rPr>
      <w:i/>
      <w:iCs/>
      <w:color w:val="2F5496" w:themeColor="accent1" w:themeShade="BF"/>
    </w:rPr>
  </w:style>
  <w:style w:type="character" w:styleId="Intensieveverwijzing">
    <w:name w:val="Intense Reference"/>
    <w:basedOn w:val="Standaardalinea-lettertype"/>
    <w:uiPriority w:val="32"/>
    <w:qFormat/>
    <w:rsid w:val="00D72D8C"/>
    <w:rPr>
      <w:b/>
      <w:bCs/>
      <w:smallCaps/>
      <w:color w:val="2F5496" w:themeColor="accent1" w:themeShade="BF"/>
      <w:spacing w:val="5"/>
    </w:rPr>
  </w:style>
  <w:style w:type="paragraph" w:styleId="Revisie">
    <w:name w:val="Revision"/>
    <w:hidden/>
    <w:uiPriority w:val="99"/>
    <w:semiHidden/>
    <w:rsid w:val="0072663F"/>
    <w:pPr>
      <w:spacing w:after="0" w:line="240" w:lineRule="auto"/>
    </w:pPr>
  </w:style>
  <w:style w:type="character" w:styleId="Verwijzingopmerking">
    <w:name w:val="annotation reference"/>
    <w:basedOn w:val="Standaardalinea-lettertype"/>
    <w:uiPriority w:val="99"/>
    <w:semiHidden/>
    <w:unhideWhenUsed/>
    <w:rsid w:val="0072663F"/>
    <w:rPr>
      <w:sz w:val="16"/>
      <w:szCs w:val="16"/>
    </w:rPr>
  </w:style>
  <w:style w:type="paragraph" w:styleId="Tekstopmerking">
    <w:name w:val="annotation text"/>
    <w:basedOn w:val="Standaard"/>
    <w:link w:val="TekstopmerkingChar"/>
    <w:uiPriority w:val="99"/>
    <w:unhideWhenUsed/>
    <w:rsid w:val="0072663F"/>
    <w:pPr>
      <w:spacing w:line="240" w:lineRule="auto"/>
    </w:pPr>
    <w:rPr>
      <w:sz w:val="20"/>
      <w:szCs w:val="20"/>
    </w:rPr>
  </w:style>
  <w:style w:type="character" w:customStyle="1" w:styleId="TekstopmerkingChar">
    <w:name w:val="Tekst opmerking Char"/>
    <w:basedOn w:val="Standaardalinea-lettertype"/>
    <w:link w:val="Tekstopmerking"/>
    <w:uiPriority w:val="99"/>
    <w:rsid w:val="0072663F"/>
    <w:rPr>
      <w:sz w:val="20"/>
      <w:szCs w:val="20"/>
    </w:rPr>
  </w:style>
  <w:style w:type="paragraph" w:styleId="Onderwerpvanopmerking">
    <w:name w:val="annotation subject"/>
    <w:basedOn w:val="Tekstopmerking"/>
    <w:next w:val="Tekstopmerking"/>
    <w:link w:val="OnderwerpvanopmerkingChar"/>
    <w:uiPriority w:val="99"/>
    <w:semiHidden/>
    <w:unhideWhenUsed/>
    <w:rsid w:val="0072663F"/>
    <w:rPr>
      <w:b/>
      <w:bCs/>
    </w:rPr>
  </w:style>
  <w:style w:type="character" w:customStyle="1" w:styleId="OnderwerpvanopmerkingChar">
    <w:name w:val="Onderwerp van opmerking Char"/>
    <w:basedOn w:val="TekstopmerkingChar"/>
    <w:link w:val="Onderwerpvanopmerking"/>
    <w:uiPriority w:val="99"/>
    <w:semiHidden/>
    <w:rsid w:val="0072663F"/>
    <w:rPr>
      <w:b/>
      <w:bCs/>
      <w:sz w:val="20"/>
      <w:szCs w:val="20"/>
    </w:rPr>
  </w:style>
  <w:style w:type="paragraph" w:styleId="Voetnoottekst">
    <w:name w:val="footnote text"/>
    <w:basedOn w:val="Standaard"/>
    <w:link w:val="VoetnoottekstChar"/>
    <w:uiPriority w:val="99"/>
    <w:semiHidden/>
    <w:unhideWhenUsed/>
    <w:rsid w:val="00421E7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1E74"/>
    <w:rPr>
      <w:sz w:val="20"/>
      <w:szCs w:val="20"/>
    </w:rPr>
  </w:style>
  <w:style w:type="character" w:styleId="Voetnootmarkering">
    <w:name w:val="footnote reference"/>
    <w:basedOn w:val="Standaardalinea-lettertype"/>
    <w:uiPriority w:val="99"/>
    <w:semiHidden/>
    <w:unhideWhenUsed/>
    <w:rsid w:val="00421E74"/>
    <w:rPr>
      <w:vertAlign w:val="superscript"/>
    </w:rPr>
  </w:style>
  <w:style w:type="character" w:styleId="Hyperlink">
    <w:name w:val="Hyperlink"/>
    <w:basedOn w:val="Standaardalinea-lettertype"/>
    <w:uiPriority w:val="99"/>
    <w:unhideWhenUsed/>
    <w:rsid w:val="00421E74"/>
    <w:rPr>
      <w:color w:val="0563C1" w:themeColor="hyperlink"/>
      <w:u w:val="single"/>
    </w:rPr>
  </w:style>
  <w:style w:type="character" w:styleId="Onopgelostemelding">
    <w:name w:val="Unresolved Mention"/>
    <w:basedOn w:val="Standaardalinea-lettertype"/>
    <w:uiPriority w:val="99"/>
    <w:semiHidden/>
    <w:unhideWhenUsed/>
    <w:rsid w:val="00421E74"/>
    <w:rPr>
      <w:color w:val="605E5C"/>
      <w:shd w:val="clear" w:color="auto" w:fill="E1DFDD"/>
    </w:rPr>
  </w:style>
  <w:style w:type="paragraph" w:styleId="Koptekst">
    <w:name w:val="header"/>
    <w:basedOn w:val="Standaard"/>
    <w:link w:val="KoptekstChar"/>
    <w:uiPriority w:val="99"/>
    <w:unhideWhenUsed/>
    <w:rsid w:val="00014C8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14C8B"/>
  </w:style>
  <w:style w:type="paragraph" w:styleId="Voettekst">
    <w:name w:val="footer"/>
    <w:basedOn w:val="Standaard"/>
    <w:link w:val="VoettekstChar"/>
    <w:uiPriority w:val="99"/>
    <w:unhideWhenUsed/>
    <w:rsid w:val="00014C8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14C8B"/>
  </w:style>
  <w:style w:type="character" w:styleId="Vermelding">
    <w:name w:val="Mention"/>
    <w:basedOn w:val="Standaardalinea-lettertype"/>
    <w:uiPriority w:val="99"/>
    <w:unhideWhenUsed/>
    <w:rsid w:val="00990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085">
      <w:bodyDiv w:val="1"/>
      <w:marLeft w:val="0"/>
      <w:marRight w:val="0"/>
      <w:marTop w:val="0"/>
      <w:marBottom w:val="0"/>
      <w:divBdr>
        <w:top w:val="none" w:sz="0" w:space="0" w:color="auto"/>
        <w:left w:val="none" w:sz="0" w:space="0" w:color="auto"/>
        <w:bottom w:val="none" w:sz="0" w:space="0" w:color="auto"/>
        <w:right w:val="none" w:sz="0" w:space="0" w:color="auto"/>
      </w:divBdr>
    </w:div>
    <w:div w:id="418449411">
      <w:bodyDiv w:val="1"/>
      <w:marLeft w:val="0"/>
      <w:marRight w:val="0"/>
      <w:marTop w:val="0"/>
      <w:marBottom w:val="0"/>
      <w:divBdr>
        <w:top w:val="none" w:sz="0" w:space="0" w:color="auto"/>
        <w:left w:val="none" w:sz="0" w:space="0" w:color="auto"/>
        <w:bottom w:val="none" w:sz="0" w:space="0" w:color="auto"/>
        <w:right w:val="none" w:sz="0" w:space="0" w:color="auto"/>
      </w:divBdr>
    </w:div>
    <w:div w:id="480122999">
      <w:bodyDiv w:val="1"/>
      <w:marLeft w:val="0"/>
      <w:marRight w:val="0"/>
      <w:marTop w:val="0"/>
      <w:marBottom w:val="0"/>
      <w:divBdr>
        <w:top w:val="none" w:sz="0" w:space="0" w:color="auto"/>
        <w:left w:val="none" w:sz="0" w:space="0" w:color="auto"/>
        <w:bottom w:val="none" w:sz="0" w:space="0" w:color="auto"/>
        <w:right w:val="none" w:sz="0" w:space="0" w:color="auto"/>
      </w:divBdr>
    </w:div>
    <w:div w:id="636223771">
      <w:bodyDiv w:val="1"/>
      <w:marLeft w:val="0"/>
      <w:marRight w:val="0"/>
      <w:marTop w:val="0"/>
      <w:marBottom w:val="0"/>
      <w:divBdr>
        <w:top w:val="none" w:sz="0" w:space="0" w:color="auto"/>
        <w:left w:val="none" w:sz="0" w:space="0" w:color="auto"/>
        <w:bottom w:val="none" w:sz="0" w:space="0" w:color="auto"/>
        <w:right w:val="none" w:sz="0" w:space="0" w:color="auto"/>
      </w:divBdr>
    </w:div>
    <w:div w:id="662272185">
      <w:bodyDiv w:val="1"/>
      <w:marLeft w:val="0"/>
      <w:marRight w:val="0"/>
      <w:marTop w:val="0"/>
      <w:marBottom w:val="0"/>
      <w:divBdr>
        <w:top w:val="none" w:sz="0" w:space="0" w:color="auto"/>
        <w:left w:val="none" w:sz="0" w:space="0" w:color="auto"/>
        <w:bottom w:val="none" w:sz="0" w:space="0" w:color="auto"/>
        <w:right w:val="none" w:sz="0" w:space="0" w:color="auto"/>
      </w:divBdr>
    </w:div>
    <w:div w:id="891769374">
      <w:bodyDiv w:val="1"/>
      <w:marLeft w:val="0"/>
      <w:marRight w:val="0"/>
      <w:marTop w:val="0"/>
      <w:marBottom w:val="0"/>
      <w:divBdr>
        <w:top w:val="none" w:sz="0" w:space="0" w:color="auto"/>
        <w:left w:val="none" w:sz="0" w:space="0" w:color="auto"/>
        <w:bottom w:val="none" w:sz="0" w:space="0" w:color="auto"/>
        <w:right w:val="none" w:sz="0" w:space="0" w:color="auto"/>
      </w:divBdr>
    </w:div>
    <w:div w:id="1088037913">
      <w:bodyDiv w:val="1"/>
      <w:marLeft w:val="0"/>
      <w:marRight w:val="0"/>
      <w:marTop w:val="0"/>
      <w:marBottom w:val="0"/>
      <w:divBdr>
        <w:top w:val="none" w:sz="0" w:space="0" w:color="auto"/>
        <w:left w:val="none" w:sz="0" w:space="0" w:color="auto"/>
        <w:bottom w:val="none" w:sz="0" w:space="0" w:color="auto"/>
        <w:right w:val="none" w:sz="0" w:space="0" w:color="auto"/>
      </w:divBdr>
    </w:div>
    <w:div w:id="1116365816">
      <w:bodyDiv w:val="1"/>
      <w:marLeft w:val="0"/>
      <w:marRight w:val="0"/>
      <w:marTop w:val="0"/>
      <w:marBottom w:val="0"/>
      <w:divBdr>
        <w:top w:val="none" w:sz="0" w:space="0" w:color="auto"/>
        <w:left w:val="none" w:sz="0" w:space="0" w:color="auto"/>
        <w:bottom w:val="none" w:sz="0" w:space="0" w:color="auto"/>
        <w:right w:val="none" w:sz="0" w:space="0" w:color="auto"/>
      </w:divBdr>
    </w:div>
    <w:div w:id="1227181836">
      <w:bodyDiv w:val="1"/>
      <w:marLeft w:val="0"/>
      <w:marRight w:val="0"/>
      <w:marTop w:val="0"/>
      <w:marBottom w:val="0"/>
      <w:divBdr>
        <w:top w:val="none" w:sz="0" w:space="0" w:color="auto"/>
        <w:left w:val="none" w:sz="0" w:space="0" w:color="auto"/>
        <w:bottom w:val="none" w:sz="0" w:space="0" w:color="auto"/>
        <w:right w:val="none" w:sz="0" w:space="0" w:color="auto"/>
      </w:divBdr>
    </w:div>
    <w:div w:id="1328248028">
      <w:bodyDiv w:val="1"/>
      <w:marLeft w:val="0"/>
      <w:marRight w:val="0"/>
      <w:marTop w:val="0"/>
      <w:marBottom w:val="0"/>
      <w:divBdr>
        <w:top w:val="none" w:sz="0" w:space="0" w:color="auto"/>
        <w:left w:val="none" w:sz="0" w:space="0" w:color="auto"/>
        <w:bottom w:val="none" w:sz="0" w:space="0" w:color="auto"/>
        <w:right w:val="none" w:sz="0" w:space="0" w:color="auto"/>
      </w:divBdr>
    </w:div>
    <w:div w:id="1467357884">
      <w:bodyDiv w:val="1"/>
      <w:marLeft w:val="0"/>
      <w:marRight w:val="0"/>
      <w:marTop w:val="0"/>
      <w:marBottom w:val="0"/>
      <w:divBdr>
        <w:top w:val="none" w:sz="0" w:space="0" w:color="auto"/>
        <w:left w:val="none" w:sz="0" w:space="0" w:color="auto"/>
        <w:bottom w:val="none" w:sz="0" w:space="0" w:color="auto"/>
        <w:right w:val="none" w:sz="0" w:space="0" w:color="auto"/>
      </w:divBdr>
    </w:div>
    <w:div w:id="1507400912">
      <w:bodyDiv w:val="1"/>
      <w:marLeft w:val="0"/>
      <w:marRight w:val="0"/>
      <w:marTop w:val="0"/>
      <w:marBottom w:val="0"/>
      <w:divBdr>
        <w:top w:val="none" w:sz="0" w:space="0" w:color="auto"/>
        <w:left w:val="none" w:sz="0" w:space="0" w:color="auto"/>
        <w:bottom w:val="none" w:sz="0" w:space="0" w:color="auto"/>
        <w:right w:val="none" w:sz="0" w:space="0" w:color="auto"/>
      </w:divBdr>
    </w:div>
    <w:div w:id="1513567206">
      <w:bodyDiv w:val="1"/>
      <w:marLeft w:val="0"/>
      <w:marRight w:val="0"/>
      <w:marTop w:val="0"/>
      <w:marBottom w:val="0"/>
      <w:divBdr>
        <w:top w:val="none" w:sz="0" w:space="0" w:color="auto"/>
        <w:left w:val="none" w:sz="0" w:space="0" w:color="auto"/>
        <w:bottom w:val="none" w:sz="0" w:space="0" w:color="auto"/>
        <w:right w:val="none" w:sz="0" w:space="0" w:color="auto"/>
      </w:divBdr>
    </w:div>
    <w:div w:id="1528064534">
      <w:bodyDiv w:val="1"/>
      <w:marLeft w:val="0"/>
      <w:marRight w:val="0"/>
      <w:marTop w:val="0"/>
      <w:marBottom w:val="0"/>
      <w:divBdr>
        <w:top w:val="none" w:sz="0" w:space="0" w:color="auto"/>
        <w:left w:val="none" w:sz="0" w:space="0" w:color="auto"/>
        <w:bottom w:val="none" w:sz="0" w:space="0" w:color="auto"/>
        <w:right w:val="none" w:sz="0" w:space="0" w:color="auto"/>
      </w:divBdr>
    </w:div>
    <w:div w:id="1982418885">
      <w:bodyDiv w:val="1"/>
      <w:marLeft w:val="0"/>
      <w:marRight w:val="0"/>
      <w:marTop w:val="0"/>
      <w:marBottom w:val="0"/>
      <w:divBdr>
        <w:top w:val="none" w:sz="0" w:space="0" w:color="auto"/>
        <w:left w:val="none" w:sz="0" w:space="0" w:color="auto"/>
        <w:bottom w:val="none" w:sz="0" w:space="0" w:color="auto"/>
        <w:right w:val="none" w:sz="0" w:space="0" w:color="auto"/>
      </w:divBdr>
    </w:div>
    <w:div w:id="200431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nb.nl/voor-de-sector/open-boek-toezicht/sectoren/pensioenfondsen/verzamelpagina-transitie-wet-toekomst-pensioenen/besluitvorming-en-invaren/proces-behandeling-invaarmelding-door-dnb/" TargetMode="External"/><Relationship Id="rId2" Type="http://schemas.openxmlformats.org/officeDocument/2006/relationships/hyperlink" Target="https://www.dnb.nl/voor-de-sector/open-boek-toezicht/sectoren/pensioenfondsen/verzamelpagina-transitie-wet-toekomst-pensioenen/besluitvorming-en-invaren/factsheet-voorschriften-in-besluit-dnb-over-invaren/" TargetMode="External"/><Relationship Id="rId1" Type="http://schemas.openxmlformats.org/officeDocument/2006/relationships/hyperlink" Target="https://www.dnb.nl/voor-de-sector/open-boek-toezicht/sectoren/pensioenfondsen/verzamelpagina-transitie-wet-toekomst-pensioenen/besluitvorming-en-invaren/qa-redenen-voor-dnb-om-een-verbod-op-invaren-op-te-leg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ed6b73-a13f-4cca-b0d1-f1f31638eb40}" enabled="1" method="Standard" siteId="{9ecbd628-0072-405d-8567-32c6750b0d3e}" removed="0"/>
</clbl:labelList>
</file>

<file path=docProps/app.xml><?xml version="1.0" encoding="utf-8"?>
<ap:Properties xmlns:vt="http://schemas.openxmlformats.org/officeDocument/2006/docPropsVTypes" xmlns:ap="http://schemas.openxmlformats.org/officeDocument/2006/extended-properties">
  <ap:Pages>3</ap:Pages>
  <ap:Words>1776</ap:Words>
  <ap:Characters>9771</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2025-09-08T12:42:00.0000000Z</dcterms:created>
  <dcterms:modified xsi:type="dcterms:W3CDTF">2025-09-08T12:42:00.0000000Z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0x0101001A9AF98CE4D646E7BAD5E0A615FBC45700B254FF2429054763AE53C57F56CB119800BA06A47D9DCDDE46BAEA84DEA5E4C15A</vt:lpwstr>
  </property>
  <property fmtid="{D5CDD505-2E9C-101B-9397-08002B2CF9AE}" pid="3" name="DNB_Divisie">
    <vt:lpwstr>3;#Toezicht Beleid|fb8980bc-b51a-40b3-9009-74f01b5ae82c</vt:lpwstr>
  </property>
  <property fmtid="{D5CDD505-2E9C-101B-9397-08002B2CF9AE}" pid="4" name="_dlc_DocIdItemGuid">
    <vt:lpwstr>89af1cb6-f8b8-4173-ada5-e2eee9690d10</vt:lpwstr>
  </property>
  <property fmtid="{D5CDD505-2E9C-101B-9397-08002B2CF9AE}" pid="5" name="DNB_Afdeling">
    <vt:lpwstr>2;#Pensioenen ＆ Verzekeringen|21a75955-e093-4dce-9c31-e59acfc393c0</vt:lpwstr>
  </property>
  <property fmtid="{D5CDD505-2E9C-101B-9397-08002B2CF9AE}" pid="6" name="DNB_Status">
    <vt:lpwstr>4;#Lopend|9178452f-7c5d-4617-8a9d-cb6cbffbcbfc</vt:lpwstr>
  </property>
  <property fmtid="{D5CDD505-2E9C-101B-9397-08002B2CF9AE}" pid="7" name="DNB_Afdelingslabel">
    <vt:lpwstr>11;#Beleid|c1c441f8-b1f1-40e7-ad5a-4adcf98d6669</vt:lpwstr>
  </property>
</Properties>
</file>