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EC" w:rsidP="006057EF" w:rsidRDefault="00DA55EC" w14:paraId="71777FF3" w14:textId="2B671028">
      <w:bookmarkStart w:name="_GoBack" w:id="0"/>
      <w:bookmarkEnd w:id="0"/>
    </w:p>
    <w:p w:rsidR="00B53A42" w:rsidP="006057EF" w:rsidRDefault="00B53A42" w14:paraId="6E95DD76" w14:textId="77777777"/>
    <w:p w:rsidR="00DA55EC" w:rsidP="006057EF" w:rsidRDefault="00DA55EC" w14:paraId="664D4E41" w14:textId="77777777">
      <w:r w:rsidRPr="00DA55EC">
        <w:t xml:space="preserve">Geachte voorzitter, </w:t>
      </w:r>
    </w:p>
    <w:p w:rsidR="00DA55EC" w:rsidP="006057EF" w:rsidRDefault="00DA55EC" w14:paraId="339EAF90" w14:textId="77777777"/>
    <w:p w:rsidR="001B21C5" w:rsidP="006057EF" w:rsidRDefault="001A617E" w14:paraId="48BAD3AB" w14:textId="1747CE2F">
      <w:bookmarkStart w:name="_Hlk206671958" w:id="1"/>
      <w:r w:rsidRPr="001A617E">
        <w:t xml:space="preserve">Met deze brief wordt invulling gegeven aan een aantal </w:t>
      </w:r>
      <w:r w:rsidR="00A23729">
        <w:t xml:space="preserve">moties en </w:t>
      </w:r>
      <w:r w:rsidRPr="001A617E">
        <w:t>toezeggingen op het gebied van duurzaam vervoer</w:t>
      </w:r>
      <w:r w:rsidR="00B92B69">
        <w:t xml:space="preserve"> en worden</w:t>
      </w:r>
      <w:r w:rsidR="00A23729">
        <w:t xml:space="preserve"> </w:t>
      </w:r>
      <w:r w:rsidR="00155AEE">
        <w:t>bijbehorende</w:t>
      </w:r>
      <w:r w:rsidR="00922977">
        <w:t xml:space="preserve"> </w:t>
      </w:r>
      <w:r w:rsidRPr="001A617E">
        <w:t xml:space="preserve">rapporten en </w:t>
      </w:r>
      <w:r w:rsidR="00A23729">
        <w:t xml:space="preserve">voortgangsinformatie </w:t>
      </w:r>
      <w:r w:rsidRPr="001A617E">
        <w:t xml:space="preserve">gedeeld. </w:t>
      </w:r>
      <w:r w:rsidR="001B21C5">
        <w:t>Deze brief gaat specifiek in op:</w:t>
      </w:r>
    </w:p>
    <w:p w:rsidR="001B21C5" w:rsidP="006057EF" w:rsidRDefault="001B21C5" w14:paraId="7D32253C" w14:textId="77777777"/>
    <w:p w:rsidR="001B21C5" w:rsidP="002320D1" w:rsidRDefault="001B21C5" w14:paraId="39FD7AB9" w14:textId="284B202E">
      <w:pPr>
        <w:spacing w:line="240" w:lineRule="exact"/>
      </w:pPr>
      <w:r>
        <w:t>Moties:</w:t>
      </w:r>
    </w:p>
    <w:p w:rsidRPr="005449FD" w:rsidR="005449FD" w:rsidP="005449FD" w:rsidRDefault="005449FD" w14:paraId="41FD185A" w14:textId="291E4846">
      <w:pPr>
        <w:pStyle w:val="ListParagraph"/>
        <w:numPr>
          <w:ilvl w:val="0"/>
          <w:numId w:val="31"/>
        </w:numPr>
      </w:pPr>
      <w:r>
        <w:t xml:space="preserve">De aangenomen motie van </w:t>
      </w:r>
      <w:r w:rsidRPr="00EC350B">
        <w:t>De Hoop (GL-PvdA)/Bamenga (D66)</w:t>
      </w:r>
      <w:r w:rsidRPr="001A617E" w:rsidR="00B34329">
        <w:rPr>
          <w:vertAlign w:val="superscript"/>
        </w:rPr>
        <w:footnoteReference w:id="1"/>
      </w:r>
      <w:r w:rsidRPr="005449FD">
        <w:t xml:space="preserve"> </w:t>
      </w:r>
      <w:r>
        <w:t xml:space="preserve">waarin de regering wordt verzocht </w:t>
      </w:r>
      <w:r w:rsidRPr="005449FD">
        <w:t xml:space="preserve">om aandacht te houden voor de handhaving van de kwaliteit van benzine en diesel bestemd voor export naar lage- en middeninkomenslanden buiten de EU. </w:t>
      </w:r>
    </w:p>
    <w:p w:rsidR="001B21C5" w:rsidP="001B21C5" w:rsidRDefault="005449FD" w14:paraId="3C81A8AD" w14:textId="104254C1">
      <w:pPr>
        <w:pStyle w:val="ListParagraph"/>
        <w:numPr>
          <w:ilvl w:val="0"/>
          <w:numId w:val="28"/>
        </w:numPr>
        <w:spacing w:line="240" w:lineRule="exact"/>
      </w:pPr>
      <w:r>
        <w:t xml:space="preserve">De aangenomen motie van </w:t>
      </w:r>
      <w:r w:rsidRPr="005C774F">
        <w:t>Krul (</w:t>
      </w:r>
      <w:r w:rsidRPr="005C774F" w:rsidR="00B34329">
        <w:t>CDA</w:t>
      </w:r>
      <w:r w:rsidRPr="005C774F">
        <w:t>)</w:t>
      </w:r>
      <w:r w:rsidRPr="00B34329" w:rsidR="00B34329">
        <w:rPr>
          <w:vertAlign w:val="superscript"/>
        </w:rPr>
        <w:footnoteReference w:id="2"/>
      </w:r>
      <w:r w:rsidRPr="00B34329">
        <w:t xml:space="preserve"> </w:t>
      </w:r>
      <w:r>
        <w:t xml:space="preserve">over het onderzoeken van </w:t>
      </w:r>
      <w:r w:rsidR="00921C5E">
        <w:t xml:space="preserve">het effect van </w:t>
      </w:r>
      <w:r w:rsidR="001B21C5">
        <w:t xml:space="preserve">de opkomst van </w:t>
      </w:r>
      <w:r w:rsidRPr="00EB54BF" w:rsidR="001B21C5">
        <w:t>de elektrische fiets op het fietslandschap</w:t>
      </w:r>
      <w:r w:rsidR="00DE60DC">
        <w:t>;</w:t>
      </w:r>
    </w:p>
    <w:p w:rsidR="00063A46" w:rsidP="00063A46" w:rsidRDefault="00063A46" w14:paraId="60FB85F7" w14:textId="77777777">
      <w:r>
        <w:t>Toezeggingen:</w:t>
      </w:r>
    </w:p>
    <w:p w:rsidR="00063A46" w:rsidP="00063A46" w:rsidRDefault="002320D1" w14:paraId="2C4F3AEF" w14:textId="75251370">
      <w:pPr>
        <w:pStyle w:val="ListParagraph"/>
        <w:numPr>
          <w:ilvl w:val="0"/>
          <w:numId w:val="28"/>
        </w:numPr>
        <w:spacing w:line="240" w:lineRule="exact"/>
      </w:pPr>
      <w:r>
        <w:t>B</w:t>
      </w:r>
      <w:r w:rsidR="00063A46">
        <w:t>eschikbaarheid EU-fondsen voor fietsinfrastructuur;</w:t>
      </w:r>
    </w:p>
    <w:p w:rsidR="00063A46" w:rsidP="002320D1" w:rsidRDefault="002320D1" w14:paraId="7694B35E" w14:textId="644CCCBF">
      <w:pPr>
        <w:pStyle w:val="ListParagraph"/>
        <w:numPr>
          <w:ilvl w:val="0"/>
          <w:numId w:val="28"/>
        </w:numPr>
        <w:spacing w:line="240" w:lineRule="exact"/>
      </w:pPr>
      <w:r>
        <w:t>S</w:t>
      </w:r>
      <w:r w:rsidR="00063A46">
        <w:t>loopregeling oude auto’s;</w:t>
      </w:r>
    </w:p>
    <w:p w:rsidR="00063A46" w:rsidP="00063A46" w:rsidRDefault="002320D1" w14:paraId="41B22777" w14:textId="4010376F">
      <w:pPr>
        <w:pStyle w:val="ListParagraph"/>
        <w:numPr>
          <w:ilvl w:val="0"/>
          <w:numId w:val="28"/>
        </w:numPr>
        <w:spacing w:line="240" w:lineRule="exact"/>
      </w:pPr>
      <w:r>
        <w:t>E</w:t>
      </w:r>
      <w:r w:rsidR="00063A46">
        <w:t>valuatie handvatten gebruik van de motor in woon-werkverkeer;</w:t>
      </w:r>
    </w:p>
    <w:p w:rsidR="00063A46" w:rsidP="00220B87" w:rsidRDefault="002320D1" w14:paraId="187EF962" w14:textId="787AFA4B">
      <w:pPr>
        <w:pStyle w:val="ListParagraph"/>
        <w:numPr>
          <w:ilvl w:val="0"/>
          <w:numId w:val="28"/>
        </w:numPr>
        <w:spacing w:line="240" w:lineRule="exact"/>
      </w:pPr>
      <w:r>
        <w:t>V</w:t>
      </w:r>
      <w:r w:rsidRPr="00CD1AB6" w:rsidR="00063A46">
        <w:t>ervolgonderzoek controle inzet en emissies mobiele werktuigen</w:t>
      </w:r>
      <w:r w:rsidR="00063A46">
        <w:t>;</w:t>
      </w:r>
    </w:p>
    <w:p w:rsidR="001B21C5" w:rsidP="002320D1" w:rsidRDefault="001B21C5" w14:paraId="095A7B76" w14:textId="0B2D4282">
      <w:pPr>
        <w:spacing w:line="240" w:lineRule="exact"/>
      </w:pPr>
      <w:r>
        <w:t>Beleidsontwikkelingen:</w:t>
      </w:r>
    </w:p>
    <w:p w:rsidR="001B21C5" w:rsidP="001B21C5" w:rsidRDefault="008161EF" w14:paraId="4CDAA315" w14:textId="24B85727">
      <w:pPr>
        <w:pStyle w:val="ListParagraph"/>
        <w:numPr>
          <w:ilvl w:val="0"/>
          <w:numId w:val="28"/>
        </w:numPr>
        <w:spacing w:line="240" w:lineRule="exact"/>
      </w:pPr>
      <w:r w:rsidRPr="008161EF">
        <w:t>Emissies en marktverkenning van geconditioneerd vervoer</w:t>
      </w:r>
      <w:r w:rsidR="001B21C5">
        <w:t>;</w:t>
      </w:r>
    </w:p>
    <w:p w:rsidR="001B21C5" w:rsidP="001B21C5" w:rsidRDefault="002320D1" w14:paraId="7AAF3F3B" w14:textId="14D1F6CE">
      <w:pPr>
        <w:pStyle w:val="ListParagraph"/>
        <w:numPr>
          <w:ilvl w:val="0"/>
          <w:numId w:val="28"/>
        </w:numPr>
        <w:spacing w:line="240" w:lineRule="exact"/>
      </w:pPr>
      <w:r>
        <w:t>O</w:t>
      </w:r>
      <w:r w:rsidRPr="00506B35" w:rsidR="001B21C5">
        <w:t xml:space="preserve">nderzoek </w:t>
      </w:r>
      <w:r>
        <w:t xml:space="preserve">gevolgen </w:t>
      </w:r>
      <w:r w:rsidRPr="00506B35" w:rsidR="001B21C5">
        <w:t>ETS2 op leveringsconstructies brandstoffen</w:t>
      </w:r>
      <w:r w:rsidR="001B21C5">
        <w:t>;</w:t>
      </w:r>
    </w:p>
    <w:p w:rsidR="001B21C5" w:rsidP="001B21C5" w:rsidRDefault="002320D1" w14:paraId="3019BC23" w14:textId="1A8A1D21">
      <w:pPr>
        <w:pStyle w:val="ListParagraph"/>
        <w:numPr>
          <w:ilvl w:val="0"/>
          <w:numId w:val="28"/>
        </w:numPr>
        <w:spacing w:line="240" w:lineRule="exact"/>
      </w:pPr>
      <w:r>
        <w:t>O</w:t>
      </w:r>
      <w:r w:rsidRPr="00DA3F22" w:rsidR="001B21C5">
        <w:t>nderzoek marktverstorings- en frauderisico’s bij biobrandstofproductie</w:t>
      </w:r>
      <w:r w:rsidR="001B21C5">
        <w:t>;</w:t>
      </w:r>
    </w:p>
    <w:p w:rsidR="001B21C5" w:rsidP="001B21C5" w:rsidRDefault="009B7732" w14:paraId="66534E60" w14:textId="4EF42BE3">
      <w:pPr>
        <w:pStyle w:val="ListParagraph"/>
        <w:numPr>
          <w:ilvl w:val="0"/>
          <w:numId w:val="28"/>
        </w:numPr>
        <w:spacing w:line="240" w:lineRule="exact"/>
      </w:pPr>
      <w:r>
        <w:t>R</w:t>
      </w:r>
      <w:r w:rsidR="001B21C5">
        <w:t>esultaten Regeling bevordering schone wegvoertuigen 2024;</w:t>
      </w:r>
    </w:p>
    <w:p w:rsidR="001B21C5" w:rsidP="001B21C5" w:rsidRDefault="009B7732" w14:paraId="24F2938A" w14:textId="496AA9C5">
      <w:pPr>
        <w:pStyle w:val="ListParagraph"/>
        <w:numPr>
          <w:ilvl w:val="0"/>
          <w:numId w:val="28"/>
        </w:numPr>
        <w:spacing w:line="240" w:lineRule="exact"/>
      </w:pPr>
      <w:r>
        <w:t>Uniform v</w:t>
      </w:r>
      <w:r w:rsidR="001B21C5">
        <w:t>erkeersbord zero-emissiezones.</w:t>
      </w:r>
    </w:p>
    <w:bookmarkEnd w:id="1"/>
    <w:p w:rsidR="00DA55EC" w:rsidP="006057EF" w:rsidRDefault="00DA55EC" w14:paraId="35064360" w14:textId="3F8C3954"/>
    <w:p w:rsidR="00B53A42" w:rsidP="006057EF" w:rsidRDefault="00B53A42" w14:paraId="19603BD0" w14:textId="77777777"/>
    <w:p w:rsidR="00220B87" w:rsidP="00220B87" w:rsidRDefault="00220B87" w14:paraId="1A380F14" w14:textId="77777777">
      <w:pPr>
        <w:rPr>
          <w:b/>
          <w:bCs/>
        </w:rPr>
      </w:pPr>
      <w:r w:rsidRPr="00817EBC">
        <w:rPr>
          <w:b/>
          <w:bCs/>
        </w:rPr>
        <w:t>Moties</w:t>
      </w:r>
    </w:p>
    <w:p w:rsidRPr="005449FD" w:rsidR="00B53A42" w:rsidP="00B53A42" w:rsidRDefault="005449FD" w14:paraId="7FA62BAE" w14:textId="61E12E5E">
      <w:pPr>
        <w:spacing w:line="240" w:lineRule="exact"/>
        <w:rPr>
          <w:u w:val="single"/>
        </w:rPr>
      </w:pPr>
      <w:r w:rsidRPr="005449FD">
        <w:rPr>
          <w:u w:val="single"/>
        </w:rPr>
        <w:t>Motie De Hoop (GL-PvdA)/Bamenga (D66)</w:t>
      </w:r>
      <w:r>
        <w:rPr>
          <w:u w:val="single"/>
        </w:rPr>
        <w:t>: e</w:t>
      </w:r>
      <w:r w:rsidRPr="005449FD">
        <w:rPr>
          <w:u w:val="single"/>
        </w:rPr>
        <w:t>xport laagwaardige brandstoffen</w:t>
      </w:r>
    </w:p>
    <w:p w:rsidR="00B53A42" w:rsidP="00B53A42" w:rsidRDefault="00B53A42" w14:paraId="51D6A387" w14:textId="76099FE1">
      <w:pPr>
        <w:spacing w:line="240" w:lineRule="exact"/>
      </w:pPr>
      <w:r>
        <w:t xml:space="preserve">De motie </w:t>
      </w:r>
      <w:bookmarkStart w:name="_Hlk207015822" w:id="2"/>
      <w:r>
        <w:t xml:space="preserve">De Hoop/Bamenga </w:t>
      </w:r>
      <w:bookmarkEnd w:id="2"/>
      <w:r>
        <w:t>betreft een evaluatie van de</w:t>
      </w:r>
      <w:r w:rsidRPr="00327197">
        <w:t xml:space="preserve"> beleidsregel</w:t>
      </w:r>
      <w:r>
        <w:t xml:space="preserve"> </w:t>
      </w:r>
      <w:r w:rsidRPr="00327197">
        <w:t xml:space="preserve">voor handhaving van de kwaliteit van benzine en diesel bestemd voor export naar lage- en middeninkomenslanden buiten de EU. </w:t>
      </w:r>
      <w:r>
        <w:t>De motie verzoekt om</w:t>
      </w:r>
      <w:r w:rsidRPr="007E0C6A">
        <w:t xml:space="preserve"> aandacht </w:t>
      </w:r>
      <w:r>
        <w:t xml:space="preserve">hiervoor </w:t>
      </w:r>
      <w:r w:rsidRPr="007E0C6A">
        <w:t xml:space="preserve">te houden en te sanctioneren; </w:t>
      </w:r>
      <w:r>
        <w:t xml:space="preserve">afspraken met </w:t>
      </w:r>
      <w:r w:rsidRPr="007E0C6A">
        <w:t xml:space="preserve">andere landen te maken </w:t>
      </w:r>
      <w:r>
        <w:t xml:space="preserve">om </w:t>
      </w:r>
      <w:r w:rsidRPr="007E0C6A">
        <w:t xml:space="preserve">handel </w:t>
      </w:r>
      <w:r w:rsidRPr="007E0C6A">
        <w:lastRenderedPageBreak/>
        <w:t>in giftige brandstoffen tegen</w:t>
      </w:r>
      <w:r>
        <w:t xml:space="preserve"> te </w:t>
      </w:r>
      <w:r w:rsidRPr="007E0C6A">
        <w:t xml:space="preserve">gaan; </w:t>
      </w:r>
      <w:r>
        <w:t xml:space="preserve">en om </w:t>
      </w:r>
      <w:r w:rsidRPr="007E0C6A">
        <w:t>met andere landen in overleg te treden over de uitwisseling van gegevens van</w:t>
      </w:r>
      <w:r>
        <w:t xml:space="preserve"> overtredende</w:t>
      </w:r>
      <w:r w:rsidRPr="007E0C6A">
        <w:t xml:space="preserve"> bedrijven</w:t>
      </w:r>
      <w:r>
        <w:t xml:space="preserve">. </w:t>
      </w:r>
    </w:p>
    <w:p w:rsidR="00B53A42" w:rsidP="005449FD" w:rsidRDefault="00B53A42" w14:paraId="77ACA9A2" w14:textId="77777777">
      <w:pPr>
        <w:spacing w:line="240" w:lineRule="exact"/>
      </w:pPr>
    </w:p>
    <w:p w:rsidR="00220B87" w:rsidP="00220B87" w:rsidRDefault="00220B87" w14:paraId="7308A606" w14:textId="1C5502A3">
      <w:pPr>
        <w:pStyle w:val="WitregelW1bodytekst"/>
      </w:pPr>
      <w:r w:rsidRPr="001A617E">
        <w:t>De Inspectie Leefomgeving en Transport (ILT) ontdekte in 2018 dat vanuit Nederland autobrandstoffen naar West-Afrika geëxporteerd worden die schadelijk zijn voor mens en milieu. In reactie hierop heeft de ILT in augustus 2022 een beleidsregel gepubliceerd voor de handhaving van de kwaliteit van benzine en diesel bestemd voor export naar lage- en middeninkomenslanden buiten de EU.</w:t>
      </w:r>
      <w:r w:rsidR="009B7732">
        <w:rPr>
          <w:rStyle w:val="FootnoteReference"/>
        </w:rPr>
        <w:footnoteReference w:id="3"/>
      </w:r>
      <w:r w:rsidRPr="001A617E">
        <w:t xml:space="preserve"> De beleidsregel geeft invulling aan de zorgplicht uit de Wet milieubeheer door ook </w:t>
      </w:r>
      <w:r w:rsidR="00707C43">
        <w:t>aan</w:t>
      </w:r>
      <w:r w:rsidRPr="001A617E" w:rsidR="00707C43">
        <w:t xml:space="preserve"> </w:t>
      </w:r>
      <w:r w:rsidRPr="001A617E">
        <w:t>geëxporteerde brandstoffen grenswaarden te stellen aan zwavel, benzeen en mangaan, zodat de sector hierop aanspreekbaar is. In de beleidsregel staat dat de ILT deze na twee jaar evalueert. De resultaten van deze evaluatie worden gedeeld</w:t>
      </w:r>
      <w:r w:rsidR="006603E7">
        <w:t xml:space="preserve"> in bijlage 1 van deze brief</w:t>
      </w:r>
      <w:r w:rsidRPr="001A617E">
        <w:t xml:space="preserve">. </w:t>
      </w:r>
      <w:r w:rsidRPr="001A617E">
        <w:br/>
      </w:r>
    </w:p>
    <w:p w:rsidR="00220B87" w:rsidP="00220B87" w:rsidRDefault="00220B87" w14:paraId="2DD61DC1" w14:textId="77777777">
      <w:pPr>
        <w:pStyle w:val="WitregelW1bodytekst"/>
      </w:pPr>
      <w:r w:rsidRPr="001A617E">
        <w:t xml:space="preserve">De ILT constateert in de evaluatie dat de kwaliteit van brandstof die geëxporteerd wordt naar West-Afrika aanzienlijk is verbeterd sinds de invoering van de beleidsregel. Dat is positief voor de importerende landen. Deze landen waarderen de inzet van de Nederlandse overheid op dit dossier. Zorgen blijven er ook. De ILT ziet dat het maximale mangaangehalte wordt omzeild door het gebruik van andere schadelijke additieven die niet expliciet begrensd zijn. Daarnaast constateert de ILT in enkele gevallen een waterbedeffect waarbij benzine als halffabricaat wordt uitgevoerd uit Nederland zodat schadelijke stoffen later en buiten Nederland alsnog kunnen worden toegevoegd. </w:t>
      </w:r>
      <w:r w:rsidRPr="001A617E">
        <w:br/>
      </w:r>
    </w:p>
    <w:p w:rsidR="00220B87" w:rsidP="00220B87" w:rsidRDefault="00220B87" w14:paraId="0A404C69" w14:textId="5CDBD99F">
      <w:pPr>
        <w:pStyle w:val="WitregelW1bodytekst"/>
      </w:pPr>
      <w:r w:rsidRPr="00CB6D0D">
        <w:t>De evaluatie wordt meegenomen in de voorbereiding van wetgeving, waarin wordt verkend hoe de kwaliteitseisen uit de beleidsregel kunnen worden omgezet in een Algemene Maatregel van Bestuur. Deze voorbereiding is gestart om te voldoen aan de afspraken in de Benelux-aanbeveling.</w:t>
      </w:r>
      <w:r w:rsidR="005E51C4">
        <w:rPr>
          <w:rStyle w:val="FootnoteReference"/>
        </w:rPr>
        <w:footnoteReference w:id="4"/>
      </w:r>
      <w:r w:rsidRPr="00CB6D0D">
        <w:t xml:space="preserve"> In deze aanbeveling is vastgelegd dat de Benelux-landen uiterlijk per 1 januari 2027 hun nationale wetgeving op elkaar afstemmen om zo de export van schonere brandstoffen naar derde landen te bevorderen</w:t>
      </w:r>
      <w:r w:rsidRPr="00327197">
        <w:rPr>
          <w:i/>
          <w:iCs/>
        </w:rPr>
        <w:t xml:space="preserve">. </w:t>
      </w:r>
      <w:r w:rsidRPr="001A617E">
        <w:t xml:space="preserve">Daarmee ontstaat er een </w:t>
      </w:r>
      <w:r>
        <w:t>brede</w:t>
      </w:r>
      <w:r w:rsidRPr="001A617E">
        <w:t xml:space="preserve">r wettelijke basis om overtredingen aan te pakken. Dit is in lijn met de </w:t>
      </w:r>
      <w:r w:rsidR="003F16EF">
        <w:t xml:space="preserve">aangenomen </w:t>
      </w:r>
      <w:r w:rsidRPr="001A617E">
        <w:t xml:space="preserve">motie </w:t>
      </w:r>
      <w:r w:rsidRPr="00D709CB" w:rsidR="00B3710B">
        <w:t>Export laagwaardige brandstoffen</w:t>
      </w:r>
      <w:r w:rsidRPr="001A617E" w:rsidR="00B3710B">
        <w:t xml:space="preserve"> </w:t>
      </w:r>
      <w:r w:rsidRPr="001A617E">
        <w:t xml:space="preserve">van de leden De Hoop (PvdA-GL)/Bamenga (D66) tijdens het tweeminutendebat Duurzaam Vervoer </w:t>
      </w:r>
      <w:r w:rsidR="005F4068">
        <w:t>op</w:t>
      </w:r>
      <w:r w:rsidRPr="001A617E">
        <w:t xml:space="preserve"> 8 februari 2024. In deze motie wordt het kabinet opgeroepen om blijvend aandacht te houden voor de handhaving en stevig te sanctioneren als er overtredingen zijn. </w:t>
      </w:r>
      <w:r w:rsidRPr="001A617E" w:rsidR="00707C43">
        <w:t xml:space="preserve">De motie roept de regering ook op om met zo veel mogelijk andere brandstof exporterende of verhandelende landen afspraken te maken om de handel in giftige brandstoffen tegen te gaan. Ook wordt aangedrongen om met andere landen in overleg te gaan over de uitwisseling van gegevens van bedrijven die betrapt zijn </w:t>
      </w:r>
      <w:r w:rsidR="00707C43">
        <w:t>op</w:t>
      </w:r>
      <w:r w:rsidRPr="001A617E" w:rsidR="00707C43">
        <w:t xml:space="preserve"> het schenden van de regels, zodat de handhaving en opsporing internationaal effectief wordt.</w:t>
      </w:r>
      <w:r w:rsidRPr="001A617E" w:rsidDel="005E51C4" w:rsidR="005E51C4">
        <w:rPr>
          <w:vertAlign w:val="superscript"/>
        </w:rPr>
        <w:t xml:space="preserve"> </w:t>
      </w:r>
      <w:r w:rsidRPr="001A617E">
        <w:br/>
      </w:r>
    </w:p>
    <w:p w:rsidRPr="00181226" w:rsidR="00220B87" w:rsidP="00220B87" w:rsidRDefault="00220B87" w14:paraId="5FBFFCB5" w14:textId="2ED8D833">
      <w:pPr>
        <w:pStyle w:val="WitregelW1bodytekst"/>
      </w:pPr>
      <w:r w:rsidRPr="001A617E">
        <w:t xml:space="preserve">Er wordt momenteel op </w:t>
      </w:r>
      <w:r w:rsidR="00F50E1A">
        <w:t>verschillende</w:t>
      </w:r>
      <w:r w:rsidRPr="001A617E" w:rsidR="00F50E1A">
        <w:t xml:space="preserve"> </w:t>
      </w:r>
      <w:r w:rsidRPr="001A617E">
        <w:t xml:space="preserve">manieren invulling gegeven aan deze motie. Zo zet Nederland zich in om internationale afspraken te maken over effectieve handhaving tegen de handel in laagwaardige brandstoffen. Op 18 november 2024 ondertekenden Nederland, België en Luxemburg een Benelux-aanbeveling om samen te werken en milieueisen en handhaving </w:t>
      </w:r>
      <w:r w:rsidR="00F50E1A">
        <w:t>bij elkaar te laten passen</w:t>
      </w:r>
      <w:r w:rsidRPr="001A617E">
        <w:t>. Tijdens de Energieraad van 16 december 2024 riepen de drie landen op tot Europese afstemming in beleid en gezamenlijke controle. De Europese Commissie erkende het probleem en gaf aan mogelijkheden te verkennen. Nederland zet zich daarnaast in om andere belangrijke exporterende landen zoals Noorwegen, Zwitserland en het Verenigd Koninkrijk te overtuigen om vergelijkbare afspraken te maken over de kwaliteit en controle van geëxporteerde brandstoffen.</w:t>
      </w:r>
    </w:p>
    <w:p w:rsidR="00220B87" w:rsidP="00220B87" w:rsidRDefault="00220B87" w14:paraId="634E9E2B" w14:textId="77777777">
      <w:pPr>
        <w:pStyle w:val="WitregelW1bodytekst"/>
        <w:rPr>
          <w:b/>
          <w:bCs/>
        </w:rPr>
      </w:pPr>
    </w:p>
    <w:p w:rsidRPr="00466BCD" w:rsidR="00220B87" w:rsidP="00220B87" w:rsidRDefault="005449FD" w14:paraId="5A16BF78" w14:textId="6237FE8A">
      <w:pPr>
        <w:rPr>
          <w:u w:val="single"/>
        </w:rPr>
      </w:pPr>
      <w:r>
        <w:rPr>
          <w:u w:val="single"/>
        </w:rPr>
        <w:t>Motie Krul: i</w:t>
      </w:r>
      <w:r w:rsidRPr="00466BCD" w:rsidR="00220B87">
        <w:rPr>
          <w:u w:val="single"/>
        </w:rPr>
        <w:t>nvloed van de opkomst van de elektrische fiets op het fietslandschap</w:t>
      </w:r>
    </w:p>
    <w:p w:rsidR="002663A1" w:rsidP="00220B87" w:rsidRDefault="00220B87" w14:paraId="7610A6E3" w14:textId="0BA3CFB9">
      <w:r w:rsidRPr="00EB54BF">
        <w:t xml:space="preserve">Ter invulling van de </w:t>
      </w:r>
      <w:r w:rsidR="005E51C4">
        <w:t>m</w:t>
      </w:r>
      <w:r w:rsidRPr="00EB54BF">
        <w:t xml:space="preserve">otie Krul </w:t>
      </w:r>
      <w:r>
        <w:t>is een onderzoek uitgevoerd</w:t>
      </w:r>
      <w:r w:rsidRPr="00EB54BF">
        <w:t xml:space="preserve"> naar de invloed van de opkomst van de elektrische fiets op het fietslandschap en de opgaven die dit met zich meebrengt.</w:t>
      </w:r>
      <w:r>
        <w:t xml:space="preserve"> </w:t>
      </w:r>
      <w:r w:rsidR="00707C43">
        <w:t xml:space="preserve">Dit onderzoek is bijgevoegd in bijlage </w:t>
      </w:r>
      <w:r w:rsidR="005E51C4">
        <w:t>2</w:t>
      </w:r>
      <w:r w:rsidR="00707C43">
        <w:t xml:space="preserve">. </w:t>
      </w:r>
      <w:r>
        <w:t>Het onderzoek laat zien dat het gebruik van de elektrische fiets</w:t>
      </w:r>
      <w:r w:rsidR="0085512D">
        <w:t xml:space="preserve"> (waaronder de fatbike)</w:t>
      </w:r>
      <w:r>
        <w:t xml:space="preserve"> snel groeit en er een verbreding plaatsvindt in zowel gebruikers als </w:t>
      </w:r>
      <w:r w:rsidR="00F50E1A">
        <w:t>redenen voor gebruik</w:t>
      </w:r>
      <w:r>
        <w:t xml:space="preserve">. </w:t>
      </w:r>
      <w:r w:rsidRPr="00EB54BF">
        <w:t>Er is een sterke toename van elektrische fietsgebruik onder jongeren en jongvolwassenen</w:t>
      </w:r>
      <w:r>
        <w:t xml:space="preserve">. De verwachting is dat de opkomst van de elektrische fiets de komende jaren zal doorzetten. In 2029 zullen er naar verwachting evenveel kilometers afgelegd worden op de elektrische fiets als op de gewone fiets. Mensen maken op </w:t>
      </w:r>
      <w:r w:rsidRPr="00EB54BF">
        <w:t>elektrische fiets</w:t>
      </w:r>
      <w:r>
        <w:t>en langere ritten en fietsen</w:t>
      </w:r>
      <w:r w:rsidRPr="00BA03A7" w:rsidDel="00CF1865">
        <w:t xml:space="preserve"> </w:t>
      </w:r>
      <w:r>
        <w:t xml:space="preserve">vaker. </w:t>
      </w:r>
    </w:p>
    <w:p w:rsidR="005E51C4" w:rsidP="00220B87" w:rsidRDefault="00220B87" w14:paraId="1AB1CB2A" w14:textId="623DD456">
      <w:r>
        <w:br/>
        <w:t xml:space="preserve">De opkomst van de </w:t>
      </w:r>
      <w:r w:rsidRPr="00EB54BF">
        <w:t>elektrische fiets</w:t>
      </w:r>
      <w:r w:rsidDel="005C35B0">
        <w:t xml:space="preserve"> </w:t>
      </w:r>
      <w:r>
        <w:t xml:space="preserve">heeft </w:t>
      </w:r>
      <w:r w:rsidR="002A5C0B">
        <w:t xml:space="preserve">een aantal </w:t>
      </w:r>
      <w:r>
        <w:t>positieve gevolgen</w:t>
      </w:r>
      <w:r w:rsidR="002A5C0B">
        <w:t>:</w:t>
      </w:r>
      <w:r>
        <w:t xml:space="preserve"> </w:t>
      </w:r>
    </w:p>
    <w:p w:rsidR="005E51C4" w:rsidP="005E51C4" w:rsidRDefault="00220B87" w14:paraId="0329831A" w14:textId="77777777">
      <w:pPr>
        <w:pStyle w:val="ListParagraph"/>
        <w:numPr>
          <w:ilvl w:val="0"/>
          <w:numId w:val="29"/>
        </w:numPr>
      </w:pPr>
      <w:r>
        <w:t>Het</w:t>
      </w:r>
      <w:r w:rsidRPr="000B6F78">
        <w:t xml:space="preserve"> verbetert de bereikbaarheid</w:t>
      </w:r>
      <w:r>
        <w:t xml:space="preserve"> van verschillende voorzieningen</w:t>
      </w:r>
      <w:r w:rsidRPr="000B6F78">
        <w:t xml:space="preserve">. In </w:t>
      </w:r>
      <w:r>
        <w:t xml:space="preserve">gebieden waar </w:t>
      </w:r>
      <w:r w:rsidRPr="000B6F78">
        <w:t>het voorzieningenniveau af</w:t>
      </w:r>
      <w:r>
        <w:t>neemt compenseert d</w:t>
      </w:r>
      <w:r w:rsidRPr="000B6F78">
        <w:t>e groei van het gebruik van de elektrische fiets</w:t>
      </w:r>
      <w:r>
        <w:t xml:space="preserve"> d</w:t>
      </w:r>
      <w:r w:rsidRPr="000B6F78">
        <w:t>eze trend deels.</w:t>
      </w:r>
      <w:r>
        <w:t xml:space="preserve"> </w:t>
      </w:r>
    </w:p>
    <w:p w:rsidR="005E51C4" w:rsidP="005E51C4" w:rsidRDefault="002A5C0B" w14:paraId="776E939B" w14:textId="74AB4C5A">
      <w:pPr>
        <w:pStyle w:val="ListParagraph"/>
        <w:numPr>
          <w:ilvl w:val="0"/>
          <w:numId w:val="29"/>
        </w:numPr>
      </w:pPr>
      <w:r>
        <w:t>M</w:t>
      </w:r>
      <w:r w:rsidR="00220B87">
        <w:t xml:space="preserve">ensen </w:t>
      </w:r>
      <w:r>
        <w:t>zijn voor woon-werkverke</w:t>
      </w:r>
      <w:r w:rsidRPr="00EB54BF">
        <w:t xml:space="preserve">er </w:t>
      </w:r>
      <w:r w:rsidR="00220B87">
        <w:t xml:space="preserve">bereid om </w:t>
      </w:r>
      <w:r>
        <w:t xml:space="preserve">gemiddeld </w:t>
      </w:r>
      <w:r w:rsidR="00220B87">
        <w:t xml:space="preserve">9,5 kilometer te fietsen met de elektrische fiets. Het is daarmee een alternatief voor de auto, al vervangt de </w:t>
      </w:r>
      <w:r w:rsidRPr="00EB54BF" w:rsidR="00220B87">
        <w:t>elektrische fiets</w:t>
      </w:r>
      <w:r w:rsidDel="005C35B0" w:rsidR="00220B87">
        <w:t xml:space="preserve"> </w:t>
      </w:r>
      <w:r w:rsidR="00220B87">
        <w:t xml:space="preserve">nog het vaakst de gewone fiets. </w:t>
      </w:r>
    </w:p>
    <w:p w:rsidR="005E51C4" w:rsidP="005E51C4" w:rsidRDefault="002A5C0B" w14:paraId="016B3BC5" w14:textId="534E4FEF">
      <w:pPr>
        <w:pStyle w:val="ListParagraph"/>
        <w:numPr>
          <w:ilvl w:val="0"/>
          <w:numId w:val="29"/>
        </w:numPr>
      </w:pPr>
      <w:r>
        <w:t>Het</w:t>
      </w:r>
      <w:r w:rsidR="00220B87">
        <w:t xml:space="preserve"> </w:t>
      </w:r>
      <w:r w:rsidRPr="00EB54BF" w:rsidR="00220B87">
        <w:t xml:space="preserve">bedieningsgebied van stations </w:t>
      </w:r>
      <w:r>
        <w:t xml:space="preserve">neemt </w:t>
      </w:r>
      <w:r w:rsidRPr="00EB54BF" w:rsidR="00220B87">
        <w:t>toe</w:t>
      </w:r>
      <w:r>
        <w:t xml:space="preserve">. Dit levert </w:t>
      </w:r>
      <w:r w:rsidR="00220B87">
        <w:t xml:space="preserve">nu al </w:t>
      </w:r>
      <w:r w:rsidRPr="00EB54BF" w:rsidR="00220B87">
        <w:t>een lichte toename van het treingebruik</w:t>
      </w:r>
      <w:r w:rsidR="00220B87">
        <w:t xml:space="preserve"> </w:t>
      </w:r>
      <w:r>
        <w:t>op</w:t>
      </w:r>
      <w:r w:rsidRPr="00EB54BF" w:rsidR="00220B87">
        <w:t>.</w:t>
      </w:r>
      <w:r w:rsidR="00220B87">
        <w:t xml:space="preserve"> </w:t>
      </w:r>
    </w:p>
    <w:p w:rsidR="005E51C4" w:rsidP="005E51C4" w:rsidRDefault="002A5C0B" w14:paraId="602CA5CF" w14:textId="603DC4A6">
      <w:pPr>
        <w:pStyle w:val="ListParagraph"/>
        <w:numPr>
          <w:ilvl w:val="0"/>
          <w:numId w:val="29"/>
        </w:numPr>
      </w:pPr>
      <w:r>
        <w:t>De</w:t>
      </w:r>
      <w:r w:rsidRPr="00EB54BF" w:rsidR="00220B87">
        <w:t xml:space="preserve"> </w:t>
      </w:r>
      <w:r w:rsidR="00220B87">
        <w:t>elektrische fiets</w:t>
      </w:r>
      <w:r w:rsidRPr="00EB54BF" w:rsidR="00220B87">
        <w:t xml:space="preserve"> </w:t>
      </w:r>
      <w:r>
        <w:t xml:space="preserve">zorgt </w:t>
      </w:r>
      <w:r w:rsidRPr="00EB54BF" w:rsidR="00220B87">
        <w:t xml:space="preserve">ervoor dat mensen </w:t>
      </w:r>
      <w:r w:rsidR="00220B87">
        <w:t>langer</w:t>
      </w:r>
      <w:r w:rsidRPr="00EB54BF" w:rsidR="00220B87">
        <w:t xml:space="preserve"> </w:t>
      </w:r>
      <w:r w:rsidR="00220B87">
        <w:t>in beweging blijven</w:t>
      </w:r>
      <w:r w:rsidRPr="00EB54BF" w:rsidR="00220B87">
        <w:t>. Een kwart van de elektrische fiets</w:t>
      </w:r>
      <w:r w:rsidRPr="00EB54BF" w:rsidDel="005C35B0" w:rsidR="00220B87">
        <w:t xml:space="preserve"> </w:t>
      </w:r>
      <w:r w:rsidRPr="00EB54BF" w:rsidR="00220B87">
        <w:t xml:space="preserve">gebruikers geeft aan dat zij door hun fysieke gezondheid nauwelijks in staat zijn met de gewone fiets te fietsen. </w:t>
      </w:r>
    </w:p>
    <w:p w:rsidR="00220B87" w:rsidP="00466BCD" w:rsidRDefault="002A5C0B" w14:paraId="35BC555B" w14:textId="3CAE1003">
      <w:pPr>
        <w:pStyle w:val="ListParagraph"/>
        <w:numPr>
          <w:ilvl w:val="0"/>
          <w:numId w:val="29"/>
        </w:numPr>
      </w:pPr>
      <w:r>
        <w:t>De</w:t>
      </w:r>
      <w:r w:rsidR="00220B87">
        <w:t xml:space="preserve"> elektrische fiets </w:t>
      </w:r>
      <w:r>
        <w:t xml:space="preserve">scoort </w:t>
      </w:r>
      <w:r w:rsidR="00220B87">
        <w:t>op</w:t>
      </w:r>
      <w:r w:rsidRPr="0015187E" w:rsidR="00220B87">
        <w:t xml:space="preserve"> het gebied van milieu-impact </w:t>
      </w:r>
      <w:r>
        <w:t xml:space="preserve">ten slotte </w:t>
      </w:r>
      <w:r w:rsidRPr="0015187E" w:rsidR="00220B87">
        <w:t>uitermate goed.</w:t>
      </w:r>
      <w:r w:rsidR="00220B87">
        <w:br/>
      </w:r>
    </w:p>
    <w:p w:rsidR="005E51C4" w:rsidP="00220B87" w:rsidRDefault="00220B87" w14:paraId="5796E13D" w14:textId="7CA918A8">
      <w:r>
        <w:t>Er zijn ook aandachtspunten bij verdere groei</w:t>
      </w:r>
      <w:r w:rsidR="005066B7">
        <w:t>:</w:t>
      </w:r>
      <w:r>
        <w:t xml:space="preserve"> </w:t>
      </w:r>
    </w:p>
    <w:p w:rsidR="002A5C0B" w:rsidP="005E51C4" w:rsidRDefault="00220B87" w14:paraId="030A1310" w14:textId="2EFBD29F">
      <w:pPr>
        <w:pStyle w:val="ListParagraph"/>
        <w:numPr>
          <w:ilvl w:val="0"/>
          <w:numId w:val="30"/>
        </w:numPr>
      </w:pPr>
      <w:r>
        <w:t>Er is een toen</w:t>
      </w:r>
      <w:r w:rsidR="00F50E1A">
        <w:t>ame</w:t>
      </w:r>
      <w:r>
        <w:t xml:space="preserve"> van het aantal verkeersslachtoffers onder fietsers</w:t>
      </w:r>
      <w:r w:rsidR="00F50E1A">
        <w:t>. Dit geldt m</w:t>
      </w:r>
      <w:r>
        <w:t xml:space="preserve">et name onder </w:t>
      </w:r>
      <w:r w:rsidRPr="00D16518">
        <w:t>ouderen en jongeren</w:t>
      </w:r>
      <w:r>
        <w:t xml:space="preserve">. Er zijn geen aanwijzingen dat de elektrische fiets zelf gevaarlijker is. </w:t>
      </w:r>
      <w:bookmarkStart w:name="_Hlk207697106" w:id="3"/>
      <w:r>
        <w:t xml:space="preserve">De verklaring </w:t>
      </w:r>
      <w:r w:rsidR="002A5C0B">
        <w:t xml:space="preserve">voor de toename </w:t>
      </w:r>
      <w:r>
        <w:t>ligt bij de gebruikers. O</w:t>
      </w:r>
      <w:r w:rsidRPr="00D16518">
        <w:t>uderen zijn kwetsbaarder</w:t>
      </w:r>
      <w:r>
        <w:t xml:space="preserve">, terwijl jongeren </w:t>
      </w:r>
      <w:r w:rsidRPr="00D16518">
        <w:t>meer risicogedrag</w:t>
      </w:r>
      <w:r>
        <w:t xml:space="preserve"> vertonen.</w:t>
      </w:r>
      <w:bookmarkEnd w:id="3"/>
      <w:r>
        <w:t xml:space="preserve"> Onder het programma Doortrappen</w:t>
      </w:r>
      <w:r w:rsidR="004D6C95">
        <w:t xml:space="preserve"> </w:t>
      </w:r>
      <w:r>
        <w:t xml:space="preserve">worden </w:t>
      </w:r>
      <w:r w:rsidRPr="00EB54BF">
        <w:t>elektrische fiets</w:t>
      </w:r>
      <w:r>
        <w:t xml:space="preserve">lessen aan ouderen aangeboden. </w:t>
      </w:r>
      <w:r w:rsidR="004D6C95">
        <w:t xml:space="preserve">Dit </w:t>
      </w:r>
      <w:r w:rsidRPr="004D6C95" w:rsidR="004D6C95">
        <w:t>programma wordt gecoördineerd door IenW en is erop gericht ouderen zo lang mogelijk veilig te laten fietsen</w:t>
      </w:r>
      <w:r w:rsidR="004D6C95">
        <w:t>.</w:t>
      </w:r>
    </w:p>
    <w:p w:rsidR="002A5C0B" w:rsidP="005E51C4" w:rsidRDefault="005066B7" w14:paraId="33A799E1" w14:textId="2843C0A3">
      <w:pPr>
        <w:pStyle w:val="ListParagraph"/>
        <w:numPr>
          <w:ilvl w:val="0"/>
          <w:numId w:val="30"/>
        </w:numPr>
      </w:pPr>
      <w:r>
        <w:t>De</w:t>
      </w:r>
      <w:r w:rsidRPr="00F04F60" w:rsidR="00220B87">
        <w:t xml:space="preserve"> angst voor</w:t>
      </w:r>
      <w:r w:rsidR="00220B87">
        <w:t xml:space="preserve"> </w:t>
      </w:r>
      <w:r w:rsidRPr="00F04F60" w:rsidR="00220B87">
        <w:t xml:space="preserve">diefstal </w:t>
      </w:r>
      <w:r>
        <w:t xml:space="preserve">is </w:t>
      </w:r>
      <w:r w:rsidR="00220B87">
        <w:t xml:space="preserve">een belemmering in aanschaf en gebruik van </w:t>
      </w:r>
      <w:r w:rsidRPr="00F04F60" w:rsidR="00220B87">
        <w:t>de</w:t>
      </w:r>
      <w:r w:rsidR="00220B87">
        <w:t xml:space="preserve"> elektrische </w:t>
      </w:r>
      <w:r w:rsidRPr="00F04F60" w:rsidR="00220B87">
        <w:t>fiets</w:t>
      </w:r>
      <w:r w:rsidR="00220B87">
        <w:t>.</w:t>
      </w:r>
      <w:r w:rsidRPr="00F04F60" w:rsidR="00220B87">
        <w:t xml:space="preserve"> </w:t>
      </w:r>
      <w:r w:rsidR="00B3710B">
        <w:t>O</w:t>
      </w:r>
      <w:r w:rsidR="00220B87">
        <w:t xml:space="preserve">m die reden </w:t>
      </w:r>
      <w:r w:rsidR="00B3710B">
        <w:t xml:space="preserve">wordt er </w:t>
      </w:r>
      <w:r w:rsidR="003A7BE6">
        <w:t xml:space="preserve">samen met decentrale overheden </w:t>
      </w:r>
      <w:r w:rsidR="00B3710B">
        <w:t xml:space="preserve">geïnvesteerd </w:t>
      </w:r>
      <w:r w:rsidR="00220B87">
        <w:t xml:space="preserve">in </w:t>
      </w:r>
      <w:r w:rsidRPr="00F04F60" w:rsidR="00220B87">
        <w:t>hoogwaardige</w:t>
      </w:r>
      <w:r w:rsidR="00220B87">
        <w:t xml:space="preserve"> </w:t>
      </w:r>
      <w:r w:rsidRPr="00F04F60" w:rsidR="00220B87">
        <w:t xml:space="preserve">fietsparkeerplaatsen bij stations. </w:t>
      </w:r>
      <w:r w:rsidR="003A7BE6">
        <w:t xml:space="preserve">Hierin wordt samengewerkt met ProRail. </w:t>
      </w:r>
    </w:p>
    <w:p w:rsidR="002A5C0B" w:rsidP="005E51C4" w:rsidRDefault="005066B7" w14:paraId="668377C0" w14:textId="61BC59C4">
      <w:pPr>
        <w:pStyle w:val="ListParagraph"/>
        <w:numPr>
          <w:ilvl w:val="0"/>
          <w:numId w:val="30"/>
        </w:numPr>
      </w:pPr>
      <w:r>
        <w:t xml:space="preserve">Er </w:t>
      </w:r>
      <w:r w:rsidR="00220B87">
        <w:t>wordt gekeken</w:t>
      </w:r>
      <w:r w:rsidRPr="00F04F60" w:rsidR="00220B87">
        <w:t xml:space="preserve"> naar de mogelijkheden om de registratie van fietsen door de RDW te verbeteren.</w:t>
      </w:r>
      <w:r w:rsidR="00220B87">
        <w:t xml:space="preserve"> </w:t>
      </w:r>
      <w:r w:rsidR="00DE5D7A">
        <w:t>Op</w:t>
      </w:r>
      <w:r w:rsidR="002663A1">
        <w:t xml:space="preserve"> dit moment </w:t>
      </w:r>
      <w:r w:rsidR="00DE5D7A">
        <w:t xml:space="preserve">is er alleen </w:t>
      </w:r>
      <w:r w:rsidR="002663A1">
        <w:t xml:space="preserve">een register </w:t>
      </w:r>
      <w:r w:rsidR="00DE5D7A">
        <w:t xml:space="preserve">vanuit RDW </w:t>
      </w:r>
      <w:r w:rsidR="002663A1">
        <w:t>voor</w:t>
      </w:r>
      <w:r w:rsidR="00DE5D7A">
        <w:t xml:space="preserve"> gestolen fietsen</w:t>
      </w:r>
      <w:r w:rsidR="002663A1">
        <w:t xml:space="preserve">. </w:t>
      </w:r>
      <w:r w:rsidR="00DE5D7A">
        <w:t>In een verbeterd</w:t>
      </w:r>
      <w:r w:rsidR="00F50E1A">
        <w:t>e</w:t>
      </w:r>
      <w:r w:rsidR="00DE5D7A">
        <w:t xml:space="preserve"> registratie zou </w:t>
      </w:r>
      <w:r w:rsidR="002663A1">
        <w:t xml:space="preserve">een deel van de (verzekerde) fietsen vooraf in </w:t>
      </w:r>
      <w:r>
        <w:t xml:space="preserve">een </w:t>
      </w:r>
      <w:r w:rsidR="002663A1">
        <w:t>register</w:t>
      </w:r>
      <w:r w:rsidR="00DE5D7A">
        <w:t xml:space="preserve"> worden opgenomen</w:t>
      </w:r>
      <w:r w:rsidR="002663A1">
        <w:t xml:space="preserve">. </w:t>
      </w:r>
    </w:p>
    <w:p w:rsidRPr="000660B7" w:rsidR="00220B87" w:rsidP="00466BCD" w:rsidRDefault="00220B87" w14:paraId="15235A14" w14:textId="3B4D40A8">
      <w:pPr>
        <w:pStyle w:val="ListParagraph"/>
        <w:numPr>
          <w:ilvl w:val="0"/>
          <w:numId w:val="30"/>
        </w:numPr>
      </w:pPr>
      <w:r w:rsidRPr="00D16518">
        <w:t xml:space="preserve">De CROW-ontwerprichtlijnen voor fietsinfrastructuur voldoen ook voor het gebruik </w:t>
      </w:r>
      <w:r>
        <w:t>van</w:t>
      </w:r>
      <w:r w:rsidRPr="00D16518">
        <w:t xml:space="preserve"> de elektrische fiets</w:t>
      </w:r>
      <w:r>
        <w:t xml:space="preserve">. Een </w:t>
      </w:r>
      <w:r w:rsidRPr="00D16518">
        <w:t xml:space="preserve">groot deel van de bestaande fietsinfrastructuur </w:t>
      </w:r>
      <w:r>
        <w:t xml:space="preserve">voldoet echter </w:t>
      </w:r>
      <w:r w:rsidRPr="00D16518">
        <w:t>niet aan de CROW-</w:t>
      </w:r>
      <w:r>
        <w:t>richtlijnen</w:t>
      </w:r>
      <w:r w:rsidRPr="00D16518">
        <w:t>.</w:t>
      </w:r>
      <w:r>
        <w:t xml:space="preserve"> </w:t>
      </w:r>
      <w:r w:rsidR="00B3710B">
        <w:t>D</w:t>
      </w:r>
      <w:r>
        <w:t xml:space="preserve">e komende jaren </w:t>
      </w:r>
      <w:r w:rsidR="00B3710B">
        <w:t xml:space="preserve">wordt geïnvesteerd </w:t>
      </w:r>
      <w:r>
        <w:t>in het veiliger maken van fietsinfrastructuur en de aanleg van doorfietsroutes. Met de brief van 10 juli 2025</w:t>
      </w:r>
      <w:r>
        <w:rPr>
          <w:rStyle w:val="FootnoteReference"/>
        </w:rPr>
        <w:footnoteReference w:id="5"/>
      </w:r>
      <w:r>
        <w:t xml:space="preserve"> over de Nieuwe Mijlpalen Strategisch Plan Verkeersveiligheid is de Kamer geïnformeerd over het Meerjarenplan Fietsveiligheid 2025-2029, waarbinnen veilige fietsinfrastructuur </w:t>
      </w:r>
      <w:r w:rsidR="007D1979">
        <w:t>éé</w:t>
      </w:r>
      <w:r>
        <w:t xml:space="preserve">n van de nieuwe acties is. Ook heeft </w:t>
      </w:r>
      <w:r w:rsidR="00690B5C">
        <w:t>de Kamer</w:t>
      </w:r>
      <w:r>
        <w:t xml:space="preserve"> een brief ontvangen</w:t>
      </w:r>
      <w:r>
        <w:rPr>
          <w:rStyle w:val="FootnoteReference"/>
        </w:rPr>
        <w:footnoteReference w:id="6"/>
      </w:r>
      <w:r>
        <w:t xml:space="preserve"> over de uitvoering van de moties Verkeersveiligheid </w:t>
      </w:r>
      <w:r w:rsidR="007D1979">
        <w:t>e</w:t>
      </w:r>
      <w:r>
        <w:t>lektrische fietsen.</w:t>
      </w:r>
      <w:r w:rsidR="002663A1">
        <w:t xml:space="preserve"> </w:t>
      </w:r>
    </w:p>
    <w:p w:rsidR="00B53A42" w:rsidP="001A617E" w:rsidRDefault="00B53A42" w14:paraId="0EC07E99" w14:textId="77777777">
      <w:pPr>
        <w:pStyle w:val="WitregelW1bodytekst"/>
        <w:rPr>
          <w:b/>
          <w:bCs/>
        </w:rPr>
      </w:pPr>
    </w:p>
    <w:p w:rsidR="00B53A42" w:rsidP="001A617E" w:rsidRDefault="00B53A42" w14:paraId="020CE021" w14:textId="77777777">
      <w:pPr>
        <w:pStyle w:val="WitregelW1bodytekst"/>
        <w:rPr>
          <w:b/>
          <w:bCs/>
        </w:rPr>
      </w:pPr>
    </w:p>
    <w:p w:rsidR="001A617E" w:rsidP="001A617E" w:rsidRDefault="001B21C5" w14:paraId="1326E586" w14:textId="007ACCBB">
      <w:pPr>
        <w:pStyle w:val="WitregelW1bodytekst"/>
        <w:rPr>
          <w:b/>
          <w:bCs/>
        </w:rPr>
      </w:pPr>
      <w:r>
        <w:rPr>
          <w:b/>
          <w:bCs/>
        </w:rPr>
        <w:t>Toezeggingen</w:t>
      </w:r>
    </w:p>
    <w:p w:rsidRPr="001A617E" w:rsidR="001A617E" w:rsidP="001A617E" w:rsidRDefault="001A617E" w14:paraId="5A985091" w14:textId="3C589EB0">
      <w:pPr>
        <w:pStyle w:val="WitregelW1bodytekst"/>
        <w:rPr>
          <w:b/>
          <w:bCs/>
        </w:rPr>
      </w:pPr>
      <w:bookmarkStart w:name="_Hlk206674204" w:id="4"/>
      <w:r w:rsidRPr="00466BCD">
        <w:rPr>
          <w:u w:val="single"/>
        </w:rPr>
        <w:t>Beschikbare EU-fondsen fietsinfrastructuur</w:t>
      </w:r>
      <w:r w:rsidRPr="00466BCD">
        <w:rPr>
          <w:u w:val="single"/>
        </w:rPr>
        <w:br/>
      </w:r>
      <w:r w:rsidRPr="001A617E">
        <w:t xml:space="preserve">Tijdens het commissiedebat Duurzaam Vervoer van 17 oktober 2024 is aan </w:t>
      </w:r>
      <w:r w:rsidR="00B31A7E">
        <w:t xml:space="preserve">het </w:t>
      </w:r>
      <w:r w:rsidRPr="001A617E">
        <w:t xml:space="preserve">lid </w:t>
      </w:r>
      <w:r w:rsidR="00B31A7E">
        <w:t>Olger v</w:t>
      </w:r>
      <w:r w:rsidRPr="001A617E" w:rsidR="00B31A7E">
        <w:t>an</w:t>
      </w:r>
      <w:r w:rsidR="00B31A7E">
        <w:t xml:space="preserve"> </w:t>
      </w:r>
      <w:r w:rsidRPr="001A617E">
        <w:t>Dijk (NSC) toegezegd de Kamer te informeren over de beschikbaarheid van EU-fondsen voor investeringen in fietsinfrastructuur.</w:t>
      </w:r>
      <w:r w:rsidRPr="001A617E">
        <w:rPr>
          <w:vertAlign w:val="superscript"/>
        </w:rPr>
        <w:footnoteReference w:id="7"/>
      </w:r>
      <w:r w:rsidRPr="001A617E">
        <w:t xml:space="preserve"> Met deze brief en het bijgevoegde rapport </w:t>
      </w:r>
      <w:r w:rsidR="00D3157D">
        <w:t>in bijlage</w:t>
      </w:r>
      <w:r w:rsidR="00B641A3">
        <w:t xml:space="preserve"> </w:t>
      </w:r>
      <w:r w:rsidR="00FE7FD9">
        <w:t>3</w:t>
      </w:r>
      <w:r w:rsidR="00D3157D">
        <w:t xml:space="preserve"> </w:t>
      </w:r>
      <w:r w:rsidRPr="001A617E">
        <w:t>wordt invulling gegeven aan deze toezegging.</w:t>
      </w:r>
    </w:p>
    <w:p w:rsidR="001A617E" w:rsidP="001A617E" w:rsidRDefault="00D709CB" w14:paraId="5DEA66A4" w14:textId="030B33B9">
      <w:pPr>
        <w:pStyle w:val="WitregelW1bodytekst"/>
      </w:pPr>
      <w:r>
        <w:t>De Rijksdienst voor Ondernemend Nederland (</w:t>
      </w:r>
      <w:r w:rsidRPr="001A617E" w:rsidR="001A617E">
        <w:t>RVO</w:t>
      </w:r>
      <w:r>
        <w:t>)</w:t>
      </w:r>
      <w:r w:rsidR="0061704B">
        <w:t xml:space="preserve"> </w:t>
      </w:r>
      <w:r w:rsidR="00690B5C">
        <w:t xml:space="preserve">is </w:t>
      </w:r>
      <w:r w:rsidRPr="001A617E" w:rsidR="001A617E">
        <w:t xml:space="preserve">gevraagd relevante EU-fondsen </w:t>
      </w:r>
      <w:r w:rsidR="00B641A3">
        <w:t xml:space="preserve">voor fietsinfrastructuur </w:t>
      </w:r>
      <w:r w:rsidR="00F50E1A">
        <w:t>in kaart te brengen</w:t>
      </w:r>
      <w:r w:rsidRPr="001A617E" w:rsidR="001A617E">
        <w:t xml:space="preserve">. In totaal zijn tien fondsen </w:t>
      </w:r>
      <w:r w:rsidR="00F50E1A">
        <w:t xml:space="preserve">vastgesteld </w:t>
      </w:r>
      <w:r w:rsidRPr="001A617E" w:rsidR="001A617E">
        <w:t xml:space="preserve">die </w:t>
      </w:r>
      <w:r w:rsidR="00AE4546">
        <w:t>potentie hebben</w:t>
      </w:r>
      <w:r w:rsidRPr="001A617E" w:rsidR="001A617E">
        <w:t>. Niet alle fondsen zijn direct gericht op fietsinfrastructuur. Sommige fondsen kunnen indirect bijdragen aan fiets gerelateerde projecten. Ook zijn de fondsen doorgaans niet toegankelijk voor rechtstreekse aanvragen door de Rijksoverheid. IenW zet zich in om de mogelijkheden te benutten</w:t>
      </w:r>
      <w:r w:rsidR="004B49CB">
        <w:t xml:space="preserve"> die wel toegankelijk en relevant zijn</w:t>
      </w:r>
      <w:r w:rsidRPr="001A617E" w:rsidR="001A617E">
        <w:t>. Zo zet IenW zich in voor financiering vanuit</w:t>
      </w:r>
      <w:r w:rsidR="004B49CB">
        <w:t xml:space="preserve"> het Europese Interreg-programma</w:t>
      </w:r>
      <w:r w:rsidRPr="001A617E" w:rsidR="001A617E">
        <w:rPr>
          <w:i/>
          <w:iCs/>
        </w:rPr>
        <w:t xml:space="preserve">, </w:t>
      </w:r>
      <w:r w:rsidRPr="001A617E" w:rsidR="001A617E">
        <w:t xml:space="preserve">zoals ook eerder door de </w:t>
      </w:r>
      <w:r w:rsidR="009E1045">
        <w:t>s</w:t>
      </w:r>
      <w:r w:rsidRPr="001A617E" w:rsidR="001A617E">
        <w:t>taatssecretaris aan de Kamer is toegezegd.</w:t>
      </w:r>
      <w:r w:rsidRPr="001A617E" w:rsidR="001A617E">
        <w:rPr>
          <w:vertAlign w:val="superscript"/>
        </w:rPr>
        <w:footnoteReference w:id="8"/>
      </w:r>
      <w:r w:rsidRPr="001A617E" w:rsidR="001A617E">
        <w:t xml:space="preserve"> </w:t>
      </w:r>
    </w:p>
    <w:p w:rsidRPr="00707C43" w:rsidR="00707C43" w:rsidP="008E4A46" w:rsidRDefault="00707C43" w14:paraId="47CB419C" w14:textId="77777777"/>
    <w:p w:rsidR="001A617E" w:rsidP="001A617E" w:rsidRDefault="001A617E" w14:paraId="0470829D" w14:textId="6649F61A">
      <w:pPr>
        <w:pStyle w:val="WitregelW1bodytekst"/>
      </w:pPr>
      <w:bookmarkStart w:name="_Hlk199250526" w:id="5"/>
      <w:r w:rsidRPr="001A617E">
        <w:t xml:space="preserve">In het rapport van RVO worden twee aanbevelingen gedaan op basis van de uitgevoerde scan. De eerste aanbeveling is om verkennend het gesprek aan te gaan met relevante stakeholders om prioriteiten en kansen te bepalen. De tweede aanbeveling is om een project- en subsidiekalender te ontwikkelen gekoppeld aan EU-fondsen. </w:t>
      </w:r>
      <w:r w:rsidR="00690B5C">
        <w:t xml:space="preserve">Deze aanbevelingen zijn overgenomen en worden momenteel uitgevoerd. </w:t>
      </w:r>
      <w:bookmarkEnd w:id="4"/>
      <w:r w:rsidR="00FE7FD9">
        <w:t>Hiermee is invulling aan de toezegging gegeven</w:t>
      </w:r>
      <w:r w:rsidR="007D1979">
        <w:t>.</w:t>
      </w:r>
    </w:p>
    <w:p w:rsidR="00922977" w:rsidP="00922977" w:rsidRDefault="00922977" w14:paraId="020E9767" w14:textId="77777777"/>
    <w:bookmarkEnd w:id="5"/>
    <w:p w:rsidRPr="00717B5E" w:rsidR="00717B5E" w:rsidP="00717B5E" w:rsidRDefault="001A617E" w14:paraId="6859535B" w14:textId="2E0CFA89">
      <w:pPr>
        <w:pStyle w:val="WitregelW1bodytekst"/>
      </w:pPr>
      <w:r w:rsidRPr="00466BCD">
        <w:rPr>
          <w:u w:val="single"/>
        </w:rPr>
        <w:t>Sloopregeling oude auto’s</w:t>
      </w:r>
      <w:r w:rsidRPr="00466BCD">
        <w:rPr>
          <w:u w:val="single"/>
        </w:rPr>
        <w:br/>
      </w:r>
      <w:bookmarkStart w:name="_Hlk199317423" w:id="6"/>
      <w:r w:rsidR="009E1045">
        <w:t xml:space="preserve">Aan </w:t>
      </w:r>
      <w:r w:rsidR="00B31A7E">
        <w:t xml:space="preserve">het </w:t>
      </w:r>
      <w:r w:rsidRPr="001A617E" w:rsidR="009E1045">
        <w:t>lid</w:t>
      </w:r>
      <w:r w:rsidR="00155AEE">
        <w:t xml:space="preserve"> </w:t>
      </w:r>
      <w:r w:rsidR="00B31A7E">
        <w:t>Olger v</w:t>
      </w:r>
      <w:r w:rsidRPr="001A617E" w:rsidR="00B31A7E">
        <w:t xml:space="preserve">an </w:t>
      </w:r>
      <w:r w:rsidRPr="001A617E" w:rsidR="009E1045">
        <w:t>Dijk (NSC)</w:t>
      </w:r>
      <w:r w:rsidR="009E1045">
        <w:t xml:space="preserve"> is </w:t>
      </w:r>
      <w:r w:rsidR="00FE7FD9">
        <w:t xml:space="preserve">tijdens het commissiedebat </w:t>
      </w:r>
      <w:r w:rsidR="004D6C95">
        <w:t xml:space="preserve">Duurzaam Vervoer </w:t>
      </w:r>
      <w:r w:rsidR="00A93CF6">
        <w:t>op</w:t>
      </w:r>
      <w:r w:rsidR="00FE7FD9">
        <w:t xml:space="preserve"> 31 </w:t>
      </w:r>
      <w:r w:rsidR="00953CAD">
        <w:t xml:space="preserve">januari 2024 </w:t>
      </w:r>
      <w:r w:rsidRPr="001A617E" w:rsidR="009E1045">
        <w:t xml:space="preserve">toegezegd om de Kamer te informeren over de besluitvorming </w:t>
      </w:r>
      <w:r w:rsidR="00690B5C">
        <w:t xml:space="preserve">rondom </w:t>
      </w:r>
      <w:r w:rsidRPr="001A617E" w:rsidR="009E1045">
        <w:t>de sloopregeling oude auto's.</w:t>
      </w:r>
      <w:r w:rsidR="00F73B27">
        <w:rPr>
          <w:rStyle w:val="FootnoteReference"/>
        </w:rPr>
        <w:footnoteReference w:id="9"/>
      </w:r>
      <w:r w:rsidRPr="001A617E" w:rsidR="009E1045">
        <w:t xml:space="preserve"> Een voorstel voor een bijdrage voor een gebruikte elektrische auto met een inruilregeling voor een oude brandstofauto is één van de maatregelen die is onderzocht in het kader van het Social Climate Fund (SCF). Over dit voorstel is de Kamer eerder geïnformeerd.</w:t>
      </w:r>
      <w:r w:rsidRPr="001A617E" w:rsidR="009E1045">
        <w:rPr>
          <w:vertAlign w:val="superscript"/>
        </w:rPr>
        <w:footnoteReference w:id="10"/>
      </w:r>
      <w:r w:rsidR="009E1045">
        <w:t xml:space="preserve"> </w:t>
      </w:r>
      <w:r w:rsidRPr="001A617E" w:rsidR="009E1045">
        <w:t>Op 25 april 2025 is de Kamer geïnformeerd over de</w:t>
      </w:r>
      <w:r w:rsidR="009E1045">
        <w:t xml:space="preserve"> afgesproken</w:t>
      </w:r>
      <w:r w:rsidRPr="001A617E" w:rsidR="009E1045">
        <w:t xml:space="preserve"> aanvullende klimaatmaatregelen voor mobiliteit </w:t>
      </w:r>
      <w:r w:rsidR="009E1045">
        <w:t xml:space="preserve">tijdens </w:t>
      </w:r>
      <w:r w:rsidRPr="001A617E" w:rsidR="009E1045">
        <w:t>de voorjaarsbesluitvorming.</w:t>
      </w:r>
      <w:r w:rsidRPr="001A617E" w:rsidR="009E1045">
        <w:rPr>
          <w:vertAlign w:val="superscript"/>
        </w:rPr>
        <w:footnoteReference w:id="11"/>
      </w:r>
      <w:r w:rsidRPr="001A617E" w:rsidR="009E1045">
        <w:t xml:space="preserve"> Het kabinet heeft besloten om in het Sociaal Klimaatplan voor mobiliteit de Onderwegpas Openbaar Vervoer op te nemen en daar Europese financiering voor aan te vragen. </w:t>
      </w:r>
      <w:r w:rsidR="00A93CF6">
        <w:t xml:space="preserve">De inkomensafhankelijke inruilregeling voor een tweedehands elektrische auto zal daarmee </w:t>
      </w:r>
      <w:bookmarkStart w:name="_Hlk207697961" w:id="8"/>
      <w:r w:rsidR="00A93CF6">
        <w:t>geen onderdeel uitmaken van de SCF-inzet</w:t>
      </w:r>
      <w:bookmarkEnd w:id="8"/>
      <w:r w:rsidR="00A93CF6">
        <w:t xml:space="preserve">. </w:t>
      </w:r>
      <w:r w:rsidRPr="001A617E" w:rsidR="009E1045">
        <w:t xml:space="preserve">Hiermee </w:t>
      </w:r>
      <w:r w:rsidR="00707C43">
        <w:t xml:space="preserve">is invulling aan </w:t>
      </w:r>
      <w:r w:rsidRPr="001A617E" w:rsidR="009E1045">
        <w:t xml:space="preserve">de toezegging </w:t>
      </w:r>
      <w:r w:rsidR="00707C43">
        <w:t>gegeven</w:t>
      </w:r>
      <w:r w:rsidRPr="001A617E" w:rsidR="009E1045">
        <w:t xml:space="preserve">. </w:t>
      </w:r>
      <w:r w:rsidRPr="00717B5E" w:rsidR="00717B5E">
        <w:t>Nummer: -1183</w:t>
      </w:r>
    </w:p>
    <w:p w:rsidRPr="001A617E" w:rsidR="009E1045" w:rsidP="00A93CF6" w:rsidRDefault="009E1045" w14:paraId="43FC07DD" w14:textId="45DFA971">
      <w:pPr>
        <w:pStyle w:val="WitregelW1bodytekst"/>
      </w:pPr>
    </w:p>
    <w:bookmarkEnd w:id="6"/>
    <w:p w:rsidR="001A617E" w:rsidP="009E1045" w:rsidRDefault="001A617E" w14:paraId="42B6A146" w14:textId="36C682C0">
      <w:pPr>
        <w:pStyle w:val="WitregelW1bodytekst"/>
        <w:rPr>
          <w:b/>
          <w:bCs/>
        </w:rPr>
      </w:pPr>
    </w:p>
    <w:p w:rsidRPr="00435E8A" w:rsidR="006626A5" w:rsidP="006626A5" w:rsidRDefault="006626A5" w14:paraId="47FDFA5C" w14:textId="35E8C693">
      <w:pPr>
        <w:pStyle w:val="WitregelW1bodytekst"/>
      </w:pPr>
      <w:r w:rsidRPr="00466BCD">
        <w:rPr>
          <w:u w:val="single"/>
        </w:rPr>
        <w:t>Evaluatie handvatten motor in woon-werkverkeer</w:t>
      </w:r>
      <w:r w:rsidRPr="00466BCD">
        <w:rPr>
          <w:u w:val="single"/>
        </w:rPr>
        <w:br/>
      </w:r>
      <w:r w:rsidRPr="001A617E">
        <w:t xml:space="preserve">Tijdens het commissiedebat Duurzaam Vervoer van 22 april </w:t>
      </w:r>
      <w:r>
        <w:t xml:space="preserve">2025 </w:t>
      </w:r>
      <w:r w:rsidRPr="001A617E">
        <w:t xml:space="preserve">vroeg </w:t>
      </w:r>
      <w:r w:rsidR="00B31A7E">
        <w:t xml:space="preserve">het </w:t>
      </w:r>
      <w:r w:rsidRPr="001A617E">
        <w:t xml:space="preserve">lid </w:t>
      </w:r>
      <w:r w:rsidR="00B31A7E">
        <w:t>Olger v</w:t>
      </w:r>
      <w:r w:rsidRPr="001A617E" w:rsidR="00B31A7E">
        <w:t xml:space="preserve">an </w:t>
      </w:r>
      <w:r w:rsidRPr="001A617E">
        <w:t xml:space="preserve">Dijk </w:t>
      </w:r>
      <w:r>
        <w:t xml:space="preserve">(NSC) </w:t>
      </w:r>
      <w:r w:rsidRPr="001A617E">
        <w:t>om een evaluatie van de voor werkgevers ontwikkelde handvatten waarmee het gebruik van de gemotoriseerde tweewieler gestimuleerd kan worden.</w:t>
      </w:r>
      <w:r w:rsidR="00F73B27">
        <w:rPr>
          <w:rStyle w:val="FootnoteReference"/>
        </w:rPr>
        <w:footnoteReference w:id="12"/>
      </w:r>
      <w:r w:rsidRPr="001A617E">
        <w:t xml:space="preserve"> </w:t>
      </w:r>
      <w:r>
        <w:t>D</w:t>
      </w:r>
      <w:r w:rsidRPr="001A617E">
        <w:t xml:space="preserve">eze handvatten </w:t>
      </w:r>
      <w:r>
        <w:t xml:space="preserve">verwijzen </w:t>
      </w:r>
      <w:r w:rsidRPr="001A617E">
        <w:t xml:space="preserve">naar de </w:t>
      </w:r>
      <w:r w:rsidRPr="00435E8A">
        <w:t xml:space="preserve">Q&amp;A </w:t>
      </w:r>
      <w:r w:rsidR="00B31A7E">
        <w:t xml:space="preserve">voor werkgevers over de mogelijkheden van motoren in het woon-werkverkeer </w:t>
      </w:r>
      <w:r w:rsidR="00AE4546">
        <w:t xml:space="preserve">die </w:t>
      </w:r>
      <w:r w:rsidRPr="001A617E" w:rsidR="00AE4546">
        <w:t xml:space="preserve">vorig jaar in samenwerking met de RAI Vereniging </w:t>
      </w:r>
      <w:r w:rsidR="00AE4546">
        <w:t xml:space="preserve">is </w:t>
      </w:r>
      <w:r w:rsidRPr="001A617E" w:rsidR="00AE4546">
        <w:t>opgestel</w:t>
      </w:r>
      <w:r w:rsidR="00AE4546">
        <w:t>d</w:t>
      </w:r>
      <w:r w:rsidRPr="00435E8A">
        <w:t>.</w:t>
      </w:r>
      <w:r w:rsidRPr="00435E8A">
        <w:rPr>
          <w:vertAlign w:val="superscript"/>
        </w:rPr>
        <w:footnoteReference w:id="13"/>
      </w:r>
      <w:r w:rsidRPr="00435E8A">
        <w:t xml:space="preserve"> Dit betreft een informatief document voor werkgevers over de mogelijkheden van (elektrische) motor</w:t>
      </w:r>
      <w:r w:rsidR="006317A7">
        <w:t>s</w:t>
      </w:r>
      <w:r w:rsidRPr="00435E8A">
        <w:t xml:space="preserve"> in het woon-werkverkeer. </w:t>
      </w:r>
      <w:r w:rsidR="00AE4546">
        <w:t>I</w:t>
      </w:r>
      <w:r w:rsidRPr="00435E8A" w:rsidR="00AE4546">
        <w:t xml:space="preserve">n mei 2025 </w:t>
      </w:r>
      <w:r w:rsidRPr="00435E8A">
        <w:t>hebben IenW en de RAI-vereniging d</w:t>
      </w:r>
      <w:r w:rsidR="00707C43">
        <w:t>it document</w:t>
      </w:r>
      <w:r w:rsidRPr="00435E8A">
        <w:t xml:space="preserve"> geëvalueerd. Uit deze evaluatie blijkt dat </w:t>
      </w:r>
      <w:r w:rsidR="00707C43">
        <w:t>het</w:t>
      </w:r>
      <w:r w:rsidRPr="00435E8A">
        <w:t xml:space="preserve"> werkgevers de juiste handvatten biedt om (elektrisch) motorgebruik in het woon-werkverkeer te faciliteren. </w:t>
      </w:r>
      <w:r w:rsidR="0061704B">
        <w:t>De</w:t>
      </w:r>
      <w:r w:rsidRPr="00435E8A">
        <w:t xml:space="preserve"> bekendheid van de Q&amp;A bij werkgevers </w:t>
      </w:r>
      <w:r w:rsidR="0061704B">
        <w:t xml:space="preserve">is echter </w:t>
      </w:r>
      <w:r w:rsidRPr="00435E8A">
        <w:t xml:space="preserve">nog beperkt. Om </w:t>
      </w:r>
      <w:r w:rsidR="0061704B">
        <w:t>dit</w:t>
      </w:r>
      <w:r w:rsidRPr="00435E8A">
        <w:t xml:space="preserve"> te vergroten </w:t>
      </w:r>
      <w:r w:rsidR="00D67B3B">
        <w:t xml:space="preserve">wordt </w:t>
      </w:r>
      <w:r w:rsidRPr="00435E8A">
        <w:t xml:space="preserve">informatie over motoren aan </w:t>
      </w:r>
      <w:r w:rsidR="0061704B">
        <w:t xml:space="preserve">de volgende </w:t>
      </w:r>
      <w:r w:rsidRPr="00435E8A">
        <w:t>bestaande platforms</w:t>
      </w:r>
      <w:r w:rsidR="00D67B3B">
        <w:t xml:space="preserve"> verbonden</w:t>
      </w:r>
      <w:r w:rsidRPr="00435E8A">
        <w:t>:</w:t>
      </w:r>
    </w:p>
    <w:p w:rsidRPr="00435E8A" w:rsidR="006626A5" w:rsidP="006626A5" w:rsidRDefault="00AE4546" w14:paraId="757A764F" w14:textId="6142C36D">
      <w:pPr>
        <w:pStyle w:val="WitregelW1bodytekst"/>
        <w:numPr>
          <w:ilvl w:val="0"/>
          <w:numId w:val="25"/>
        </w:numPr>
      </w:pPr>
      <w:r w:rsidRPr="00435E8A">
        <w:t>Via</w:t>
      </w:r>
      <w:r w:rsidRPr="00435E8A" w:rsidR="006626A5">
        <w:t xml:space="preserve"> de landelijke koepelcampagne Zet Ook De Knop Om</w:t>
      </w:r>
      <w:r w:rsidRPr="00435E8A" w:rsidR="006626A5">
        <w:rPr>
          <w:vertAlign w:val="superscript"/>
        </w:rPr>
        <w:footnoteReference w:id="14"/>
      </w:r>
      <w:r w:rsidRPr="00435E8A" w:rsidR="006626A5">
        <w:t xml:space="preserve"> worden werkgevers geïnspireerd om hun mobiliteitsbeleid te verduurzamen. Er worden tips en </w:t>
      </w:r>
      <w:r w:rsidR="00B31A7E">
        <w:t>ervaringen</w:t>
      </w:r>
      <w:r w:rsidRPr="00435E8A" w:rsidR="00B31A7E">
        <w:t xml:space="preserve"> </w:t>
      </w:r>
      <w:r w:rsidRPr="00435E8A" w:rsidR="006626A5">
        <w:t>van werkgevers toegevoegd die de motor hebben opgenomen in hun mobiliteitsbeleid.</w:t>
      </w:r>
    </w:p>
    <w:p w:rsidR="006626A5" w:rsidP="006626A5" w:rsidRDefault="00AE4546" w14:paraId="76199B33" w14:textId="59500D8E">
      <w:pPr>
        <w:pStyle w:val="WitregelW1bodytekst"/>
        <w:numPr>
          <w:ilvl w:val="0"/>
          <w:numId w:val="25"/>
        </w:numPr>
      </w:pPr>
      <w:r w:rsidRPr="00435E8A">
        <w:t>Via</w:t>
      </w:r>
      <w:r w:rsidRPr="00435E8A" w:rsidR="006626A5">
        <w:t xml:space="preserve"> het Informatiepunt Werkgebonden Personenmobiliteit</w:t>
      </w:r>
      <w:r w:rsidRPr="00435E8A" w:rsidR="006626A5">
        <w:rPr>
          <w:vertAlign w:val="superscript"/>
        </w:rPr>
        <w:footnoteReference w:id="15"/>
      </w:r>
      <w:r w:rsidRPr="00435E8A" w:rsidR="006626A5">
        <w:t xml:space="preserve"> worden werkgevers geïnformeerd</w:t>
      </w:r>
      <w:r w:rsidRPr="001A617E" w:rsidR="006626A5">
        <w:t xml:space="preserve"> over manieren waarop zij hun mobiliteitsbeleid kunnen inrichten. Hier is (fiscale) informatie over de (elektrische) motor aan toegevoegd. </w:t>
      </w:r>
    </w:p>
    <w:p w:rsidR="006626A5" w:rsidP="006626A5" w:rsidRDefault="006626A5" w14:paraId="7B5D3BFE" w14:textId="64A88822">
      <w:r>
        <w:t xml:space="preserve">Hiermee </w:t>
      </w:r>
      <w:r w:rsidR="004D6C95">
        <w:t>is invulling aan de toezegging gegeven.</w:t>
      </w:r>
    </w:p>
    <w:p w:rsidRPr="006626A5" w:rsidR="006626A5" w:rsidP="006626A5" w:rsidRDefault="006626A5" w14:paraId="44E2B31B" w14:textId="77777777"/>
    <w:p w:rsidR="00435E8A" w:rsidP="00F5213E" w:rsidRDefault="001A617E" w14:paraId="6DB7452A" w14:textId="5AE10EDA">
      <w:pPr>
        <w:pStyle w:val="WitregelW1bodytekst"/>
      </w:pPr>
      <w:r w:rsidRPr="00466BCD">
        <w:rPr>
          <w:u w:val="single"/>
        </w:rPr>
        <w:t xml:space="preserve">Vervolgonderzoek controle inzet en emissies mobiele werktuigen </w:t>
      </w:r>
      <w:r w:rsidRPr="00466BCD">
        <w:rPr>
          <w:u w:val="single"/>
        </w:rPr>
        <w:br/>
      </w:r>
      <w:r w:rsidRPr="001A617E">
        <w:t xml:space="preserve">In 2021 is </w:t>
      </w:r>
      <w:r w:rsidR="00D67B3B">
        <w:t xml:space="preserve">aan </w:t>
      </w:r>
      <w:r w:rsidRPr="001A617E">
        <w:t xml:space="preserve">TNO </w:t>
      </w:r>
      <w:r w:rsidR="00D67B3B">
        <w:t xml:space="preserve">de </w:t>
      </w:r>
      <w:r w:rsidRPr="001A617E">
        <w:t xml:space="preserve">opdracht </w:t>
      </w:r>
      <w:r w:rsidR="00D67B3B">
        <w:t xml:space="preserve">gegeven te starten </w:t>
      </w:r>
      <w:r w:rsidRPr="001A617E">
        <w:t>met onderzoek naar meetmethoden voor controle van inzet en emissies van mobiele machines</w:t>
      </w:r>
      <w:r w:rsidRPr="001A617E">
        <w:rPr>
          <w:b/>
          <w:bCs/>
        </w:rPr>
        <w:t xml:space="preserve"> </w:t>
      </w:r>
      <w:r w:rsidRPr="001A617E">
        <w:t>in de praktijk. Op 15 mei 2023</w:t>
      </w:r>
      <w:r w:rsidRPr="001A617E">
        <w:rPr>
          <w:vertAlign w:val="superscript"/>
        </w:rPr>
        <w:footnoteReference w:id="16"/>
      </w:r>
      <w:r w:rsidRPr="001A617E">
        <w:t xml:space="preserve"> en op 17 juni 2024</w:t>
      </w:r>
      <w:r w:rsidRPr="001A617E">
        <w:rPr>
          <w:vertAlign w:val="superscript"/>
        </w:rPr>
        <w:footnoteReference w:id="17"/>
      </w:r>
      <w:r w:rsidRPr="001A617E">
        <w:t xml:space="preserve"> is de Kamer geïnformeerd over de resultaten van dit onderzoek. </w:t>
      </w:r>
      <w:r w:rsidR="00707C43">
        <w:t xml:space="preserve">Daarbij is aangegeven de Kamer te informeren over het vervolgresultaat. </w:t>
      </w:r>
      <w:r w:rsidRPr="001A617E">
        <w:t>Met het aanbieden van bijgevoegd TNO-rapport</w:t>
      </w:r>
      <w:r w:rsidR="00F73B27">
        <w:t xml:space="preserve"> in bijlage </w:t>
      </w:r>
      <w:r w:rsidR="0024245B">
        <w:t>4</w:t>
      </w:r>
      <w:r w:rsidRPr="001A617E">
        <w:t xml:space="preserve"> wordt de Kamer</w:t>
      </w:r>
      <w:r w:rsidR="00707C43">
        <w:t xml:space="preserve"> in lijn met</w:t>
      </w:r>
      <w:r w:rsidRPr="001A617E" w:rsidR="00707C43">
        <w:t xml:space="preserve"> </w:t>
      </w:r>
      <w:r w:rsidRPr="001A617E" w:rsidR="00192338">
        <w:t>de toezegging geïnformeerd</w:t>
      </w:r>
      <w:r w:rsidRPr="001A617E">
        <w:t xml:space="preserve"> over de</w:t>
      </w:r>
      <w:r w:rsidR="00707C43">
        <w:t>ze</w:t>
      </w:r>
      <w:r w:rsidRPr="001A617E">
        <w:t xml:space="preserve"> vervolgresultaten.</w:t>
      </w:r>
      <w:r w:rsidRPr="001A617E">
        <w:rPr>
          <w:vertAlign w:val="superscript"/>
        </w:rPr>
        <w:footnoteReference w:id="18"/>
      </w:r>
    </w:p>
    <w:p w:rsidRPr="00707C43" w:rsidR="00707C43" w:rsidP="008E4A46" w:rsidRDefault="00707C43" w14:paraId="295BB436" w14:textId="77777777"/>
    <w:p w:rsidR="001A617E" w:rsidP="004D6C95" w:rsidRDefault="001A617E" w14:paraId="36C5883D" w14:textId="25278277">
      <w:r w:rsidRPr="001A617E">
        <w:t>De door TNO ontwikkelde controlemethoden voor mobiele werktuigen worden sinds 2024 door Connekt toegepast binnen het Kennis-, Opschaling- en Praktijkervaringsprogramma (KOP) van het programma Schoon en Emissieloos Bouwen (SEB). Momenteel wordt een aantal projecten uitgevoerd waarbij bouwmachines van meetapparatuur worden voorzien. Bouwbedrijven kunnen op basis van de meetapparatuur onderbouwde inschattingen maken van de emissies die in de praktijk optreden. Het rapport ‘Betere voorspelling van NO</w:t>
      </w:r>
      <w:r w:rsidRPr="00187FA1">
        <w:rPr>
          <w:vertAlign w:val="subscript"/>
        </w:rPr>
        <w:t>x</w:t>
      </w:r>
      <w:r w:rsidRPr="001A617E">
        <w:t>-emissies in de bouw door meting van inzet en NO</w:t>
      </w:r>
      <w:r w:rsidRPr="00187FA1">
        <w:rPr>
          <w:vertAlign w:val="subscript"/>
        </w:rPr>
        <w:t>x</w:t>
      </w:r>
      <w:r w:rsidRPr="001A617E">
        <w:t xml:space="preserve">-emissie van bouwmachines in de praktijk’ </w:t>
      </w:r>
      <w:r w:rsidR="00F73B27">
        <w:t xml:space="preserve">in bijlage </w:t>
      </w:r>
      <w:r w:rsidR="0024245B">
        <w:t>5</w:t>
      </w:r>
      <w:r w:rsidR="00F73B27">
        <w:t xml:space="preserve"> </w:t>
      </w:r>
      <w:r w:rsidR="00AE4546">
        <w:t>is het verslag</w:t>
      </w:r>
      <w:r w:rsidRPr="001A617E">
        <w:t xml:space="preserve"> hiervan. De ontwikkelde controlemethoden en ervaringen uit het KOP-programma worden ook gebruikt voor de verdere ontwikkeling van controle op naleving als onderdeel van het SEB</w:t>
      </w:r>
      <w:r w:rsidR="00BB6F57">
        <w:t>-</w:t>
      </w:r>
      <w:r w:rsidRPr="001A617E">
        <w:t xml:space="preserve">convenant. </w:t>
      </w:r>
      <w:r w:rsidRPr="002014EB" w:rsidR="002014EB">
        <w:t xml:space="preserve">Ten aanzien van het </w:t>
      </w:r>
      <w:r w:rsidR="00F50E1A">
        <w:t xml:space="preserve">SEB </w:t>
      </w:r>
      <w:r w:rsidR="00BB6F57">
        <w:t>-</w:t>
      </w:r>
      <w:r w:rsidRPr="002014EB" w:rsidR="002014EB">
        <w:t xml:space="preserve">convenant kan </w:t>
      </w:r>
      <w:r w:rsidR="00F50E1A">
        <w:t xml:space="preserve">aan </w:t>
      </w:r>
      <w:r w:rsidRPr="002014EB" w:rsidR="002014EB">
        <w:t>de Kamer</w:t>
      </w:r>
      <w:r w:rsidR="00F50E1A">
        <w:t xml:space="preserve"> gemeld worden</w:t>
      </w:r>
      <w:r w:rsidRPr="002014EB" w:rsidR="002014EB">
        <w:t xml:space="preserve"> dat in 2025 meer dan 40 nieuwe partijen zijn toegetreden. Het gaat om tientallen gemeenten, havenbedrijven en branchepartijen. </w:t>
      </w:r>
      <w:r w:rsidR="002014EB">
        <w:t>Hiermee zijn er nu</w:t>
      </w:r>
      <w:r w:rsidRPr="002014EB" w:rsidR="002014EB">
        <w:t xml:space="preserve"> ruim 150 convenantpartners.</w:t>
      </w:r>
    </w:p>
    <w:p w:rsidR="001A617E" w:rsidP="001A617E" w:rsidRDefault="001A617E" w14:paraId="6F189F7F" w14:textId="77777777">
      <w:pPr>
        <w:pStyle w:val="WitregelW1bodytekst"/>
        <w:rPr>
          <w:b/>
          <w:bCs/>
        </w:rPr>
      </w:pPr>
    </w:p>
    <w:p w:rsidRPr="004D6C95" w:rsidR="004D6C95" w:rsidP="004D6C95" w:rsidRDefault="004D6C95" w14:paraId="1AEC7265" w14:textId="77777777"/>
    <w:p w:rsidRPr="00406EA0" w:rsidR="001B21C5" w:rsidP="001B21C5" w:rsidRDefault="001B21C5" w14:paraId="000CCDA3" w14:textId="3D843F0A">
      <w:pPr>
        <w:rPr>
          <w:b/>
          <w:bCs/>
        </w:rPr>
      </w:pPr>
      <w:r w:rsidRPr="00406EA0">
        <w:rPr>
          <w:b/>
          <w:bCs/>
        </w:rPr>
        <w:t>Beleid</w:t>
      </w:r>
      <w:r>
        <w:rPr>
          <w:b/>
          <w:bCs/>
        </w:rPr>
        <w:t>sontwikkelingen</w:t>
      </w:r>
    </w:p>
    <w:p w:rsidRPr="00466BCD" w:rsidR="00181226" w:rsidP="00181226" w:rsidRDefault="008161EF" w14:paraId="348C1BB3" w14:textId="3F218E52">
      <w:pPr>
        <w:pStyle w:val="WitregelW1bodytekst"/>
        <w:rPr>
          <w:u w:val="single"/>
        </w:rPr>
      </w:pPr>
      <w:bookmarkStart w:name="_Hlk206705517" w:id="9"/>
      <w:r>
        <w:rPr>
          <w:u w:val="single"/>
        </w:rPr>
        <w:t>E</w:t>
      </w:r>
      <w:r w:rsidRPr="00466BCD" w:rsidR="00181226">
        <w:rPr>
          <w:u w:val="single"/>
        </w:rPr>
        <w:t xml:space="preserve">missies </w:t>
      </w:r>
      <w:r>
        <w:rPr>
          <w:u w:val="single"/>
        </w:rPr>
        <w:t>en marktverkenning van geconditioneerd vervoer</w:t>
      </w:r>
      <w:r w:rsidR="004D6C95">
        <w:rPr>
          <w:u w:val="single"/>
        </w:rPr>
        <w:t xml:space="preserve"> (koeltransport)</w:t>
      </w:r>
    </w:p>
    <w:p w:rsidR="00181226" w:rsidP="005F5DC8" w:rsidRDefault="005F5DC8" w14:paraId="7E0F82D5" w14:textId="087FEE91">
      <w:pPr>
        <w:pStyle w:val="WitregelW1bodytekst"/>
      </w:pPr>
      <w:bookmarkStart w:name="_Hlk205200945" w:id="10"/>
      <w:bookmarkEnd w:id="9"/>
      <w:r>
        <w:t xml:space="preserve">In het verleden </w:t>
      </w:r>
      <w:r w:rsidR="00D709CB">
        <w:t xml:space="preserve">zijn </w:t>
      </w:r>
      <w:r>
        <w:t>de uitlaatemissies van koelsystemen van geconditioneerd transport</w:t>
      </w:r>
      <w:r w:rsidRPr="00D709CB" w:rsidR="00D709CB">
        <w:t xml:space="preserve"> </w:t>
      </w:r>
      <w:r w:rsidR="004D6C95">
        <w:t xml:space="preserve">(koeltransport) </w:t>
      </w:r>
      <w:r w:rsidR="00D709CB">
        <w:t>slechts beperkt gemeten</w:t>
      </w:r>
      <w:r>
        <w:t xml:space="preserve">. Hierdoor zijn de inzichten in de emissiebijdrage beperkt. </w:t>
      </w:r>
      <w:r w:rsidR="00D67B3B">
        <w:t xml:space="preserve">TNO is verzocht om via een onderzoek </w:t>
      </w:r>
      <w:r>
        <w:t>beter inzicht te krijgen in de uitlaatgasemissies en de inzet van koelsystemen bij geconditioneerd transport over de weg.</w:t>
      </w:r>
      <w:r w:rsidR="007C6136">
        <w:t xml:space="preserve"> </w:t>
      </w:r>
      <w:r w:rsidR="00DE5D7A">
        <w:t xml:space="preserve">Dit onderzoek is bijgevoegd in bijlage </w:t>
      </w:r>
      <w:r w:rsidR="0024245B">
        <w:t>6</w:t>
      </w:r>
      <w:r w:rsidR="00DE5D7A">
        <w:t xml:space="preserve">. </w:t>
      </w:r>
      <w:r w:rsidRPr="00181226" w:rsidR="00181226">
        <w:t xml:space="preserve">De traditioneel </w:t>
      </w:r>
      <w:r w:rsidRPr="00181226" w:rsidR="00B724B1">
        <w:t>diesel aangedreven</w:t>
      </w:r>
      <w:r w:rsidRPr="00181226" w:rsidR="00181226">
        <w:t xml:space="preserve"> koelsystemen vallen onder de Europese emissiewetgeving voor mobiele machines. Die normen </w:t>
      </w:r>
      <w:r w:rsidR="00DE5D7A">
        <w:t xml:space="preserve">voor deze systemen hebben er nog niet voor gezorgd dat er </w:t>
      </w:r>
      <w:r w:rsidR="007B682B">
        <w:t>genoeg</w:t>
      </w:r>
      <w:r w:rsidR="00DE5D7A">
        <w:t xml:space="preserve"> voortgang is op het gebied van verduurzaming. </w:t>
      </w:r>
      <w:r>
        <w:t>D</w:t>
      </w:r>
      <w:r w:rsidRPr="00181226" w:rsidR="00181226">
        <w:t>e stikstof- en fijnstofemissie</w:t>
      </w:r>
      <w:r>
        <w:t>s</w:t>
      </w:r>
      <w:r w:rsidRPr="00181226" w:rsidR="00181226">
        <w:t xml:space="preserve"> van </w:t>
      </w:r>
      <w:r w:rsidRPr="00181226" w:rsidR="00B724B1">
        <w:t>diesel aangedreven</w:t>
      </w:r>
      <w:r w:rsidRPr="00181226" w:rsidR="00181226">
        <w:t xml:space="preserve"> koelers </w:t>
      </w:r>
      <w:r>
        <w:t>zijn namelijk</w:t>
      </w:r>
      <w:r w:rsidRPr="00181226" w:rsidR="00181226">
        <w:t xml:space="preserve"> vele malen hoger dan van vrachtwagenmotoren. Uit tussentijdse </w:t>
      </w:r>
      <w:r w:rsidR="002563D1">
        <w:t>resultaten</w:t>
      </w:r>
      <w:r w:rsidRPr="00181226" w:rsidR="002563D1">
        <w:t xml:space="preserve"> </w:t>
      </w:r>
      <w:r w:rsidRPr="00181226" w:rsidR="00181226">
        <w:t xml:space="preserve">kwam naar voren dat de diesel koelunit op een vrachtwagen verantwoordelijk is voor </w:t>
      </w:r>
      <w:r w:rsidR="006D0946">
        <w:t>een</w:t>
      </w:r>
      <w:r w:rsidRPr="00181226" w:rsidR="00181226">
        <w:t xml:space="preserve"> derde </w:t>
      </w:r>
      <w:r>
        <w:t xml:space="preserve">van de stikstofuitstoot bij levering in de stad, en een kwart op snelweg. Verder is het verantwoordelijk voor 15% van de </w:t>
      </w:r>
      <w:r w:rsidRPr="00181226">
        <w:t>CO</w:t>
      </w:r>
      <w:r w:rsidRPr="00BB39E8">
        <w:rPr>
          <w:vertAlign w:val="subscript"/>
        </w:rPr>
        <w:t>2</w:t>
      </w:r>
      <w:r w:rsidRPr="00181226">
        <w:t>-uitstoot van geconditioneerde levering</w:t>
      </w:r>
      <w:r>
        <w:t xml:space="preserve"> binnen de stad, en 8% op de snelweg.</w:t>
      </w:r>
      <w:r w:rsidRPr="00181226" w:rsidR="00181226">
        <w:t xml:space="preserve"> Het eindrapport bevestigt dat de </w:t>
      </w:r>
      <w:r w:rsidRPr="00181226" w:rsidR="006D0946">
        <w:t>CO</w:t>
      </w:r>
      <w:r w:rsidRPr="00BB39E8" w:rsidR="006D0946">
        <w:rPr>
          <w:vertAlign w:val="subscript"/>
        </w:rPr>
        <w:t>2</w:t>
      </w:r>
      <w:r w:rsidRPr="00181226" w:rsidR="00181226">
        <w:t xml:space="preserve">-, stikstof- en fijnstofemissie van </w:t>
      </w:r>
      <w:r w:rsidRPr="00181226" w:rsidR="00B724B1">
        <w:t>diesel aangedreven</w:t>
      </w:r>
      <w:r w:rsidRPr="00181226" w:rsidR="00181226">
        <w:t xml:space="preserve"> koelaggregaten aanzienlijk is. De </w:t>
      </w:r>
      <w:r w:rsidRPr="00181226">
        <w:t>CO</w:t>
      </w:r>
      <w:r w:rsidRPr="00BB39E8">
        <w:rPr>
          <w:vertAlign w:val="subscript"/>
        </w:rPr>
        <w:t>2</w:t>
      </w:r>
      <w:r>
        <w:t xml:space="preserve">- </w:t>
      </w:r>
      <w:r w:rsidRPr="00181226" w:rsidR="00181226">
        <w:t>en stikstofuitstoot van diesel koelmotoren bedraagt respectievelijk 0,3 Mton en 1,8 kton. De fijnstofemissie van diesel koelunits komt uit op 0,13 kton. Nederland zet zich internationaal in voor een aanscherping van de emissienormen voor mobiele machines om deze uitstoot naar beneden te brengen.</w:t>
      </w:r>
    </w:p>
    <w:bookmarkEnd w:id="10"/>
    <w:p w:rsidRPr="00454A3B" w:rsidR="00DA55EC" w:rsidP="008E4A46" w:rsidRDefault="00DA55EC" w14:paraId="75EB52C6" w14:textId="77777777"/>
    <w:p w:rsidRPr="00181226" w:rsidR="00181226" w:rsidP="00181226" w:rsidRDefault="00181226" w14:paraId="094F1B13" w14:textId="3E16CDE5">
      <w:pPr>
        <w:pStyle w:val="WitregelW1bodytekst"/>
      </w:pPr>
      <w:bookmarkStart w:name="_Hlk205200975" w:id="11"/>
      <w:r w:rsidRPr="00181226">
        <w:t>In het kader van de verduurzaming van geconditioneerd vervoer</w:t>
      </w:r>
      <w:r w:rsidR="00464399">
        <w:t xml:space="preserve"> </w:t>
      </w:r>
      <w:r w:rsidR="00D67B3B">
        <w:t xml:space="preserve">is aan </w:t>
      </w:r>
      <w:r w:rsidRPr="00181226">
        <w:t xml:space="preserve">het adviesbureau Districon </w:t>
      </w:r>
      <w:r w:rsidR="00D67B3B">
        <w:t xml:space="preserve">de </w:t>
      </w:r>
      <w:r w:rsidRPr="00181226">
        <w:t>opdracht</w:t>
      </w:r>
      <w:r w:rsidR="00D67B3B">
        <w:t xml:space="preserve"> gegeven </w:t>
      </w:r>
      <w:r w:rsidR="007C6136">
        <w:t xml:space="preserve">een </w:t>
      </w:r>
      <w:r w:rsidRPr="00181226">
        <w:t>marktverkenning uit</w:t>
      </w:r>
      <w:r w:rsidR="00D67B3B">
        <w:t xml:space="preserve"> te voeren </w:t>
      </w:r>
      <w:r w:rsidRPr="00181226">
        <w:t>naar de geconditioneerd</w:t>
      </w:r>
      <w:r w:rsidR="006317A7">
        <w:t>e</w:t>
      </w:r>
      <w:r w:rsidRPr="00181226">
        <w:t xml:space="preserve"> vervoerssector. </w:t>
      </w:r>
      <w:r w:rsidR="007B682B">
        <w:t xml:space="preserve">Deze marktverkenning is bijgevoegd als bijlage </w:t>
      </w:r>
      <w:r w:rsidR="0024245B">
        <w:t>7</w:t>
      </w:r>
      <w:r w:rsidR="007B682B">
        <w:t xml:space="preserve">. </w:t>
      </w:r>
      <w:r w:rsidRPr="00181226" w:rsidR="007C6136">
        <w:t xml:space="preserve">Zero-emissie koelmotoren zijn beschikbaar, maar worden in de praktijk nog weinig ingezet. </w:t>
      </w:r>
      <w:r w:rsidRPr="00181226">
        <w:t xml:space="preserve">Uit de marktverkenning is naar voren gekomen dat de sector openstaat voor verdere stappen in de transitie naar emissievrij geconditioneerd vervoer. Het </w:t>
      </w:r>
      <w:r w:rsidR="00220B87">
        <w:t>m</w:t>
      </w:r>
      <w:r w:rsidRPr="00181226">
        <w:t xml:space="preserve">inisterie gebruikt de uitkomsten van de marktanalyse om gezamenlijk met de sector te werken aan een breed gedragen plan </w:t>
      </w:r>
      <w:bookmarkStart w:name="_Hlk205198607" w:id="12"/>
      <w:r w:rsidRPr="00181226">
        <w:t>om de transitie naar zero-emissie koelmotoren in het geconditioneerd vervoer te versnellen</w:t>
      </w:r>
      <w:bookmarkEnd w:id="12"/>
      <w:r w:rsidRPr="00181226">
        <w:t>.</w:t>
      </w:r>
    </w:p>
    <w:bookmarkEnd w:id="11"/>
    <w:p w:rsidRPr="00760C2B" w:rsidR="007569B0" w:rsidP="00760C2B" w:rsidRDefault="007569B0" w14:paraId="2A93CDA8" w14:textId="77777777"/>
    <w:p w:rsidR="008161EF" w:rsidP="00760C2B" w:rsidRDefault="002563D1" w14:paraId="79844EB5" w14:textId="5CE0E2AD">
      <w:pPr>
        <w:rPr>
          <w:b/>
          <w:bCs/>
        </w:rPr>
      </w:pPr>
      <w:bookmarkStart w:name="_Hlk206660141" w:id="13"/>
      <w:r w:rsidRPr="00466BCD">
        <w:rPr>
          <w:u w:val="single"/>
        </w:rPr>
        <w:t>Onderzoek gevolgen ETS2 op leveringsconstructies brandstoffen</w:t>
      </w:r>
      <w:r w:rsidRPr="002563D1" w:rsidDel="002563D1">
        <w:rPr>
          <w:b/>
          <w:bCs/>
        </w:rPr>
        <w:t xml:space="preserve"> </w:t>
      </w:r>
      <w:bookmarkStart w:name="_Hlk205200987" w:id="14"/>
    </w:p>
    <w:p w:rsidR="008161EF" w:rsidP="00760C2B" w:rsidRDefault="008161EF" w14:paraId="075E703B" w14:textId="05CC0227">
      <w:r w:rsidRPr="00421072">
        <w:t xml:space="preserve">Recent heeft IenW een verkennend onderzoek laten uitvoeren van de mogelijke gevolgen van ETS2 op </w:t>
      </w:r>
      <w:r>
        <w:t>bepaalde</w:t>
      </w:r>
      <w:r w:rsidRPr="006F327F">
        <w:t xml:space="preserve"> </w:t>
      </w:r>
      <w:r>
        <w:t>leveringsconstructies</w:t>
      </w:r>
      <w:r w:rsidRPr="00421072" w:rsidDel="006F327F">
        <w:t xml:space="preserve"> </w:t>
      </w:r>
      <w:r w:rsidRPr="00421072">
        <w:t xml:space="preserve">van (hernieuwbare) brandstoffen, </w:t>
      </w:r>
      <w:r>
        <w:t>nadat marktpartijen</w:t>
      </w:r>
      <w:r w:rsidRPr="00421072">
        <w:t xml:space="preserve"> zorgen </w:t>
      </w:r>
      <w:r>
        <w:t xml:space="preserve">uitten </w:t>
      </w:r>
      <w:r w:rsidRPr="00421072">
        <w:t>over de gevolgen voor de bran</w:t>
      </w:r>
      <w:r>
        <w:t>d</w:t>
      </w:r>
      <w:r w:rsidRPr="00421072">
        <w:t xml:space="preserve">stoffenmarkt. </w:t>
      </w:r>
      <w:r w:rsidR="004D6C95">
        <w:t>Dit</w:t>
      </w:r>
      <w:r w:rsidRPr="00421072" w:rsidR="004D6C95">
        <w:t xml:space="preserve"> onderzoek </w:t>
      </w:r>
      <w:r w:rsidR="004D6C95">
        <w:t xml:space="preserve">is als bijlage 8 </w:t>
      </w:r>
      <w:r w:rsidRPr="00421072" w:rsidR="004D6C95">
        <w:t>opgenomen.</w:t>
      </w:r>
    </w:p>
    <w:p w:rsidR="00AA7986" w:rsidP="00760C2B" w:rsidRDefault="00421072" w14:paraId="20926983" w14:textId="77777777">
      <w:r w:rsidRPr="00421072">
        <w:t>Brandstofleveranciers willen graag vanaf verschillende accijnsgoederenplaatsen kunnen leveren</w:t>
      </w:r>
      <w:r w:rsidR="004376BA">
        <w:t>. Dit heeft te maken</w:t>
      </w:r>
      <w:r w:rsidRPr="00421072">
        <w:t xml:space="preserve"> met wisselende leveringsmogelijkheden of voordelen qua logistiek of brandstofprijzen. </w:t>
      </w:r>
      <w:r w:rsidR="007B2F40">
        <w:t xml:space="preserve">Accijnsgoederenplaatsen zijn plekken waar goederen opgeslagen worden waar accijns over betaald moet worden. De accijns hoeven pas betaald te worden als de goederen worden </w:t>
      </w:r>
      <w:r w:rsidR="00694259">
        <w:t>vervoerd uit de opslagplaats</w:t>
      </w:r>
      <w:r w:rsidR="007B2F40">
        <w:t xml:space="preserve">. </w:t>
      </w:r>
      <w:r w:rsidR="006F327F">
        <w:t>Het is</w:t>
      </w:r>
      <w:r w:rsidRPr="00421072">
        <w:t xml:space="preserve"> accijnstechnisch mogelijk gemaakt om rechtstreeks vanaf een depot van een andere vergunninghouder te leveren</w:t>
      </w:r>
      <w:r w:rsidR="006F327F">
        <w:t xml:space="preserve"> zodat partijen zonder opslagcapaciteit aan de jaarverplichting van de RED kunnen voldoen</w:t>
      </w:r>
      <w:r w:rsidRPr="00421072">
        <w:t xml:space="preserve">. </w:t>
      </w:r>
      <w:r w:rsidR="006F327F">
        <w:t>Dit is een</w:t>
      </w:r>
      <w:r w:rsidRPr="00421072">
        <w:t xml:space="preserve"> A</w:t>
      </w:r>
      <w:r w:rsidR="00E07B21">
        <w:t>-</w:t>
      </w:r>
      <w:r w:rsidRPr="00421072">
        <w:t>B</w:t>
      </w:r>
      <w:r w:rsidR="00E07B21">
        <w:t>-</w:t>
      </w:r>
      <w:r w:rsidRPr="00421072">
        <w:t>C-</w:t>
      </w:r>
      <w:r w:rsidR="006F327F">
        <w:t>leveringsconstructie</w:t>
      </w:r>
      <w:r w:rsidRPr="00421072">
        <w:t xml:space="preserve">. </w:t>
      </w:r>
      <w:r w:rsidR="008161EF">
        <w:t>Marktpartijen hebben zorgen geuit omdat d</w:t>
      </w:r>
      <w:r w:rsidR="006F327F">
        <w:t xml:space="preserve">eze leveringsconstructies geen uitstootrechten </w:t>
      </w:r>
      <w:r w:rsidR="008161EF">
        <w:t xml:space="preserve">zouden </w:t>
      </w:r>
      <w:r w:rsidR="006F327F">
        <w:t xml:space="preserve">opleveren binnen ETS2. Hiermee zouden de leveringsconstructies af kunnen nemen. </w:t>
      </w:r>
    </w:p>
    <w:p w:rsidR="00AA7986" w:rsidP="00760C2B" w:rsidRDefault="00AA7986" w14:paraId="4718EAFD" w14:textId="77777777"/>
    <w:p w:rsidR="004376BA" w:rsidP="00760C2B" w:rsidRDefault="00421072" w14:paraId="12B2B7E0" w14:textId="2BE68F6C">
      <w:r w:rsidRPr="00421072">
        <w:t xml:space="preserve">Het rapport brengt in beeld hoe deze leveringsconstructies werken, wat de rol ervan is in de Nederlandse brandstofmarkt, en verkent mogelijke effecten van ETS2 op de marktwerking, logistiek en beleidsuitvoering van de </w:t>
      </w:r>
      <w:r w:rsidR="002563D1">
        <w:t>b</w:t>
      </w:r>
      <w:r w:rsidRPr="00421072">
        <w:t xml:space="preserve">randstoftransitieverplichting. </w:t>
      </w:r>
    </w:p>
    <w:p w:rsidR="004376BA" w:rsidP="00760C2B" w:rsidRDefault="004376BA" w14:paraId="6A89500D" w14:textId="77777777"/>
    <w:p w:rsidR="004376BA" w:rsidP="00760C2B" w:rsidRDefault="00421072" w14:paraId="6DEF0BA7" w14:textId="29BE7026">
      <w:r w:rsidRPr="00421072">
        <w:t>De resultaten van het onderzoek laten zien dat een mogelijke afname van A</w:t>
      </w:r>
      <w:r w:rsidR="006450D4">
        <w:t>-</w:t>
      </w:r>
      <w:r w:rsidRPr="00421072">
        <w:t>B</w:t>
      </w:r>
      <w:r w:rsidR="006450D4">
        <w:t>-</w:t>
      </w:r>
      <w:r w:rsidRPr="00421072">
        <w:t>C-</w:t>
      </w:r>
      <w:r w:rsidRPr="006F327F" w:rsidR="006F327F">
        <w:t xml:space="preserve"> </w:t>
      </w:r>
      <w:r w:rsidR="006F327F">
        <w:t>leveringsconstructies</w:t>
      </w:r>
      <w:r w:rsidRPr="00421072" w:rsidDel="006F327F" w:rsidR="006F327F">
        <w:t xml:space="preserve"> </w:t>
      </w:r>
      <w:r w:rsidRPr="00421072">
        <w:t xml:space="preserve">in sommige regio’s met beperkte </w:t>
      </w:r>
      <w:r w:rsidR="007B2F40">
        <w:t>opslag</w:t>
      </w:r>
      <w:r w:rsidRPr="00421072">
        <w:t>capaciteit zou kunnen bijdragen aan een toename van marktconcentratie.</w:t>
      </w:r>
      <w:r w:rsidR="004035C0">
        <w:t xml:space="preserve"> Volgens het onderzoek zouden er mogelijk </w:t>
      </w:r>
      <w:r w:rsidR="006F327F">
        <w:t xml:space="preserve">een kleiner aantal partijen </w:t>
      </w:r>
      <w:r w:rsidR="004035C0">
        <w:t>zich op deze markt kunnen begeven</w:t>
      </w:r>
      <w:r w:rsidR="006F327F">
        <w:t xml:space="preserve">. </w:t>
      </w:r>
      <w:r w:rsidRPr="00421072">
        <w:t xml:space="preserve">Ook wordt gesignaleerd dat de werking van </w:t>
      </w:r>
      <w:r w:rsidR="004376BA">
        <w:t xml:space="preserve">systematiek van </w:t>
      </w:r>
      <w:r w:rsidR="001001AC">
        <w:t xml:space="preserve">hernieuwbare brandstofeenheden (HBE) of </w:t>
      </w:r>
      <w:r w:rsidR="004376BA">
        <w:t xml:space="preserve">de systematiek van </w:t>
      </w:r>
      <w:r w:rsidRPr="001001AC" w:rsidR="001001AC">
        <w:t>emissiereductie-eenhed</w:t>
      </w:r>
      <w:r w:rsidR="001001AC">
        <w:t>en</w:t>
      </w:r>
      <w:r w:rsidRPr="001001AC" w:rsidR="001001AC">
        <w:t xml:space="preserve"> (ERE)</w:t>
      </w:r>
      <w:r w:rsidRPr="00421072" w:rsidDel="00AC550A" w:rsidR="00AC550A">
        <w:t xml:space="preserve"> </w:t>
      </w:r>
      <w:r w:rsidRPr="00421072">
        <w:t>in bepaalde gevallen onder druk zou kunnen komen te staan</w:t>
      </w:r>
      <w:r w:rsidR="00AC550A">
        <w:t>. ERE is het nieuwe systeem dat de HBE</w:t>
      </w:r>
      <w:r w:rsidR="00BB6F57">
        <w:t>-</w:t>
      </w:r>
      <w:r w:rsidR="00AC550A">
        <w:t xml:space="preserve">systematiek </w:t>
      </w:r>
      <w:r w:rsidR="004376BA">
        <w:t>zal</w:t>
      </w:r>
      <w:r w:rsidR="00AC550A">
        <w:t xml:space="preserve"> vervangen. Verdere marktconcentratie heeft</w:t>
      </w:r>
      <w:r w:rsidRPr="00421072">
        <w:t xml:space="preserve"> </w:t>
      </w:r>
      <w:r w:rsidR="004376BA">
        <w:t xml:space="preserve">daarnaast </w:t>
      </w:r>
      <w:r w:rsidRPr="00421072">
        <w:t xml:space="preserve">mogelijk gevolgen heeft voor transparantie, marktwerking en innovatie in de sector. Het onderzoek schetst de effecten, maar geeft </w:t>
      </w:r>
      <w:r w:rsidR="007B2F40">
        <w:t>niet veel cijfermatige</w:t>
      </w:r>
      <w:r w:rsidRPr="00421072">
        <w:t xml:space="preserve"> </w:t>
      </w:r>
      <w:r w:rsidR="007B2F40">
        <w:t>uitleg</w:t>
      </w:r>
      <w:r w:rsidRPr="00421072" w:rsidR="007B2F40">
        <w:t xml:space="preserve"> </w:t>
      </w:r>
      <w:r w:rsidRPr="00421072">
        <w:t xml:space="preserve">ten aanzien </w:t>
      </w:r>
      <w:r w:rsidR="006317A7">
        <w:t>van de</w:t>
      </w:r>
      <w:r w:rsidRPr="00421072">
        <w:t xml:space="preserve"> impact op de sector. </w:t>
      </w:r>
    </w:p>
    <w:p w:rsidR="004376BA" w:rsidP="00760C2B" w:rsidRDefault="004376BA" w14:paraId="1E3355A7" w14:textId="77777777"/>
    <w:p w:rsidRPr="00421072" w:rsidR="00421072" w:rsidP="00760C2B" w:rsidRDefault="00421072" w14:paraId="50609F28" w14:textId="7DB9BD20">
      <w:r w:rsidRPr="00421072">
        <w:t>Op basis van de huidige inzichten is er g</w:t>
      </w:r>
      <w:r>
        <w:t>ee</w:t>
      </w:r>
      <w:r w:rsidRPr="00421072">
        <w:t xml:space="preserve">n aanleiding voor aanpassingen in </w:t>
      </w:r>
      <w:r w:rsidRPr="00421072" w:rsidR="00475BF4">
        <w:t>wet-</w:t>
      </w:r>
      <w:r w:rsidRPr="00421072">
        <w:t xml:space="preserve"> en regelgeving. </w:t>
      </w:r>
      <w:r w:rsidR="006317A7">
        <w:t xml:space="preserve">De ministeries van </w:t>
      </w:r>
      <w:r w:rsidRPr="00421072">
        <w:t xml:space="preserve">IenW en </w:t>
      </w:r>
      <w:r w:rsidR="006317A7">
        <w:t>KGG</w:t>
      </w:r>
      <w:r w:rsidR="006317A7">
        <w:softHyphen/>
      </w:r>
      <w:r w:rsidR="006317A7">
        <w:softHyphen/>
      </w:r>
      <w:r w:rsidRPr="00421072">
        <w:t xml:space="preserve"> blijven de ontwikkelingen </w:t>
      </w:r>
      <w:r w:rsidR="007B2F40">
        <w:t>volgen</w:t>
      </w:r>
      <w:r w:rsidRPr="00421072" w:rsidR="007B2F40">
        <w:t xml:space="preserve"> </w:t>
      </w:r>
      <w:r w:rsidRPr="00421072">
        <w:t>en kunnen alternatie</w:t>
      </w:r>
      <w:r w:rsidR="004035C0">
        <w:t xml:space="preserve">ven </w:t>
      </w:r>
      <w:r w:rsidRPr="00421072">
        <w:t xml:space="preserve">voorstellen als daar aanleiding </w:t>
      </w:r>
      <w:r w:rsidR="007B2F40">
        <w:t>voor</w:t>
      </w:r>
      <w:r w:rsidRPr="00421072" w:rsidR="007B2F40">
        <w:t xml:space="preserve"> </w:t>
      </w:r>
      <w:r w:rsidRPr="00421072">
        <w:t xml:space="preserve">is. De uitkomsten </w:t>
      </w:r>
      <w:r w:rsidR="004376BA">
        <w:t xml:space="preserve">van het onderzoek </w:t>
      </w:r>
      <w:r w:rsidRPr="00421072">
        <w:t xml:space="preserve">sterken IenW om de inzet op lopende initiatieven </w:t>
      </w:r>
      <w:r w:rsidR="007B2F40">
        <w:t xml:space="preserve">voort </w:t>
      </w:r>
      <w:r w:rsidRPr="00421072">
        <w:t>te</w:t>
      </w:r>
      <w:r w:rsidR="007B2F40">
        <w:t xml:space="preserve"> zetten</w:t>
      </w:r>
      <w:r w:rsidR="004376BA">
        <w:t>.</w:t>
      </w:r>
      <w:r w:rsidRPr="00421072">
        <w:t xml:space="preserve"> </w:t>
      </w:r>
      <w:r w:rsidR="004376BA">
        <w:t xml:space="preserve">Deze initiatieven zorgen voor meer duidelijkheid in de brandstofketen, </w:t>
      </w:r>
      <w:r w:rsidR="00AE448C">
        <w:t>en helpen om duurzaamheid in de keten te verbeteren. Voorbeelden van initiatieven zijn</w:t>
      </w:r>
      <w:r w:rsidRPr="00421072" w:rsidR="00AE448C">
        <w:t xml:space="preserve"> </w:t>
      </w:r>
      <w:r w:rsidRPr="00421072">
        <w:t>de Unie-databank, het productpaspoort en het project Clean Fuel Contracts</w:t>
      </w:r>
      <w:r w:rsidR="00AE448C">
        <w:t>. Dit project</w:t>
      </w:r>
      <w:r w:rsidR="004035C0">
        <w:t xml:space="preserve"> </w:t>
      </w:r>
      <w:r w:rsidR="00AE448C">
        <w:t xml:space="preserve">wil zorgen voor meer </w:t>
      </w:r>
      <w:r w:rsidRPr="00421072">
        <w:t xml:space="preserve">inzicht en </w:t>
      </w:r>
      <w:r w:rsidR="00AE448C">
        <w:t xml:space="preserve">duidelijke </w:t>
      </w:r>
      <w:r w:rsidRPr="00421072">
        <w:t>afspraken binnen de keten.</w:t>
      </w:r>
    </w:p>
    <w:bookmarkEnd w:id="13"/>
    <w:bookmarkEnd w:id="14"/>
    <w:p w:rsidR="00A42117" w:rsidP="00A42117" w:rsidRDefault="00A42117" w14:paraId="47089229" w14:textId="77777777"/>
    <w:p w:rsidRPr="00466BCD" w:rsidR="00EE606C" w:rsidP="00EE606C" w:rsidRDefault="00911A1A" w14:paraId="4D4745FA" w14:textId="4E578F13">
      <w:pPr>
        <w:rPr>
          <w:u w:val="single"/>
        </w:rPr>
      </w:pPr>
      <w:bookmarkStart w:name="_Hlk206672878" w:id="15"/>
      <w:r w:rsidRPr="00466BCD">
        <w:rPr>
          <w:u w:val="single"/>
        </w:rPr>
        <w:t>Analyse</w:t>
      </w:r>
      <w:r w:rsidRPr="00466BCD" w:rsidR="00A42117">
        <w:rPr>
          <w:u w:val="single"/>
        </w:rPr>
        <w:t xml:space="preserve"> marktverstorings</w:t>
      </w:r>
      <w:r w:rsidRPr="00466BCD" w:rsidR="00ED4DE9">
        <w:rPr>
          <w:u w:val="single"/>
        </w:rPr>
        <w:t xml:space="preserve">- en frauderisico’s </w:t>
      </w:r>
      <w:r w:rsidRPr="00466BCD">
        <w:rPr>
          <w:u w:val="single"/>
        </w:rPr>
        <w:t>biogrondstoffen</w:t>
      </w:r>
      <w:r w:rsidRPr="00466BCD" w:rsidR="00A42117">
        <w:rPr>
          <w:u w:val="single"/>
        </w:rPr>
        <w:t xml:space="preserve"> </w:t>
      </w:r>
    </w:p>
    <w:p w:rsidR="000D5338" w:rsidP="002554DF" w:rsidRDefault="002554DF" w14:paraId="42999BB7" w14:textId="240B6EC7">
      <w:bookmarkStart w:name="_Hlk206683281" w:id="16"/>
      <w:r>
        <w:t>In verband met de implementatie van de RED-III wordt de brandstoftransit</w:t>
      </w:r>
      <w:r w:rsidR="000D5338">
        <w:t>i</w:t>
      </w:r>
      <w:r>
        <w:t xml:space="preserve">everplichting </w:t>
      </w:r>
      <w:r w:rsidR="000D5338">
        <w:t xml:space="preserve">in 2026 </w:t>
      </w:r>
      <w:r>
        <w:t xml:space="preserve">hervormd. </w:t>
      </w:r>
      <w:r w:rsidR="00133B90">
        <w:t>V</w:t>
      </w:r>
      <w:r w:rsidR="000D5338">
        <w:t>anwege deze hervorming</w:t>
      </w:r>
      <w:r>
        <w:t xml:space="preserve"> </w:t>
      </w:r>
      <w:r w:rsidR="00133B90">
        <w:t>heeft Guidehouse</w:t>
      </w:r>
      <w:r w:rsidR="0024245B">
        <w:t>, een internationale consultancy,</w:t>
      </w:r>
      <w:r w:rsidR="00133B90">
        <w:t xml:space="preserve"> </w:t>
      </w:r>
      <w:r>
        <w:t>in opdracht van de Rijksdienst voor Ondernemend Nederland (RVO) een analyse uitgevoerd naar de marktverstorings- en frauderisico’s van het gebruik van bepaalde grondstoffen voor biobrandstofproductie. Dit rapport</w:t>
      </w:r>
      <w:r w:rsidR="006317A7">
        <w:t>,</w:t>
      </w:r>
      <w:r>
        <w:t xml:space="preserve"> </w:t>
      </w:r>
      <w:r w:rsidR="008161EF">
        <w:t>dat is bijgevoegd in bijlage 9</w:t>
      </w:r>
      <w:r w:rsidR="006317A7">
        <w:t>,</w:t>
      </w:r>
      <w:r w:rsidR="008161EF">
        <w:t xml:space="preserve"> </w:t>
      </w:r>
      <w:r>
        <w:t xml:space="preserve">biedt beslisinformatie voor het toelaten van grondstoffen die niet onder de </w:t>
      </w:r>
      <w:r w:rsidR="00CA57C5">
        <w:t xml:space="preserve">bestaande </w:t>
      </w:r>
      <w:r>
        <w:t>Europese categorieën vallen. Het rapport concludeert dat verschillende grondstoffen een verhoogd risico op marktverstoring of fraude hebben.</w:t>
      </w:r>
    </w:p>
    <w:p w:rsidR="000D5338" w:rsidP="002554DF" w:rsidRDefault="000D5338" w14:paraId="4FCB4AD3" w14:textId="77777777"/>
    <w:p w:rsidR="000D5338" w:rsidP="002554DF" w:rsidRDefault="000D5338" w14:paraId="6F5E9489" w14:textId="62135533">
      <w:r>
        <w:t>M</w:t>
      </w:r>
      <w:r w:rsidR="002554DF">
        <w:t xml:space="preserve">arktverstoring zou zich </w:t>
      </w:r>
      <w:r w:rsidR="00CA57C5">
        <w:t xml:space="preserve">kunnen </w:t>
      </w:r>
      <w:r w:rsidR="002554DF">
        <w:t xml:space="preserve">uiten in een stijgende inzet van de grondstof voor biobrandstofproductie, </w:t>
      </w:r>
      <w:r w:rsidR="00CA57C5">
        <w:t>en</w:t>
      </w:r>
      <w:r w:rsidR="002554DF">
        <w:t xml:space="preserve"> in een dalende inzet van de grondstof voor </w:t>
      </w:r>
      <w:r w:rsidR="00CA57C5">
        <w:t>andere</w:t>
      </w:r>
      <w:r w:rsidR="002554DF">
        <w:t xml:space="preserve"> toepassingen. </w:t>
      </w:r>
      <w:r>
        <w:t xml:space="preserve">Mede als gevolg van dit onderzoek zal in de Regeling energie vervoer daarom een dempingsfactor van 0,5 op bepaalde vetten ingesteld worden. Zonder deze correctie zou deze grondstofcategorie namelijk twee keer zo aantrekkelijk worden voor inzet in brandstoffen als op </w:t>
      </w:r>
      <w:r w:rsidR="00CA57C5">
        <w:t xml:space="preserve">dit </w:t>
      </w:r>
      <w:r>
        <w:t>moment. Deze grondstof kan echter ook worden ingezet voor hoogwaardiger toepassingen, zoals in cosmeticaproducten.</w:t>
      </w:r>
      <w:r w:rsidR="00CA57C5">
        <w:t xml:space="preserve"> Hier zouden daarom tekorten kunnen ontstaan.</w:t>
      </w:r>
    </w:p>
    <w:p w:rsidR="000D5338" w:rsidP="002554DF" w:rsidRDefault="000D5338" w14:paraId="03C7616F" w14:textId="77777777"/>
    <w:p w:rsidR="002554DF" w:rsidP="002554DF" w:rsidRDefault="002554DF" w14:paraId="2038AF48" w14:textId="26081D14">
      <w:r>
        <w:t>Grondstoffen met een verhoogd frauderisico krijgen geen dempingsfactor, omdat verbeteringen in het systeem nodig zijn om deze risico’s te dempen. Het verminderen van frauderisico’s wordt gedaan in Europees verband</w:t>
      </w:r>
      <w:r w:rsidR="00CA57C5">
        <w:t xml:space="preserve">. </w:t>
      </w:r>
      <w:r>
        <w:t>IenW werkt samen met de Europese Commissie aan voorstellen om frauderisico’s te dempen.</w:t>
      </w:r>
    </w:p>
    <w:bookmarkEnd w:id="15"/>
    <w:bookmarkEnd w:id="16"/>
    <w:p w:rsidR="00E07B21" w:rsidP="00E77221" w:rsidRDefault="00E07B21" w14:paraId="1B0137C3" w14:textId="77777777">
      <w:pPr>
        <w:rPr>
          <w:b/>
          <w:bCs/>
        </w:rPr>
      </w:pPr>
    </w:p>
    <w:p w:rsidRPr="001A617E" w:rsidR="001A617E" w:rsidP="00760C2B" w:rsidRDefault="001A617E" w14:paraId="1EF83149" w14:textId="714C04A9">
      <w:pPr>
        <w:rPr>
          <w:b/>
          <w:bCs/>
        </w:rPr>
      </w:pPr>
      <w:r w:rsidRPr="00466BCD">
        <w:rPr>
          <w:u w:val="single"/>
        </w:rPr>
        <w:t>Resultaten Regeling bevordering schone wegvoertuigen 2024</w:t>
      </w:r>
      <w:r w:rsidRPr="00466BCD">
        <w:rPr>
          <w:u w:val="single"/>
        </w:rPr>
        <w:br/>
      </w:r>
      <w:bookmarkStart w:name="_Hlk199861837" w:id="17"/>
      <w:r w:rsidRPr="001A617E">
        <w:t xml:space="preserve">Sinds 2 augustus 2021 is de Europese richtlijn voor schone voertuigen, de </w:t>
      </w:r>
      <w:r w:rsidRPr="00BB6F57">
        <w:rPr>
          <w:i/>
          <w:iCs/>
        </w:rPr>
        <w:t>Clean Vehicles Directive</w:t>
      </w:r>
      <w:r w:rsidRPr="001A617E">
        <w:t xml:space="preserve">, van kracht. In Nederland is deze richtlijn geïmplementeerd in de </w:t>
      </w:r>
      <w:r w:rsidRPr="009B7732" w:rsidR="009B7732">
        <w:t>Resultaten Regeling bevordering schone wegvoertuigen (Rbsw)</w:t>
      </w:r>
      <w:r w:rsidR="009B7732">
        <w:t xml:space="preserve"> </w:t>
      </w:r>
      <w:r w:rsidRPr="001A617E">
        <w:t xml:space="preserve">binnen de Wet </w:t>
      </w:r>
      <w:r w:rsidR="002563D1">
        <w:t>m</w:t>
      </w:r>
      <w:r w:rsidRPr="001A617E">
        <w:t xml:space="preserve">ilieubeheer. </w:t>
      </w:r>
      <w:bookmarkEnd w:id="17"/>
      <w:r w:rsidRPr="001A617E">
        <w:t>De Rbsw bevat eisen voor de inkoop van schone- en emissievrije voertuigen en voertuigdiensten door aanbestedende diensten, zoals gemeenten, provincies, Rijk en publiekrechtelijke instellingen.</w:t>
      </w:r>
    </w:p>
    <w:p w:rsidRPr="001A617E" w:rsidR="001A617E" w:rsidP="001A617E" w:rsidRDefault="001A617E" w14:paraId="328777C7" w14:textId="77777777">
      <w:pPr>
        <w:pStyle w:val="WitregelW1bodytekst"/>
      </w:pPr>
      <w:r w:rsidRPr="001A617E">
        <w:t xml:space="preserve">Er zijn sinds de start van de regeling tot eind 2024 in totaal 16.806 voertuigen aanbesteed door alle aanbestedende diensten. Uit de monitoring door RVO blijkt dat er ruimschoots wordt voldaan aan de eisen van de Rbsw: </w:t>
      </w:r>
    </w:p>
    <w:p w:rsidRPr="001A617E" w:rsidR="001A617E" w:rsidP="001A617E" w:rsidRDefault="001A617E" w14:paraId="120ADC9C" w14:textId="226F745F">
      <w:pPr>
        <w:pStyle w:val="WitregelW1bodytekst"/>
        <w:numPr>
          <w:ilvl w:val="0"/>
          <w:numId w:val="24"/>
        </w:numPr>
      </w:pPr>
      <w:r w:rsidRPr="001A617E">
        <w:t xml:space="preserve">61 procent van de ingekochte </w:t>
      </w:r>
      <w:r w:rsidRPr="008E4A46" w:rsidR="00AE448C">
        <w:t>personenauto’s en bestelbusse</w:t>
      </w:r>
      <w:r w:rsidR="0024245B">
        <w:t>n</w:t>
      </w:r>
      <w:r w:rsidRPr="001A617E">
        <w:t xml:space="preserve"> </w:t>
      </w:r>
      <w:r w:rsidR="007E3BB7">
        <w:t xml:space="preserve">is schoon. Met schoon wordt </w:t>
      </w:r>
      <w:r w:rsidR="0024245B">
        <w:t xml:space="preserve">een </w:t>
      </w:r>
      <w:r w:rsidRPr="00AE448C" w:rsidR="00AE448C">
        <w:t>CO</w:t>
      </w:r>
      <w:r w:rsidRPr="008E4A46" w:rsidR="00AE448C">
        <w:rPr>
          <w:vertAlign w:val="subscript"/>
        </w:rPr>
        <w:t>2</w:t>
      </w:r>
      <w:r w:rsidRPr="00AE448C" w:rsidR="00AE448C">
        <w:t>-uitstoot van maximaal 50 gram per kilometer en maximaal 80% van de RDE</w:t>
      </w:r>
      <w:r w:rsidR="006A1545">
        <w:t>-</w:t>
      </w:r>
      <w:r w:rsidRPr="00AE448C" w:rsidR="00AE448C">
        <w:t>limietwaarden</w:t>
      </w:r>
      <w:r w:rsidRPr="0024245B" w:rsidR="0024245B">
        <w:t xml:space="preserve"> </w:t>
      </w:r>
      <w:r w:rsidR="0024245B">
        <w:t>bedoeld</w:t>
      </w:r>
      <w:r w:rsidR="00AE448C">
        <w:t>.</w:t>
      </w:r>
      <w:r w:rsidR="007E3BB7">
        <w:t xml:space="preserve"> </w:t>
      </w:r>
      <w:r w:rsidRPr="001A617E">
        <w:t xml:space="preserve">59 procent </w:t>
      </w:r>
      <w:r w:rsidR="007E3BB7">
        <w:t xml:space="preserve">van deze categorie </w:t>
      </w:r>
      <w:r w:rsidR="00AE448C">
        <w:t xml:space="preserve">is </w:t>
      </w:r>
      <w:r w:rsidRPr="001A617E">
        <w:t>emissievrij</w:t>
      </w:r>
      <w:r w:rsidR="007E3BB7">
        <w:t>, 2 procent dus niet</w:t>
      </w:r>
      <w:r w:rsidRPr="001A617E">
        <w:t xml:space="preserve">. De regeling schrijft voor dat minimaal 38,5 procent van de ingekochte lichte voertuigen schoon moet zijn. </w:t>
      </w:r>
    </w:p>
    <w:p w:rsidRPr="001A617E" w:rsidR="001A617E" w:rsidP="001A617E" w:rsidRDefault="001A617E" w14:paraId="45BDF732" w14:textId="6551403C">
      <w:pPr>
        <w:pStyle w:val="WitregelW1bodytekst"/>
        <w:numPr>
          <w:ilvl w:val="0"/>
          <w:numId w:val="24"/>
        </w:numPr>
      </w:pPr>
      <w:r w:rsidRPr="001A617E">
        <w:t xml:space="preserve">Het aandeel schoon ingekochte </w:t>
      </w:r>
      <w:r w:rsidRPr="00AE448C" w:rsidR="00AE448C">
        <w:t>vrachtauto’s</w:t>
      </w:r>
      <w:r w:rsidR="00AE448C">
        <w:t xml:space="preserve">, </w:t>
      </w:r>
      <w:r w:rsidRPr="00AE448C" w:rsidR="00AE448C">
        <w:t>en reinigingsvoertuigen zoals vuilnisauto’s</w:t>
      </w:r>
      <w:r w:rsidRPr="001A617E">
        <w:t xml:space="preserve"> ligt op 44 procent</w:t>
      </w:r>
      <w:r w:rsidR="007E3BB7">
        <w:t xml:space="preserve">. </w:t>
      </w:r>
      <w:r w:rsidRPr="001A617E">
        <w:t xml:space="preserve">13 procent </w:t>
      </w:r>
      <w:r w:rsidR="007E3BB7">
        <w:t xml:space="preserve">van het totaal aantal ingekochte voertuigen in deze categorie is </w:t>
      </w:r>
      <w:r w:rsidRPr="001A617E">
        <w:t xml:space="preserve">emissievrij. De regeling schrijft voor dat minimaal 10 procent van de zware voertuigen schoon ingekocht moet worden. </w:t>
      </w:r>
      <w:r w:rsidRPr="00AE448C" w:rsidR="00AE448C">
        <w:t>Schoon betekent voor zware voertuigen en bussen dat deze volledig op alternatieve brandstoffen rijden, volgens de definitie in richtlijn 2014/94/EU</w:t>
      </w:r>
      <w:r w:rsidR="00AE448C">
        <w:t>.</w:t>
      </w:r>
    </w:p>
    <w:p w:rsidRPr="001A617E" w:rsidR="001A617E" w:rsidP="001A617E" w:rsidRDefault="001A617E" w14:paraId="23C102EF" w14:textId="791A298A">
      <w:pPr>
        <w:pStyle w:val="WitregelW1bodytekst"/>
        <w:numPr>
          <w:ilvl w:val="0"/>
          <w:numId w:val="24"/>
        </w:numPr>
      </w:pPr>
      <w:r w:rsidRPr="001A617E">
        <w:t xml:space="preserve">Voor </w:t>
      </w:r>
      <w:r w:rsidRPr="008E4A46">
        <w:t>bussen</w:t>
      </w:r>
      <w:r w:rsidRPr="001A617E">
        <w:t xml:space="preserve"> geldt dat 64 procent emissievrij ingekocht is</w:t>
      </w:r>
      <w:r w:rsidR="00AE448C">
        <w:t>. O</w:t>
      </w:r>
      <w:r w:rsidRPr="001A617E">
        <w:t>ok dit overtreft de eis van de regeling, waarin staat dat 45 procent schoon moet worden ingekocht, waarvan de helft emissievrij.</w:t>
      </w:r>
    </w:p>
    <w:p w:rsidRPr="006626A5" w:rsidR="001A617E" w:rsidP="001A617E" w:rsidRDefault="006A1545" w14:paraId="55E324B7" w14:textId="52FA5E4E">
      <w:pPr>
        <w:pStyle w:val="WitregelW1bodytekst"/>
      </w:pPr>
      <w:r>
        <w:t>D</w:t>
      </w:r>
      <w:r w:rsidRPr="001A617E" w:rsidR="001A617E">
        <w:t xml:space="preserve">eze resultaten </w:t>
      </w:r>
      <w:r>
        <w:t>zijn</w:t>
      </w:r>
      <w:r w:rsidRPr="001A617E" w:rsidR="001A617E">
        <w:t xml:space="preserve"> ook verwerkt in het Dashboard Klimaatbeleid</w:t>
      </w:r>
      <w:r w:rsidR="00435E8A">
        <w:t>.</w:t>
      </w:r>
      <w:r w:rsidRPr="001A617E" w:rsidR="001A617E">
        <w:rPr>
          <w:vertAlign w:val="superscript"/>
        </w:rPr>
        <w:footnoteReference w:id="19"/>
      </w:r>
    </w:p>
    <w:p w:rsidR="002F72B4" w:rsidP="001A617E" w:rsidRDefault="002F72B4" w14:paraId="46D1D2F6" w14:textId="77777777">
      <w:pPr>
        <w:pStyle w:val="WitregelW1bodytekst"/>
        <w:rPr>
          <w:b/>
          <w:bCs/>
        </w:rPr>
      </w:pPr>
    </w:p>
    <w:p w:rsidR="004B49CB" w:rsidP="005449FD" w:rsidRDefault="001A617E" w14:paraId="721F2B4D" w14:textId="62DA68FE">
      <w:pPr>
        <w:pStyle w:val="WitregelW1bodytekst"/>
      </w:pPr>
      <w:r w:rsidRPr="00466BCD">
        <w:rPr>
          <w:u w:val="single"/>
        </w:rPr>
        <w:t xml:space="preserve">Uniform verkeersbord zero-emissiezones </w:t>
      </w:r>
      <w:r w:rsidRPr="00466BCD">
        <w:rPr>
          <w:u w:val="single"/>
        </w:rPr>
        <w:br/>
      </w:r>
      <w:bookmarkStart w:name="_Hlk199315938" w:id="18"/>
      <w:r w:rsidRPr="001A617E">
        <w:t xml:space="preserve">De Kamer is eerder geïnformeerd over een ontwerpbesluit dat een uniform verkeersbord introduceert voor milieu- en zero-emissiezones en dat gemeenten de mogelijkheid geeft </w:t>
      </w:r>
      <w:r w:rsidRPr="00994107">
        <w:t>om zero-emissiezones voor taxi’s in te voeren.</w:t>
      </w:r>
      <w:r w:rsidRPr="00994107">
        <w:rPr>
          <w:vertAlign w:val="superscript"/>
        </w:rPr>
        <w:footnoteReference w:id="20"/>
      </w:r>
      <w:r w:rsidRPr="00994107">
        <w:t xml:space="preserve"> </w:t>
      </w:r>
      <w:bookmarkStart w:name="_Hlk206754784" w:id="20"/>
      <w:r w:rsidRPr="00994107">
        <w:t>Het ontwerpbesluit is gesplitst</w:t>
      </w:r>
      <w:r w:rsidRPr="00994107" w:rsidR="0061704B">
        <w:t xml:space="preserve">. </w:t>
      </w:r>
      <w:r w:rsidRPr="00994107" w:rsidR="00994107">
        <w:t>Het</w:t>
      </w:r>
      <w:r w:rsidRPr="00994107" w:rsidR="00CC39D3">
        <w:t xml:space="preserve"> deel</w:t>
      </w:r>
      <w:r w:rsidRPr="00994107" w:rsidR="00994107">
        <w:t xml:space="preserve"> dat het verkeersbord introduceert</w:t>
      </w:r>
      <w:r w:rsidRPr="00994107" w:rsidR="00CC39D3">
        <w:t xml:space="preserve"> is inmiddels met blanco advies teruggekomen van de Raad van Staten en wordt nu verder in procedure gebracht voor publicatie.</w:t>
      </w:r>
      <w:r w:rsidRPr="00994107">
        <w:t xml:space="preserve"> Over het deel van het ontwerpbesluit dat de mogelijkheid geeft om zero-emissiezones voor taxi’s in te voeren wordt </w:t>
      </w:r>
      <w:r w:rsidRPr="00994107" w:rsidR="00435E8A">
        <w:t>de Kamer</w:t>
      </w:r>
      <w:r w:rsidRPr="00994107">
        <w:t xml:space="preserve"> op een later moment geïnformeerd.</w:t>
      </w:r>
      <w:bookmarkEnd w:id="18"/>
      <w:bookmarkEnd w:id="20"/>
    </w:p>
    <w:p w:rsidR="003B4B58" w:rsidP="003B4B58" w:rsidRDefault="003B4B58" w14:paraId="35E150D3" w14:textId="38B0CFC3">
      <w:pPr>
        <w:pStyle w:val="Slotzin"/>
      </w:pPr>
      <w:r>
        <w:t>Hoogachtend,</w:t>
      </w:r>
    </w:p>
    <w:p w:rsidR="003B4B58" w:rsidP="003B4B58" w:rsidRDefault="003B4B58" w14:paraId="1FE67ED4" w14:textId="03F85A8C">
      <w:pPr>
        <w:pStyle w:val="OndertekeningArea1"/>
      </w:pPr>
      <w:r>
        <w:t>DE STAATSSECRETARIS VAN INFRASTRUCTUUR EN WATERSTAAT - OPENBAAR VERVOER EN MILIEU,</w:t>
      </w:r>
    </w:p>
    <w:p w:rsidR="003B4B58" w:rsidP="00454A3B" w:rsidRDefault="003B4B58" w14:paraId="689C4C20" w14:textId="77777777">
      <w:pPr>
        <w:pStyle w:val="OndertekeningArea1"/>
      </w:pPr>
    </w:p>
    <w:p w:rsidR="003B4B58" w:rsidP="003B4B58" w:rsidRDefault="003B4B58" w14:paraId="4F2161E8" w14:textId="77777777"/>
    <w:p w:rsidR="003B4B58" w:rsidP="003B4B58" w:rsidRDefault="003B4B58" w14:paraId="4EB5EBE7" w14:textId="77777777"/>
    <w:p w:rsidR="003B4B58" w:rsidP="003B4B58" w:rsidRDefault="003B4B58" w14:paraId="3427E8F7" w14:textId="77777777"/>
    <w:p w:rsidR="003B4B58" w:rsidP="003B4B58" w:rsidRDefault="003B4B58" w14:paraId="7A2122B8" w14:textId="77777777">
      <w:r>
        <w:t>A.A. (Thierry) Aartsen</w:t>
      </w:r>
    </w:p>
    <w:p w:rsidR="00261682" w:rsidRDefault="00261682" w14:paraId="042B238E" w14:textId="77777777"/>
    <w:p w:rsidR="00261682" w:rsidRDefault="00261682" w14:paraId="05FFB5A9" w14:textId="77777777"/>
    <w:p w:rsidR="0061704B" w:rsidRDefault="0061704B" w14:paraId="1AC247BD" w14:textId="37E79180"/>
    <w:sectPr w:rsidR="0061704B">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00D2E" w14:textId="77777777" w:rsidR="00E50C1C" w:rsidRDefault="00E50C1C">
      <w:pPr>
        <w:spacing w:line="240" w:lineRule="auto"/>
      </w:pPr>
      <w:r>
        <w:separator/>
      </w:r>
    </w:p>
  </w:endnote>
  <w:endnote w:type="continuationSeparator" w:id="0">
    <w:p w14:paraId="5A115544" w14:textId="77777777" w:rsidR="00E50C1C" w:rsidRDefault="00E50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4867E" w14:textId="77777777" w:rsidR="00E50C1C" w:rsidRDefault="00E50C1C">
      <w:pPr>
        <w:spacing w:line="240" w:lineRule="auto"/>
      </w:pPr>
      <w:r>
        <w:separator/>
      </w:r>
    </w:p>
  </w:footnote>
  <w:footnote w:type="continuationSeparator" w:id="0">
    <w:p w14:paraId="6F45C331" w14:textId="77777777" w:rsidR="00E50C1C" w:rsidRDefault="00E50C1C">
      <w:pPr>
        <w:spacing w:line="240" w:lineRule="auto"/>
      </w:pPr>
      <w:r>
        <w:continuationSeparator/>
      </w:r>
    </w:p>
  </w:footnote>
  <w:footnote w:id="1">
    <w:p w14:paraId="34F59043" w14:textId="77777777" w:rsidR="00B34329" w:rsidRPr="009E1045" w:rsidRDefault="00B34329" w:rsidP="00B34329">
      <w:pPr>
        <w:pStyle w:val="FootnoteText"/>
        <w:rPr>
          <w:sz w:val="16"/>
          <w:szCs w:val="16"/>
          <w:lang w:val="nl-NL"/>
        </w:rPr>
      </w:pPr>
      <w:r w:rsidRPr="009E1045">
        <w:rPr>
          <w:rStyle w:val="FootnoteReference"/>
          <w:sz w:val="16"/>
          <w:szCs w:val="16"/>
        </w:rPr>
        <w:footnoteRef/>
      </w:r>
      <w:r w:rsidRPr="008E4A46">
        <w:rPr>
          <w:lang w:val="nl-NL"/>
        </w:rPr>
        <w:t xml:space="preserve"> </w:t>
      </w:r>
      <w:r w:rsidRPr="009E1045">
        <w:rPr>
          <w:sz w:val="16"/>
          <w:szCs w:val="16"/>
          <w:lang w:val="nl-NL"/>
        </w:rPr>
        <w:t>Kamerstukken || 2023–24, 31 305, nr. 444</w:t>
      </w:r>
    </w:p>
  </w:footnote>
  <w:footnote w:id="2">
    <w:p w14:paraId="1B169CAC" w14:textId="77777777" w:rsidR="00B34329" w:rsidRPr="00F14C3E" w:rsidRDefault="00B34329" w:rsidP="00B34329">
      <w:pPr>
        <w:pStyle w:val="FootnoteText"/>
        <w:rPr>
          <w:sz w:val="16"/>
          <w:szCs w:val="16"/>
          <w:lang w:val="nl-NL"/>
        </w:rPr>
      </w:pPr>
      <w:r w:rsidRPr="000231EC">
        <w:rPr>
          <w:rStyle w:val="FootnoteReference"/>
          <w:sz w:val="16"/>
          <w:szCs w:val="16"/>
        </w:rPr>
        <w:footnoteRef/>
      </w:r>
      <w:r w:rsidRPr="008E4A46">
        <w:rPr>
          <w:lang w:val="nl-NL"/>
        </w:rPr>
        <w:t xml:space="preserve"> </w:t>
      </w:r>
      <w:r w:rsidRPr="009E1045">
        <w:rPr>
          <w:sz w:val="16"/>
          <w:szCs w:val="16"/>
          <w:lang w:val="nl-NL"/>
        </w:rPr>
        <w:t xml:space="preserve">Kamerstukken || </w:t>
      </w:r>
      <w:r w:rsidRPr="00F14C3E">
        <w:rPr>
          <w:sz w:val="16"/>
          <w:szCs w:val="16"/>
          <w:lang w:val="nl-NL"/>
        </w:rPr>
        <w:t>2024</w:t>
      </w:r>
      <w:r w:rsidRPr="009E1045">
        <w:rPr>
          <w:sz w:val="16"/>
          <w:szCs w:val="16"/>
          <w:lang w:val="nl-NL"/>
        </w:rPr>
        <w:t>–</w:t>
      </w:r>
      <w:r w:rsidRPr="00F14C3E">
        <w:rPr>
          <w:sz w:val="16"/>
          <w:szCs w:val="16"/>
          <w:lang w:val="nl-NL"/>
        </w:rPr>
        <w:t>25, 31 305, nr. 396</w:t>
      </w:r>
    </w:p>
  </w:footnote>
  <w:footnote w:id="3">
    <w:p w14:paraId="126F37BF" w14:textId="68A3A2AD" w:rsidR="009B7732" w:rsidRPr="00466BCD" w:rsidRDefault="009B7732">
      <w:pPr>
        <w:pStyle w:val="FootnoteText"/>
        <w:rPr>
          <w:lang w:val="nl-NL"/>
        </w:rPr>
      </w:pPr>
      <w:r w:rsidRPr="00466BCD">
        <w:rPr>
          <w:rStyle w:val="FootnoteReference"/>
          <w:sz w:val="16"/>
          <w:szCs w:val="16"/>
        </w:rPr>
        <w:footnoteRef/>
      </w:r>
      <w:r w:rsidRPr="00466BCD">
        <w:rPr>
          <w:lang w:val="nl-NL"/>
        </w:rPr>
        <w:t xml:space="preserve"> </w:t>
      </w:r>
      <w:r w:rsidR="00B2268D" w:rsidRPr="00466BCD">
        <w:rPr>
          <w:sz w:val="16"/>
          <w:szCs w:val="16"/>
          <w:lang w:val="nl-NL"/>
        </w:rPr>
        <w:t>Staatscourant 2022, 20956</w:t>
      </w:r>
    </w:p>
  </w:footnote>
  <w:footnote w:id="4">
    <w:p w14:paraId="024D4D4C" w14:textId="3E1D4A66" w:rsidR="005E51C4" w:rsidRPr="00466BCD" w:rsidRDefault="005E51C4">
      <w:pPr>
        <w:pStyle w:val="FootnoteText"/>
        <w:rPr>
          <w:lang w:val="nl-NL"/>
        </w:rPr>
      </w:pPr>
      <w:r w:rsidRPr="00466BCD">
        <w:rPr>
          <w:rStyle w:val="FootnoteReference"/>
          <w:sz w:val="16"/>
          <w:szCs w:val="16"/>
        </w:rPr>
        <w:footnoteRef/>
      </w:r>
      <w:r w:rsidRPr="00466BCD">
        <w:rPr>
          <w:lang w:val="nl-NL"/>
        </w:rPr>
        <w:t xml:space="preserve"> </w:t>
      </w:r>
      <w:hyperlink r:id="rId1" w:history="1">
        <w:r w:rsidRPr="003C3E7A">
          <w:rPr>
            <w:rStyle w:val="Hyperlink"/>
            <w:sz w:val="16"/>
            <w:szCs w:val="16"/>
            <w:lang w:val="nl-NL"/>
          </w:rPr>
          <w:t>Aanbeveling van het Benelux Comité van Ministers betreffende de export van brandstoffen en voertuigen naar niet tot de Europese Unie of de Europese Economische Ruimte behorende landen</w:t>
        </w:r>
      </w:hyperlink>
    </w:p>
  </w:footnote>
  <w:footnote w:id="5">
    <w:p w14:paraId="340376B5" w14:textId="78F27CE5" w:rsidR="00220B87" w:rsidRPr="00F14C3E" w:rsidRDefault="00220B87" w:rsidP="00220B87">
      <w:pPr>
        <w:pStyle w:val="FootnoteText"/>
        <w:rPr>
          <w:lang w:val="nl-NL"/>
        </w:rPr>
      </w:pPr>
      <w:r w:rsidRPr="006021A1">
        <w:rPr>
          <w:rStyle w:val="FootnoteReference"/>
          <w:sz w:val="16"/>
          <w:szCs w:val="16"/>
        </w:rPr>
        <w:footnoteRef/>
      </w:r>
      <w:r w:rsidRPr="00F14C3E">
        <w:rPr>
          <w:lang w:val="nl-NL"/>
        </w:rPr>
        <w:t xml:space="preserve"> </w:t>
      </w:r>
      <w:r w:rsidRPr="00F14C3E">
        <w:rPr>
          <w:sz w:val="16"/>
          <w:szCs w:val="16"/>
          <w:lang w:val="nl-NL"/>
        </w:rPr>
        <w:t>Kamerstukken || 2024</w:t>
      </w:r>
      <w:r w:rsidR="00D82A70" w:rsidRPr="009E1045">
        <w:rPr>
          <w:sz w:val="16"/>
          <w:szCs w:val="16"/>
          <w:lang w:val="nl-NL"/>
        </w:rPr>
        <w:t>–</w:t>
      </w:r>
      <w:r w:rsidRPr="00F14C3E">
        <w:rPr>
          <w:sz w:val="16"/>
          <w:szCs w:val="16"/>
          <w:lang w:val="nl-NL"/>
        </w:rPr>
        <w:t>25, 29 398, nr. 1181</w:t>
      </w:r>
    </w:p>
  </w:footnote>
  <w:footnote w:id="6">
    <w:p w14:paraId="03EDCBD5" w14:textId="5FE52D22" w:rsidR="00220B87" w:rsidRPr="00F14C3E" w:rsidRDefault="00220B87" w:rsidP="00220B87">
      <w:pPr>
        <w:pStyle w:val="FootnoteText"/>
        <w:rPr>
          <w:lang w:val="nl-NL"/>
        </w:rPr>
      </w:pPr>
      <w:r w:rsidRPr="006021A1">
        <w:rPr>
          <w:rStyle w:val="FootnoteReference"/>
          <w:sz w:val="16"/>
          <w:szCs w:val="16"/>
        </w:rPr>
        <w:footnoteRef/>
      </w:r>
      <w:r w:rsidRPr="00F14C3E">
        <w:rPr>
          <w:lang w:val="nl-NL"/>
        </w:rPr>
        <w:t xml:space="preserve"> </w:t>
      </w:r>
      <w:r w:rsidRPr="009E1045">
        <w:rPr>
          <w:sz w:val="16"/>
          <w:szCs w:val="16"/>
          <w:lang w:val="nl-NL"/>
        </w:rPr>
        <w:t xml:space="preserve">Kamerstukken || </w:t>
      </w:r>
      <w:r w:rsidRPr="00F14C3E">
        <w:rPr>
          <w:sz w:val="16"/>
          <w:szCs w:val="16"/>
          <w:lang w:val="nl-NL"/>
        </w:rPr>
        <w:t>2024–25</w:t>
      </w:r>
      <w:r>
        <w:rPr>
          <w:sz w:val="16"/>
          <w:szCs w:val="16"/>
          <w:lang w:val="nl-NL"/>
        </w:rPr>
        <w:t xml:space="preserve">, </w:t>
      </w:r>
      <w:r w:rsidR="00717B5E" w:rsidRPr="00717B5E">
        <w:rPr>
          <w:sz w:val="16"/>
          <w:szCs w:val="16"/>
          <w:lang w:val="nl-NL"/>
        </w:rPr>
        <w:t>29 398, nr. 1183</w:t>
      </w:r>
    </w:p>
  </w:footnote>
  <w:footnote w:id="7">
    <w:p w14:paraId="200C0790" w14:textId="7152CF28" w:rsidR="001A617E" w:rsidRPr="009E1045" w:rsidRDefault="001A617E" w:rsidP="001A617E">
      <w:pPr>
        <w:pStyle w:val="FootnoteText"/>
        <w:rPr>
          <w:sz w:val="16"/>
          <w:szCs w:val="16"/>
          <w:lang w:val="nl-NL"/>
        </w:rPr>
      </w:pPr>
      <w:r w:rsidRPr="009E1045">
        <w:rPr>
          <w:rStyle w:val="FootnoteReference"/>
          <w:sz w:val="16"/>
          <w:szCs w:val="16"/>
        </w:rPr>
        <w:footnoteRef/>
      </w:r>
      <w:r w:rsidRPr="009E1045">
        <w:rPr>
          <w:sz w:val="16"/>
          <w:szCs w:val="16"/>
          <w:lang w:val="nl-NL"/>
        </w:rPr>
        <w:t xml:space="preserve"> T</w:t>
      </w:r>
      <w:r w:rsidR="00FC5D39">
        <w:rPr>
          <w:sz w:val="16"/>
          <w:szCs w:val="16"/>
          <w:lang w:val="nl-NL"/>
        </w:rPr>
        <w:t>Z</w:t>
      </w:r>
      <w:r w:rsidRPr="009E1045">
        <w:rPr>
          <w:sz w:val="16"/>
          <w:szCs w:val="16"/>
          <w:lang w:val="nl-NL"/>
        </w:rPr>
        <w:t>202410-155</w:t>
      </w:r>
    </w:p>
  </w:footnote>
  <w:footnote w:id="8">
    <w:p w14:paraId="088ADAE2" w14:textId="4EB8EDFB" w:rsidR="001A617E" w:rsidRPr="009E1045" w:rsidRDefault="001A617E" w:rsidP="001A617E">
      <w:pPr>
        <w:pStyle w:val="FootnoteText"/>
        <w:rPr>
          <w:sz w:val="16"/>
          <w:szCs w:val="16"/>
          <w:lang w:val="nl-NL"/>
        </w:rPr>
      </w:pPr>
      <w:r w:rsidRPr="009E1045">
        <w:rPr>
          <w:rStyle w:val="FootnoteReference"/>
          <w:sz w:val="16"/>
          <w:szCs w:val="16"/>
        </w:rPr>
        <w:footnoteRef/>
      </w:r>
      <w:r w:rsidRPr="009E1045">
        <w:rPr>
          <w:sz w:val="16"/>
          <w:szCs w:val="16"/>
          <w:lang w:val="nl-NL"/>
        </w:rPr>
        <w:t xml:space="preserve"> </w:t>
      </w:r>
      <w:r w:rsidRPr="00454A3B">
        <w:rPr>
          <w:sz w:val="16"/>
          <w:szCs w:val="16"/>
          <w:lang w:val="nl-NL"/>
        </w:rPr>
        <w:t>Kamerstukken | 2023</w:t>
      </w:r>
      <w:r w:rsidR="00A33238" w:rsidRPr="009E1045">
        <w:rPr>
          <w:sz w:val="16"/>
          <w:szCs w:val="16"/>
          <w:lang w:val="nl-NL"/>
        </w:rPr>
        <w:t>–</w:t>
      </w:r>
      <w:r w:rsidRPr="00454A3B">
        <w:rPr>
          <w:sz w:val="16"/>
          <w:szCs w:val="16"/>
          <w:lang w:val="nl-NL"/>
        </w:rPr>
        <w:t>24, 36410 XII, N</w:t>
      </w:r>
    </w:p>
  </w:footnote>
  <w:footnote w:id="9">
    <w:p w14:paraId="022BE871" w14:textId="39633802" w:rsidR="00F73B27" w:rsidRPr="00466BCD" w:rsidRDefault="00F73B27">
      <w:pPr>
        <w:pStyle w:val="FootnoteText"/>
        <w:rPr>
          <w:lang w:val="nl-NL"/>
        </w:rPr>
      </w:pPr>
      <w:r w:rsidRPr="00466BCD">
        <w:rPr>
          <w:rStyle w:val="FootnoteReference"/>
          <w:sz w:val="16"/>
          <w:szCs w:val="16"/>
        </w:rPr>
        <w:footnoteRef/>
      </w:r>
      <w:r w:rsidRPr="00466BCD">
        <w:rPr>
          <w:sz w:val="16"/>
          <w:szCs w:val="16"/>
          <w:lang w:val="nl-NL"/>
        </w:rPr>
        <w:t xml:space="preserve"> </w:t>
      </w:r>
      <w:r w:rsidRPr="00454A3B">
        <w:rPr>
          <w:sz w:val="16"/>
          <w:szCs w:val="16"/>
          <w:lang w:val="nl-NL"/>
        </w:rPr>
        <w:t>Kamerstukken || 2024</w:t>
      </w:r>
      <w:r w:rsidRPr="009E1045">
        <w:rPr>
          <w:sz w:val="16"/>
          <w:szCs w:val="16"/>
          <w:lang w:val="nl-NL"/>
        </w:rPr>
        <w:t>–</w:t>
      </w:r>
      <w:r w:rsidRPr="00454A3B">
        <w:rPr>
          <w:sz w:val="16"/>
          <w:szCs w:val="16"/>
          <w:lang w:val="nl-NL"/>
        </w:rPr>
        <w:t>25, 31 305 - 32 813</w:t>
      </w:r>
      <w:r>
        <w:rPr>
          <w:sz w:val="16"/>
          <w:szCs w:val="16"/>
          <w:lang w:val="nl-NL"/>
        </w:rPr>
        <w:t>, nr. 448</w:t>
      </w:r>
    </w:p>
  </w:footnote>
  <w:footnote w:id="10">
    <w:p w14:paraId="34000F8C" w14:textId="1BA80457" w:rsidR="009E1045" w:rsidRPr="00CB6D0D" w:rsidRDefault="009E1045" w:rsidP="009E1045">
      <w:pPr>
        <w:pStyle w:val="FootnoteText"/>
        <w:rPr>
          <w:sz w:val="16"/>
          <w:szCs w:val="16"/>
          <w:lang w:val="nl-NL"/>
        </w:rPr>
      </w:pPr>
      <w:r w:rsidRPr="00CB6D0D">
        <w:rPr>
          <w:rStyle w:val="FootnoteReference"/>
          <w:sz w:val="16"/>
          <w:szCs w:val="16"/>
        </w:rPr>
        <w:footnoteRef/>
      </w:r>
      <w:bookmarkStart w:id="7" w:name="_Hlk199250682"/>
      <w:r w:rsidRPr="00CB6D0D">
        <w:rPr>
          <w:sz w:val="16"/>
          <w:szCs w:val="16"/>
          <w:lang w:val="nl-NL"/>
        </w:rPr>
        <w:t xml:space="preserve"> Kamerstukken || 2024</w:t>
      </w:r>
      <w:r w:rsidR="00A33238" w:rsidRPr="009E1045">
        <w:rPr>
          <w:sz w:val="16"/>
          <w:szCs w:val="16"/>
          <w:lang w:val="nl-NL"/>
        </w:rPr>
        <w:t>–</w:t>
      </w:r>
      <w:r w:rsidRPr="00CB6D0D">
        <w:rPr>
          <w:sz w:val="16"/>
          <w:szCs w:val="16"/>
          <w:lang w:val="nl-NL"/>
        </w:rPr>
        <w:t>25, 31 305, nr. 480</w:t>
      </w:r>
      <w:bookmarkEnd w:id="7"/>
    </w:p>
  </w:footnote>
  <w:footnote w:id="11">
    <w:p w14:paraId="01613A37" w14:textId="3DC2EBF2" w:rsidR="009E1045" w:rsidRPr="001A617E" w:rsidRDefault="009E1045" w:rsidP="009E1045">
      <w:pPr>
        <w:pStyle w:val="FootnoteText"/>
        <w:rPr>
          <w:lang w:val="nl-NL"/>
        </w:rPr>
      </w:pPr>
      <w:r w:rsidRPr="00454A3B">
        <w:rPr>
          <w:rStyle w:val="FootnoteReference"/>
          <w:sz w:val="16"/>
          <w:szCs w:val="16"/>
        </w:rPr>
        <w:footnoteRef/>
      </w:r>
      <w:r w:rsidRPr="00454A3B">
        <w:rPr>
          <w:sz w:val="16"/>
          <w:szCs w:val="16"/>
          <w:lang w:val="nl-NL"/>
        </w:rPr>
        <w:t xml:space="preserve"> Kamerstukken || 2024</w:t>
      </w:r>
      <w:r w:rsidR="00A33238" w:rsidRPr="009E1045">
        <w:rPr>
          <w:sz w:val="16"/>
          <w:szCs w:val="16"/>
          <w:lang w:val="nl-NL"/>
        </w:rPr>
        <w:t>–</w:t>
      </w:r>
      <w:r w:rsidRPr="00454A3B">
        <w:rPr>
          <w:sz w:val="16"/>
          <w:szCs w:val="16"/>
          <w:lang w:val="nl-NL"/>
        </w:rPr>
        <w:t>25, 31 305 - 32 813</w:t>
      </w:r>
      <w:r w:rsidR="00A33238">
        <w:rPr>
          <w:sz w:val="16"/>
          <w:szCs w:val="16"/>
          <w:lang w:val="nl-NL"/>
        </w:rPr>
        <w:t>,</w:t>
      </w:r>
      <w:r w:rsidRPr="00454A3B">
        <w:rPr>
          <w:sz w:val="16"/>
          <w:szCs w:val="16"/>
          <w:lang w:val="nl-NL"/>
        </w:rPr>
        <w:t xml:space="preserve"> nr. 497</w:t>
      </w:r>
    </w:p>
  </w:footnote>
  <w:footnote w:id="12">
    <w:p w14:paraId="685B4619" w14:textId="022D067D" w:rsidR="00F73B27" w:rsidRPr="00466BCD" w:rsidRDefault="00F73B27">
      <w:pPr>
        <w:pStyle w:val="FootnoteText"/>
        <w:rPr>
          <w:lang w:val="nl-NL"/>
        </w:rPr>
      </w:pPr>
      <w:r w:rsidRPr="00466BCD">
        <w:rPr>
          <w:rStyle w:val="FootnoteReference"/>
          <w:sz w:val="16"/>
          <w:szCs w:val="16"/>
        </w:rPr>
        <w:footnoteRef/>
      </w:r>
      <w:r>
        <w:rPr>
          <w:sz w:val="16"/>
          <w:szCs w:val="16"/>
          <w:lang w:val="nl-NL"/>
        </w:rPr>
        <w:t xml:space="preserve"> </w:t>
      </w:r>
      <w:r w:rsidRPr="009E1045">
        <w:rPr>
          <w:sz w:val="16"/>
          <w:szCs w:val="16"/>
          <w:lang w:val="nl-NL"/>
        </w:rPr>
        <w:t>Kamerstukken || 202</w:t>
      </w:r>
      <w:r>
        <w:rPr>
          <w:sz w:val="16"/>
          <w:szCs w:val="16"/>
          <w:lang w:val="nl-NL"/>
        </w:rPr>
        <w:t>4</w:t>
      </w:r>
      <w:r w:rsidRPr="009E1045">
        <w:rPr>
          <w:sz w:val="16"/>
          <w:szCs w:val="16"/>
          <w:lang w:val="nl-NL"/>
        </w:rPr>
        <w:t>–2</w:t>
      </w:r>
      <w:r>
        <w:rPr>
          <w:sz w:val="16"/>
          <w:szCs w:val="16"/>
          <w:lang w:val="nl-NL"/>
        </w:rPr>
        <w:t>5</w:t>
      </w:r>
      <w:r w:rsidRPr="009E1045">
        <w:rPr>
          <w:sz w:val="16"/>
          <w:szCs w:val="16"/>
          <w:lang w:val="nl-NL"/>
        </w:rPr>
        <w:t xml:space="preserve">, 31 305, nr. </w:t>
      </w:r>
      <w:r>
        <w:rPr>
          <w:sz w:val="16"/>
          <w:szCs w:val="16"/>
          <w:lang w:val="nl-NL"/>
        </w:rPr>
        <w:t>499</w:t>
      </w:r>
    </w:p>
  </w:footnote>
  <w:footnote w:id="13">
    <w:p w14:paraId="459340D3" w14:textId="02154DFC" w:rsidR="006626A5" w:rsidRPr="009E1045" w:rsidRDefault="006626A5" w:rsidP="006626A5">
      <w:pPr>
        <w:pStyle w:val="FootnoteText"/>
        <w:rPr>
          <w:sz w:val="16"/>
          <w:szCs w:val="16"/>
          <w:lang w:val="nl-NL"/>
        </w:rPr>
      </w:pPr>
      <w:r w:rsidRPr="009E1045">
        <w:rPr>
          <w:rStyle w:val="FootnoteReference"/>
          <w:sz w:val="16"/>
          <w:szCs w:val="16"/>
        </w:rPr>
        <w:footnoteRef/>
      </w:r>
      <w:r w:rsidRPr="009E1045">
        <w:rPr>
          <w:sz w:val="16"/>
          <w:szCs w:val="16"/>
          <w:lang w:val="nl-NL"/>
        </w:rPr>
        <w:t xml:space="preserve"> </w:t>
      </w:r>
      <w:hyperlink r:id="rId2" w:history="1">
        <w:r w:rsidR="009758F2" w:rsidRPr="009758F2">
          <w:rPr>
            <w:rStyle w:val="Hyperlink"/>
            <w:sz w:val="16"/>
            <w:szCs w:val="16"/>
            <w:lang w:val="nl-NL"/>
          </w:rPr>
          <w:t>Motorfiets voor woon-werk verkeer | RAI Vereniging</w:t>
        </w:r>
      </w:hyperlink>
    </w:p>
  </w:footnote>
  <w:footnote w:id="14">
    <w:p w14:paraId="3D2AA66F" w14:textId="6323E836" w:rsidR="006626A5" w:rsidRPr="009E1045" w:rsidRDefault="006626A5" w:rsidP="006626A5">
      <w:pPr>
        <w:pStyle w:val="FootnoteText"/>
        <w:rPr>
          <w:sz w:val="16"/>
          <w:szCs w:val="16"/>
          <w:lang w:val="nl-NL"/>
        </w:rPr>
      </w:pPr>
      <w:r w:rsidRPr="009E1045">
        <w:rPr>
          <w:rStyle w:val="FootnoteReference"/>
          <w:sz w:val="16"/>
          <w:szCs w:val="16"/>
        </w:rPr>
        <w:footnoteRef/>
      </w:r>
      <w:r w:rsidRPr="009E1045">
        <w:rPr>
          <w:sz w:val="16"/>
          <w:szCs w:val="16"/>
          <w:lang w:val="nl-NL"/>
        </w:rPr>
        <w:t xml:space="preserve"> </w:t>
      </w:r>
      <w:hyperlink r:id="rId3" w:history="1">
        <w:r w:rsidR="009758F2">
          <w:rPr>
            <w:rStyle w:val="Hyperlink"/>
            <w:sz w:val="16"/>
            <w:szCs w:val="16"/>
            <w:lang w:val="nl-NL"/>
          </w:rPr>
          <w:t>Zet ook de knop om - Reizen en vervoeren</w:t>
        </w:r>
      </w:hyperlink>
    </w:p>
  </w:footnote>
  <w:footnote w:id="15">
    <w:p w14:paraId="283FCA9D" w14:textId="77777777" w:rsidR="006626A5" w:rsidRPr="009E1045" w:rsidRDefault="006626A5" w:rsidP="006626A5">
      <w:pPr>
        <w:pStyle w:val="FootnoteText"/>
        <w:rPr>
          <w:sz w:val="16"/>
          <w:szCs w:val="16"/>
          <w:lang w:val="nl-NL"/>
        </w:rPr>
      </w:pPr>
      <w:r w:rsidRPr="009E1045">
        <w:rPr>
          <w:rStyle w:val="FootnoteReference"/>
          <w:sz w:val="16"/>
          <w:szCs w:val="16"/>
        </w:rPr>
        <w:footnoteRef/>
      </w:r>
      <w:r w:rsidRPr="009E1045">
        <w:rPr>
          <w:sz w:val="16"/>
          <w:szCs w:val="16"/>
          <w:lang w:val="nl-NL"/>
        </w:rPr>
        <w:t xml:space="preserve"> </w:t>
      </w:r>
      <w:hyperlink r:id="rId4" w:history="1">
        <w:r w:rsidRPr="00922977">
          <w:rPr>
            <w:rStyle w:val="Hyperlink"/>
            <w:sz w:val="16"/>
            <w:szCs w:val="16"/>
            <w:lang w:val="nl-NL"/>
          </w:rPr>
          <w:t>Motor, scooter en speed pedelec - werkgebonden personenmobiliteit | RVO.nl</w:t>
        </w:r>
      </w:hyperlink>
    </w:p>
  </w:footnote>
  <w:footnote w:id="16">
    <w:p w14:paraId="0E40FF73" w14:textId="77777777" w:rsidR="001A617E" w:rsidRPr="009E1045" w:rsidRDefault="001A617E" w:rsidP="001A617E">
      <w:pPr>
        <w:pStyle w:val="FootnoteText"/>
        <w:rPr>
          <w:sz w:val="16"/>
          <w:szCs w:val="16"/>
          <w:lang w:val="nl-NL"/>
        </w:rPr>
      </w:pPr>
      <w:r w:rsidRPr="009E1045">
        <w:rPr>
          <w:rStyle w:val="FootnoteReference"/>
          <w:sz w:val="16"/>
          <w:szCs w:val="16"/>
        </w:rPr>
        <w:footnoteRef/>
      </w:r>
      <w:r w:rsidRPr="009E1045">
        <w:rPr>
          <w:sz w:val="16"/>
          <w:szCs w:val="16"/>
          <w:lang w:val="nl-NL"/>
        </w:rPr>
        <w:t xml:space="preserve"> Kamerstukken || 2022–23, 31 305, nr. 252</w:t>
      </w:r>
    </w:p>
  </w:footnote>
  <w:footnote w:id="17">
    <w:p w14:paraId="6E948776" w14:textId="77777777" w:rsidR="001A617E" w:rsidRPr="009E1045" w:rsidRDefault="001A617E" w:rsidP="001A617E">
      <w:pPr>
        <w:pStyle w:val="FootnoteText"/>
        <w:rPr>
          <w:sz w:val="16"/>
          <w:szCs w:val="16"/>
          <w:lang w:val="nl-NL"/>
        </w:rPr>
      </w:pPr>
      <w:r w:rsidRPr="009E1045">
        <w:rPr>
          <w:rStyle w:val="FootnoteReference"/>
          <w:sz w:val="16"/>
          <w:szCs w:val="16"/>
        </w:rPr>
        <w:footnoteRef/>
      </w:r>
      <w:r w:rsidRPr="009E1045">
        <w:rPr>
          <w:sz w:val="16"/>
          <w:szCs w:val="16"/>
          <w:lang w:val="nl-NL"/>
        </w:rPr>
        <w:t xml:space="preserve"> Kamerstukken || 2023–24, 31 305, nr. 468</w:t>
      </w:r>
    </w:p>
  </w:footnote>
  <w:footnote w:id="18">
    <w:p w14:paraId="3458CECE" w14:textId="09AE650A" w:rsidR="001A617E" w:rsidRPr="009E1045" w:rsidRDefault="001A617E" w:rsidP="001A617E">
      <w:pPr>
        <w:pStyle w:val="FootnoteText"/>
        <w:rPr>
          <w:sz w:val="16"/>
          <w:szCs w:val="16"/>
          <w:lang w:val="nl-NL"/>
        </w:rPr>
      </w:pPr>
      <w:r w:rsidRPr="009E1045">
        <w:rPr>
          <w:rStyle w:val="FootnoteReference"/>
          <w:sz w:val="16"/>
          <w:szCs w:val="16"/>
        </w:rPr>
        <w:footnoteRef/>
      </w:r>
      <w:r w:rsidRPr="009E1045">
        <w:rPr>
          <w:sz w:val="16"/>
          <w:szCs w:val="16"/>
          <w:lang w:val="nl-NL"/>
        </w:rPr>
        <w:t xml:space="preserve"> Kamerstukken || 2023–24, 31 305</w:t>
      </w:r>
      <w:r w:rsidR="00D82A70">
        <w:rPr>
          <w:sz w:val="16"/>
          <w:szCs w:val="16"/>
          <w:lang w:val="nl-NL"/>
        </w:rPr>
        <w:t>,</w:t>
      </w:r>
      <w:r w:rsidRPr="009E1045">
        <w:rPr>
          <w:sz w:val="16"/>
          <w:szCs w:val="16"/>
          <w:lang w:val="nl-NL"/>
        </w:rPr>
        <w:t xml:space="preserve"> nr. 468</w:t>
      </w:r>
    </w:p>
  </w:footnote>
  <w:footnote w:id="19">
    <w:p w14:paraId="2FD6B536" w14:textId="4B974B84" w:rsidR="001A617E" w:rsidRPr="007C3ED1" w:rsidRDefault="001A617E" w:rsidP="001A617E">
      <w:pPr>
        <w:pStyle w:val="FootnoteText"/>
        <w:rPr>
          <w:sz w:val="16"/>
          <w:szCs w:val="16"/>
          <w:lang w:val="nl-NL"/>
        </w:rPr>
      </w:pPr>
      <w:r w:rsidRPr="009E1045">
        <w:rPr>
          <w:rStyle w:val="FootnoteReference"/>
          <w:sz w:val="16"/>
          <w:szCs w:val="16"/>
        </w:rPr>
        <w:footnoteRef/>
      </w:r>
      <w:r w:rsidR="00A33238">
        <w:rPr>
          <w:sz w:val="16"/>
          <w:szCs w:val="16"/>
          <w:lang w:val="nl-NL"/>
        </w:rPr>
        <w:t xml:space="preserve"> </w:t>
      </w:r>
      <w:hyperlink r:id="rId5" w:history="1">
        <w:r w:rsidR="005C774F" w:rsidRPr="005C774F">
          <w:rPr>
            <w:rStyle w:val="Hyperlink"/>
            <w:sz w:val="16"/>
            <w:szCs w:val="16"/>
            <w:lang w:val="nl-NL"/>
          </w:rPr>
          <w:t>Dashboard Klimaatbeleid | Dashboard Klimaatbeleid</w:t>
        </w:r>
      </w:hyperlink>
    </w:p>
  </w:footnote>
  <w:footnote w:id="20">
    <w:p w14:paraId="3A9E0033" w14:textId="0E3E4691" w:rsidR="001A617E" w:rsidRPr="009E1045" w:rsidRDefault="001A617E" w:rsidP="001A617E">
      <w:pPr>
        <w:pStyle w:val="FootnoteText"/>
        <w:rPr>
          <w:sz w:val="16"/>
          <w:szCs w:val="16"/>
          <w:lang w:val="nl-NL"/>
        </w:rPr>
      </w:pPr>
      <w:r w:rsidRPr="009E1045">
        <w:rPr>
          <w:rStyle w:val="FootnoteReference"/>
          <w:sz w:val="16"/>
          <w:szCs w:val="16"/>
        </w:rPr>
        <w:footnoteRef/>
      </w:r>
      <w:r w:rsidRPr="009E1045">
        <w:rPr>
          <w:sz w:val="16"/>
          <w:szCs w:val="16"/>
          <w:lang w:val="nl-NL"/>
        </w:rPr>
        <w:t xml:space="preserve"> </w:t>
      </w:r>
      <w:bookmarkStart w:id="19" w:name="_Hlk199315991"/>
      <w:r w:rsidRPr="009E1045">
        <w:rPr>
          <w:sz w:val="16"/>
          <w:szCs w:val="16"/>
          <w:lang w:val="nl-NL"/>
        </w:rPr>
        <w:t>Kamerstukken ||</w:t>
      </w:r>
      <w:r w:rsidR="009E3A63">
        <w:rPr>
          <w:sz w:val="16"/>
          <w:szCs w:val="16"/>
          <w:lang w:val="nl-NL"/>
        </w:rPr>
        <w:t xml:space="preserve"> </w:t>
      </w:r>
      <w:r w:rsidRPr="009E1045">
        <w:rPr>
          <w:sz w:val="16"/>
          <w:szCs w:val="16"/>
          <w:lang w:val="nl-NL"/>
        </w:rPr>
        <w:t>2024–2025, 31 305, nr. 473</w:t>
      </w:r>
      <w:bookmarkEnd w:id="19"/>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A3E8" w14:textId="77777777" w:rsidR="00261682" w:rsidRDefault="003A76CF">
    <w:r>
      <w:rPr>
        <w:noProof/>
        <w:lang w:val="en-GB" w:eastAsia="en-GB"/>
      </w:rPr>
      <mc:AlternateContent>
        <mc:Choice Requires="wps">
          <w:drawing>
            <wp:anchor distT="0" distB="0" distL="0" distR="0" simplePos="0" relativeHeight="251651584" behindDoc="0" locked="1" layoutInCell="1" allowOverlap="1" wp14:anchorId="1706BE63" wp14:editId="78C2AA6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C580D2" w14:textId="77777777" w:rsidR="00261682" w:rsidRDefault="003A76CF">
                          <w:pPr>
                            <w:pStyle w:val="AfzendgegevensKop0"/>
                          </w:pPr>
                          <w:r>
                            <w:t>Ministerie van Infrastructuur en Waterstaat</w:t>
                          </w:r>
                        </w:p>
                        <w:p w14:paraId="6B04919C" w14:textId="77777777" w:rsidR="00FA49A1" w:rsidRDefault="00FA49A1" w:rsidP="00FA49A1"/>
                        <w:p w14:paraId="6BD5BCA5" w14:textId="77777777" w:rsidR="00FA49A1" w:rsidRPr="00FA49A1" w:rsidRDefault="00FA49A1" w:rsidP="00FA49A1">
                          <w:pPr>
                            <w:spacing w:line="276" w:lineRule="auto"/>
                            <w:rPr>
                              <w:b/>
                              <w:bCs/>
                              <w:sz w:val="13"/>
                              <w:szCs w:val="13"/>
                            </w:rPr>
                          </w:pPr>
                          <w:r w:rsidRPr="00FA49A1">
                            <w:rPr>
                              <w:b/>
                              <w:bCs/>
                              <w:sz w:val="13"/>
                              <w:szCs w:val="13"/>
                            </w:rPr>
                            <w:t>Kenmerk</w:t>
                          </w:r>
                        </w:p>
                        <w:p w14:paraId="01B2F12B" w14:textId="77777777" w:rsidR="00FA49A1" w:rsidRPr="00FA49A1" w:rsidRDefault="00FA49A1" w:rsidP="00FA49A1">
                          <w:pPr>
                            <w:spacing w:line="276" w:lineRule="auto"/>
                            <w:rPr>
                              <w:sz w:val="13"/>
                              <w:szCs w:val="13"/>
                            </w:rPr>
                          </w:pPr>
                          <w:r w:rsidRPr="00FA49A1">
                            <w:rPr>
                              <w:sz w:val="13"/>
                              <w:szCs w:val="13"/>
                            </w:rPr>
                            <w:t>IENW/BSK-2025/133374</w:t>
                          </w:r>
                        </w:p>
                        <w:p w14:paraId="6DA4F19B" w14:textId="77777777" w:rsidR="00FA49A1" w:rsidRPr="00FA49A1" w:rsidRDefault="00FA49A1" w:rsidP="00FA49A1"/>
                      </w:txbxContent>
                    </wps:txbx>
                    <wps:bodyPr vert="horz" wrap="square" lIns="0" tIns="0" rIns="0" bIns="0" anchor="t" anchorCtr="0"/>
                  </wps:wsp>
                </a:graphicData>
              </a:graphic>
            </wp:anchor>
          </w:drawing>
        </mc:Choice>
        <mc:Fallback>
          <w:pict>
            <v:shapetype w14:anchorId="1706BE6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C580D2" w14:textId="77777777" w:rsidR="00261682" w:rsidRDefault="003A76CF">
                    <w:pPr>
                      <w:pStyle w:val="AfzendgegevensKop0"/>
                    </w:pPr>
                    <w:r>
                      <w:t>Ministerie van Infrastructuur en Waterstaat</w:t>
                    </w:r>
                  </w:p>
                  <w:p w14:paraId="6B04919C" w14:textId="77777777" w:rsidR="00FA49A1" w:rsidRDefault="00FA49A1" w:rsidP="00FA49A1"/>
                  <w:p w14:paraId="6BD5BCA5" w14:textId="77777777" w:rsidR="00FA49A1" w:rsidRPr="00FA49A1" w:rsidRDefault="00FA49A1" w:rsidP="00FA49A1">
                    <w:pPr>
                      <w:spacing w:line="276" w:lineRule="auto"/>
                      <w:rPr>
                        <w:b/>
                        <w:bCs/>
                        <w:sz w:val="13"/>
                        <w:szCs w:val="13"/>
                      </w:rPr>
                    </w:pPr>
                    <w:r w:rsidRPr="00FA49A1">
                      <w:rPr>
                        <w:b/>
                        <w:bCs/>
                        <w:sz w:val="13"/>
                        <w:szCs w:val="13"/>
                      </w:rPr>
                      <w:t>Kenmerk</w:t>
                    </w:r>
                  </w:p>
                  <w:p w14:paraId="01B2F12B" w14:textId="77777777" w:rsidR="00FA49A1" w:rsidRPr="00FA49A1" w:rsidRDefault="00FA49A1" w:rsidP="00FA49A1">
                    <w:pPr>
                      <w:spacing w:line="276" w:lineRule="auto"/>
                      <w:rPr>
                        <w:sz w:val="13"/>
                        <w:szCs w:val="13"/>
                      </w:rPr>
                    </w:pPr>
                    <w:r w:rsidRPr="00FA49A1">
                      <w:rPr>
                        <w:sz w:val="13"/>
                        <w:szCs w:val="13"/>
                      </w:rPr>
                      <w:t>IENW/BSK-2025/133374</w:t>
                    </w:r>
                  </w:p>
                  <w:p w14:paraId="6DA4F19B" w14:textId="77777777" w:rsidR="00FA49A1" w:rsidRPr="00FA49A1" w:rsidRDefault="00FA49A1" w:rsidP="00FA49A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F10852A" wp14:editId="17D1826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1FD6B7" w14:textId="77777777" w:rsidR="00261682" w:rsidRDefault="003A76CF">
                          <w:pPr>
                            <w:pStyle w:val="Referentiegegevens"/>
                          </w:pPr>
                          <w:r>
                            <w:t xml:space="preserve">Pagina </w:t>
                          </w:r>
                          <w:r>
                            <w:fldChar w:fldCharType="begin"/>
                          </w:r>
                          <w:r>
                            <w:instrText>PAGE</w:instrText>
                          </w:r>
                          <w:r>
                            <w:fldChar w:fldCharType="separate"/>
                          </w:r>
                          <w:r w:rsidR="001A617E">
                            <w:rPr>
                              <w:noProof/>
                            </w:rPr>
                            <w:t>1</w:t>
                          </w:r>
                          <w:r>
                            <w:fldChar w:fldCharType="end"/>
                          </w:r>
                          <w:r>
                            <w:t xml:space="preserve"> van </w:t>
                          </w:r>
                          <w:r>
                            <w:fldChar w:fldCharType="begin"/>
                          </w:r>
                          <w:r>
                            <w:instrText>NUMPAGES</w:instrText>
                          </w:r>
                          <w:r>
                            <w:fldChar w:fldCharType="separate"/>
                          </w:r>
                          <w:r w:rsidR="001A617E">
                            <w:rPr>
                              <w:noProof/>
                            </w:rPr>
                            <w:t>1</w:t>
                          </w:r>
                          <w:r>
                            <w:fldChar w:fldCharType="end"/>
                          </w:r>
                        </w:p>
                      </w:txbxContent>
                    </wps:txbx>
                    <wps:bodyPr vert="horz" wrap="square" lIns="0" tIns="0" rIns="0" bIns="0" anchor="t" anchorCtr="0"/>
                  </wps:wsp>
                </a:graphicData>
              </a:graphic>
            </wp:anchor>
          </w:drawing>
        </mc:Choice>
        <mc:Fallback>
          <w:pict>
            <v:shape w14:anchorId="5F10852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21FD6B7" w14:textId="77777777" w:rsidR="00261682" w:rsidRDefault="003A76CF">
                    <w:pPr>
                      <w:pStyle w:val="Referentiegegevens"/>
                    </w:pPr>
                    <w:r>
                      <w:t xml:space="preserve">Pagina </w:t>
                    </w:r>
                    <w:r>
                      <w:fldChar w:fldCharType="begin"/>
                    </w:r>
                    <w:r>
                      <w:instrText>PAGE</w:instrText>
                    </w:r>
                    <w:r>
                      <w:fldChar w:fldCharType="separate"/>
                    </w:r>
                    <w:r w:rsidR="001A617E">
                      <w:rPr>
                        <w:noProof/>
                      </w:rPr>
                      <w:t>1</w:t>
                    </w:r>
                    <w:r>
                      <w:fldChar w:fldCharType="end"/>
                    </w:r>
                    <w:r>
                      <w:t xml:space="preserve"> van </w:t>
                    </w:r>
                    <w:r>
                      <w:fldChar w:fldCharType="begin"/>
                    </w:r>
                    <w:r>
                      <w:instrText>NUMPAGES</w:instrText>
                    </w:r>
                    <w:r>
                      <w:fldChar w:fldCharType="separate"/>
                    </w:r>
                    <w:r w:rsidR="001A617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B83D98B" wp14:editId="6C3D919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47300D" w14:textId="77777777" w:rsidR="00AB4630" w:rsidRDefault="00AB4630"/>
                      </w:txbxContent>
                    </wps:txbx>
                    <wps:bodyPr vert="horz" wrap="square" lIns="0" tIns="0" rIns="0" bIns="0" anchor="t" anchorCtr="0"/>
                  </wps:wsp>
                </a:graphicData>
              </a:graphic>
            </wp:anchor>
          </w:drawing>
        </mc:Choice>
        <mc:Fallback>
          <w:pict>
            <v:shape w14:anchorId="5B83D98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47300D" w14:textId="77777777" w:rsidR="00AB4630" w:rsidRDefault="00AB463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1067358" wp14:editId="3F83C0A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756E1B" w14:textId="77777777" w:rsidR="00AB4630" w:rsidRDefault="00AB4630"/>
                      </w:txbxContent>
                    </wps:txbx>
                    <wps:bodyPr vert="horz" wrap="square" lIns="0" tIns="0" rIns="0" bIns="0" anchor="t" anchorCtr="0"/>
                  </wps:wsp>
                </a:graphicData>
              </a:graphic>
            </wp:anchor>
          </w:drawing>
        </mc:Choice>
        <mc:Fallback>
          <w:pict>
            <v:shape w14:anchorId="1106735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E756E1B" w14:textId="77777777" w:rsidR="00AB4630" w:rsidRDefault="00AB463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F83B" w14:textId="77777777" w:rsidR="00261682" w:rsidRDefault="003A76C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8182CE" wp14:editId="4F83FA0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57507F" w14:textId="77777777" w:rsidR="00AB4630" w:rsidRDefault="00AB4630"/>
                      </w:txbxContent>
                    </wps:txbx>
                    <wps:bodyPr vert="horz" wrap="square" lIns="0" tIns="0" rIns="0" bIns="0" anchor="t" anchorCtr="0"/>
                  </wps:wsp>
                </a:graphicData>
              </a:graphic>
            </wp:anchor>
          </w:drawing>
        </mc:Choice>
        <mc:Fallback>
          <w:pict>
            <v:shapetype w14:anchorId="3C8182C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57507F" w14:textId="77777777" w:rsidR="00AB4630" w:rsidRDefault="00AB463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51B5BD9" wp14:editId="559F58F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189D83" w14:textId="022A3D5A" w:rsidR="00261682" w:rsidRDefault="003A76CF">
                          <w:pPr>
                            <w:pStyle w:val="Referentiegegevens"/>
                          </w:pPr>
                          <w:r>
                            <w:t xml:space="preserve">Pagina </w:t>
                          </w:r>
                          <w:r>
                            <w:fldChar w:fldCharType="begin"/>
                          </w:r>
                          <w:r>
                            <w:instrText>PAGE</w:instrText>
                          </w:r>
                          <w:r>
                            <w:fldChar w:fldCharType="separate"/>
                          </w:r>
                          <w:r w:rsidR="00471A90">
                            <w:rPr>
                              <w:noProof/>
                            </w:rPr>
                            <w:t>1</w:t>
                          </w:r>
                          <w:r>
                            <w:fldChar w:fldCharType="end"/>
                          </w:r>
                          <w:r>
                            <w:t xml:space="preserve"> van </w:t>
                          </w:r>
                          <w:r>
                            <w:fldChar w:fldCharType="begin"/>
                          </w:r>
                          <w:r>
                            <w:instrText>NUMPAGES</w:instrText>
                          </w:r>
                          <w:r>
                            <w:fldChar w:fldCharType="separate"/>
                          </w:r>
                          <w:r w:rsidR="00471A90">
                            <w:rPr>
                              <w:noProof/>
                            </w:rPr>
                            <w:t>1</w:t>
                          </w:r>
                          <w:r>
                            <w:fldChar w:fldCharType="end"/>
                          </w:r>
                        </w:p>
                      </w:txbxContent>
                    </wps:txbx>
                    <wps:bodyPr vert="horz" wrap="square" lIns="0" tIns="0" rIns="0" bIns="0" anchor="t" anchorCtr="0"/>
                  </wps:wsp>
                </a:graphicData>
              </a:graphic>
            </wp:anchor>
          </w:drawing>
        </mc:Choice>
        <mc:Fallback>
          <w:pict>
            <v:shape w14:anchorId="151B5BD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2189D83" w14:textId="022A3D5A" w:rsidR="00261682" w:rsidRDefault="003A76CF">
                    <w:pPr>
                      <w:pStyle w:val="Referentiegegevens"/>
                    </w:pPr>
                    <w:r>
                      <w:t xml:space="preserve">Pagina </w:t>
                    </w:r>
                    <w:r>
                      <w:fldChar w:fldCharType="begin"/>
                    </w:r>
                    <w:r>
                      <w:instrText>PAGE</w:instrText>
                    </w:r>
                    <w:r>
                      <w:fldChar w:fldCharType="separate"/>
                    </w:r>
                    <w:r w:rsidR="00471A90">
                      <w:rPr>
                        <w:noProof/>
                      </w:rPr>
                      <w:t>1</w:t>
                    </w:r>
                    <w:r>
                      <w:fldChar w:fldCharType="end"/>
                    </w:r>
                    <w:r>
                      <w:t xml:space="preserve"> van </w:t>
                    </w:r>
                    <w:r>
                      <w:fldChar w:fldCharType="begin"/>
                    </w:r>
                    <w:r>
                      <w:instrText>NUMPAGES</w:instrText>
                    </w:r>
                    <w:r>
                      <w:fldChar w:fldCharType="separate"/>
                    </w:r>
                    <w:r w:rsidR="00471A9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D25D4D9" wp14:editId="0F637B1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62D8E9" w14:textId="77777777" w:rsidR="00261682" w:rsidRDefault="003A76CF">
                          <w:pPr>
                            <w:pStyle w:val="AfzendgegevensKop0"/>
                          </w:pPr>
                          <w:r>
                            <w:t>Ministerie van Infrastructuur en Waterstaat</w:t>
                          </w:r>
                        </w:p>
                        <w:p w14:paraId="4D2848EC" w14:textId="77777777" w:rsidR="00261682" w:rsidRDefault="00261682">
                          <w:pPr>
                            <w:pStyle w:val="WitregelW1"/>
                          </w:pPr>
                        </w:p>
                        <w:p w14:paraId="1D825D41" w14:textId="77777777" w:rsidR="00261682" w:rsidRDefault="003A76CF">
                          <w:pPr>
                            <w:pStyle w:val="Afzendgegevens"/>
                          </w:pPr>
                          <w:r>
                            <w:t>Rijnstraat 8</w:t>
                          </w:r>
                        </w:p>
                        <w:p w14:paraId="2D404016" w14:textId="645CFCD7" w:rsidR="00261682" w:rsidRPr="001A617E" w:rsidRDefault="003A76CF">
                          <w:pPr>
                            <w:pStyle w:val="Afzendgegevens"/>
                            <w:rPr>
                              <w:lang w:val="de-DE"/>
                            </w:rPr>
                          </w:pPr>
                          <w:r w:rsidRPr="001A617E">
                            <w:rPr>
                              <w:lang w:val="de-DE"/>
                            </w:rPr>
                            <w:t>2515 XP Den Haag</w:t>
                          </w:r>
                        </w:p>
                        <w:p w14:paraId="14E74BAF" w14:textId="77777777" w:rsidR="00261682" w:rsidRPr="001A617E" w:rsidRDefault="003A76CF">
                          <w:pPr>
                            <w:pStyle w:val="Afzendgegevens"/>
                            <w:rPr>
                              <w:lang w:val="de-DE"/>
                            </w:rPr>
                          </w:pPr>
                          <w:r w:rsidRPr="001A617E">
                            <w:rPr>
                              <w:lang w:val="de-DE"/>
                            </w:rPr>
                            <w:t>Postbus 20901</w:t>
                          </w:r>
                        </w:p>
                        <w:p w14:paraId="084F3B30" w14:textId="77777777" w:rsidR="00261682" w:rsidRPr="001A617E" w:rsidRDefault="003A76CF">
                          <w:pPr>
                            <w:pStyle w:val="Afzendgegevens"/>
                            <w:rPr>
                              <w:lang w:val="de-DE"/>
                            </w:rPr>
                          </w:pPr>
                          <w:r w:rsidRPr="001A617E">
                            <w:rPr>
                              <w:lang w:val="de-DE"/>
                            </w:rPr>
                            <w:t>2500 EX Den Haag</w:t>
                          </w:r>
                        </w:p>
                        <w:p w14:paraId="629E6645" w14:textId="77777777" w:rsidR="00261682" w:rsidRPr="001A617E" w:rsidRDefault="00261682">
                          <w:pPr>
                            <w:pStyle w:val="WitregelW1"/>
                            <w:rPr>
                              <w:lang w:val="de-DE"/>
                            </w:rPr>
                          </w:pPr>
                        </w:p>
                        <w:p w14:paraId="71C649FE" w14:textId="77777777" w:rsidR="00261682" w:rsidRPr="001A617E" w:rsidRDefault="003A76CF">
                          <w:pPr>
                            <w:pStyle w:val="Afzendgegevens"/>
                            <w:rPr>
                              <w:lang w:val="de-DE"/>
                            </w:rPr>
                          </w:pPr>
                          <w:r w:rsidRPr="001A617E">
                            <w:rPr>
                              <w:lang w:val="de-DE"/>
                            </w:rPr>
                            <w:t>T   070-456 0000</w:t>
                          </w:r>
                        </w:p>
                        <w:p w14:paraId="5F1188D0" w14:textId="77777777" w:rsidR="00261682" w:rsidRDefault="003A76CF">
                          <w:pPr>
                            <w:pStyle w:val="Afzendgegevens"/>
                          </w:pPr>
                          <w:r>
                            <w:t>F   070-456 1111</w:t>
                          </w:r>
                        </w:p>
                        <w:p w14:paraId="3EBA7100" w14:textId="77777777" w:rsidR="00261682" w:rsidRDefault="00261682">
                          <w:pPr>
                            <w:pStyle w:val="WitregelW2"/>
                          </w:pPr>
                        </w:p>
                        <w:p w14:paraId="5279FE2A" w14:textId="2FCC97A0" w:rsidR="00FA49A1" w:rsidRPr="00FA49A1" w:rsidRDefault="00FA49A1" w:rsidP="00FA49A1">
                          <w:pPr>
                            <w:spacing w:line="276" w:lineRule="auto"/>
                            <w:rPr>
                              <w:b/>
                              <w:bCs/>
                              <w:sz w:val="13"/>
                              <w:szCs w:val="13"/>
                            </w:rPr>
                          </w:pPr>
                          <w:r w:rsidRPr="00FA49A1">
                            <w:rPr>
                              <w:b/>
                              <w:bCs/>
                              <w:sz w:val="13"/>
                              <w:szCs w:val="13"/>
                            </w:rPr>
                            <w:t>Kenmerk</w:t>
                          </w:r>
                        </w:p>
                        <w:p w14:paraId="2930605B" w14:textId="5AF3FCD4" w:rsidR="00FA49A1" w:rsidRPr="00FA49A1" w:rsidRDefault="00FA49A1" w:rsidP="00FA49A1">
                          <w:pPr>
                            <w:spacing w:line="276" w:lineRule="auto"/>
                            <w:rPr>
                              <w:sz w:val="13"/>
                              <w:szCs w:val="13"/>
                            </w:rPr>
                          </w:pPr>
                          <w:r w:rsidRPr="00FA49A1">
                            <w:rPr>
                              <w:sz w:val="13"/>
                              <w:szCs w:val="13"/>
                            </w:rPr>
                            <w:t>IENW/BSK-2025/133374</w:t>
                          </w:r>
                        </w:p>
                        <w:p w14:paraId="1D782841" w14:textId="77777777" w:rsidR="00FA49A1" w:rsidRPr="00FA49A1" w:rsidRDefault="00FA49A1" w:rsidP="00FA49A1"/>
                        <w:p w14:paraId="118DD3E3" w14:textId="77777777" w:rsidR="00261682" w:rsidRDefault="003A76CF">
                          <w:pPr>
                            <w:pStyle w:val="Referentiegegevenskop"/>
                          </w:pPr>
                          <w:r>
                            <w:t>Bijlage(n)</w:t>
                          </w:r>
                        </w:p>
                        <w:p w14:paraId="09065880" w14:textId="4602E2EB" w:rsidR="00261682" w:rsidRDefault="00403776">
                          <w:pPr>
                            <w:pStyle w:val="Referentiegegevens"/>
                          </w:pPr>
                          <w:r>
                            <w:t>10</w:t>
                          </w:r>
                        </w:p>
                      </w:txbxContent>
                    </wps:txbx>
                    <wps:bodyPr vert="horz" wrap="square" lIns="0" tIns="0" rIns="0" bIns="0" anchor="t" anchorCtr="0"/>
                  </wps:wsp>
                </a:graphicData>
              </a:graphic>
            </wp:anchor>
          </w:drawing>
        </mc:Choice>
        <mc:Fallback>
          <w:pict>
            <v:shape w14:anchorId="5D25D4D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A62D8E9" w14:textId="77777777" w:rsidR="00261682" w:rsidRDefault="003A76CF">
                    <w:pPr>
                      <w:pStyle w:val="AfzendgegevensKop0"/>
                    </w:pPr>
                    <w:r>
                      <w:t>Ministerie van Infrastructuur en Waterstaat</w:t>
                    </w:r>
                  </w:p>
                  <w:p w14:paraId="4D2848EC" w14:textId="77777777" w:rsidR="00261682" w:rsidRDefault="00261682">
                    <w:pPr>
                      <w:pStyle w:val="WitregelW1"/>
                    </w:pPr>
                  </w:p>
                  <w:p w14:paraId="1D825D41" w14:textId="77777777" w:rsidR="00261682" w:rsidRDefault="003A76CF">
                    <w:pPr>
                      <w:pStyle w:val="Afzendgegevens"/>
                    </w:pPr>
                    <w:r>
                      <w:t>Rijnstraat 8</w:t>
                    </w:r>
                  </w:p>
                  <w:p w14:paraId="2D404016" w14:textId="645CFCD7" w:rsidR="00261682" w:rsidRPr="001A617E" w:rsidRDefault="003A76CF">
                    <w:pPr>
                      <w:pStyle w:val="Afzendgegevens"/>
                      <w:rPr>
                        <w:lang w:val="de-DE"/>
                      </w:rPr>
                    </w:pPr>
                    <w:r w:rsidRPr="001A617E">
                      <w:rPr>
                        <w:lang w:val="de-DE"/>
                      </w:rPr>
                      <w:t>2515 XP Den Haag</w:t>
                    </w:r>
                  </w:p>
                  <w:p w14:paraId="14E74BAF" w14:textId="77777777" w:rsidR="00261682" w:rsidRPr="001A617E" w:rsidRDefault="003A76CF">
                    <w:pPr>
                      <w:pStyle w:val="Afzendgegevens"/>
                      <w:rPr>
                        <w:lang w:val="de-DE"/>
                      </w:rPr>
                    </w:pPr>
                    <w:r w:rsidRPr="001A617E">
                      <w:rPr>
                        <w:lang w:val="de-DE"/>
                      </w:rPr>
                      <w:t>Postbus 20901</w:t>
                    </w:r>
                  </w:p>
                  <w:p w14:paraId="084F3B30" w14:textId="77777777" w:rsidR="00261682" w:rsidRPr="001A617E" w:rsidRDefault="003A76CF">
                    <w:pPr>
                      <w:pStyle w:val="Afzendgegevens"/>
                      <w:rPr>
                        <w:lang w:val="de-DE"/>
                      </w:rPr>
                    </w:pPr>
                    <w:r w:rsidRPr="001A617E">
                      <w:rPr>
                        <w:lang w:val="de-DE"/>
                      </w:rPr>
                      <w:t>2500 EX Den Haag</w:t>
                    </w:r>
                  </w:p>
                  <w:p w14:paraId="629E6645" w14:textId="77777777" w:rsidR="00261682" w:rsidRPr="001A617E" w:rsidRDefault="00261682">
                    <w:pPr>
                      <w:pStyle w:val="WitregelW1"/>
                      <w:rPr>
                        <w:lang w:val="de-DE"/>
                      </w:rPr>
                    </w:pPr>
                  </w:p>
                  <w:p w14:paraId="71C649FE" w14:textId="77777777" w:rsidR="00261682" w:rsidRPr="001A617E" w:rsidRDefault="003A76CF">
                    <w:pPr>
                      <w:pStyle w:val="Afzendgegevens"/>
                      <w:rPr>
                        <w:lang w:val="de-DE"/>
                      </w:rPr>
                    </w:pPr>
                    <w:r w:rsidRPr="001A617E">
                      <w:rPr>
                        <w:lang w:val="de-DE"/>
                      </w:rPr>
                      <w:t>T   070-456 0000</w:t>
                    </w:r>
                  </w:p>
                  <w:p w14:paraId="5F1188D0" w14:textId="77777777" w:rsidR="00261682" w:rsidRDefault="003A76CF">
                    <w:pPr>
                      <w:pStyle w:val="Afzendgegevens"/>
                    </w:pPr>
                    <w:r>
                      <w:t>F   070-456 1111</w:t>
                    </w:r>
                  </w:p>
                  <w:p w14:paraId="3EBA7100" w14:textId="77777777" w:rsidR="00261682" w:rsidRDefault="00261682">
                    <w:pPr>
                      <w:pStyle w:val="WitregelW2"/>
                    </w:pPr>
                  </w:p>
                  <w:p w14:paraId="5279FE2A" w14:textId="2FCC97A0" w:rsidR="00FA49A1" w:rsidRPr="00FA49A1" w:rsidRDefault="00FA49A1" w:rsidP="00FA49A1">
                    <w:pPr>
                      <w:spacing w:line="276" w:lineRule="auto"/>
                      <w:rPr>
                        <w:b/>
                        <w:bCs/>
                        <w:sz w:val="13"/>
                        <w:szCs w:val="13"/>
                      </w:rPr>
                    </w:pPr>
                    <w:r w:rsidRPr="00FA49A1">
                      <w:rPr>
                        <w:b/>
                        <w:bCs/>
                        <w:sz w:val="13"/>
                        <w:szCs w:val="13"/>
                      </w:rPr>
                      <w:t>Kenmerk</w:t>
                    </w:r>
                  </w:p>
                  <w:p w14:paraId="2930605B" w14:textId="5AF3FCD4" w:rsidR="00FA49A1" w:rsidRPr="00FA49A1" w:rsidRDefault="00FA49A1" w:rsidP="00FA49A1">
                    <w:pPr>
                      <w:spacing w:line="276" w:lineRule="auto"/>
                      <w:rPr>
                        <w:sz w:val="13"/>
                        <w:szCs w:val="13"/>
                      </w:rPr>
                    </w:pPr>
                    <w:r w:rsidRPr="00FA49A1">
                      <w:rPr>
                        <w:sz w:val="13"/>
                        <w:szCs w:val="13"/>
                      </w:rPr>
                      <w:t>IENW/BSK-2025/133374</w:t>
                    </w:r>
                  </w:p>
                  <w:p w14:paraId="1D782841" w14:textId="77777777" w:rsidR="00FA49A1" w:rsidRPr="00FA49A1" w:rsidRDefault="00FA49A1" w:rsidP="00FA49A1"/>
                  <w:p w14:paraId="118DD3E3" w14:textId="77777777" w:rsidR="00261682" w:rsidRDefault="003A76CF">
                    <w:pPr>
                      <w:pStyle w:val="Referentiegegevenskop"/>
                    </w:pPr>
                    <w:r>
                      <w:t>Bijlage(n)</w:t>
                    </w:r>
                  </w:p>
                  <w:p w14:paraId="09065880" w14:textId="4602E2EB" w:rsidR="00261682" w:rsidRDefault="00403776">
                    <w:pPr>
                      <w:pStyle w:val="Referentiegegevens"/>
                    </w:pPr>
                    <w:r>
                      <w:t>10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67647FE" wp14:editId="32B4DA4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F147280" w14:textId="77777777" w:rsidR="00261682" w:rsidRDefault="003A76CF">
                          <w:pPr>
                            <w:spacing w:line="240" w:lineRule="auto"/>
                          </w:pPr>
                          <w:r>
                            <w:rPr>
                              <w:noProof/>
                              <w:lang w:val="en-GB" w:eastAsia="en-GB"/>
                            </w:rPr>
                            <w:drawing>
                              <wp:inline distT="0" distB="0" distL="0" distR="0" wp14:anchorId="5DE6C465" wp14:editId="79094B2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7647F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F147280" w14:textId="77777777" w:rsidR="00261682" w:rsidRDefault="003A76CF">
                    <w:pPr>
                      <w:spacing w:line="240" w:lineRule="auto"/>
                    </w:pPr>
                    <w:r>
                      <w:rPr>
                        <w:noProof/>
                        <w:lang w:val="en-GB" w:eastAsia="en-GB"/>
                      </w:rPr>
                      <w:drawing>
                        <wp:inline distT="0" distB="0" distL="0" distR="0" wp14:anchorId="5DE6C465" wp14:editId="79094B2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26AB22" wp14:editId="6980334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526EB8" w14:textId="77777777" w:rsidR="00261682" w:rsidRDefault="003A76CF">
                          <w:pPr>
                            <w:spacing w:line="240" w:lineRule="auto"/>
                          </w:pPr>
                          <w:r>
                            <w:rPr>
                              <w:noProof/>
                              <w:lang w:val="en-GB" w:eastAsia="en-GB"/>
                            </w:rPr>
                            <w:drawing>
                              <wp:inline distT="0" distB="0" distL="0" distR="0" wp14:anchorId="7494152A" wp14:editId="6FFCE6E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26AB2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3526EB8" w14:textId="77777777" w:rsidR="00261682" w:rsidRDefault="003A76CF">
                    <w:pPr>
                      <w:spacing w:line="240" w:lineRule="auto"/>
                    </w:pPr>
                    <w:r>
                      <w:rPr>
                        <w:noProof/>
                        <w:lang w:val="en-GB" w:eastAsia="en-GB"/>
                      </w:rPr>
                      <w:drawing>
                        <wp:inline distT="0" distB="0" distL="0" distR="0" wp14:anchorId="7494152A" wp14:editId="6FFCE6E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63C3BA0" wp14:editId="7FC86D9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0D5705E" w14:textId="77777777" w:rsidR="00261682" w:rsidRDefault="003A76C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3C3BA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0D5705E" w14:textId="77777777" w:rsidR="00261682" w:rsidRDefault="003A76C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72165D1" wp14:editId="674BD7A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07EF96" w14:textId="77777777" w:rsidR="00261682" w:rsidRDefault="003A76C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72165D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007EF96" w14:textId="77777777" w:rsidR="00261682" w:rsidRDefault="003A76C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39DA5AB" wp14:editId="31E9763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61682" w14:paraId="58B957D6" w14:textId="77777777">
                            <w:trPr>
                              <w:trHeight w:val="200"/>
                            </w:trPr>
                            <w:tc>
                              <w:tcPr>
                                <w:tcW w:w="1140" w:type="dxa"/>
                              </w:tcPr>
                              <w:p w14:paraId="5F9D5B10" w14:textId="77777777" w:rsidR="00261682" w:rsidRDefault="00261682"/>
                            </w:tc>
                            <w:tc>
                              <w:tcPr>
                                <w:tcW w:w="5400" w:type="dxa"/>
                              </w:tcPr>
                              <w:p w14:paraId="32BB5BB1" w14:textId="77777777" w:rsidR="00261682" w:rsidRDefault="00261682"/>
                            </w:tc>
                          </w:tr>
                          <w:tr w:rsidR="00261682" w14:paraId="3997183E" w14:textId="77777777">
                            <w:trPr>
                              <w:trHeight w:val="240"/>
                            </w:trPr>
                            <w:tc>
                              <w:tcPr>
                                <w:tcW w:w="1140" w:type="dxa"/>
                              </w:tcPr>
                              <w:p w14:paraId="596B91F8" w14:textId="77777777" w:rsidR="00261682" w:rsidRDefault="003A76CF">
                                <w:r>
                                  <w:t>Datum</w:t>
                                </w:r>
                              </w:p>
                            </w:tc>
                            <w:tc>
                              <w:tcPr>
                                <w:tcW w:w="5400" w:type="dxa"/>
                              </w:tcPr>
                              <w:p w14:paraId="0ECBC026" w14:textId="3E0A9A19" w:rsidR="00261682" w:rsidRDefault="00C27E7D">
                                <w:r>
                                  <w:t>8 september 2025</w:t>
                                </w:r>
                              </w:p>
                            </w:tc>
                          </w:tr>
                          <w:tr w:rsidR="00261682" w14:paraId="67BAB2CC" w14:textId="77777777">
                            <w:trPr>
                              <w:trHeight w:val="240"/>
                            </w:trPr>
                            <w:tc>
                              <w:tcPr>
                                <w:tcW w:w="1140" w:type="dxa"/>
                              </w:tcPr>
                              <w:p w14:paraId="7489E354" w14:textId="77777777" w:rsidR="00261682" w:rsidRDefault="003A76CF">
                                <w:r>
                                  <w:t>Betreft</w:t>
                                </w:r>
                              </w:p>
                            </w:tc>
                            <w:tc>
                              <w:tcPr>
                                <w:tcW w:w="5400" w:type="dxa"/>
                              </w:tcPr>
                              <w:p w14:paraId="68E3016D" w14:textId="1B7439D8" w:rsidR="00261682" w:rsidRDefault="003A76CF">
                                <w:r>
                                  <w:t>V</w:t>
                                </w:r>
                                <w:r w:rsidR="00AF7142">
                                  <w:t>oortgang</w:t>
                                </w:r>
                                <w:r>
                                  <w:t xml:space="preserve"> duurzaam vervoer</w:t>
                                </w:r>
                              </w:p>
                            </w:tc>
                          </w:tr>
                          <w:tr w:rsidR="00261682" w14:paraId="3379E19B" w14:textId="77777777">
                            <w:trPr>
                              <w:trHeight w:val="200"/>
                            </w:trPr>
                            <w:tc>
                              <w:tcPr>
                                <w:tcW w:w="1140" w:type="dxa"/>
                              </w:tcPr>
                              <w:p w14:paraId="006A3426" w14:textId="77777777" w:rsidR="00261682" w:rsidRDefault="00261682"/>
                            </w:tc>
                            <w:tc>
                              <w:tcPr>
                                <w:tcW w:w="5400" w:type="dxa"/>
                              </w:tcPr>
                              <w:p w14:paraId="055F48D6" w14:textId="77777777" w:rsidR="00261682" w:rsidRDefault="00261682"/>
                            </w:tc>
                          </w:tr>
                        </w:tbl>
                        <w:p w14:paraId="65D0CE8E" w14:textId="77777777" w:rsidR="00AB4630" w:rsidRDefault="00AB4630"/>
                      </w:txbxContent>
                    </wps:txbx>
                    <wps:bodyPr vert="horz" wrap="square" lIns="0" tIns="0" rIns="0" bIns="0" anchor="t" anchorCtr="0"/>
                  </wps:wsp>
                </a:graphicData>
              </a:graphic>
            </wp:anchor>
          </w:drawing>
        </mc:Choice>
        <mc:Fallback>
          <w:pict>
            <v:shape w14:anchorId="639DA5A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61682" w14:paraId="58B957D6" w14:textId="77777777">
                      <w:trPr>
                        <w:trHeight w:val="200"/>
                      </w:trPr>
                      <w:tc>
                        <w:tcPr>
                          <w:tcW w:w="1140" w:type="dxa"/>
                        </w:tcPr>
                        <w:p w14:paraId="5F9D5B10" w14:textId="77777777" w:rsidR="00261682" w:rsidRDefault="00261682"/>
                      </w:tc>
                      <w:tc>
                        <w:tcPr>
                          <w:tcW w:w="5400" w:type="dxa"/>
                        </w:tcPr>
                        <w:p w14:paraId="32BB5BB1" w14:textId="77777777" w:rsidR="00261682" w:rsidRDefault="00261682"/>
                      </w:tc>
                    </w:tr>
                    <w:tr w:rsidR="00261682" w14:paraId="3997183E" w14:textId="77777777">
                      <w:trPr>
                        <w:trHeight w:val="240"/>
                      </w:trPr>
                      <w:tc>
                        <w:tcPr>
                          <w:tcW w:w="1140" w:type="dxa"/>
                        </w:tcPr>
                        <w:p w14:paraId="596B91F8" w14:textId="77777777" w:rsidR="00261682" w:rsidRDefault="003A76CF">
                          <w:r>
                            <w:t>Datum</w:t>
                          </w:r>
                        </w:p>
                      </w:tc>
                      <w:tc>
                        <w:tcPr>
                          <w:tcW w:w="5400" w:type="dxa"/>
                        </w:tcPr>
                        <w:p w14:paraId="0ECBC026" w14:textId="3E0A9A19" w:rsidR="00261682" w:rsidRDefault="00C27E7D">
                          <w:r>
                            <w:t>8 september 2025</w:t>
                          </w:r>
                        </w:p>
                      </w:tc>
                    </w:tr>
                    <w:tr w:rsidR="00261682" w14:paraId="67BAB2CC" w14:textId="77777777">
                      <w:trPr>
                        <w:trHeight w:val="240"/>
                      </w:trPr>
                      <w:tc>
                        <w:tcPr>
                          <w:tcW w:w="1140" w:type="dxa"/>
                        </w:tcPr>
                        <w:p w14:paraId="7489E354" w14:textId="77777777" w:rsidR="00261682" w:rsidRDefault="003A76CF">
                          <w:r>
                            <w:t>Betreft</w:t>
                          </w:r>
                        </w:p>
                      </w:tc>
                      <w:tc>
                        <w:tcPr>
                          <w:tcW w:w="5400" w:type="dxa"/>
                        </w:tcPr>
                        <w:p w14:paraId="68E3016D" w14:textId="1B7439D8" w:rsidR="00261682" w:rsidRDefault="003A76CF">
                          <w:r>
                            <w:t>V</w:t>
                          </w:r>
                          <w:r w:rsidR="00AF7142">
                            <w:t>oortgang</w:t>
                          </w:r>
                          <w:r>
                            <w:t xml:space="preserve"> duurzaam vervoer</w:t>
                          </w:r>
                        </w:p>
                      </w:tc>
                    </w:tr>
                    <w:tr w:rsidR="00261682" w14:paraId="3379E19B" w14:textId="77777777">
                      <w:trPr>
                        <w:trHeight w:val="200"/>
                      </w:trPr>
                      <w:tc>
                        <w:tcPr>
                          <w:tcW w:w="1140" w:type="dxa"/>
                        </w:tcPr>
                        <w:p w14:paraId="006A3426" w14:textId="77777777" w:rsidR="00261682" w:rsidRDefault="00261682"/>
                      </w:tc>
                      <w:tc>
                        <w:tcPr>
                          <w:tcW w:w="5400" w:type="dxa"/>
                        </w:tcPr>
                        <w:p w14:paraId="055F48D6" w14:textId="77777777" w:rsidR="00261682" w:rsidRDefault="00261682"/>
                      </w:tc>
                    </w:tr>
                  </w:tbl>
                  <w:p w14:paraId="65D0CE8E" w14:textId="77777777" w:rsidR="00AB4630" w:rsidRDefault="00AB463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4685DA3" wp14:editId="12DD31A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7299BD9" w14:textId="77777777" w:rsidR="00AB4630" w:rsidRDefault="00AB4630"/>
                      </w:txbxContent>
                    </wps:txbx>
                    <wps:bodyPr vert="horz" wrap="square" lIns="0" tIns="0" rIns="0" bIns="0" anchor="t" anchorCtr="0"/>
                  </wps:wsp>
                </a:graphicData>
              </a:graphic>
            </wp:anchor>
          </w:drawing>
        </mc:Choice>
        <mc:Fallback>
          <w:pict>
            <v:shape w14:anchorId="64685DA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7299BD9" w14:textId="77777777" w:rsidR="00AB4630" w:rsidRDefault="00AB463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39C6E"/>
    <w:multiLevelType w:val="multilevel"/>
    <w:tmpl w:val="4C22EF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231594E"/>
    <w:multiLevelType w:val="multilevel"/>
    <w:tmpl w:val="03F914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F334692"/>
    <w:multiLevelType w:val="multilevel"/>
    <w:tmpl w:val="DA6936F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4B2958"/>
    <w:multiLevelType w:val="multilevel"/>
    <w:tmpl w:val="9CEE4BA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C88281"/>
    <w:multiLevelType w:val="multilevel"/>
    <w:tmpl w:val="A5D92B7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F93A22"/>
    <w:multiLevelType w:val="multilevel"/>
    <w:tmpl w:val="01F4D5C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395D22"/>
    <w:multiLevelType w:val="multilevel"/>
    <w:tmpl w:val="F90BA75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174394"/>
    <w:multiLevelType w:val="multilevel"/>
    <w:tmpl w:val="3068EF3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7F506A"/>
    <w:multiLevelType w:val="multilevel"/>
    <w:tmpl w:val="CCC588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5650C70"/>
    <w:multiLevelType w:val="multilevel"/>
    <w:tmpl w:val="ED55207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5CFCAF"/>
    <w:multiLevelType w:val="multilevel"/>
    <w:tmpl w:val="9DF73B3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751FAF"/>
    <w:multiLevelType w:val="multilevel"/>
    <w:tmpl w:val="F3C0521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06F0A48"/>
    <w:multiLevelType w:val="multilevel"/>
    <w:tmpl w:val="2628E43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9FEFBAB"/>
    <w:multiLevelType w:val="multilevel"/>
    <w:tmpl w:val="4A05078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4BC643"/>
    <w:multiLevelType w:val="multilevel"/>
    <w:tmpl w:val="522767A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B25990"/>
    <w:multiLevelType w:val="hybridMultilevel"/>
    <w:tmpl w:val="3ECA34AE"/>
    <w:lvl w:ilvl="0" w:tplc="BE5EA6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4C22825"/>
    <w:multiLevelType w:val="hybridMultilevel"/>
    <w:tmpl w:val="9F7CF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6D0860A"/>
    <w:multiLevelType w:val="multilevel"/>
    <w:tmpl w:val="2C32D3F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45195E"/>
    <w:multiLevelType w:val="multilevel"/>
    <w:tmpl w:val="53AB8B4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5209BE"/>
    <w:multiLevelType w:val="hybridMultilevel"/>
    <w:tmpl w:val="C6844B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D65E516"/>
    <w:multiLevelType w:val="multilevel"/>
    <w:tmpl w:val="0FBD200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0743D2"/>
    <w:multiLevelType w:val="multilevel"/>
    <w:tmpl w:val="824DB81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0F6EE8"/>
    <w:multiLevelType w:val="hybridMultilevel"/>
    <w:tmpl w:val="0234C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530CBB"/>
    <w:multiLevelType w:val="hybridMultilevel"/>
    <w:tmpl w:val="164A9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4071FC"/>
    <w:multiLevelType w:val="hybridMultilevel"/>
    <w:tmpl w:val="073CFDCE"/>
    <w:lvl w:ilvl="0" w:tplc="8F0AFE7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0D00D5"/>
    <w:multiLevelType w:val="hybridMultilevel"/>
    <w:tmpl w:val="27649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D497E8E"/>
    <w:multiLevelType w:val="hybridMultilevel"/>
    <w:tmpl w:val="AB4C15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61D84497"/>
    <w:multiLevelType w:val="multilevel"/>
    <w:tmpl w:val="644B7AE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250B22"/>
    <w:multiLevelType w:val="multilevel"/>
    <w:tmpl w:val="EC8BF2E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CF474"/>
    <w:multiLevelType w:val="multilevel"/>
    <w:tmpl w:val="F1354E7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CCEC33"/>
    <w:multiLevelType w:val="multilevel"/>
    <w:tmpl w:val="C560244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5C2EA3"/>
    <w:multiLevelType w:val="multilevel"/>
    <w:tmpl w:val="E09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28"/>
  </w:num>
  <w:num w:numId="4">
    <w:abstractNumId w:val="9"/>
  </w:num>
  <w:num w:numId="5">
    <w:abstractNumId w:val="1"/>
  </w:num>
  <w:num w:numId="6">
    <w:abstractNumId w:val="13"/>
  </w:num>
  <w:num w:numId="7">
    <w:abstractNumId w:val="20"/>
  </w:num>
  <w:num w:numId="8">
    <w:abstractNumId w:val="12"/>
  </w:num>
  <w:num w:numId="9">
    <w:abstractNumId w:val="18"/>
  </w:num>
  <w:num w:numId="10">
    <w:abstractNumId w:val="14"/>
  </w:num>
  <w:num w:numId="11">
    <w:abstractNumId w:val="8"/>
  </w:num>
  <w:num w:numId="12">
    <w:abstractNumId w:val="0"/>
  </w:num>
  <w:num w:numId="13">
    <w:abstractNumId w:val="17"/>
  </w:num>
  <w:num w:numId="14">
    <w:abstractNumId w:val="21"/>
  </w:num>
  <w:num w:numId="15">
    <w:abstractNumId w:val="5"/>
  </w:num>
  <w:num w:numId="16">
    <w:abstractNumId w:val="10"/>
  </w:num>
  <w:num w:numId="17">
    <w:abstractNumId w:val="27"/>
  </w:num>
  <w:num w:numId="18">
    <w:abstractNumId w:val="7"/>
  </w:num>
  <w:num w:numId="19">
    <w:abstractNumId w:val="6"/>
  </w:num>
  <w:num w:numId="20">
    <w:abstractNumId w:val="29"/>
  </w:num>
  <w:num w:numId="21">
    <w:abstractNumId w:val="11"/>
  </w:num>
  <w:num w:numId="22">
    <w:abstractNumId w:val="4"/>
  </w:num>
  <w:num w:numId="23">
    <w:abstractNumId w:val="30"/>
  </w:num>
  <w:num w:numId="24">
    <w:abstractNumId w:val="26"/>
  </w:num>
  <w:num w:numId="25">
    <w:abstractNumId w:val="19"/>
  </w:num>
  <w:num w:numId="26">
    <w:abstractNumId w:val="16"/>
  </w:num>
  <w:num w:numId="27">
    <w:abstractNumId w:val="23"/>
  </w:num>
  <w:num w:numId="28">
    <w:abstractNumId w:val="24"/>
  </w:num>
  <w:num w:numId="29">
    <w:abstractNumId w:val="22"/>
  </w:num>
  <w:num w:numId="30">
    <w:abstractNumId w:val="25"/>
  </w:num>
  <w:num w:numId="31">
    <w:abstractNumId w:val="1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7E"/>
    <w:rsid w:val="000010C5"/>
    <w:rsid w:val="00001B42"/>
    <w:rsid w:val="000041DA"/>
    <w:rsid w:val="00006242"/>
    <w:rsid w:val="0001094C"/>
    <w:rsid w:val="000231EC"/>
    <w:rsid w:val="00026A0E"/>
    <w:rsid w:val="00033613"/>
    <w:rsid w:val="00063A46"/>
    <w:rsid w:val="00066F49"/>
    <w:rsid w:val="000A1F29"/>
    <w:rsid w:val="000C3BFE"/>
    <w:rsid w:val="000C6059"/>
    <w:rsid w:val="000D5338"/>
    <w:rsid w:val="001001AC"/>
    <w:rsid w:val="001017E1"/>
    <w:rsid w:val="001026B1"/>
    <w:rsid w:val="0011332C"/>
    <w:rsid w:val="001259D9"/>
    <w:rsid w:val="00130E22"/>
    <w:rsid w:val="00133B90"/>
    <w:rsid w:val="0015210E"/>
    <w:rsid w:val="00155AEE"/>
    <w:rsid w:val="00164DD4"/>
    <w:rsid w:val="00174329"/>
    <w:rsid w:val="00181226"/>
    <w:rsid w:val="00185848"/>
    <w:rsid w:val="00187C82"/>
    <w:rsid w:val="00187FA1"/>
    <w:rsid w:val="00192338"/>
    <w:rsid w:val="001A3361"/>
    <w:rsid w:val="001A617E"/>
    <w:rsid w:val="001A7548"/>
    <w:rsid w:val="001B21C5"/>
    <w:rsid w:val="001C4413"/>
    <w:rsid w:val="001C55FF"/>
    <w:rsid w:val="001C7360"/>
    <w:rsid w:val="001D1F85"/>
    <w:rsid w:val="001D3012"/>
    <w:rsid w:val="001D3BA1"/>
    <w:rsid w:val="001E0511"/>
    <w:rsid w:val="001E08DD"/>
    <w:rsid w:val="001F0BC3"/>
    <w:rsid w:val="002014EB"/>
    <w:rsid w:val="00210E95"/>
    <w:rsid w:val="00220B87"/>
    <w:rsid w:val="0022143D"/>
    <w:rsid w:val="002320D1"/>
    <w:rsid w:val="00233F9E"/>
    <w:rsid w:val="00241542"/>
    <w:rsid w:val="0024245B"/>
    <w:rsid w:val="00247073"/>
    <w:rsid w:val="00252FF3"/>
    <w:rsid w:val="002554DF"/>
    <w:rsid w:val="002563D1"/>
    <w:rsid w:val="00261682"/>
    <w:rsid w:val="00264B21"/>
    <w:rsid w:val="00264F81"/>
    <w:rsid w:val="002663A1"/>
    <w:rsid w:val="002923BD"/>
    <w:rsid w:val="00292C5F"/>
    <w:rsid w:val="0029534A"/>
    <w:rsid w:val="00295D9F"/>
    <w:rsid w:val="002A399B"/>
    <w:rsid w:val="002A4E75"/>
    <w:rsid w:val="002A5C0B"/>
    <w:rsid w:val="002A6C14"/>
    <w:rsid w:val="002B3F7E"/>
    <w:rsid w:val="002C360F"/>
    <w:rsid w:val="002D00E9"/>
    <w:rsid w:val="002E4009"/>
    <w:rsid w:val="002F5F46"/>
    <w:rsid w:val="002F72B4"/>
    <w:rsid w:val="002F72FC"/>
    <w:rsid w:val="00300EBD"/>
    <w:rsid w:val="0030260C"/>
    <w:rsid w:val="00307061"/>
    <w:rsid w:val="003165EF"/>
    <w:rsid w:val="003255CE"/>
    <w:rsid w:val="00335ABE"/>
    <w:rsid w:val="00366991"/>
    <w:rsid w:val="003748F0"/>
    <w:rsid w:val="00375DC8"/>
    <w:rsid w:val="00376507"/>
    <w:rsid w:val="0038365F"/>
    <w:rsid w:val="003872E1"/>
    <w:rsid w:val="00390215"/>
    <w:rsid w:val="003940F6"/>
    <w:rsid w:val="003952D2"/>
    <w:rsid w:val="003A14D9"/>
    <w:rsid w:val="003A4B36"/>
    <w:rsid w:val="003A76CF"/>
    <w:rsid w:val="003A7BE6"/>
    <w:rsid w:val="003B4B58"/>
    <w:rsid w:val="003C0A05"/>
    <w:rsid w:val="003C3E7A"/>
    <w:rsid w:val="003D1E83"/>
    <w:rsid w:val="003F16EF"/>
    <w:rsid w:val="00401AD5"/>
    <w:rsid w:val="00402030"/>
    <w:rsid w:val="004035C0"/>
    <w:rsid w:val="00403776"/>
    <w:rsid w:val="00417FBA"/>
    <w:rsid w:val="00420895"/>
    <w:rsid w:val="00421072"/>
    <w:rsid w:val="00435E8A"/>
    <w:rsid w:val="004376BA"/>
    <w:rsid w:val="004423D6"/>
    <w:rsid w:val="004525CF"/>
    <w:rsid w:val="00454A3B"/>
    <w:rsid w:val="00455A9B"/>
    <w:rsid w:val="00463323"/>
    <w:rsid w:val="00464399"/>
    <w:rsid w:val="00466BCD"/>
    <w:rsid w:val="00471A90"/>
    <w:rsid w:val="00475BF4"/>
    <w:rsid w:val="00475C52"/>
    <w:rsid w:val="00486710"/>
    <w:rsid w:val="004960C1"/>
    <w:rsid w:val="004A285C"/>
    <w:rsid w:val="004A4EA0"/>
    <w:rsid w:val="004B49CB"/>
    <w:rsid w:val="004B60BE"/>
    <w:rsid w:val="004D06A9"/>
    <w:rsid w:val="004D6C95"/>
    <w:rsid w:val="005066B7"/>
    <w:rsid w:val="005111CF"/>
    <w:rsid w:val="005205C1"/>
    <w:rsid w:val="00522957"/>
    <w:rsid w:val="005304B1"/>
    <w:rsid w:val="00532CD7"/>
    <w:rsid w:val="005449FD"/>
    <w:rsid w:val="00546A8B"/>
    <w:rsid w:val="00560252"/>
    <w:rsid w:val="005621E5"/>
    <w:rsid w:val="0058001A"/>
    <w:rsid w:val="005841F7"/>
    <w:rsid w:val="00594EE5"/>
    <w:rsid w:val="005B2883"/>
    <w:rsid w:val="005C4EA7"/>
    <w:rsid w:val="005C774F"/>
    <w:rsid w:val="005D6094"/>
    <w:rsid w:val="005E0B77"/>
    <w:rsid w:val="005E2B32"/>
    <w:rsid w:val="005E51C4"/>
    <w:rsid w:val="005E60E4"/>
    <w:rsid w:val="005F0251"/>
    <w:rsid w:val="005F4068"/>
    <w:rsid w:val="005F5DC8"/>
    <w:rsid w:val="0060265E"/>
    <w:rsid w:val="006057EF"/>
    <w:rsid w:val="00616ED4"/>
    <w:rsid w:val="0061704B"/>
    <w:rsid w:val="00620C5D"/>
    <w:rsid w:val="006317A7"/>
    <w:rsid w:val="00637673"/>
    <w:rsid w:val="00643534"/>
    <w:rsid w:val="006450D4"/>
    <w:rsid w:val="006603E7"/>
    <w:rsid w:val="006626A5"/>
    <w:rsid w:val="00665CFB"/>
    <w:rsid w:val="00680F8D"/>
    <w:rsid w:val="00687055"/>
    <w:rsid w:val="00690B5C"/>
    <w:rsid w:val="00694259"/>
    <w:rsid w:val="006A1545"/>
    <w:rsid w:val="006A5D96"/>
    <w:rsid w:val="006B2629"/>
    <w:rsid w:val="006C38D0"/>
    <w:rsid w:val="006C4AA9"/>
    <w:rsid w:val="006D0946"/>
    <w:rsid w:val="006D3594"/>
    <w:rsid w:val="006D6370"/>
    <w:rsid w:val="006E1E92"/>
    <w:rsid w:val="006E3E35"/>
    <w:rsid w:val="006E594F"/>
    <w:rsid w:val="006E6B7C"/>
    <w:rsid w:val="006F327F"/>
    <w:rsid w:val="006F6AC4"/>
    <w:rsid w:val="00707C43"/>
    <w:rsid w:val="007101DB"/>
    <w:rsid w:val="00710F0C"/>
    <w:rsid w:val="00717B5E"/>
    <w:rsid w:val="00725DAA"/>
    <w:rsid w:val="00730C81"/>
    <w:rsid w:val="007569B0"/>
    <w:rsid w:val="00760C2B"/>
    <w:rsid w:val="00776B7A"/>
    <w:rsid w:val="00776E4C"/>
    <w:rsid w:val="00781127"/>
    <w:rsid w:val="00784138"/>
    <w:rsid w:val="00786FB7"/>
    <w:rsid w:val="00794678"/>
    <w:rsid w:val="007958CC"/>
    <w:rsid w:val="007A7632"/>
    <w:rsid w:val="007B2F40"/>
    <w:rsid w:val="007B3D08"/>
    <w:rsid w:val="007B682B"/>
    <w:rsid w:val="007C37A5"/>
    <w:rsid w:val="007C3ED1"/>
    <w:rsid w:val="007C6136"/>
    <w:rsid w:val="007D1979"/>
    <w:rsid w:val="007D5C25"/>
    <w:rsid w:val="007E3BB7"/>
    <w:rsid w:val="007E45E6"/>
    <w:rsid w:val="007E79DC"/>
    <w:rsid w:val="00807D8B"/>
    <w:rsid w:val="008161EF"/>
    <w:rsid w:val="00821CA3"/>
    <w:rsid w:val="00831B04"/>
    <w:rsid w:val="0085512D"/>
    <w:rsid w:val="00856D47"/>
    <w:rsid w:val="008636D2"/>
    <w:rsid w:val="00867A18"/>
    <w:rsid w:val="00881C5F"/>
    <w:rsid w:val="00887240"/>
    <w:rsid w:val="00891309"/>
    <w:rsid w:val="008B3FC7"/>
    <w:rsid w:val="008D70E0"/>
    <w:rsid w:val="008E4A46"/>
    <w:rsid w:val="008E77B4"/>
    <w:rsid w:val="008F615A"/>
    <w:rsid w:val="00901A95"/>
    <w:rsid w:val="00906421"/>
    <w:rsid w:val="00911A1A"/>
    <w:rsid w:val="00921C5E"/>
    <w:rsid w:val="00922977"/>
    <w:rsid w:val="00925614"/>
    <w:rsid w:val="00933EE1"/>
    <w:rsid w:val="00937173"/>
    <w:rsid w:val="00953CAD"/>
    <w:rsid w:val="00954A32"/>
    <w:rsid w:val="00957581"/>
    <w:rsid w:val="009579C8"/>
    <w:rsid w:val="00973ACE"/>
    <w:rsid w:val="009758F2"/>
    <w:rsid w:val="00994107"/>
    <w:rsid w:val="009A1B6B"/>
    <w:rsid w:val="009B7732"/>
    <w:rsid w:val="009C1818"/>
    <w:rsid w:val="009C60CA"/>
    <w:rsid w:val="009D1173"/>
    <w:rsid w:val="009E1045"/>
    <w:rsid w:val="009E10A5"/>
    <w:rsid w:val="009E3A63"/>
    <w:rsid w:val="009E4F79"/>
    <w:rsid w:val="009E7A11"/>
    <w:rsid w:val="009F584D"/>
    <w:rsid w:val="00A0191C"/>
    <w:rsid w:val="00A0312F"/>
    <w:rsid w:val="00A22222"/>
    <w:rsid w:val="00A23729"/>
    <w:rsid w:val="00A33238"/>
    <w:rsid w:val="00A42117"/>
    <w:rsid w:val="00A74E59"/>
    <w:rsid w:val="00A85355"/>
    <w:rsid w:val="00A872F9"/>
    <w:rsid w:val="00A90C42"/>
    <w:rsid w:val="00A93CF6"/>
    <w:rsid w:val="00AA229F"/>
    <w:rsid w:val="00AA337D"/>
    <w:rsid w:val="00AA7986"/>
    <w:rsid w:val="00AB21CF"/>
    <w:rsid w:val="00AB3705"/>
    <w:rsid w:val="00AB40ED"/>
    <w:rsid w:val="00AB4630"/>
    <w:rsid w:val="00AB46CC"/>
    <w:rsid w:val="00AB5B3B"/>
    <w:rsid w:val="00AC0E48"/>
    <w:rsid w:val="00AC550A"/>
    <w:rsid w:val="00AD5FBB"/>
    <w:rsid w:val="00AE4101"/>
    <w:rsid w:val="00AE448C"/>
    <w:rsid w:val="00AE4546"/>
    <w:rsid w:val="00AF064A"/>
    <w:rsid w:val="00AF0911"/>
    <w:rsid w:val="00AF3025"/>
    <w:rsid w:val="00AF7142"/>
    <w:rsid w:val="00B07B5C"/>
    <w:rsid w:val="00B10B2C"/>
    <w:rsid w:val="00B1569A"/>
    <w:rsid w:val="00B2268D"/>
    <w:rsid w:val="00B31306"/>
    <w:rsid w:val="00B31384"/>
    <w:rsid w:val="00B31A7E"/>
    <w:rsid w:val="00B34329"/>
    <w:rsid w:val="00B366E8"/>
    <w:rsid w:val="00B3710B"/>
    <w:rsid w:val="00B4333E"/>
    <w:rsid w:val="00B47D10"/>
    <w:rsid w:val="00B53A42"/>
    <w:rsid w:val="00B608F3"/>
    <w:rsid w:val="00B62E53"/>
    <w:rsid w:val="00B6411D"/>
    <w:rsid w:val="00B641A3"/>
    <w:rsid w:val="00B65334"/>
    <w:rsid w:val="00B724B1"/>
    <w:rsid w:val="00B92B69"/>
    <w:rsid w:val="00B97FF9"/>
    <w:rsid w:val="00BA01DE"/>
    <w:rsid w:val="00BA5932"/>
    <w:rsid w:val="00BB1764"/>
    <w:rsid w:val="00BB3957"/>
    <w:rsid w:val="00BB6F57"/>
    <w:rsid w:val="00BC1026"/>
    <w:rsid w:val="00BD2A82"/>
    <w:rsid w:val="00BF5D82"/>
    <w:rsid w:val="00C02AF0"/>
    <w:rsid w:val="00C05251"/>
    <w:rsid w:val="00C210A1"/>
    <w:rsid w:val="00C262AD"/>
    <w:rsid w:val="00C27E7D"/>
    <w:rsid w:val="00C30CC3"/>
    <w:rsid w:val="00C350BD"/>
    <w:rsid w:val="00C4436D"/>
    <w:rsid w:val="00C657C6"/>
    <w:rsid w:val="00C76BF4"/>
    <w:rsid w:val="00C85CEE"/>
    <w:rsid w:val="00C91272"/>
    <w:rsid w:val="00C9311C"/>
    <w:rsid w:val="00C95347"/>
    <w:rsid w:val="00CA25B6"/>
    <w:rsid w:val="00CA57C5"/>
    <w:rsid w:val="00CA6917"/>
    <w:rsid w:val="00CB3D39"/>
    <w:rsid w:val="00CC39D3"/>
    <w:rsid w:val="00CD207C"/>
    <w:rsid w:val="00CD5907"/>
    <w:rsid w:val="00CF1344"/>
    <w:rsid w:val="00D2484D"/>
    <w:rsid w:val="00D3157D"/>
    <w:rsid w:val="00D31D39"/>
    <w:rsid w:val="00D3385F"/>
    <w:rsid w:val="00D35727"/>
    <w:rsid w:val="00D45F38"/>
    <w:rsid w:val="00D53FE4"/>
    <w:rsid w:val="00D67B3B"/>
    <w:rsid w:val="00D709CB"/>
    <w:rsid w:val="00D72950"/>
    <w:rsid w:val="00D826B2"/>
    <w:rsid w:val="00D82A70"/>
    <w:rsid w:val="00D835DE"/>
    <w:rsid w:val="00D90533"/>
    <w:rsid w:val="00D94FDB"/>
    <w:rsid w:val="00D966E5"/>
    <w:rsid w:val="00DA250C"/>
    <w:rsid w:val="00DA55EC"/>
    <w:rsid w:val="00DB1880"/>
    <w:rsid w:val="00DC0241"/>
    <w:rsid w:val="00DC1338"/>
    <w:rsid w:val="00DC1559"/>
    <w:rsid w:val="00DC6D9B"/>
    <w:rsid w:val="00DE5D7A"/>
    <w:rsid w:val="00DE60DC"/>
    <w:rsid w:val="00DF1842"/>
    <w:rsid w:val="00E07B21"/>
    <w:rsid w:val="00E13FDC"/>
    <w:rsid w:val="00E22932"/>
    <w:rsid w:val="00E26DDA"/>
    <w:rsid w:val="00E2732E"/>
    <w:rsid w:val="00E33129"/>
    <w:rsid w:val="00E34932"/>
    <w:rsid w:val="00E43340"/>
    <w:rsid w:val="00E50C1C"/>
    <w:rsid w:val="00E56540"/>
    <w:rsid w:val="00E70D45"/>
    <w:rsid w:val="00E71966"/>
    <w:rsid w:val="00E727D9"/>
    <w:rsid w:val="00E747CA"/>
    <w:rsid w:val="00E757C0"/>
    <w:rsid w:val="00E75C74"/>
    <w:rsid w:val="00E76166"/>
    <w:rsid w:val="00E77221"/>
    <w:rsid w:val="00E80796"/>
    <w:rsid w:val="00E866BC"/>
    <w:rsid w:val="00E93DBF"/>
    <w:rsid w:val="00E97B0E"/>
    <w:rsid w:val="00EA65AE"/>
    <w:rsid w:val="00EC2101"/>
    <w:rsid w:val="00EC350B"/>
    <w:rsid w:val="00ED07C5"/>
    <w:rsid w:val="00ED4DE9"/>
    <w:rsid w:val="00EE606C"/>
    <w:rsid w:val="00F06066"/>
    <w:rsid w:val="00F07B6C"/>
    <w:rsid w:val="00F10E0B"/>
    <w:rsid w:val="00F23DAE"/>
    <w:rsid w:val="00F37328"/>
    <w:rsid w:val="00F410BB"/>
    <w:rsid w:val="00F50E1A"/>
    <w:rsid w:val="00F5213E"/>
    <w:rsid w:val="00F53986"/>
    <w:rsid w:val="00F55BC7"/>
    <w:rsid w:val="00F56C09"/>
    <w:rsid w:val="00F61FB0"/>
    <w:rsid w:val="00F65A98"/>
    <w:rsid w:val="00F73B27"/>
    <w:rsid w:val="00F77D75"/>
    <w:rsid w:val="00F8455D"/>
    <w:rsid w:val="00F9076B"/>
    <w:rsid w:val="00F95AE7"/>
    <w:rsid w:val="00F96A7F"/>
    <w:rsid w:val="00F971F4"/>
    <w:rsid w:val="00F97586"/>
    <w:rsid w:val="00FA159D"/>
    <w:rsid w:val="00FA49A1"/>
    <w:rsid w:val="00FA4FEE"/>
    <w:rsid w:val="00FA64AB"/>
    <w:rsid w:val="00FC5D39"/>
    <w:rsid w:val="00FC6B91"/>
    <w:rsid w:val="00FC7914"/>
    <w:rsid w:val="00FC7984"/>
    <w:rsid w:val="00FD0925"/>
    <w:rsid w:val="00FD1AE2"/>
    <w:rsid w:val="00FD30B0"/>
    <w:rsid w:val="00FE0AAF"/>
    <w:rsid w:val="00FE7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6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A617E"/>
    <w:pPr>
      <w:tabs>
        <w:tab w:val="center" w:pos="4536"/>
        <w:tab w:val="right" w:pos="9072"/>
      </w:tabs>
      <w:spacing w:line="240" w:lineRule="auto"/>
    </w:pPr>
  </w:style>
  <w:style w:type="character" w:customStyle="1" w:styleId="HeaderChar">
    <w:name w:val="Header Char"/>
    <w:basedOn w:val="DefaultParagraphFont"/>
    <w:link w:val="Header"/>
    <w:uiPriority w:val="99"/>
    <w:rsid w:val="001A617E"/>
    <w:rPr>
      <w:rFonts w:ascii="Verdana" w:hAnsi="Verdana"/>
      <w:color w:val="000000"/>
      <w:sz w:val="18"/>
      <w:szCs w:val="18"/>
    </w:rPr>
  </w:style>
  <w:style w:type="paragraph" w:styleId="Footer">
    <w:name w:val="footer"/>
    <w:basedOn w:val="Normal"/>
    <w:link w:val="FooterChar"/>
    <w:uiPriority w:val="99"/>
    <w:unhideWhenUsed/>
    <w:rsid w:val="001A617E"/>
    <w:pPr>
      <w:tabs>
        <w:tab w:val="center" w:pos="4536"/>
        <w:tab w:val="right" w:pos="9072"/>
      </w:tabs>
      <w:spacing w:line="240" w:lineRule="auto"/>
    </w:pPr>
  </w:style>
  <w:style w:type="character" w:customStyle="1" w:styleId="FooterChar">
    <w:name w:val="Footer Char"/>
    <w:basedOn w:val="DefaultParagraphFont"/>
    <w:link w:val="Footer"/>
    <w:uiPriority w:val="99"/>
    <w:rsid w:val="001A617E"/>
    <w:rPr>
      <w:rFonts w:ascii="Verdana" w:hAnsi="Verdana"/>
      <w:color w:val="000000"/>
      <w:sz w:val="18"/>
      <w:szCs w:val="18"/>
    </w:rPr>
  </w:style>
  <w:style w:type="paragraph" w:styleId="CommentText">
    <w:name w:val="annotation text"/>
    <w:basedOn w:val="Normal"/>
    <w:link w:val="CommentTextChar"/>
    <w:uiPriority w:val="99"/>
    <w:unhideWhenUsed/>
    <w:rsid w:val="001A617E"/>
    <w:pPr>
      <w:spacing w:line="240" w:lineRule="auto"/>
    </w:pPr>
    <w:rPr>
      <w:sz w:val="20"/>
      <w:szCs w:val="20"/>
    </w:rPr>
  </w:style>
  <w:style w:type="character" w:customStyle="1" w:styleId="CommentTextChar">
    <w:name w:val="Comment Text Char"/>
    <w:basedOn w:val="DefaultParagraphFont"/>
    <w:link w:val="CommentText"/>
    <w:uiPriority w:val="99"/>
    <w:rsid w:val="001A617E"/>
    <w:rPr>
      <w:rFonts w:ascii="Verdana" w:hAnsi="Verdana"/>
      <w:color w:val="000000"/>
    </w:rPr>
  </w:style>
  <w:style w:type="paragraph" w:styleId="FootnoteText">
    <w:name w:val="footnote text"/>
    <w:basedOn w:val="Normal"/>
    <w:link w:val="FootnoteTextChar"/>
    <w:uiPriority w:val="99"/>
    <w:semiHidden/>
    <w:unhideWhenUsed/>
    <w:rsid w:val="001A617E"/>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1A617E"/>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1A617E"/>
    <w:rPr>
      <w:vertAlign w:val="superscript"/>
    </w:rPr>
  </w:style>
  <w:style w:type="character" w:styleId="CommentReference">
    <w:name w:val="annotation reference"/>
    <w:basedOn w:val="DefaultParagraphFont"/>
    <w:uiPriority w:val="99"/>
    <w:semiHidden/>
    <w:unhideWhenUsed/>
    <w:rsid w:val="001A617E"/>
    <w:rPr>
      <w:sz w:val="16"/>
      <w:szCs w:val="16"/>
    </w:rPr>
  </w:style>
  <w:style w:type="character" w:customStyle="1" w:styleId="UnresolvedMention">
    <w:name w:val="Unresolved Mention"/>
    <w:basedOn w:val="DefaultParagraphFont"/>
    <w:uiPriority w:val="99"/>
    <w:semiHidden/>
    <w:unhideWhenUsed/>
    <w:rsid w:val="001A617E"/>
    <w:rPr>
      <w:color w:val="605E5C"/>
      <w:shd w:val="clear" w:color="auto" w:fill="E1DFDD"/>
    </w:rPr>
  </w:style>
  <w:style w:type="character" w:styleId="FollowedHyperlink">
    <w:name w:val="FollowedHyperlink"/>
    <w:basedOn w:val="DefaultParagraphFont"/>
    <w:uiPriority w:val="99"/>
    <w:semiHidden/>
    <w:unhideWhenUsed/>
    <w:rsid w:val="001A617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F10E0B"/>
    <w:rPr>
      <w:b/>
      <w:bCs/>
    </w:rPr>
  </w:style>
  <w:style w:type="character" w:customStyle="1" w:styleId="CommentSubjectChar">
    <w:name w:val="Comment Subject Char"/>
    <w:basedOn w:val="CommentTextChar"/>
    <w:link w:val="CommentSubject"/>
    <w:uiPriority w:val="99"/>
    <w:semiHidden/>
    <w:rsid w:val="00F10E0B"/>
    <w:rPr>
      <w:rFonts w:ascii="Verdana" w:hAnsi="Verdana"/>
      <w:b/>
      <w:bCs/>
      <w:color w:val="000000"/>
    </w:rPr>
  </w:style>
  <w:style w:type="paragraph" w:styleId="Revision">
    <w:name w:val="Revision"/>
    <w:hidden/>
    <w:uiPriority w:val="99"/>
    <w:semiHidden/>
    <w:rsid w:val="00F410BB"/>
    <w:pPr>
      <w:autoSpaceDN/>
      <w:textAlignment w:val="auto"/>
    </w:pPr>
    <w:rPr>
      <w:rFonts w:ascii="Verdana" w:hAnsi="Verdana"/>
      <w:color w:val="000000"/>
      <w:sz w:val="18"/>
      <w:szCs w:val="18"/>
    </w:rPr>
  </w:style>
  <w:style w:type="paragraph" w:styleId="ListParagraph">
    <w:name w:val="List Paragraph"/>
    <w:basedOn w:val="Normal"/>
    <w:uiPriority w:val="34"/>
    <w:rsid w:val="00DA5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229">
      <w:bodyDiv w:val="1"/>
      <w:marLeft w:val="0"/>
      <w:marRight w:val="0"/>
      <w:marTop w:val="0"/>
      <w:marBottom w:val="0"/>
      <w:divBdr>
        <w:top w:val="none" w:sz="0" w:space="0" w:color="auto"/>
        <w:left w:val="none" w:sz="0" w:space="0" w:color="auto"/>
        <w:bottom w:val="none" w:sz="0" w:space="0" w:color="auto"/>
        <w:right w:val="none" w:sz="0" w:space="0" w:color="auto"/>
      </w:divBdr>
    </w:div>
    <w:div w:id="110826177">
      <w:bodyDiv w:val="1"/>
      <w:marLeft w:val="0"/>
      <w:marRight w:val="0"/>
      <w:marTop w:val="0"/>
      <w:marBottom w:val="0"/>
      <w:divBdr>
        <w:top w:val="none" w:sz="0" w:space="0" w:color="auto"/>
        <w:left w:val="none" w:sz="0" w:space="0" w:color="auto"/>
        <w:bottom w:val="none" w:sz="0" w:space="0" w:color="auto"/>
        <w:right w:val="none" w:sz="0" w:space="0" w:color="auto"/>
      </w:divBdr>
    </w:div>
    <w:div w:id="162742068">
      <w:bodyDiv w:val="1"/>
      <w:marLeft w:val="0"/>
      <w:marRight w:val="0"/>
      <w:marTop w:val="0"/>
      <w:marBottom w:val="0"/>
      <w:divBdr>
        <w:top w:val="none" w:sz="0" w:space="0" w:color="auto"/>
        <w:left w:val="none" w:sz="0" w:space="0" w:color="auto"/>
        <w:bottom w:val="none" w:sz="0" w:space="0" w:color="auto"/>
        <w:right w:val="none" w:sz="0" w:space="0" w:color="auto"/>
      </w:divBdr>
    </w:div>
    <w:div w:id="187108039">
      <w:bodyDiv w:val="1"/>
      <w:marLeft w:val="0"/>
      <w:marRight w:val="0"/>
      <w:marTop w:val="0"/>
      <w:marBottom w:val="0"/>
      <w:divBdr>
        <w:top w:val="none" w:sz="0" w:space="0" w:color="auto"/>
        <w:left w:val="none" w:sz="0" w:space="0" w:color="auto"/>
        <w:bottom w:val="none" w:sz="0" w:space="0" w:color="auto"/>
        <w:right w:val="none" w:sz="0" w:space="0" w:color="auto"/>
      </w:divBdr>
    </w:div>
    <w:div w:id="248275887">
      <w:bodyDiv w:val="1"/>
      <w:marLeft w:val="0"/>
      <w:marRight w:val="0"/>
      <w:marTop w:val="0"/>
      <w:marBottom w:val="0"/>
      <w:divBdr>
        <w:top w:val="none" w:sz="0" w:space="0" w:color="auto"/>
        <w:left w:val="none" w:sz="0" w:space="0" w:color="auto"/>
        <w:bottom w:val="none" w:sz="0" w:space="0" w:color="auto"/>
        <w:right w:val="none" w:sz="0" w:space="0" w:color="auto"/>
      </w:divBdr>
    </w:div>
    <w:div w:id="255866333">
      <w:bodyDiv w:val="1"/>
      <w:marLeft w:val="0"/>
      <w:marRight w:val="0"/>
      <w:marTop w:val="0"/>
      <w:marBottom w:val="0"/>
      <w:divBdr>
        <w:top w:val="none" w:sz="0" w:space="0" w:color="auto"/>
        <w:left w:val="none" w:sz="0" w:space="0" w:color="auto"/>
        <w:bottom w:val="none" w:sz="0" w:space="0" w:color="auto"/>
        <w:right w:val="none" w:sz="0" w:space="0" w:color="auto"/>
      </w:divBdr>
    </w:div>
    <w:div w:id="316761856">
      <w:bodyDiv w:val="1"/>
      <w:marLeft w:val="0"/>
      <w:marRight w:val="0"/>
      <w:marTop w:val="0"/>
      <w:marBottom w:val="0"/>
      <w:divBdr>
        <w:top w:val="none" w:sz="0" w:space="0" w:color="auto"/>
        <w:left w:val="none" w:sz="0" w:space="0" w:color="auto"/>
        <w:bottom w:val="none" w:sz="0" w:space="0" w:color="auto"/>
        <w:right w:val="none" w:sz="0" w:space="0" w:color="auto"/>
      </w:divBdr>
    </w:div>
    <w:div w:id="438449020">
      <w:bodyDiv w:val="1"/>
      <w:marLeft w:val="0"/>
      <w:marRight w:val="0"/>
      <w:marTop w:val="0"/>
      <w:marBottom w:val="0"/>
      <w:divBdr>
        <w:top w:val="none" w:sz="0" w:space="0" w:color="auto"/>
        <w:left w:val="none" w:sz="0" w:space="0" w:color="auto"/>
        <w:bottom w:val="none" w:sz="0" w:space="0" w:color="auto"/>
        <w:right w:val="none" w:sz="0" w:space="0" w:color="auto"/>
      </w:divBdr>
    </w:div>
    <w:div w:id="509493897">
      <w:bodyDiv w:val="1"/>
      <w:marLeft w:val="0"/>
      <w:marRight w:val="0"/>
      <w:marTop w:val="0"/>
      <w:marBottom w:val="0"/>
      <w:divBdr>
        <w:top w:val="none" w:sz="0" w:space="0" w:color="auto"/>
        <w:left w:val="none" w:sz="0" w:space="0" w:color="auto"/>
        <w:bottom w:val="none" w:sz="0" w:space="0" w:color="auto"/>
        <w:right w:val="none" w:sz="0" w:space="0" w:color="auto"/>
      </w:divBdr>
    </w:div>
    <w:div w:id="575633748">
      <w:bodyDiv w:val="1"/>
      <w:marLeft w:val="0"/>
      <w:marRight w:val="0"/>
      <w:marTop w:val="0"/>
      <w:marBottom w:val="0"/>
      <w:divBdr>
        <w:top w:val="none" w:sz="0" w:space="0" w:color="auto"/>
        <w:left w:val="none" w:sz="0" w:space="0" w:color="auto"/>
        <w:bottom w:val="none" w:sz="0" w:space="0" w:color="auto"/>
        <w:right w:val="none" w:sz="0" w:space="0" w:color="auto"/>
      </w:divBdr>
    </w:div>
    <w:div w:id="608243051">
      <w:bodyDiv w:val="1"/>
      <w:marLeft w:val="0"/>
      <w:marRight w:val="0"/>
      <w:marTop w:val="0"/>
      <w:marBottom w:val="0"/>
      <w:divBdr>
        <w:top w:val="none" w:sz="0" w:space="0" w:color="auto"/>
        <w:left w:val="none" w:sz="0" w:space="0" w:color="auto"/>
        <w:bottom w:val="none" w:sz="0" w:space="0" w:color="auto"/>
        <w:right w:val="none" w:sz="0" w:space="0" w:color="auto"/>
      </w:divBdr>
    </w:div>
    <w:div w:id="770970425">
      <w:bodyDiv w:val="1"/>
      <w:marLeft w:val="0"/>
      <w:marRight w:val="0"/>
      <w:marTop w:val="0"/>
      <w:marBottom w:val="0"/>
      <w:divBdr>
        <w:top w:val="none" w:sz="0" w:space="0" w:color="auto"/>
        <w:left w:val="none" w:sz="0" w:space="0" w:color="auto"/>
        <w:bottom w:val="none" w:sz="0" w:space="0" w:color="auto"/>
        <w:right w:val="none" w:sz="0" w:space="0" w:color="auto"/>
      </w:divBdr>
    </w:div>
    <w:div w:id="771361886">
      <w:bodyDiv w:val="1"/>
      <w:marLeft w:val="0"/>
      <w:marRight w:val="0"/>
      <w:marTop w:val="0"/>
      <w:marBottom w:val="0"/>
      <w:divBdr>
        <w:top w:val="none" w:sz="0" w:space="0" w:color="auto"/>
        <w:left w:val="none" w:sz="0" w:space="0" w:color="auto"/>
        <w:bottom w:val="none" w:sz="0" w:space="0" w:color="auto"/>
        <w:right w:val="none" w:sz="0" w:space="0" w:color="auto"/>
      </w:divBdr>
    </w:div>
    <w:div w:id="984353072">
      <w:bodyDiv w:val="1"/>
      <w:marLeft w:val="0"/>
      <w:marRight w:val="0"/>
      <w:marTop w:val="0"/>
      <w:marBottom w:val="0"/>
      <w:divBdr>
        <w:top w:val="none" w:sz="0" w:space="0" w:color="auto"/>
        <w:left w:val="none" w:sz="0" w:space="0" w:color="auto"/>
        <w:bottom w:val="none" w:sz="0" w:space="0" w:color="auto"/>
        <w:right w:val="none" w:sz="0" w:space="0" w:color="auto"/>
      </w:divBdr>
    </w:div>
    <w:div w:id="1077897639">
      <w:bodyDiv w:val="1"/>
      <w:marLeft w:val="0"/>
      <w:marRight w:val="0"/>
      <w:marTop w:val="0"/>
      <w:marBottom w:val="0"/>
      <w:divBdr>
        <w:top w:val="none" w:sz="0" w:space="0" w:color="auto"/>
        <w:left w:val="none" w:sz="0" w:space="0" w:color="auto"/>
        <w:bottom w:val="none" w:sz="0" w:space="0" w:color="auto"/>
        <w:right w:val="none" w:sz="0" w:space="0" w:color="auto"/>
      </w:divBdr>
    </w:div>
    <w:div w:id="1269966868">
      <w:bodyDiv w:val="1"/>
      <w:marLeft w:val="0"/>
      <w:marRight w:val="0"/>
      <w:marTop w:val="0"/>
      <w:marBottom w:val="0"/>
      <w:divBdr>
        <w:top w:val="none" w:sz="0" w:space="0" w:color="auto"/>
        <w:left w:val="none" w:sz="0" w:space="0" w:color="auto"/>
        <w:bottom w:val="none" w:sz="0" w:space="0" w:color="auto"/>
        <w:right w:val="none" w:sz="0" w:space="0" w:color="auto"/>
      </w:divBdr>
    </w:div>
    <w:div w:id="1321690017">
      <w:bodyDiv w:val="1"/>
      <w:marLeft w:val="0"/>
      <w:marRight w:val="0"/>
      <w:marTop w:val="0"/>
      <w:marBottom w:val="0"/>
      <w:divBdr>
        <w:top w:val="none" w:sz="0" w:space="0" w:color="auto"/>
        <w:left w:val="none" w:sz="0" w:space="0" w:color="auto"/>
        <w:bottom w:val="none" w:sz="0" w:space="0" w:color="auto"/>
        <w:right w:val="none" w:sz="0" w:space="0" w:color="auto"/>
      </w:divBdr>
      <w:divsChild>
        <w:div w:id="815536392">
          <w:marLeft w:val="0"/>
          <w:marRight w:val="0"/>
          <w:marTop w:val="0"/>
          <w:marBottom w:val="0"/>
          <w:divBdr>
            <w:top w:val="none" w:sz="0" w:space="0" w:color="auto"/>
            <w:left w:val="none" w:sz="0" w:space="0" w:color="auto"/>
            <w:bottom w:val="none" w:sz="0" w:space="0" w:color="auto"/>
            <w:right w:val="none" w:sz="0" w:space="0" w:color="auto"/>
          </w:divBdr>
        </w:div>
      </w:divsChild>
    </w:div>
    <w:div w:id="1330522741">
      <w:bodyDiv w:val="1"/>
      <w:marLeft w:val="0"/>
      <w:marRight w:val="0"/>
      <w:marTop w:val="0"/>
      <w:marBottom w:val="0"/>
      <w:divBdr>
        <w:top w:val="none" w:sz="0" w:space="0" w:color="auto"/>
        <w:left w:val="none" w:sz="0" w:space="0" w:color="auto"/>
        <w:bottom w:val="none" w:sz="0" w:space="0" w:color="auto"/>
        <w:right w:val="none" w:sz="0" w:space="0" w:color="auto"/>
      </w:divBdr>
    </w:div>
    <w:div w:id="1420714321">
      <w:bodyDiv w:val="1"/>
      <w:marLeft w:val="0"/>
      <w:marRight w:val="0"/>
      <w:marTop w:val="0"/>
      <w:marBottom w:val="0"/>
      <w:divBdr>
        <w:top w:val="none" w:sz="0" w:space="0" w:color="auto"/>
        <w:left w:val="none" w:sz="0" w:space="0" w:color="auto"/>
        <w:bottom w:val="none" w:sz="0" w:space="0" w:color="auto"/>
        <w:right w:val="none" w:sz="0" w:space="0" w:color="auto"/>
      </w:divBdr>
    </w:div>
    <w:div w:id="1426075873">
      <w:bodyDiv w:val="1"/>
      <w:marLeft w:val="0"/>
      <w:marRight w:val="0"/>
      <w:marTop w:val="0"/>
      <w:marBottom w:val="0"/>
      <w:divBdr>
        <w:top w:val="none" w:sz="0" w:space="0" w:color="auto"/>
        <w:left w:val="none" w:sz="0" w:space="0" w:color="auto"/>
        <w:bottom w:val="none" w:sz="0" w:space="0" w:color="auto"/>
        <w:right w:val="none" w:sz="0" w:space="0" w:color="auto"/>
      </w:divBdr>
      <w:divsChild>
        <w:div w:id="1469471049">
          <w:marLeft w:val="0"/>
          <w:marRight w:val="0"/>
          <w:marTop w:val="0"/>
          <w:marBottom w:val="0"/>
          <w:divBdr>
            <w:top w:val="none" w:sz="0" w:space="0" w:color="auto"/>
            <w:left w:val="none" w:sz="0" w:space="0" w:color="auto"/>
            <w:bottom w:val="none" w:sz="0" w:space="0" w:color="auto"/>
            <w:right w:val="none" w:sz="0" w:space="0" w:color="auto"/>
          </w:divBdr>
        </w:div>
      </w:divsChild>
    </w:div>
    <w:div w:id="1575047352">
      <w:bodyDiv w:val="1"/>
      <w:marLeft w:val="0"/>
      <w:marRight w:val="0"/>
      <w:marTop w:val="0"/>
      <w:marBottom w:val="0"/>
      <w:divBdr>
        <w:top w:val="none" w:sz="0" w:space="0" w:color="auto"/>
        <w:left w:val="none" w:sz="0" w:space="0" w:color="auto"/>
        <w:bottom w:val="none" w:sz="0" w:space="0" w:color="auto"/>
        <w:right w:val="none" w:sz="0" w:space="0" w:color="auto"/>
      </w:divBdr>
      <w:divsChild>
        <w:div w:id="2132476967">
          <w:marLeft w:val="0"/>
          <w:marRight w:val="0"/>
          <w:marTop w:val="0"/>
          <w:marBottom w:val="0"/>
          <w:divBdr>
            <w:top w:val="none" w:sz="0" w:space="0" w:color="auto"/>
            <w:left w:val="none" w:sz="0" w:space="0" w:color="auto"/>
            <w:bottom w:val="none" w:sz="0" w:space="0" w:color="auto"/>
            <w:right w:val="none" w:sz="0" w:space="0" w:color="auto"/>
          </w:divBdr>
        </w:div>
      </w:divsChild>
    </w:div>
    <w:div w:id="1681202881">
      <w:bodyDiv w:val="1"/>
      <w:marLeft w:val="0"/>
      <w:marRight w:val="0"/>
      <w:marTop w:val="0"/>
      <w:marBottom w:val="0"/>
      <w:divBdr>
        <w:top w:val="none" w:sz="0" w:space="0" w:color="auto"/>
        <w:left w:val="none" w:sz="0" w:space="0" w:color="auto"/>
        <w:bottom w:val="none" w:sz="0" w:space="0" w:color="auto"/>
        <w:right w:val="none" w:sz="0" w:space="0" w:color="auto"/>
      </w:divBdr>
    </w:div>
    <w:div w:id="1683628524">
      <w:bodyDiv w:val="1"/>
      <w:marLeft w:val="0"/>
      <w:marRight w:val="0"/>
      <w:marTop w:val="0"/>
      <w:marBottom w:val="0"/>
      <w:divBdr>
        <w:top w:val="none" w:sz="0" w:space="0" w:color="auto"/>
        <w:left w:val="none" w:sz="0" w:space="0" w:color="auto"/>
        <w:bottom w:val="none" w:sz="0" w:space="0" w:color="auto"/>
        <w:right w:val="none" w:sz="0" w:space="0" w:color="auto"/>
      </w:divBdr>
    </w:div>
    <w:div w:id="1790974214">
      <w:bodyDiv w:val="1"/>
      <w:marLeft w:val="0"/>
      <w:marRight w:val="0"/>
      <w:marTop w:val="0"/>
      <w:marBottom w:val="0"/>
      <w:divBdr>
        <w:top w:val="none" w:sz="0" w:space="0" w:color="auto"/>
        <w:left w:val="none" w:sz="0" w:space="0" w:color="auto"/>
        <w:bottom w:val="none" w:sz="0" w:space="0" w:color="auto"/>
        <w:right w:val="none" w:sz="0" w:space="0" w:color="auto"/>
      </w:divBdr>
    </w:div>
    <w:div w:id="1811442273">
      <w:bodyDiv w:val="1"/>
      <w:marLeft w:val="0"/>
      <w:marRight w:val="0"/>
      <w:marTop w:val="0"/>
      <w:marBottom w:val="0"/>
      <w:divBdr>
        <w:top w:val="none" w:sz="0" w:space="0" w:color="auto"/>
        <w:left w:val="none" w:sz="0" w:space="0" w:color="auto"/>
        <w:bottom w:val="none" w:sz="0" w:space="0" w:color="auto"/>
        <w:right w:val="none" w:sz="0" w:space="0" w:color="auto"/>
      </w:divBdr>
      <w:divsChild>
        <w:div w:id="1005784962">
          <w:marLeft w:val="0"/>
          <w:marRight w:val="0"/>
          <w:marTop w:val="0"/>
          <w:marBottom w:val="0"/>
          <w:divBdr>
            <w:top w:val="none" w:sz="0" w:space="0" w:color="auto"/>
            <w:left w:val="none" w:sz="0" w:space="0" w:color="auto"/>
            <w:bottom w:val="none" w:sz="0" w:space="0" w:color="auto"/>
            <w:right w:val="none" w:sz="0" w:space="0" w:color="auto"/>
          </w:divBdr>
        </w:div>
      </w:divsChild>
    </w:div>
    <w:div w:id="1890072237">
      <w:bodyDiv w:val="1"/>
      <w:marLeft w:val="0"/>
      <w:marRight w:val="0"/>
      <w:marTop w:val="0"/>
      <w:marBottom w:val="0"/>
      <w:divBdr>
        <w:top w:val="none" w:sz="0" w:space="0" w:color="auto"/>
        <w:left w:val="none" w:sz="0" w:space="0" w:color="auto"/>
        <w:bottom w:val="none" w:sz="0" w:space="0" w:color="auto"/>
        <w:right w:val="none" w:sz="0" w:space="0" w:color="auto"/>
      </w:divBdr>
      <w:divsChild>
        <w:div w:id="257644503">
          <w:marLeft w:val="0"/>
          <w:marRight w:val="0"/>
          <w:marTop w:val="0"/>
          <w:marBottom w:val="0"/>
          <w:divBdr>
            <w:top w:val="none" w:sz="0" w:space="0" w:color="auto"/>
            <w:left w:val="none" w:sz="0" w:space="0" w:color="auto"/>
            <w:bottom w:val="none" w:sz="0" w:space="0" w:color="auto"/>
            <w:right w:val="none" w:sz="0" w:space="0" w:color="auto"/>
          </w:divBdr>
        </w:div>
      </w:divsChild>
    </w:div>
    <w:div w:id="1969118022">
      <w:bodyDiv w:val="1"/>
      <w:marLeft w:val="0"/>
      <w:marRight w:val="0"/>
      <w:marTop w:val="0"/>
      <w:marBottom w:val="0"/>
      <w:divBdr>
        <w:top w:val="none" w:sz="0" w:space="0" w:color="auto"/>
        <w:left w:val="none" w:sz="0" w:space="0" w:color="auto"/>
        <w:bottom w:val="none" w:sz="0" w:space="0" w:color="auto"/>
        <w:right w:val="none" w:sz="0" w:space="0" w:color="auto"/>
      </w:divBdr>
      <w:divsChild>
        <w:div w:id="2123726666">
          <w:marLeft w:val="0"/>
          <w:marRight w:val="0"/>
          <w:marTop w:val="0"/>
          <w:marBottom w:val="0"/>
          <w:divBdr>
            <w:top w:val="none" w:sz="0" w:space="0" w:color="auto"/>
            <w:left w:val="none" w:sz="0" w:space="0" w:color="auto"/>
            <w:bottom w:val="none" w:sz="0" w:space="0" w:color="auto"/>
            <w:right w:val="none" w:sz="0" w:space="0" w:color="auto"/>
          </w:divBdr>
        </w:div>
      </w:divsChild>
    </w:div>
    <w:div w:id="2023849362">
      <w:bodyDiv w:val="1"/>
      <w:marLeft w:val="0"/>
      <w:marRight w:val="0"/>
      <w:marTop w:val="0"/>
      <w:marBottom w:val="0"/>
      <w:divBdr>
        <w:top w:val="none" w:sz="0" w:space="0" w:color="auto"/>
        <w:left w:val="none" w:sz="0" w:space="0" w:color="auto"/>
        <w:bottom w:val="none" w:sz="0" w:space="0" w:color="auto"/>
        <w:right w:val="none" w:sz="0" w:space="0" w:color="auto"/>
      </w:divBdr>
    </w:div>
    <w:div w:id="211177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 Target="webSettings0.xml" Id="rId24"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etookdeknopom.nl/thema/reizen-en-vervoeren" TargetMode="External"/><Relationship Id="rId2" Type="http://schemas.openxmlformats.org/officeDocument/2006/relationships/hyperlink" Target="https://www.raivereniging.nl/secties/motoren/kennis/dossier/motorfiets-voor-woon-werk-verkeer/" TargetMode="External"/><Relationship Id="rId1" Type="http://schemas.openxmlformats.org/officeDocument/2006/relationships/hyperlink" Target="https://www.benelux.int/wp-content/uploads/2024/11/M20244-NLsigned.pdf" TargetMode="External"/><Relationship Id="rId5" Type="http://schemas.openxmlformats.org/officeDocument/2006/relationships/hyperlink" Target="https://dashboardklimaatbeleid.nl/" TargetMode="External"/><Relationship Id="rId4" Type="http://schemas.openxmlformats.org/officeDocument/2006/relationships/hyperlink" Target="https://www.rvo.nl/onderwerpen/start-met-verduurzamen-werkgebonden-personenmobiliteit/motor-scooter-speed-pedele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Kamerbrief%20toezeggingen%20afdoen\2025\augustus\Verzamelbrief%20duurzaam%20vervoer%20JB.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3525</ap:Words>
  <ap:Characters>20099</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Brief aan Parlement - Verzamelbrief duurzaam vervoer</vt:lpstr>
    </vt:vector>
  </ap:TitlesOfParts>
  <ap:LinksUpToDate>false</ap:LinksUpToDate>
  <ap:CharactersWithSpaces>23577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2025-09-08T12:51:00.0000000Z</dcterms:created>
  <dcterms:modified xsi:type="dcterms:W3CDTF">2025-09-08T12:51:00.0000000Z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duurzaam vervoer</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J.W.B. Beijk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