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23B9" w:rsidR="004E6804" w:rsidRDefault="00AE3B69" w14:paraId="035FBB01" w14:textId="3606D942">
      <w:pPr>
        <w:rPr>
          <w:rFonts w:ascii="Calibri" w:hAnsi="Calibri" w:cs="Calibri"/>
        </w:rPr>
      </w:pPr>
      <w:r w:rsidRPr="001E23B9">
        <w:rPr>
          <w:rFonts w:ascii="Calibri" w:hAnsi="Calibri" w:cs="Calibri"/>
        </w:rPr>
        <w:t>21</w:t>
      </w:r>
      <w:r w:rsidRPr="001E23B9" w:rsidR="004E6804">
        <w:rPr>
          <w:rFonts w:ascii="Calibri" w:hAnsi="Calibri" w:cs="Calibri"/>
        </w:rPr>
        <w:t xml:space="preserve"> </w:t>
      </w:r>
      <w:r w:rsidRPr="001E23B9">
        <w:rPr>
          <w:rFonts w:ascii="Calibri" w:hAnsi="Calibri" w:cs="Calibri"/>
        </w:rPr>
        <w:t>501-03</w:t>
      </w:r>
      <w:r w:rsidRPr="001E23B9" w:rsidR="004E6804">
        <w:rPr>
          <w:rFonts w:ascii="Calibri" w:hAnsi="Calibri" w:cs="Calibri"/>
        </w:rPr>
        <w:tab/>
        <w:t>Begrotingsraad</w:t>
      </w:r>
    </w:p>
    <w:p w:rsidRPr="001E23B9" w:rsidR="004E6804" w:rsidP="00D80872" w:rsidRDefault="004E6804" w14:paraId="49BD9BC2" w14:textId="77777777">
      <w:pPr>
        <w:rPr>
          <w:rFonts w:ascii="Calibri" w:hAnsi="Calibri" w:cs="Calibri"/>
        </w:rPr>
      </w:pPr>
      <w:r w:rsidRPr="001E23B9">
        <w:rPr>
          <w:rFonts w:ascii="Calibri" w:hAnsi="Calibri" w:cs="Calibri"/>
        </w:rPr>
        <w:t xml:space="preserve">Nr. </w:t>
      </w:r>
      <w:r w:rsidRPr="001E23B9" w:rsidR="00AE3B69">
        <w:rPr>
          <w:rFonts w:ascii="Calibri" w:hAnsi="Calibri" w:cs="Calibri"/>
        </w:rPr>
        <w:t>194</w:t>
      </w:r>
      <w:r w:rsidRPr="001E23B9">
        <w:rPr>
          <w:rFonts w:ascii="Calibri" w:hAnsi="Calibri" w:cs="Calibri"/>
        </w:rPr>
        <w:tab/>
      </w:r>
      <w:r w:rsidRPr="001E23B9">
        <w:rPr>
          <w:rFonts w:ascii="Calibri" w:hAnsi="Calibri" w:cs="Calibri"/>
        </w:rPr>
        <w:tab/>
        <w:t>Brief van de minister van Financiën</w:t>
      </w:r>
    </w:p>
    <w:p w:rsidRPr="001E23B9" w:rsidR="00AE3B69" w:rsidP="00AE3B69" w:rsidRDefault="004E6804" w14:paraId="62698EC3" w14:textId="33B0F2AC">
      <w:pPr>
        <w:rPr>
          <w:rFonts w:ascii="Calibri" w:hAnsi="Calibri" w:cs="Calibri"/>
        </w:rPr>
      </w:pPr>
      <w:r w:rsidRPr="001E23B9">
        <w:rPr>
          <w:rFonts w:ascii="Calibri" w:hAnsi="Calibri" w:cs="Calibri"/>
        </w:rPr>
        <w:t>Aan de Voorzitter van de Tweede Kamer der Staten-Generaal</w:t>
      </w:r>
    </w:p>
    <w:p w:rsidRPr="001E23B9" w:rsidR="004E6804" w:rsidP="00AE3B69" w:rsidRDefault="004E6804" w14:paraId="7682B179" w14:textId="17B86003">
      <w:pPr>
        <w:rPr>
          <w:rFonts w:ascii="Calibri" w:hAnsi="Calibri" w:cs="Calibri"/>
        </w:rPr>
      </w:pPr>
      <w:r w:rsidRPr="001E23B9">
        <w:rPr>
          <w:rFonts w:ascii="Calibri" w:hAnsi="Calibri" w:cs="Calibri"/>
        </w:rPr>
        <w:t>Den Haag, 9 september 2025</w:t>
      </w:r>
    </w:p>
    <w:p w:rsidRPr="001E23B9" w:rsidR="00AE3B69" w:rsidP="00AE3B69" w:rsidRDefault="00AE3B69" w14:paraId="5E981873" w14:textId="77777777">
      <w:pPr>
        <w:rPr>
          <w:rFonts w:ascii="Calibri" w:hAnsi="Calibri" w:cs="Calibri"/>
        </w:rPr>
      </w:pPr>
    </w:p>
    <w:p w:rsidRPr="001E23B9" w:rsidR="00AE3B69" w:rsidP="00AE3B69" w:rsidRDefault="00AE3B69" w14:paraId="2CEA04CF" w14:textId="0696B485">
      <w:pPr>
        <w:rPr>
          <w:rFonts w:ascii="Calibri" w:hAnsi="Calibri" w:cs="Calibri"/>
        </w:rPr>
      </w:pPr>
      <w:r w:rsidRPr="001E23B9">
        <w:rPr>
          <w:rFonts w:ascii="Calibri" w:hAnsi="Calibri" w:cs="Calibri"/>
        </w:rPr>
        <w:t>Via deze brief informeer ik uw Kamer over het voorstel voor de tweede aanvullende Europese begroting 2025 (</w:t>
      </w:r>
      <w:r w:rsidRPr="001E23B9">
        <w:rPr>
          <w:rFonts w:ascii="Calibri" w:hAnsi="Calibri" w:cs="Calibri"/>
          <w:i/>
          <w:iCs/>
        </w:rPr>
        <w:t>Draft Amending Budget 2</w:t>
      </w:r>
      <w:r w:rsidRPr="001E23B9">
        <w:rPr>
          <w:rFonts w:ascii="Calibri" w:hAnsi="Calibri" w:cs="Calibri"/>
        </w:rPr>
        <w:t xml:space="preserve">; DAB2) waarin de meest recente economische ramingen voor de eigen middelen verwerkt worden in de Europese begroting. DAB2 bevat daarnaast een actualisatie van de verwachte overige ontvangsten van de Europese Unie voor 2025, inclusief de bijdrage van het Verenigd Koaninkrijk uit hoofde van het terugtrekkingsakkoord. Ten slotte bevat DAB2 aanpassingen aan het uitgavenniveau voor 2025. </w:t>
      </w:r>
    </w:p>
    <w:p w:rsidRPr="001E23B9" w:rsidR="00AE3B69" w:rsidP="00AE3B69" w:rsidRDefault="00AE3B69" w14:paraId="28C74DCC" w14:textId="77777777">
      <w:pPr>
        <w:rPr>
          <w:rFonts w:ascii="Calibri" w:hAnsi="Calibri" w:cs="Calibri"/>
        </w:rPr>
      </w:pPr>
    </w:p>
    <w:p w:rsidRPr="001E23B9" w:rsidR="00AE3B69" w:rsidP="00AE3B69" w:rsidRDefault="00AE3B69" w14:paraId="0100415D" w14:textId="77777777">
      <w:pPr>
        <w:rPr>
          <w:rFonts w:ascii="Calibri" w:hAnsi="Calibri" w:cs="Calibri"/>
          <w:b/>
          <w:bCs/>
        </w:rPr>
      </w:pPr>
      <w:r w:rsidRPr="001E23B9">
        <w:rPr>
          <w:rFonts w:ascii="Calibri" w:hAnsi="Calibri" w:cs="Calibri"/>
          <w:b/>
          <w:bCs/>
        </w:rPr>
        <w:t xml:space="preserve">Voorstel tweede aanvullende Europese begroting 2025 </w:t>
      </w:r>
    </w:p>
    <w:p w:rsidRPr="001E23B9" w:rsidR="00AE3B69" w:rsidP="00AE3B69" w:rsidRDefault="00AE3B69" w14:paraId="01D82D62" w14:textId="77777777">
      <w:pPr>
        <w:rPr>
          <w:rFonts w:ascii="Calibri" w:hAnsi="Calibri" w:cs="Calibri"/>
        </w:rPr>
      </w:pPr>
      <w:r w:rsidRPr="001E23B9">
        <w:rPr>
          <w:rFonts w:ascii="Calibri" w:hAnsi="Calibri" w:cs="Calibri"/>
        </w:rPr>
        <w:t>Op 4 juli jl. publiceerde de Commissie de tweede aanvullende Europese begroting van 2025 (DAB2). In DAB2 wijzigt de Commissie de Europese begroting voor 2025 op een aantal punten. Ten eerste actualiseert de Commissie de Europese begroting op basis van de meest recente economische ramingen voor de eigen middelen. Dit gebeurt op basis van de zogenaamde Lenteraming van de Commissie. Deze is vastgesteld in het Raadgevend Comité voor de eigen middelen (</w:t>
      </w:r>
      <w:r w:rsidRPr="001E23B9">
        <w:rPr>
          <w:rFonts w:ascii="Calibri" w:hAnsi="Calibri" w:cs="Calibri"/>
          <w:i/>
          <w:iCs/>
        </w:rPr>
        <w:t>Advisory Committee on Own Resources</w:t>
      </w:r>
      <w:r w:rsidRPr="001E23B9">
        <w:rPr>
          <w:rFonts w:ascii="Calibri" w:hAnsi="Calibri" w:cs="Calibri"/>
        </w:rPr>
        <w:t>; ACOR) waaraan Nederland deelneemt. De actualisatie heeft een effect op de raming van de Nederlandse plastic-, btw- en bni-afdracht aan de Europese Unie.</w:t>
      </w:r>
      <w:r w:rsidRPr="001E23B9">
        <w:rPr>
          <w:rStyle w:val="Voetnootmarkering"/>
          <w:rFonts w:ascii="Calibri" w:hAnsi="Calibri" w:cs="Calibri"/>
        </w:rPr>
        <w:footnoteReference w:id="1"/>
      </w:r>
      <w:r w:rsidRPr="001E23B9">
        <w:rPr>
          <w:rFonts w:ascii="Calibri" w:hAnsi="Calibri" w:cs="Calibri"/>
        </w:rPr>
        <w:t xml:space="preserve"> </w:t>
      </w:r>
    </w:p>
    <w:p w:rsidRPr="001E23B9" w:rsidR="00AE3B69" w:rsidP="00AE3B69" w:rsidRDefault="00AE3B69" w14:paraId="5D51BC9A" w14:textId="77777777">
      <w:pPr>
        <w:rPr>
          <w:rFonts w:ascii="Calibri" w:hAnsi="Calibri" w:cs="Calibri"/>
        </w:rPr>
      </w:pPr>
    </w:p>
    <w:p w:rsidRPr="001E23B9" w:rsidR="00AE3B69" w:rsidP="00AE3B69" w:rsidRDefault="00AE3B69" w14:paraId="23BD4789" w14:textId="77777777">
      <w:pPr>
        <w:rPr>
          <w:rFonts w:ascii="Calibri" w:hAnsi="Calibri" w:cs="Calibri"/>
        </w:rPr>
      </w:pPr>
      <w:r w:rsidRPr="001E23B9">
        <w:rPr>
          <w:rFonts w:ascii="Calibri" w:hAnsi="Calibri" w:cs="Calibri"/>
        </w:rPr>
        <w:t>Eerder dit jaar is er al een inschatting gemaakt van het structurele effect van de economische ontwikkeling voor de komende jaren op de raming van de Nederlandse afdrachten aan de EU. Op basis van deze inschatting is een groot deel van het effect van de actualisatie van de economische raming van de bni-afdracht met Voorjaarsnota 2025 al verwerkt.</w:t>
      </w:r>
      <w:r w:rsidRPr="001E23B9">
        <w:rPr>
          <w:rStyle w:val="Voetnootmarkering"/>
          <w:rFonts w:ascii="Calibri" w:hAnsi="Calibri" w:cs="Calibri"/>
        </w:rPr>
        <w:footnoteReference w:id="2"/>
      </w:r>
      <w:r w:rsidRPr="001E23B9">
        <w:rPr>
          <w:rFonts w:ascii="Calibri" w:hAnsi="Calibri" w:cs="Calibri"/>
        </w:rPr>
        <w:t xml:space="preserve"> </w:t>
      </w:r>
    </w:p>
    <w:p w:rsidRPr="001E23B9" w:rsidR="00AE3B69" w:rsidP="00AE3B69" w:rsidRDefault="00AE3B69" w14:paraId="2F6E06FF" w14:textId="77777777">
      <w:pPr>
        <w:rPr>
          <w:rFonts w:ascii="Calibri" w:hAnsi="Calibri" w:cs="Calibri"/>
        </w:rPr>
      </w:pPr>
    </w:p>
    <w:p w:rsidRPr="001E23B9" w:rsidR="00AE3B69" w:rsidP="00AE3B69" w:rsidRDefault="00AE3B69" w14:paraId="2B0F2F44" w14:textId="77777777">
      <w:pPr>
        <w:rPr>
          <w:rFonts w:ascii="Calibri" w:hAnsi="Calibri" w:cs="Calibri"/>
        </w:rPr>
      </w:pPr>
      <w:r w:rsidRPr="001E23B9">
        <w:rPr>
          <w:rFonts w:ascii="Calibri" w:hAnsi="Calibri" w:cs="Calibri"/>
        </w:rPr>
        <w:t xml:space="preserve">Als gevolg van de Lenteraming verwacht de Commissie dat op Europees niveau minder inkomsten vanuit de plastic- en btw-afdracht worden opgehaald dan eerder geraamd. Hierdoor daalt de raming van de Nederlandse btw-afdracht met circa 28 </w:t>
      </w:r>
      <w:r w:rsidRPr="001E23B9">
        <w:rPr>
          <w:rFonts w:ascii="Calibri" w:hAnsi="Calibri" w:cs="Calibri"/>
        </w:rPr>
        <w:lastRenderedPageBreak/>
        <w:t xml:space="preserve">miljoen euro in 2025 en 9 miljoen euro in 2026. De verwachte Nederlandse plastic-afdracht daalt met circa 22 miljoen in 2025 en 21 miljoen vanaf 2026. Omdat de bni-afdracht het sluitstuk is van de Europese begroting hebben de lager dan verwachte inkomsten van de btw- en plasticafdracht een opwaarts effect op de raming de Nederlandse bni-afdracht. Daarnaast verwacht de Commissie een stijging van het relatieve aandeel van het Nederlands bni in het totale EU bni. Als gevolg van de eerdere inschatting van de economische ontwikkeling steeg het geraamde Nederlandse bni-aandeel voor 2025 al van 6,1% naar 6,3%. Het Nederlands bni-aandeel stijgt nu verder naar 6,4%. Dit betekent een structurele stijging in de raming van de Nederlandse bni-afdracht met circa 126 miljoen in 2025 en 172 miljoen in 2030. </w:t>
      </w:r>
    </w:p>
    <w:p w:rsidRPr="001E23B9" w:rsidR="00AE3B69" w:rsidP="00AE3B69" w:rsidRDefault="00AE3B69" w14:paraId="00951A40" w14:textId="77777777">
      <w:pPr>
        <w:rPr>
          <w:rFonts w:ascii="Calibri" w:hAnsi="Calibri" w:cs="Calibri"/>
        </w:rPr>
      </w:pPr>
    </w:p>
    <w:p w:rsidRPr="001E23B9" w:rsidR="00AE3B69" w:rsidP="00AE3B69" w:rsidRDefault="00AE3B69" w14:paraId="731CB4DB" w14:textId="77777777">
      <w:pPr>
        <w:rPr>
          <w:rFonts w:ascii="Calibri" w:hAnsi="Calibri" w:cs="Calibri"/>
        </w:rPr>
      </w:pPr>
      <w:r w:rsidRPr="001E23B9">
        <w:rPr>
          <w:rFonts w:ascii="Calibri" w:hAnsi="Calibri" w:cs="Calibri"/>
        </w:rPr>
        <w:t xml:space="preserve">Ten tweede geeft de Commissie aan te verwachten dat de overige ontvangsten in 2025 op EU-niveau stijgen. Dit wordt met name veroorzaakt door hogere boete-inkomsten dan eerder geraamd. De Commissie stelt daarnaast de verwachte bijdrage van het Verenigd Koninkrijk aan de Europese begroting uit hoofde van het Terugtrekkingsakkoord naar beneden bij. Dit wordt veroorzaakt door vertraging in betalingen van programma’s op de EU-begroting waaraan het Verenigd Koninkrijk nog gecommitteerd is. Dit leidt tot lagere overige ontvangsten dan reeds voorzien in de raming van de Nederlandse afdrachten. Dit betekent een stijging van de raming van de Nederlandse bni-afdracht van 2 miljoen euro in 2025.  </w:t>
      </w:r>
    </w:p>
    <w:p w:rsidRPr="001E23B9" w:rsidR="00AE3B69" w:rsidP="00AE3B69" w:rsidRDefault="00AE3B69" w14:paraId="2F532AD3" w14:textId="77777777">
      <w:pPr>
        <w:rPr>
          <w:rFonts w:ascii="Calibri" w:hAnsi="Calibri" w:cs="Calibri"/>
        </w:rPr>
      </w:pPr>
    </w:p>
    <w:p w:rsidRPr="001E23B9" w:rsidR="00AE3B69" w:rsidP="00AE3B69" w:rsidRDefault="00AE3B69" w14:paraId="249EAA02" w14:textId="77777777">
      <w:pPr>
        <w:rPr>
          <w:rFonts w:ascii="Calibri" w:hAnsi="Calibri" w:cs="Calibri"/>
        </w:rPr>
      </w:pPr>
      <w:r w:rsidRPr="001E23B9">
        <w:rPr>
          <w:rFonts w:ascii="Calibri" w:hAnsi="Calibri" w:cs="Calibri"/>
        </w:rPr>
        <w:t xml:space="preserve">Als laatste actualiseert de Commissie het uitgavenniveau van 2025. De geraamde betalingen voor het Europees Landbouwfonds voor Plattelandsontwikkeling (ELFPO) voor 2025 waren gebaseerd op voorzichtige aannames die de onderbesteding van de programma’s in de voorgaande jaren weerspiegelden. Echter door versnelde implementatie van de strategische plannen voor 2023-2027 en de afronding van de vorige programmeringsperiode van 2014-2022, raamt de Commissie nu een stijging op EU-niveau van de betalingen van 3,5 miljard euro. </w:t>
      </w:r>
    </w:p>
    <w:p w:rsidRPr="001E23B9" w:rsidR="00AE3B69" w:rsidP="00AE3B69" w:rsidRDefault="00AE3B69" w14:paraId="75ECE1E5" w14:textId="77777777">
      <w:pPr>
        <w:rPr>
          <w:rFonts w:ascii="Calibri" w:hAnsi="Calibri" w:cs="Calibri"/>
        </w:rPr>
      </w:pPr>
    </w:p>
    <w:p w:rsidRPr="001E23B9" w:rsidR="00AE3B69" w:rsidP="00AE3B69" w:rsidRDefault="00AE3B69" w14:paraId="1BA2FFDC" w14:textId="77777777">
      <w:pPr>
        <w:rPr>
          <w:rFonts w:ascii="Calibri" w:hAnsi="Calibri" w:cs="Calibri"/>
        </w:rPr>
      </w:pPr>
      <w:r w:rsidRPr="001E23B9">
        <w:rPr>
          <w:rFonts w:ascii="Calibri" w:hAnsi="Calibri" w:cs="Calibri"/>
        </w:rPr>
        <w:t>De raming van de Nederlandse afdrachten aan de Europese begroting is normaliter gebaseerd op de omvang van het jaarlijkse betalingenplafond uit het MFK plus de maximale inzet van speciale instrumenten die boven dit plafond worden gefinancierd. Op 4 september 2024 is uw Kamer geïnformeerd over de afwijking van deze gebruikelijke systematiek, omdat de marge tussen het voorgestelde uitgavenniveau en het uitgavenplafond voor 2025 erg groot was.</w:t>
      </w:r>
      <w:r w:rsidRPr="001E23B9">
        <w:rPr>
          <w:rStyle w:val="Voetnootmarkering"/>
          <w:rFonts w:ascii="Calibri" w:hAnsi="Calibri" w:cs="Calibri"/>
        </w:rPr>
        <w:footnoteReference w:id="3"/>
      </w:r>
      <w:r w:rsidRPr="001E23B9">
        <w:rPr>
          <w:rFonts w:ascii="Calibri" w:hAnsi="Calibri" w:cs="Calibri"/>
        </w:rPr>
        <w:t xml:space="preserve"> Daarom is gekozen om de Nederlandse raming in de Ontwerpbegroting te baseren op het uitgavenniveau uit het Commissievoorstel voor de Europese begroting voor 2025. Daarbij is in de raming een marge van 3,5 mld. euro aangehouden bovenop dit </w:t>
      </w:r>
      <w:r w:rsidRPr="001E23B9">
        <w:rPr>
          <w:rFonts w:ascii="Calibri" w:hAnsi="Calibri" w:cs="Calibri"/>
        </w:rPr>
        <w:lastRenderedPageBreak/>
        <w:t>uitgavenniveau. Het akkoord voor de Europese begroting voor 2025 heeft de marge verkleind tot circa 975 miljoen euro. Daarna is deze verder verkleind door onder andere de versnelde implementatie van ELFPO. Alle bovengenoemde effecten samen leiden daarom tot een opwaartse bijstelling van het uitgavenniveau in de Nederlandse raming. Dit betekent een stijging van de raming van de Nederlandse bni-afdracht van circa 191 miljoen euro in 2025.</w:t>
      </w:r>
    </w:p>
    <w:p w:rsidRPr="001E23B9" w:rsidR="00AE3B69" w:rsidP="00AE3B69" w:rsidRDefault="00AE3B69" w14:paraId="573E6387" w14:textId="77777777">
      <w:pPr>
        <w:rPr>
          <w:rFonts w:ascii="Calibri" w:hAnsi="Calibri" w:cs="Calibri"/>
        </w:rPr>
      </w:pPr>
    </w:p>
    <w:p w:rsidRPr="001E23B9" w:rsidR="00AE3B69" w:rsidP="00AE3B69" w:rsidRDefault="00AE3B69" w14:paraId="0F7D0C43" w14:textId="77777777">
      <w:pPr>
        <w:rPr>
          <w:rFonts w:ascii="Calibri" w:hAnsi="Calibri" w:cs="Calibri"/>
          <w:i/>
          <w:iCs/>
        </w:rPr>
      </w:pPr>
      <w:r w:rsidRPr="001E23B9">
        <w:rPr>
          <w:rFonts w:ascii="Calibri" w:hAnsi="Calibri" w:cs="Calibri"/>
          <w:i/>
          <w:iCs/>
        </w:rPr>
        <w:t xml:space="preserve">Gevolgen voor de Nederlandse afdrachten </w:t>
      </w:r>
    </w:p>
    <w:p w:rsidRPr="001E23B9" w:rsidR="00AE3B69" w:rsidP="00AE3B69" w:rsidRDefault="00AE3B69" w14:paraId="4B4C0E20" w14:textId="77777777">
      <w:pPr>
        <w:rPr>
          <w:rFonts w:ascii="Calibri" w:hAnsi="Calibri" w:cs="Calibri"/>
        </w:rPr>
      </w:pPr>
      <w:r w:rsidRPr="001E23B9">
        <w:rPr>
          <w:rFonts w:ascii="Calibri" w:hAnsi="Calibri" w:cs="Calibri"/>
        </w:rPr>
        <w:t xml:space="preserve">Onderstaande tabel geeft een overzicht van het effect van DAB2 op de raming van de Nederlandse EU-afdrachten. Het netto-effect van de bijstellingen op de raming van de Nederlandse EU-afdrachten is een stijging van circa 269 miljoen euro in 2025 en 141 miljoen euro in 2030. In de bestaande ramingssystematiek voor de Nederlandse EU-afdrachten zijn voor de periode na het huidige MFK (vanaf 2028) aannames gedaan over de omvang van het MFK als percentage van het EU-bni. Om die reden werken de economische bijstellingen ook na het huidig MFK door in de raming. </w:t>
      </w:r>
    </w:p>
    <w:p w:rsidRPr="001E23B9" w:rsidR="00AE3B69" w:rsidP="00AE3B69" w:rsidRDefault="00AE3B69" w14:paraId="3FC6CCC6" w14:textId="77777777">
      <w:pPr>
        <w:rPr>
          <w:rFonts w:ascii="Calibri" w:hAnsi="Calibri" w:cs="Calibri"/>
          <w:i/>
          <w:iCs/>
        </w:rPr>
      </w:pPr>
    </w:p>
    <w:p w:rsidRPr="001E23B9" w:rsidR="00AE3B69" w:rsidP="00AE3B69" w:rsidRDefault="00AE3B69" w14:paraId="48AA9807" w14:textId="77777777">
      <w:pPr>
        <w:rPr>
          <w:rFonts w:ascii="Calibri" w:hAnsi="Calibri" w:cs="Calibri"/>
        </w:rPr>
      </w:pPr>
      <w:r w:rsidRPr="001E23B9">
        <w:rPr>
          <w:rFonts w:ascii="Calibri" w:hAnsi="Calibri" w:cs="Calibri"/>
        </w:rPr>
        <w:t>De budgettaire verwerking van het netto-effect van DAB2 op de raming van de Nederlandse afdrachten zal zichtbaar zijn bij de Ontwerpbegroting 2026 van het Ministerie van Buitenlandse Zaken.</w:t>
      </w:r>
    </w:p>
    <w:p w:rsidRPr="001E23B9" w:rsidR="00AE3B69" w:rsidP="00AE3B69" w:rsidRDefault="00AE3B69" w14:paraId="5397250D" w14:textId="77777777">
      <w:pPr>
        <w:rPr>
          <w:rFonts w:ascii="Calibri" w:hAnsi="Calibri" w:cs="Calibri"/>
        </w:rPr>
      </w:pPr>
    </w:p>
    <w:p w:rsidRPr="001E23B9" w:rsidR="00AE3B69" w:rsidP="00AE3B69" w:rsidRDefault="00AE3B69" w14:paraId="68753BC3" w14:textId="77777777">
      <w:pPr>
        <w:rPr>
          <w:rFonts w:ascii="Calibri" w:hAnsi="Calibri" w:cs="Calibri"/>
          <w:i/>
          <w:iCs/>
        </w:rPr>
      </w:pPr>
      <w:r w:rsidRPr="001E23B9">
        <w:rPr>
          <w:rFonts w:ascii="Calibri" w:hAnsi="Calibri" w:cs="Calibri"/>
          <w:i/>
          <w:iCs/>
        </w:rPr>
        <w:t>Tabel 1: Effect DAB2 op raming Nederlandse EU-afdrachten (in mln. euro’s, lopende prijzen)</w:t>
      </w:r>
    </w:p>
    <w:tbl>
      <w:tblPr>
        <w:tblW w:w="8546" w:type="dxa"/>
        <w:tblInd w:w="-10" w:type="dxa"/>
        <w:tblLayout w:type="fixed"/>
        <w:tblCellMar>
          <w:left w:w="70" w:type="dxa"/>
          <w:right w:w="70" w:type="dxa"/>
        </w:tblCellMar>
        <w:tblLook w:val="04A0" w:firstRow="1" w:lastRow="0" w:firstColumn="1" w:lastColumn="0" w:noHBand="0" w:noVBand="1"/>
      </w:tblPr>
      <w:tblGrid>
        <w:gridCol w:w="2795"/>
        <w:gridCol w:w="958"/>
        <w:gridCol w:w="959"/>
        <w:gridCol w:w="958"/>
        <w:gridCol w:w="958"/>
        <w:gridCol w:w="959"/>
        <w:gridCol w:w="959"/>
      </w:tblGrid>
      <w:tr w:rsidRPr="001E23B9" w:rsidR="00AE3B69" w:rsidTr="00242511" w14:paraId="502B458F" w14:textId="77777777">
        <w:trPr>
          <w:trHeight w:val="260"/>
        </w:trPr>
        <w:tc>
          <w:tcPr>
            <w:tcW w:w="8546" w:type="dxa"/>
            <w:gridSpan w:val="7"/>
            <w:tcBorders>
              <w:top w:val="single" w:color="auto" w:sz="4" w:space="0"/>
              <w:left w:val="single" w:color="auto" w:sz="4" w:space="0"/>
              <w:bottom w:val="single" w:color="auto" w:sz="4" w:space="0"/>
              <w:right w:val="single" w:color="auto" w:sz="4" w:space="0"/>
            </w:tcBorders>
            <w:shd w:val="clear" w:color="auto" w:fill="1F4E79"/>
            <w:vAlign w:val="center"/>
          </w:tcPr>
          <w:p w:rsidRPr="001E23B9" w:rsidR="00AE3B69" w:rsidP="00242511" w:rsidRDefault="00AE3B69" w14:paraId="74829216" w14:textId="77777777">
            <w:pPr>
              <w:spacing w:line="24" w:lineRule="atLeast"/>
              <w:rPr>
                <w:rFonts w:ascii="Calibri" w:hAnsi="Calibri" w:eastAsia="Calibri" w:cs="Calibri"/>
                <w:b/>
                <w:bCs/>
                <w:color w:val="FFFFFF" w:themeColor="background1"/>
              </w:rPr>
            </w:pPr>
            <w:r w:rsidRPr="001E23B9">
              <w:rPr>
                <w:rFonts w:ascii="Calibri" w:hAnsi="Calibri" w:eastAsia="Calibri" w:cs="Calibri"/>
                <w:b/>
                <w:bCs/>
                <w:color w:val="FFFFFF" w:themeColor="background1"/>
              </w:rPr>
              <w:t xml:space="preserve">Tabel 1: Effect DAB2 op NL raming EU-afdrachten </w:t>
            </w:r>
            <w:r w:rsidRPr="001E23B9">
              <w:rPr>
                <w:rFonts w:ascii="Calibri" w:hAnsi="Calibri" w:eastAsia="Calibri" w:cs="Calibri"/>
                <w:b/>
                <w:bCs/>
                <w:i/>
                <w:iCs/>
                <w:color w:val="FFFFFF" w:themeColor="background1"/>
              </w:rPr>
              <w:t>(in mln. euro’s, lopende prijzen)</w:t>
            </w:r>
          </w:p>
        </w:tc>
      </w:tr>
      <w:tr w:rsidRPr="001E23B9" w:rsidR="00AE3B69" w:rsidTr="00242511" w14:paraId="208C46EB" w14:textId="77777777">
        <w:trPr>
          <w:trHeight w:val="260"/>
        </w:trPr>
        <w:tc>
          <w:tcPr>
            <w:tcW w:w="2795" w:type="dxa"/>
            <w:tcBorders>
              <w:top w:val="single" w:color="auto" w:sz="4" w:space="0"/>
              <w:left w:val="single" w:color="auto" w:sz="8" w:space="0"/>
              <w:bottom w:val="single" w:color="auto" w:sz="8" w:space="0"/>
              <w:right w:val="single" w:color="auto" w:sz="8" w:space="0"/>
            </w:tcBorders>
            <w:vAlign w:val="center"/>
            <w:hideMark/>
          </w:tcPr>
          <w:p w:rsidRPr="001E23B9" w:rsidR="00AE3B69" w:rsidP="00242511" w:rsidRDefault="00AE3B69" w14:paraId="27186A9F" w14:textId="77777777">
            <w:pPr>
              <w:spacing w:line="24" w:lineRule="atLeast"/>
              <w:rPr>
                <w:rFonts w:ascii="Calibri" w:hAnsi="Calibri" w:eastAsia="Calibri" w:cs="Calibri"/>
                <w:i/>
                <w:iCs/>
              </w:rPr>
            </w:pPr>
            <w:r w:rsidRPr="001E23B9">
              <w:rPr>
                <w:rFonts w:ascii="Calibri" w:hAnsi="Calibri" w:eastAsia="Calibri" w:cs="Calibri"/>
                <w:i/>
                <w:iCs/>
              </w:rPr>
              <w:t> </w:t>
            </w:r>
          </w:p>
        </w:tc>
        <w:tc>
          <w:tcPr>
            <w:tcW w:w="958" w:type="dxa"/>
            <w:tcBorders>
              <w:top w:val="single" w:color="auto" w:sz="4" w:space="0"/>
              <w:left w:val="nil"/>
              <w:bottom w:val="single" w:color="auto" w:sz="8" w:space="0"/>
              <w:right w:val="single" w:color="auto" w:sz="8" w:space="0"/>
            </w:tcBorders>
            <w:vAlign w:val="center"/>
            <w:hideMark/>
          </w:tcPr>
          <w:p w:rsidRPr="001E23B9" w:rsidR="00AE3B69" w:rsidP="00242511" w:rsidRDefault="00AE3B69" w14:paraId="6EBF3046" w14:textId="77777777">
            <w:pPr>
              <w:spacing w:line="24" w:lineRule="atLeast"/>
              <w:rPr>
                <w:rFonts w:ascii="Calibri" w:hAnsi="Calibri" w:eastAsia="Calibri" w:cs="Calibri"/>
                <w:b/>
                <w:bCs/>
              </w:rPr>
            </w:pPr>
            <w:r w:rsidRPr="001E23B9">
              <w:rPr>
                <w:rFonts w:ascii="Calibri" w:hAnsi="Calibri" w:eastAsia="Calibri" w:cs="Calibri"/>
                <w:b/>
                <w:bCs/>
              </w:rPr>
              <w:t>2025</w:t>
            </w:r>
          </w:p>
        </w:tc>
        <w:tc>
          <w:tcPr>
            <w:tcW w:w="959" w:type="dxa"/>
            <w:tcBorders>
              <w:top w:val="single" w:color="auto" w:sz="4" w:space="0"/>
              <w:left w:val="nil"/>
              <w:bottom w:val="single" w:color="auto" w:sz="8" w:space="0"/>
              <w:right w:val="single" w:color="auto" w:sz="8" w:space="0"/>
            </w:tcBorders>
            <w:vAlign w:val="center"/>
            <w:hideMark/>
          </w:tcPr>
          <w:p w:rsidRPr="001E23B9" w:rsidR="00AE3B69" w:rsidP="00242511" w:rsidRDefault="00AE3B69" w14:paraId="37ABD774" w14:textId="77777777">
            <w:pPr>
              <w:spacing w:line="24" w:lineRule="atLeast"/>
              <w:rPr>
                <w:rFonts w:ascii="Calibri" w:hAnsi="Calibri" w:eastAsia="Calibri" w:cs="Calibri"/>
                <w:b/>
                <w:bCs/>
              </w:rPr>
            </w:pPr>
            <w:r w:rsidRPr="001E23B9">
              <w:rPr>
                <w:rFonts w:ascii="Calibri" w:hAnsi="Calibri" w:eastAsia="Calibri" w:cs="Calibri"/>
                <w:b/>
                <w:bCs/>
              </w:rPr>
              <w:t>2026</w:t>
            </w:r>
          </w:p>
        </w:tc>
        <w:tc>
          <w:tcPr>
            <w:tcW w:w="958" w:type="dxa"/>
            <w:tcBorders>
              <w:top w:val="single" w:color="auto" w:sz="4" w:space="0"/>
              <w:left w:val="nil"/>
              <w:bottom w:val="single" w:color="auto" w:sz="8" w:space="0"/>
              <w:right w:val="single" w:color="auto" w:sz="8" w:space="0"/>
            </w:tcBorders>
            <w:vAlign w:val="center"/>
            <w:hideMark/>
          </w:tcPr>
          <w:p w:rsidRPr="001E23B9" w:rsidR="00AE3B69" w:rsidP="00242511" w:rsidRDefault="00AE3B69" w14:paraId="567557E1" w14:textId="77777777">
            <w:pPr>
              <w:spacing w:line="24" w:lineRule="atLeast"/>
              <w:rPr>
                <w:rFonts w:ascii="Calibri" w:hAnsi="Calibri" w:eastAsia="Calibri" w:cs="Calibri"/>
                <w:b/>
                <w:bCs/>
              </w:rPr>
            </w:pPr>
            <w:r w:rsidRPr="001E23B9">
              <w:rPr>
                <w:rFonts w:ascii="Calibri" w:hAnsi="Calibri" w:eastAsia="Calibri" w:cs="Calibri"/>
                <w:b/>
                <w:bCs/>
              </w:rPr>
              <w:t>2027</w:t>
            </w:r>
          </w:p>
        </w:tc>
        <w:tc>
          <w:tcPr>
            <w:tcW w:w="958" w:type="dxa"/>
            <w:tcBorders>
              <w:top w:val="single" w:color="auto" w:sz="4" w:space="0"/>
              <w:left w:val="nil"/>
              <w:bottom w:val="single" w:color="auto" w:sz="8" w:space="0"/>
              <w:right w:val="single" w:color="auto" w:sz="8" w:space="0"/>
            </w:tcBorders>
            <w:vAlign w:val="center"/>
            <w:hideMark/>
          </w:tcPr>
          <w:p w:rsidRPr="001E23B9" w:rsidR="00AE3B69" w:rsidP="00242511" w:rsidRDefault="00AE3B69" w14:paraId="6EB92B4D" w14:textId="77777777">
            <w:pPr>
              <w:spacing w:line="24" w:lineRule="atLeast"/>
              <w:rPr>
                <w:rFonts w:ascii="Calibri" w:hAnsi="Calibri" w:eastAsia="Calibri" w:cs="Calibri"/>
                <w:b/>
                <w:bCs/>
              </w:rPr>
            </w:pPr>
            <w:r w:rsidRPr="001E23B9">
              <w:rPr>
                <w:rFonts w:ascii="Calibri" w:hAnsi="Calibri" w:eastAsia="Calibri" w:cs="Calibri"/>
                <w:b/>
                <w:bCs/>
              </w:rPr>
              <w:t>2028</w:t>
            </w:r>
          </w:p>
        </w:tc>
        <w:tc>
          <w:tcPr>
            <w:tcW w:w="959" w:type="dxa"/>
            <w:tcBorders>
              <w:top w:val="single" w:color="auto" w:sz="4" w:space="0"/>
              <w:left w:val="nil"/>
              <w:bottom w:val="single" w:color="auto" w:sz="8" w:space="0"/>
              <w:right w:val="single" w:color="auto" w:sz="8" w:space="0"/>
            </w:tcBorders>
            <w:vAlign w:val="center"/>
            <w:hideMark/>
          </w:tcPr>
          <w:p w:rsidRPr="001E23B9" w:rsidR="00AE3B69" w:rsidP="00242511" w:rsidRDefault="00AE3B69" w14:paraId="50BF1DA3" w14:textId="77777777">
            <w:pPr>
              <w:spacing w:line="24" w:lineRule="atLeast"/>
              <w:rPr>
                <w:rFonts w:ascii="Calibri" w:hAnsi="Calibri" w:eastAsia="Calibri" w:cs="Calibri"/>
                <w:b/>
                <w:bCs/>
              </w:rPr>
            </w:pPr>
            <w:r w:rsidRPr="001E23B9">
              <w:rPr>
                <w:rFonts w:ascii="Calibri" w:hAnsi="Calibri" w:eastAsia="Calibri" w:cs="Calibri"/>
                <w:b/>
                <w:bCs/>
              </w:rPr>
              <w:t>2029</w:t>
            </w:r>
          </w:p>
        </w:tc>
        <w:tc>
          <w:tcPr>
            <w:tcW w:w="959" w:type="dxa"/>
            <w:tcBorders>
              <w:top w:val="single" w:color="auto" w:sz="4" w:space="0"/>
              <w:left w:val="nil"/>
              <w:bottom w:val="single" w:color="auto" w:sz="8" w:space="0"/>
              <w:right w:val="single" w:color="auto" w:sz="8" w:space="0"/>
            </w:tcBorders>
            <w:vAlign w:val="center"/>
          </w:tcPr>
          <w:p w:rsidRPr="001E23B9" w:rsidR="00AE3B69" w:rsidP="00242511" w:rsidRDefault="00AE3B69" w14:paraId="4EE0C903" w14:textId="77777777">
            <w:pPr>
              <w:spacing w:line="24" w:lineRule="atLeast"/>
              <w:rPr>
                <w:rFonts w:ascii="Calibri" w:hAnsi="Calibri" w:eastAsia="Calibri" w:cs="Calibri"/>
                <w:b/>
                <w:bCs/>
              </w:rPr>
            </w:pPr>
            <w:r w:rsidRPr="001E23B9">
              <w:rPr>
                <w:rFonts w:ascii="Calibri" w:hAnsi="Calibri" w:eastAsia="Calibri" w:cs="Calibri"/>
                <w:b/>
                <w:bCs/>
              </w:rPr>
              <w:t>2030</w:t>
            </w:r>
          </w:p>
        </w:tc>
      </w:tr>
      <w:tr w:rsidRPr="001E23B9" w:rsidR="00AE3B69" w:rsidTr="00242511" w14:paraId="2271FE32"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1E23B9" w:rsidR="00AE3B69" w:rsidP="00242511" w:rsidRDefault="00AE3B69" w14:paraId="40895C25" w14:textId="77777777">
            <w:pPr>
              <w:spacing w:line="24" w:lineRule="atLeast"/>
              <w:rPr>
                <w:rFonts w:ascii="Calibri" w:hAnsi="Calibri" w:eastAsia="Calibri" w:cs="Calibri"/>
              </w:rPr>
            </w:pPr>
            <w:r w:rsidRPr="001E23B9">
              <w:rPr>
                <w:rFonts w:ascii="Calibri" w:hAnsi="Calibri" w:eastAsia="Calibri" w:cs="Calibri"/>
              </w:rPr>
              <w:t>Lenteraming bni-afdracht</w:t>
            </w:r>
          </w:p>
        </w:tc>
        <w:tc>
          <w:tcPr>
            <w:tcW w:w="958" w:type="dxa"/>
            <w:tcBorders>
              <w:top w:val="nil"/>
              <w:left w:val="nil"/>
              <w:bottom w:val="single" w:color="auto" w:sz="8" w:space="0"/>
              <w:right w:val="single" w:color="auto" w:sz="8" w:space="0"/>
            </w:tcBorders>
            <w:vAlign w:val="center"/>
          </w:tcPr>
          <w:p w:rsidRPr="001E23B9" w:rsidR="00AE3B69" w:rsidP="00242511" w:rsidRDefault="00AE3B69" w14:paraId="70A0C8D0" w14:textId="77777777">
            <w:pPr>
              <w:spacing w:line="24" w:lineRule="atLeast"/>
              <w:rPr>
                <w:rFonts w:ascii="Calibri" w:hAnsi="Calibri" w:eastAsia="Calibri" w:cs="Calibri"/>
              </w:rPr>
            </w:pPr>
            <w:r w:rsidRPr="001E23B9">
              <w:rPr>
                <w:rFonts w:ascii="Calibri" w:hAnsi="Calibri" w:eastAsia="Calibri" w:cs="Calibri"/>
              </w:rPr>
              <w:t>126</w:t>
            </w:r>
          </w:p>
        </w:tc>
        <w:tc>
          <w:tcPr>
            <w:tcW w:w="959" w:type="dxa"/>
            <w:tcBorders>
              <w:top w:val="nil"/>
              <w:left w:val="nil"/>
              <w:bottom w:val="single" w:color="auto" w:sz="8" w:space="0"/>
              <w:right w:val="single" w:color="auto" w:sz="8" w:space="0"/>
            </w:tcBorders>
            <w:vAlign w:val="center"/>
          </w:tcPr>
          <w:p w:rsidRPr="001E23B9" w:rsidR="00AE3B69" w:rsidP="00242511" w:rsidRDefault="00AE3B69" w14:paraId="6344B771" w14:textId="77777777">
            <w:pPr>
              <w:spacing w:line="24" w:lineRule="atLeast"/>
              <w:rPr>
                <w:rFonts w:ascii="Calibri" w:hAnsi="Calibri" w:eastAsia="Calibri" w:cs="Calibri"/>
              </w:rPr>
            </w:pPr>
            <w:r w:rsidRPr="001E23B9">
              <w:rPr>
                <w:rFonts w:ascii="Calibri" w:hAnsi="Calibri" w:eastAsia="Calibri" w:cs="Calibri"/>
              </w:rPr>
              <w:t>164</w:t>
            </w:r>
          </w:p>
        </w:tc>
        <w:tc>
          <w:tcPr>
            <w:tcW w:w="958" w:type="dxa"/>
            <w:tcBorders>
              <w:top w:val="nil"/>
              <w:left w:val="nil"/>
              <w:bottom w:val="single" w:color="auto" w:sz="8" w:space="0"/>
              <w:right w:val="single" w:color="auto" w:sz="8" w:space="0"/>
            </w:tcBorders>
            <w:vAlign w:val="center"/>
          </w:tcPr>
          <w:p w:rsidRPr="001E23B9" w:rsidR="00AE3B69" w:rsidP="00242511" w:rsidRDefault="00AE3B69" w14:paraId="5E3E48D5" w14:textId="77777777">
            <w:pPr>
              <w:spacing w:line="24" w:lineRule="atLeast"/>
              <w:rPr>
                <w:rFonts w:ascii="Calibri" w:hAnsi="Calibri" w:eastAsia="Calibri" w:cs="Calibri"/>
              </w:rPr>
            </w:pPr>
            <w:r w:rsidRPr="001E23B9">
              <w:rPr>
                <w:rFonts w:ascii="Calibri" w:hAnsi="Calibri" w:eastAsia="Calibri" w:cs="Calibri"/>
              </w:rPr>
              <w:t>159</w:t>
            </w:r>
          </w:p>
        </w:tc>
        <w:tc>
          <w:tcPr>
            <w:tcW w:w="958" w:type="dxa"/>
            <w:tcBorders>
              <w:top w:val="nil"/>
              <w:left w:val="nil"/>
              <w:bottom w:val="single" w:color="auto" w:sz="8" w:space="0"/>
              <w:right w:val="single" w:color="auto" w:sz="8" w:space="0"/>
            </w:tcBorders>
            <w:vAlign w:val="center"/>
          </w:tcPr>
          <w:p w:rsidRPr="001E23B9" w:rsidR="00AE3B69" w:rsidP="00242511" w:rsidRDefault="00AE3B69" w14:paraId="167D0AF8" w14:textId="77777777">
            <w:pPr>
              <w:spacing w:line="24" w:lineRule="atLeast"/>
              <w:rPr>
                <w:rFonts w:ascii="Calibri" w:hAnsi="Calibri" w:eastAsia="Calibri" w:cs="Calibri"/>
              </w:rPr>
            </w:pPr>
            <w:r w:rsidRPr="001E23B9">
              <w:rPr>
                <w:rFonts w:ascii="Calibri" w:hAnsi="Calibri" w:eastAsia="Calibri" w:cs="Calibri"/>
              </w:rPr>
              <w:t>165</w:t>
            </w:r>
          </w:p>
        </w:tc>
        <w:tc>
          <w:tcPr>
            <w:tcW w:w="959" w:type="dxa"/>
            <w:tcBorders>
              <w:top w:val="nil"/>
              <w:left w:val="nil"/>
              <w:bottom w:val="single" w:color="auto" w:sz="8" w:space="0"/>
              <w:right w:val="single" w:color="auto" w:sz="8" w:space="0"/>
            </w:tcBorders>
            <w:vAlign w:val="center"/>
          </w:tcPr>
          <w:p w:rsidRPr="001E23B9" w:rsidR="00AE3B69" w:rsidP="00242511" w:rsidRDefault="00AE3B69" w14:paraId="561A7BAC" w14:textId="77777777">
            <w:pPr>
              <w:spacing w:line="24" w:lineRule="atLeast"/>
              <w:rPr>
                <w:rFonts w:ascii="Calibri" w:hAnsi="Calibri" w:eastAsia="Calibri" w:cs="Calibri"/>
              </w:rPr>
            </w:pPr>
            <w:r w:rsidRPr="001E23B9">
              <w:rPr>
                <w:rFonts w:ascii="Calibri" w:hAnsi="Calibri" w:eastAsia="Calibri" w:cs="Calibri"/>
              </w:rPr>
              <w:t>168</w:t>
            </w:r>
          </w:p>
        </w:tc>
        <w:tc>
          <w:tcPr>
            <w:tcW w:w="959" w:type="dxa"/>
            <w:tcBorders>
              <w:top w:val="nil"/>
              <w:left w:val="nil"/>
              <w:bottom w:val="single" w:color="auto" w:sz="8" w:space="0"/>
              <w:right w:val="single" w:color="auto" w:sz="8" w:space="0"/>
            </w:tcBorders>
            <w:vAlign w:val="center"/>
          </w:tcPr>
          <w:p w:rsidRPr="001E23B9" w:rsidR="00AE3B69" w:rsidP="00242511" w:rsidRDefault="00AE3B69" w14:paraId="51075C6F" w14:textId="77777777">
            <w:pPr>
              <w:spacing w:line="24" w:lineRule="atLeast"/>
              <w:rPr>
                <w:rFonts w:ascii="Calibri" w:hAnsi="Calibri" w:eastAsia="Calibri" w:cs="Calibri"/>
              </w:rPr>
            </w:pPr>
            <w:r w:rsidRPr="001E23B9">
              <w:rPr>
                <w:rFonts w:ascii="Calibri" w:hAnsi="Calibri" w:eastAsia="Calibri" w:cs="Calibri"/>
              </w:rPr>
              <w:t>172</w:t>
            </w:r>
          </w:p>
        </w:tc>
      </w:tr>
      <w:tr w:rsidRPr="001E23B9" w:rsidR="00AE3B69" w:rsidTr="00242511" w14:paraId="7ADB3664" w14:textId="77777777">
        <w:trPr>
          <w:trHeight w:val="260"/>
        </w:trPr>
        <w:tc>
          <w:tcPr>
            <w:tcW w:w="2795" w:type="dxa"/>
            <w:tcBorders>
              <w:top w:val="nil"/>
              <w:left w:val="single" w:color="auto" w:sz="8" w:space="0"/>
              <w:bottom w:val="single" w:color="auto" w:sz="8" w:space="0"/>
              <w:right w:val="single" w:color="auto" w:sz="8" w:space="0"/>
            </w:tcBorders>
            <w:vAlign w:val="center"/>
          </w:tcPr>
          <w:p w:rsidRPr="001E23B9" w:rsidR="00AE3B69" w:rsidP="00242511" w:rsidRDefault="00AE3B69" w14:paraId="0A317EE9" w14:textId="77777777">
            <w:pPr>
              <w:spacing w:line="24" w:lineRule="atLeast"/>
              <w:rPr>
                <w:rFonts w:ascii="Calibri" w:hAnsi="Calibri" w:eastAsia="Calibri" w:cs="Calibri"/>
              </w:rPr>
            </w:pPr>
            <w:r w:rsidRPr="001E23B9">
              <w:rPr>
                <w:rFonts w:ascii="Calibri" w:hAnsi="Calibri" w:eastAsia="Calibri" w:cs="Calibri"/>
              </w:rPr>
              <w:t>Lenteraming btw-afdracht</w:t>
            </w:r>
          </w:p>
        </w:tc>
        <w:tc>
          <w:tcPr>
            <w:tcW w:w="958" w:type="dxa"/>
            <w:tcBorders>
              <w:top w:val="nil"/>
              <w:left w:val="nil"/>
              <w:bottom w:val="single" w:color="auto" w:sz="8" w:space="0"/>
              <w:right w:val="single" w:color="auto" w:sz="8" w:space="0"/>
            </w:tcBorders>
            <w:vAlign w:val="center"/>
          </w:tcPr>
          <w:p w:rsidRPr="001E23B9" w:rsidR="00AE3B69" w:rsidP="00242511" w:rsidRDefault="00AE3B69" w14:paraId="27DE73B5" w14:textId="77777777">
            <w:pPr>
              <w:spacing w:line="24" w:lineRule="atLeast"/>
              <w:rPr>
                <w:rFonts w:ascii="Calibri" w:hAnsi="Calibri" w:eastAsia="Calibri" w:cs="Calibri"/>
              </w:rPr>
            </w:pPr>
            <w:r w:rsidRPr="001E23B9">
              <w:rPr>
                <w:rFonts w:ascii="Calibri" w:hAnsi="Calibri" w:eastAsia="Calibri" w:cs="Calibri"/>
              </w:rPr>
              <w:t>-28</w:t>
            </w:r>
          </w:p>
        </w:tc>
        <w:tc>
          <w:tcPr>
            <w:tcW w:w="959" w:type="dxa"/>
            <w:tcBorders>
              <w:top w:val="nil"/>
              <w:left w:val="nil"/>
              <w:bottom w:val="single" w:color="auto" w:sz="8" w:space="0"/>
              <w:right w:val="single" w:color="auto" w:sz="8" w:space="0"/>
            </w:tcBorders>
            <w:vAlign w:val="center"/>
          </w:tcPr>
          <w:p w:rsidRPr="001E23B9" w:rsidR="00AE3B69" w:rsidP="00242511" w:rsidRDefault="00AE3B69" w14:paraId="1C09B009" w14:textId="77777777">
            <w:pPr>
              <w:spacing w:line="24" w:lineRule="atLeast"/>
              <w:rPr>
                <w:rFonts w:ascii="Calibri" w:hAnsi="Calibri" w:eastAsia="Calibri" w:cs="Calibri"/>
              </w:rPr>
            </w:pPr>
            <w:r w:rsidRPr="001E23B9">
              <w:rPr>
                <w:rFonts w:ascii="Calibri" w:hAnsi="Calibri" w:eastAsia="Calibri" w:cs="Calibri"/>
              </w:rPr>
              <w:t>-9</w:t>
            </w:r>
          </w:p>
        </w:tc>
        <w:tc>
          <w:tcPr>
            <w:tcW w:w="958" w:type="dxa"/>
            <w:tcBorders>
              <w:top w:val="nil"/>
              <w:left w:val="nil"/>
              <w:bottom w:val="single" w:color="auto" w:sz="8" w:space="0"/>
              <w:right w:val="single" w:color="auto" w:sz="8" w:space="0"/>
            </w:tcBorders>
            <w:vAlign w:val="center"/>
          </w:tcPr>
          <w:p w:rsidRPr="001E23B9" w:rsidR="00AE3B69" w:rsidP="00242511" w:rsidRDefault="00AE3B69" w14:paraId="3AB31579" w14:textId="77777777">
            <w:pPr>
              <w:spacing w:line="24" w:lineRule="atLeast"/>
              <w:rPr>
                <w:rFonts w:ascii="Calibri" w:hAnsi="Calibri" w:eastAsia="Calibri" w:cs="Calibri"/>
              </w:rPr>
            </w:pPr>
            <w:r w:rsidRPr="001E23B9">
              <w:rPr>
                <w:rFonts w:ascii="Calibri" w:hAnsi="Calibri" w:eastAsia="Calibri" w:cs="Calibri"/>
              </w:rPr>
              <w:t>-9</w:t>
            </w:r>
          </w:p>
        </w:tc>
        <w:tc>
          <w:tcPr>
            <w:tcW w:w="958" w:type="dxa"/>
            <w:tcBorders>
              <w:top w:val="nil"/>
              <w:left w:val="nil"/>
              <w:bottom w:val="single" w:color="auto" w:sz="8" w:space="0"/>
              <w:right w:val="single" w:color="auto" w:sz="8" w:space="0"/>
            </w:tcBorders>
            <w:vAlign w:val="center"/>
          </w:tcPr>
          <w:p w:rsidRPr="001E23B9" w:rsidR="00AE3B69" w:rsidP="00242511" w:rsidRDefault="00AE3B69" w14:paraId="034B9263" w14:textId="77777777">
            <w:pPr>
              <w:spacing w:line="24" w:lineRule="atLeast"/>
              <w:rPr>
                <w:rFonts w:ascii="Calibri" w:hAnsi="Calibri" w:eastAsia="Calibri" w:cs="Calibri"/>
              </w:rPr>
            </w:pPr>
            <w:r w:rsidRPr="001E23B9">
              <w:rPr>
                <w:rFonts w:ascii="Calibri" w:hAnsi="Calibri" w:eastAsia="Calibri" w:cs="Calibri"/>
              </w:rPr>
              <w:t>-9</w:t>
            </w:r>
          </w:p>
        </w:tc>
        <w:tc>
          <w:tcPr>
            <w:tcW w:w="959" w:type="dxa"/>
            <w:tcBorders>
              <w:top w:val="nil"/>
              <w:left w:val="nil"/>
              <w:bottom w:val="single" w:color="auto" w:sz="8" w:space="0"/>
              <w:right w:val="single" w:color="auto" w:sz="8" w:space="0"/>
            </w:tcBorders>
            <w:vAlign w:val="center"/>
          </w:tcPr>
          <w:p w:rsidRPr="001E23B9" w:rsidR="00AE3B69" w:rsidP="00242511" w:rsidRDefault="00AE3B69" w14:paraId="053B81C3" w14:textId="77777777">
            <w:pPr>
              <w:spacing w:line="24" w:lineRule="atLeast"/>
              <w:rPr>
                <w:rFonts w:ascii="Calibri" w:hAnsi="Calibri" w:eastAsia="Calibri" w:cs="Calibri"/>
              </w:rPr>
            </w:pPr>
            <w:r w:rsidRPr="001E23B9">
              <w:rPr>
                <w:rFonts w:ascii="Calibri" w:hAnsi="Calibri" w:eastAsia="Calibri" w:cs="Calibri"/>
              </w:rPr>
              <w:t>-9</w:t>
            </w:r>
          </w:p>
        </w:tc>
        <w:tc>
          <w:tcPr>
            <w:tcW w:w="959" w:type="dxa"/>
            <w:tcBorders>
              <w:top w:val="nil"/>
              <w:left w:val="nil"/>
              <w:bottom w:val="single" w:color="auto" w:sz="8" w:space="0"/>
              <w:right w:val="single" w:color="auto" w:sz="8" w:space="0"/>
            </w:tcBorders>
            <w:vAlign w:val="center"/>
          </w:tcPr>
          <w:p w:rsidRPr="001E23B9" w:rsidR="00AE3B69" w:rsidP="00242511" w:rsidRDefault="00AE3B69" w14:paraId="56EDC63F" w14:textId="77777777">
            <w:pPr>
              <w:spacing w:line="24" w:lineRule="atLeast"/>
              <w:rPr>
                <w:rFonts w:ascii="Calibri" w:hAnsi="Calibri" w:eastAsia="Calibri" w:cs="Calibri"/>
              </w:rPr>
            </w:pPr>
            <w:r w:rsidRPr="001E23B9">
              <w:rPr>
                <w:rFonts w:ascii="Calibri" w:hAnsi="Calibri" w:eastAsia="Calibri" w:cs="Calibri"/>
              </w:rPr>
              <w:t>-10</w:t>
            </w:r>
          </w:p>
        </w:tc>
      </w:tr>
      <w:tr w:rsidRPr="001E23B9" w:rsidR="00AE3B69" w:rsidTr="00242511" w14:paraId="6113D040" w14:textId="77777777">
        <w:trPr>
          <w:trHeight w:val="260"/>
        </w:trPr>
        <w:tc>
          <w:tcPr>
            <w:tcW w:w="2795" w:type="dxa"/>
            <w:tcBorders>
              <w:top w:val="nil"/>
              <w:left w:val="single" w:color="auto" w:sz="8" w:space="0"/>
              <w:bottom w:val="single" w:color="auto" w:sz="8" w:space="0"/>
              <w:right w:val="single" w:color="auto" w:sz="8" w:space="0"/>
            </w:tcBorders>
            <w:vAlign w:val="center"/>
          </w:tcPr>
          <w:p w:rsidRPr="001E23B9" w:rsidR="00AE3B69" w:rsidP="00242511" w:rsidRDefault="00AE3B69" w14:paraId="46C2913D" w14:textId="77777777">
            <w:pPr>
              <w:spacing w:line="24" w:lineRule="atLeast"/>
              <w:rPr>
                <w:rFonts w:ascii="Calibri" w:hAnsi="Calibri" w:eastAsia="Calibri" w:cs="Calibri"/>
              </w:rPr>
            </w:pPr>
            <w:r w:rsidRPr="001E23B9">
              <w:rPr>
                <w:rFonts w:ascii="Calibri" w:hAnsi="Calibri" w:eastAsia="Calibri" w:cs="Calibri"/>
              </w:rPr>
              <w:t>Lenteraming plastic-afdracht</w:t>
            </w:r>
          </w:p>
        </w:tc>
        <w:tc>
          <w:tcPr>
            <w:tcW w:w="958" w:type="dxa"/>
            <w:tcBorders>
              <w:top w:val="nil"/>
              <w:left w:val="nil"/>
              <w:bottom w:val="single" w:color="auto" w:sz="8" w:space="0"/>
              <w:right w:val="single" w:color="auto" w:sz="8" w:space="0"/>
            </w:tcBorders>
            <w:vAlign w:val="center"/>
          </w:tcPr>
          <w:p w:rsidRPr="001E23B9" w:rsidR="00AE3B69" w:rsidP="00242511" w:rsidRDefault="00AE3B69" w14:paraId="314AB531" w14:textId="77777777">
            <w:pPr>
              <w:spacing w:line="24" w:lineRule="atLeast"/>
              <w:rPr>
                <w:rFonts w:ascii="Calibri" w:hAnsi="Calibri" w:eastAsia="Calibri" w:cs="Calibri"/>
              </w:rPr>
            </w:pPr>
            <w:r w:rsidRPr="001E23B9">
              <w:rPr>
                <w:rFonts w:ascii="Calibri" w:hAnsi="Calibri" w:eastAsia="Calibri" w:cs="Calibri"/>
              </w:rPr>
              <w:t>-22</w:t>
            </w:r>
          </w:p>
        </w:tc>
        <w:tc>
          <w:tcPr>
            <w:tcW w:w="959" w:type="dxa"/>
            <w:tcBorders>
              <w:top w:val="nil"/>
              <w:left w:val="nil"/>
              <w:bottom w:val="single" w:color="auto" w:sz="8" w:space="0"/>
              <w:right w:val="single" w:color="auto" w:sz="8" w:space="0"/>
            </w:tcBorders>
            <w:vAlign w:val="center"/>
          </w:tcPr>
          <w:p w:rsidRPr="001E23B9" w:rsidR="00AE3B69" w:rsidP="00242511" w:rsidRDefault="00AE3B69" w14:paraId="1A15DF16" w14:textId="77777777">
            <w:pPr>
              <w:spacing w:line="24" w:lineRule="atLeast"/>
              <w:rPr>
                <w:rFonts w:ascii="Calibri" w:hAnsi="Calibri" w:eastAsia="Calibri" w:cs="Calibri"/>
              </w:rPr>
            </w:pPr>
            <w:r w:rsidRPr="001E23B9">
              <w:rPr>
                <w:rFonts w:ascii="Calibri" w:hAnsi="Calibri" w:eastAsia="Calibri" w:cs="Calibri"/>
              </w:rPr>
              <w:t>-21</w:t>
            </w:r>
          </w:p>
        </w:tc>
        <w:tc>
          <w:tcPr>
            <w:tcW w:w="958" w:type="dxa"/>
            <w:tcBorders>
              <w:top w:val="nil"/>
              <w:left w:val="nil"/>
              <w:bottom w:val="single" w:color="auto" w:sz="8" w:space="0"/>
              <w:right w:val="single" w:color="auto" w:sz="8" w:space="0"/>
            </w:tcBorders>
            <w:vAlign w:val="center"/>
          </w:tcPr>
          <w:p w:rsidRPr="001E23B9" w:rsidR="00AE3B69" w:rsidP="00242511" w:rsidRDefault="00AE3B69" w14:paraId="541C1101" w14:textId="77777777">
            <w:pPr>
              <w:spacing w:line="24" w:lineRule="atLeast"/>
              <w:rPr>
                <w:rFonts w:ascii="Calibri" w:hAnsi="Calibri" w:eastAsia="Calibri" w:cs="Calibri"/>
              </w:rPr>
            </w:pPr>
            <w:r w:rsidRPr="001E23B9">
              <w:rPr>
                <w:rFonts w:ascii="Calibri" w:hAnsi="Calibri" w:eastAsia="Calibri" w:cs="Calibri"/>
              </w:rPr>
              <w:t>-21</w:t>
            </w:r>
          </w:p>
        </w:tc>
        <w:tc>
          <w:tcPr>
            <w:tcW w:w="958" w:type="dxa"/>
            <w:tcBorders>
              <w:top w:val="nil"/>
              <w:left w:val="nil"/>
              <w:bottom w:val="single" w:color="auto" w:sz="8" w:space="0"/>
              <w:right w:val="single" w:color="auto" w:sz="8" w:space="0"/>
            </w:tcBorders>
            <w:vAlign w:val="center"/>
          </w:tcPr>
          <w:p w:rsidRPr="001E23B9" w:rsidR="00AE3B69" w:rsidP="00242511" w:rsidRDefault="00AE3B69" w14:paraId="53C52E2D" w14:textId="77777777">
            <w:pPr>
              <w:spacing w:line="24" w:lineRule="atLeast"/>
              <w:rPr>
                <w:rFonts w:ascii="Calibri" w:hAnsi="Calibri" w:eastAsia="Calibri" w:cs="Calibri"/>
              </w:rPr>
            </w:pPr>
            <w:r w:rsidRPr="001E23B9">
              <w:rPr>
                <w:rFonts w:ascii="Calibri" w:hAnsi="Calibri" w:eastAsia="Calibri" w:cs="Calibri"/>
              </w:rPr>
              <w:t>-21</w:t>
            </w:r>
          </w:p>
        </w:tc>
        <w:tc>
          <w:tcPr>
            <w:tcW w:w="959" w:type="dxa"/>
            <w:tcBorders>
              <w:top w:val="nil"/>
              <w:left w:val="nil"/>
              <w:bottom w:val="single" w:color="auto" w:sz="8" w:space="0"/>
              <w:right w:val="single" w:color="auto" w:sz="8" w:space="0"/>
            </w:tcBorders>
            <w:vAlign w:val="center"/>
          </w:tcPr>
          <w:p w:rsidRPr="001E23B9" w:rsidR="00AE3B69" w:rsidP="00242511" w:rsidRDefault="00AE3B69" w14:paraId="4E8953E1" w14:textId="77777777">
            <w:pPr>
              <w:spacing w:line="24" w:lineRule="atLeast"/>
              <w:rPr>
                <w:rFonts w:ascii="Calibri" w:hAnsi="Calibri" w:eastAsia="Calibri" w:cs="Calibri"/>
              </w:rPr>
            </w:pPr>
            <w:r w:rsidRPr="001E23B9">
              <w:rPr>
                <w:rFonts w:ascii="Calibri" w:hAnsi="Calibri" w:eastAsia="Calibri" w:cs="Calibri"/>
              </w:rPr>
              <w:t>-21</w:t>
            </w:r>
          </w:p>
        </w:tc>
        <w:tc>
          <w:tcPr>
            <w:tcW w:w="959" w:type="dxa"/>
            <w:tcBorders>
              <w:top w:val="nil"/>
              <w:left w:val="nil"/>
              <w:bottom w:val="single" w:color="auto" w:sz="8" w:space="0"/>
              <w:right w:val="single" w:color="auto" w:sz="8" w:space="0"/>
            </w:tcBorders>
            <w:vAlign w:val="center"/>
          </w:tcPr>
          <w:p w:rsidRPr="001E23B9" w:rsidR="00AE3B69" w:rsidP="00242511" w:rsidRDefault="00AE3B69" w14:paraId="0563CF49" w14:textId="77777777">
            <w:pPr>
              <w:spacing w:line="24" w:lineRule="atLeast"/>
              <w:rPr>
                <w:rFonts w:ascii="Calibri" w:hAnsi="Calibri" w:eastAsia="Calibri" w:cs="Calibri"/>
              </w:rPr>
            </w:pPr>
            <w:r w:rsidRPr="001E23B9">
              <w:rPr>
                <w:rFonts w:ascii="Calibri" w:hAnsi="Calibri" w:eastAsia="Calibri" w:cs="Calibri"/>
              </w:rPr>
              <w:t>-21</w:t>
            </w:r>
          </w:p>
        </w:tc>
      </w:tr>
      <w:tr w:rsidRPr="001E23B9" w:rsidR="00AE3B69" w:rsidTr="00242511" w14:paraId="47EA58FE"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1E23B9" w:rsidR="00AE3B69" w:rsidP="00242511" w:rsidRDefault="00AE3B69" w14:paraId="502911F2" w14:textId="77777777">
            <w:pPr>
              <w:spacing w:line="24" w:lineRule="atLeast"/>
              <w:rPr>
                <w:rFonts w:ascii="Calibri" w:hAnsi="Calibri" w:eastAsia="Calibri" w:cs="Calibri"/>
              </w:rPr>
            </w:pPr>
            <w:r w:rsidRPr="001E23B9">
              <w:rPr>
                <w:rFonts w:ascii="Calibri" w:hAnsi="Calibri" w:eastAsia="Calibri" w:cs="Calibri"/>
              </w:rPr>
              <w:t>Overige ontvangsten, incl. VK-bijdrage</w:t>
            </w:r>
          </w:p>
        </w:tc>
        <w:tc>
          <w:tcPr>
            <w:tcW w:w="958" w:type="dxa"/>
            <w:tcBorders>
              <w:top w:val="nil"/>
              <w:left w:val="nil"/>
              <w:bottom w:val="single" w:color="auto" w:sz="8" w:space="0"/>
              <w:right w:val="single" w:color="auto" w:sz="8" w:space="0"/>
            </w:tcBorders>
            <w:vAlign w:val="center"/>
          </w:tcPr>
          <w:p w:rsidRPr="001E23B9" w:rsidR="00AE3B69" w:rsidP="00242511" w:rsidRDefault="00AE3B69" w14:paraId="52A263EE" w14:textId="77777777">
            <w:pPr>
              <w:spacing w:line="24" w:lineRule="atLeast"/>
              <w:rPr>
                <w:rFonts w:ascii="Calibri" w:hAnsi="Calibri" w:eastAsia="Calibri" w:cs="Calibri"/>
              </w:rPr>
            </w:pPr>
            <w:r w:rsidRPr="001E23B9">
              <w:rPr>
                <w:rFonts w:ascii="Calibri" w:hAnsi="Calibri" w:eastAsia="Calibri" w:cs="Calibri"/>
              </w:rPr>
              <w:t>2</w:t>
            </w:r>
          </w:p>
        </w:tc>
        <w:tc>
          <w:tcPr>
            <w:tcW w:w="959" w:type="dxa"/>
            <w:tcBorders>
              <w:top w:val="nil"/>
              <w:left w:val="nil"/>
              <w:bottom w:val="single" w:color="auto" w:sz="8" w:space="0"/>
              <w:right w:val="single" w:color="auto" w:sz="8" w:space="0"/>
            </w:tcBorders>
            <w:vAlign w:val="center"/>
          </w:tcPr>
          <w:p w:rsidRPr="001E23B9" w:rsidR="00AE3B69" w:rsidP="00242511" w:rsidRDefault="00AE3B69" w14:paraId="3AE07455" w14:textId="77777777">
            <w:pPr>
              <w:spacing w:line="24" w:lineRule="atLeast"/>
              <w:rPr>
                <w:rFonts w:ascii="Calibri" w:hAnsi="Calibri" w:eastAsia="Calibri" w:cs="Calibri"/>
              </w:rPr>
            </w:pPr>
          </w:p>
        </w:tc>
        <w:tc>
          <w:tcPr>
            <w:tcW w:w="958" w:type="dxa"/>
            <w:tcBorders>
              <w:top w:val="nil"/>
              <w:left w:val="nil"/>
              <w:bottom w:val="single" w:color="auto" w:sz="8" w:space="0"/>
              <w:right w:val="single" w:color="auto" w:sz="8" w:space="0"/>
            </w:tcBorders>
            <w:vAlign w:val="center"/>
          </w:tcPr>
          <w:p w:rsidRPr="001E23B9" w:rsidR="00AE3B69" w:rsidP="00242511" w:rsidRDefault="00AE3B69" w14:paraId="4FDBB6AC" w14:textId="77777777">
            <w:pPr>
              <w:spacing w:line="24" w:lineRule="atLeast"/>
              <w:rPr>
                <w:rFonts w:ascii="Calibri" w:hAnsi="Calibri" w:eastAsia="Calibri" w:cs="Calibri"/>
              </w:rPr>
            </w:pPr>
          </w:p>
        </w:tc>
        <w:tc>
          <w:tcPr>
            <w:tcW w:w="958" w:type="dxa"/>
            <w:tcBorders>
              <w:top w:val="nil"/>
              <w:left w:val="nil"/>
              <w:bottom w:val="single" w:color="auto" w:sz="8" w:space="0"/>
              <w:right w:val="single" w:color="auto" w:sz="8" w:space="0"/>
            </w:tcBorders>
            <w:vAlign w:val="center"/>
          </w:tcPr>
          <w:p w:rsidRPr="001E23B9" w:rsidR="00AE3B69" w:rsidP="00242511" w:rsidRDefault="00AE3B69" w14:paraId="3AFBBD80" w14:textId="77777777">
            <w:pPr>
              <w:spacing w:line="24" w:lineRule="atLeast"/>
              <w:rPr>
                <w:rFonts w:ascii="Calibri" w:hAnsi="Calibri" w:eastAsia="Calibri" w:cs="Calibri"/>
              </w:rPr>
            </w:pPr>
          </w:p>
        </w:tc>
        <w:tc>
          <w:tcPr>
            <w:tcW w:w="959" w:type="dxa"/>
            <w:tcBorders>
              <w:top w:val="nil"/>
              <w:left w:val="nil"/>
              <w:bottom w:val="single" w:color="auto" w:sz="8" w:space="0"/>
              <w:right w:val="single" w:color="auto" w:sz="8" w:space="0"/>
            </w:tcBorders>
            <w:vAlign w:val="center"/>
          </w:tcPr>
          <w:p w:rsidRPr="001E23B9" w:rsidR="00AE3B69" w:rsidP="00242511" w:rsidRDefault="00AE3B69" w14:paraId="66A1A93F" w14:textId="77777777">
            <w:pPr>
              <w:spacing w:line="24" w:lineRule="atLeast"/>
              <w:rPr>
                <w:rFonts w:ascii="Calibri" w:hAnsi="Calibri" w:eastAsia="Calibri" w:cs="Calibri"/>
              </w:rPr>
            </w:pPr>
          </w:p>
        </w:tc>
        <w:tc>
          <w:tcPr>
            <w:tcW w:w="959" w:type="dxa"/>
            <w:tcBorders>
              <w:top w:val="nil"/>
              <w:left w:val="nil"/>
              <w:bottom w:val="single" w:color="auto" w:sz="8" w:space="0"/>
              <w:right w:val="single" w:color="auto" w:sz="8" w:space="0"/>
            </w:tcBorders>
            <w:vAlign w:val="center"/>
          </w:tcPr>
          <w:p w:rsidRPr="001E23B9" w:rsidR="00AE3B69" w:rsidP="00242511" w:rsidRDefault="00AE3B69" w14:paraId="62E6B63E" w14:textId="77777777">
            <w:pPr>
              <w:spacing w:line="24" w:lineRule="atLeast"/>
              <w:rPr>
                <w:rFonts w:ascii="Calibri" w:hAnsi="Calibri" w:eastAsia="Calibri" w:cs="Calibri"/>
              </w:rPr>
            </w:pPr>
          </w:p>
        </w:tc>
      </w:tr>
      <w:tr w:rsidRPr="001E23B9" w:rsidR="00AE3B69" w:rsidTr="00242511" w14:paraId="63490FDB" w14:textId="77777777">
        <w:trPr>
          <w:trHeight w:val="260"/>
        </w:trPr>
        <w:tc>
          <w:tcPr>
            <w:tcW w:w="2795" w:type="dxa"/>
            <w:tcBorders>
              <w:top w:val="nil"/>
              <w:left w:val="single" w:color="auto" w:sz="8" w:space="0"/>
              <w:bottom w:val="single" w:color="auto" w:sz="8" w:space="0"/>
              <w:right w:val="single" w:color="auto" w:sz="8" w:space="0"/>
            </w:tcBorders>
            <w:vAlign w:val="center"/>
          </w:tcPr>
          <w:p w:rsidRPr="001E23B9" w:rsidR="00AE3B69" w:rsidP="00242511" w:rsidRDefault="00AE3B69" w14:paraId="0464D468" w14:textId="77777777">
            <w:pPr>
              <w:spacing w:line="24" w:lineRule="atLeast"/>
              <w:rPr>
                <w:rFonts w:ascii="Calibri" w:hAnsi="Calibri" w:eastAsia="Calibri" w:cs="Calibri"/>
              </w:rPr>
            </w:pPr>
            <w:r w:rsidRPr="001E23B9">
              <w:rPr>
                <w:rFonts w:ascii="Calibri" w:hAnsi="Calibri" w:eastAsia="Calibri" w:cs="Calibri"/>
              </w:rPr>
              <w:t>Aanpassen betalingenniveau 2025</w:t>
            </w:r>
          </w:p>
        </w:tc>
        <w:tc>
          <w:tcPr>
            <w:tcW w:w="958" w:type="dxa"/>
            <w:tcBorders>
              <w:top w:val="nil"/>
              <w:left w:val="nil"/>
              <w:bottom w:val="single" w:color="auto" w:sz="8" w:space="0"/>
              <w:right w:val="single" w:color="auto" w:sz="8" w:space="0"/>
            </w:tcBorders>
            <w:vAlign w:val="center"/>
          </w:tcPr>
          <w:p w:rsidRPr="001E23B9" w:rsidR="00AE3B69" w:rsidP="00242511" w:rsidRDefault="00AE3B69" w14:paraId="2B353BE0" w14:textId="77777777">
            <w:pPr>
              <w:spacing w:line="24" w:lineRule="atLeast"/>
              <w:rPr>
                <w:rFonts w:ascii="Calibri" w:hAnsi="Calibri" w:eastAsia="Calibri" w:cs="Calibri"/>
              </w:rPr>
            </w:pPr>
            <w:r w:rsidRPr="001E23B9">
              <w:rPr>
                <w:rFonts w:ascii="Calibri" w:hAnsi="Calibri" w:eastAsia="Calibri" w:cs="Calibri"/>
              </w:rPr>
              <w:t>191</w:t>
            </w:r>
          </w:p>
        </w:tc>
        <w:tc>
          <w:tcPr>
            <w:tcW w:w="959" w:type="dxa"/>
            <w:tcBorders>
              <w:top w:val="nil"/>
              <w:left w:val="nil"/>
              <w:bottom w:val="single" w:color="auto" w:sz="8" w:space="0"/>
              <w:right w:val="single" w:color="auto" w:sz="8" w:space="0"/>
            </w:tcBorders>
            <w:vAlign w:val="center"/>
          </w:tcPr>
          <w:p w:rsidRPr="001E23B9" w:rsidR="00AE3B69" w:rsidP="00242511" w:rsidRDefault="00AE3B69" w14:paraId="3446CCA7" w14:textId="77777777">
            <w:pPr>
              <w:spacing w:line="24" w:lineRule="atLeast"/>
              <w:rPr>
                <w:rFonts w:ascii="Calibri" w:hAnsi="Calibri" w:eastAsia="Calibri" w:cs="Calibri"/>
              </w:rPr>
            </w:pPr>
          </w:p>
        </w:tc>
        <w:tc>
          <w:tcPr>
            <w:tcW w:w="958" w:type="dxa"/>
            <w:tcBorders>
              <w:top w:val="nil"/>
              <w:left w:val="nil"/>
              <w:bottom w:val="single" w:color="auto" w:sz="8" w:space="0"/>
              <w:right w:val="single" w:color="auto" w:sz="8" w:space="0"/>
            </w:tcBorders>
            <w:vAlign w:val="center"/>
          </w:tcPr>
          <w:p w:rsidRPr="001E23B9" w:rsidR="00AE3B69" w:rsidP="00242511" w:rsidRDefault="00AE3B69" w14:paraId="1B25F910" w14:textId="77777777">
            <w:pPr>
              <w:spacing w:line="24" w:lineRule="atLeast"/>
              <w:rPr>
                <w:rFonts w:ascii="Calibri" w:hAnsi="Calibri" w:eastAsia="Calibri" w:cs="Calibri"/>
              </w:rPr>
            </w:pPr>
          </w:p>
        </w:tc>
        <w:tc>
          <w:tcPr>
            <w:tcW w:w="958" w:type="dxa"/>
            <w:tcBorders>
              <w:top w:val="nil"/>
              <w:left w:val="nil"/>
              <w:bottom w:val="single" w:color="auto" w:sz="8" w:space="0"/>
              <w:right w:val="single" w:color="auto" w:sz="8" w:space="0"/>
            </w:tcBorders>
            <w:vAlign w:val="center"/>
          </w:tcPr>
          <w:p w:rsidRPr="001E23B9" w:rsidR="00AE3B69" w:rsidP="00242511" w:rsidRDefault="00AE3B69" w14:paraId="1AD09EDA" w14:textId="77777777">
            <w:pPr>
              <w:spacing w:line="24" w:lineRule="atLeast"/>
              <w:rPr>
                <w:rFonts w:ascii="Calibri" w:hAnsi="Calibri" w:eastAsia="Calibri" w:cs="Calibri"/>
              </w:rPr>
            </w:pPr>
          </w:p>
        </w:tc>
        <w:tc>
          <w:tcPr>
            <w:tcW w:w="959" w:type="dxa"/>
            <w:tcBorders>
              <w:top w:val="nil"/>
              <w:left w:val="nil"/>
              <w:bottom w:val="single" w:color="auto" w:sz="8" w:space="0"/>
              <w:right w:val="single" w:color="auto" w:sz="8" w:space="0"/>
            </w:tcBorders>
            <w:vAlign w:val="center"/>
          </w:tcPr>
          <w:p w:rsidRPr="001E23B9" w:rsidR="00AE3B69" w:rsidP="00242511" w:rsidRDefault="00AE3B69" w14:paraId="506AC1F9" w14:textId="77777777">
            <w:pPr>
              <w:spacing w:line="24" w:lineRule="atLeast"/>
              <w:rPr>
                <w:rFonts w:ascii="Calibri" w:hAnsi="Calibri" w:eastAsia="Calibri" w:cs="Calibri"/>
              </w:rPr>
            </w:pPr>
          </w:p>
        </w:tc>
        <w:tc>
          <w:tcPr>
            <w:tcW w:w="959" w:type="dxa"/>
            <w:tcBorders>
              <w:top w:val="nil"/>
              <w:left w:val="nil"/>
              <w:bottom w:val="single" w:color="auto" w:sz="8" w:space="0"/>
              <w:right w:val="single" w:color="auto" w:sz="8" w:space="0"/>
            </w:tcBorders>
            <w:vAlign w:val="center"/>
          </w:tcPr>
          <w:p w:rsidRPr="001E23B9" w:rsidR="00AE3B69" w:rsidP="00242511" w:rsidRDefault="00AE3B69" w14:paraId="2AA050D0" w14:textId="77777777">
            <w:pPr>
              <w:spacing w:line="24" w:lineRule="atLeast"/>
              <w:rPr>
                <w:rFonts w:ascii="Calibri" w:hAnsi="Calibri" w:eastAsia="Calibri" w:cs="Calibri"/>
              </w:rPr>
            </w:pPr>
          </w:p>
        </w:tc>
      </w:tr>
      <w:tr w:rsidRPr="001E23B9" w:rsidR="00AE3B69" w:rsidTr="00242511" w14:paraId="6804B529"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1E23B9" w:rsidR="00AE3B69" w:rsidP="00242511" w:rsidRDefault="00AE3B69" w14:paraId="04F22BAA" w14:textId="77777777">
            <w:pPr>
              <w:spacing w:line="24" w:lineRule="atLeast"/>
              <w:rPr>
                <w:rFonts w:ascii="Calibri" w:hAnsi="Calibri" w:eastAsia="Calibri" w:cs="Calibri"/>
                <w:b/>
                <w:bCs/>
              </w:rPr>
            </w:pPr>
            <w:r w:rsidRPr="001E23B9">
              <w:rPr>
                <w:rFonts w:ascii="Calibri" w:hAnsi="Calibri" w:eastAsia="Calibri" w:cs="Calibri"/>
                <w:b/>
                <w:bCs/>
              </w:rPr>
              <w:t xml:space="preserve">Netto-effect DAB2 </w:t>
            </w:r>
          </w:p>
        </w:tc>
        <w:tc>
          <w:tcPr>
            <w:tcW w:w="958" w:type="dxa"/>
            <w:tcBorders>
              <w:top w:val="nil"/>
              <w:left w:val="nil"/>
              <w:bottom w:val="single" w:color="auto" w:sz="8" w:space="0"/>
              <w:right w:val="single" w:color="auto" w:sz="8" w:space="0"/>
            </w:tcBorders>
            <w:vAlign w:val="center"/>
          </w:tcPr>
          <w:p w:rsidRPr="001E23B9" w:rsidR="00AE3B69" w:rsidP="00242511" w:rsidRDefault="00AE3B69" w14:paraId="5981C9D6" w14:textId="77777777">
            <w:pPr>
              <w:spacing w:line="24" w:lineRule="atLeast"/>
              <w:rPr>
                <w:rFonts w:ascii="Calibri" w:hAnsi="Calibri" w:eastAsia="Calibri" w:cs="Calibri"/>
                <w:b/>
                <w:bCs/>
              </w:rPr>
            </w:pPr>
            <w:r w:rsidRPr="001E23B9">
              <w:rPr>
                <w:rFonts w:ascii="Calibri" w:hAnsi="Calibri" w:eastAsia="Calibri" w:cs="Calibri"/>
                <w:b/>
                <w:bCs/>
              </w:rPr>
              <w:t>269</w:t>
            </w:r>
          </w:p>
        </w:tc>
        <w:tc>
          <w:tcPr>
            <w:tcW w:w="959" w:type="dxa"/>
            <w:tcBorders>
              <w:top w:val="nil"/>
              <w:left w:val="nil"/>
              <w:bottom w:val="single" w:color="auto" w:sz="8" w:space="0"/>
              <w:right w:val="single" w:color="auto" w:sz="8" w:space="0"/>
            </w:tcBorders>
            <w:vAlign w:val="center"/>
          </w:tcPr>
          <w:p w:rsidRPr="001E23B9" w:rsidR="00AE3B69" w:rsidP="00242511" w:rsidRDefault="00AE3B69" w14:paraId="6328EF9B" w14:textId="77777777">
            <w:pPr>
              <w:spacing w:line="24" w:lineRule="atLeast"/>
              <w:rPr>
                <w:rFonts w:ascii="Calibri" w:hAnsi="Calibri" w:eastAsia="Calibri" w:cs="Calibri"/>
                <w:b/>
                <w:bCs/>
              </w:rPr>
            </w:pPr>
            <w:r w:rsidRPr="001E23B9">
              <w:rPr>
                <w:rFonts w:ascii="Calibri" w:hAnsi="Calibri" w:eastAsia="Calibri" w:cs="Calibri"/>
                <w:b/>
                <w:bCs/>
              </w:rPr>
              <w:t>134</w:t>
            </w:r>
          </w:p>
        </w:tc>
        <w:tc>
          <w:tcPr>
            <w:tcW w:w="958" w:type="dxa"/>
            <w:tcBorders>
              <w:top w:val="nil"/>
              <w:left w:val="nil"/>
              <w:bottom w:val="single" w:color="auto" w:sz="8" w:space="0"/>
              <w:right w:val="single" w:color="auto" w:sz="8" w:space="0"/>
            </w:tcBorders>
            <w:vAlign w:val="center"/>
          </w:tcPr>
          <w:p w:rsidRPr="001E23B9" w:rsidR="00AE3B69" w:rsidP="00242511" w:rsidRDefault="00AE3B69" w14:paraId="347CF77C" w14:textId="77777777">
            <w:pPr>
              <w:spacing w:line="24" w:lineRule="atLeast"/>
              <w:rPr>
                <w:rFonts w:ascii="Calibri" w:hAnsi="Calibri" w:eastAsia="Calibri" w:cs="Calibri"/>
                <w:b/>
                <w:bCs/>
              </w:rPr>
            </w:pPr>
            <w:r w:rsidRPr="001E23B9">
              <w:rPr>
                <w:rFonts w:ascii="Calibri" w:hAnsi="Calibri" w:eastAsia="Calibri" w:cs="Calibri"/>
                <w:b/>
                <w:bCs/>
              </w:rPr>
              <w:t>129</w:t>
            </w:r>
          </w:p>
        </w:tc>
        <w:tc>
          <w:tcPr>
            <w:tcW w:w="958" w:type="dxa"/>
            <w:tcBorders>
              <w:top w:val="nil"/>
              <w:left w:val="nil"/>
              <w:bottom w:val="single" w:color="auto" w:sz="8" w:space="0"/>
              <w:right w:val="single" w:color="auto" w:sz="8" w:space="0"/>
            </w:tcBorders>
            <w:vAlign w:val="center"/>
          </w:tcPr>
          <w:p w:rsidRPr="001E23B9" w:rsidR="00AE3B69" w:rsidP="00242511" w:rsidRDefault="00AE3B69" w14:paraId="392F1249" w14:textId="77777777">
            <w:pPr>
              <w:spacing w:line="24" w:lineRule="atLeast"/>
              <w:rPr>
                <w:rFonts w:ascii="Calibri" w:hAnsi="Calibri" w:eastAsia="Calibri" w:cs="Calibri"/>
                <w:b/>
                <w:bCs/>
              </w:rPr>
            </w:pPr>
            <w:r w:rsidRPr="001E23B9">
              <w:rPr>
                <w:rFonts w:ascii="Calibri" w:hAnsi="Calibri" w:eastAsia="Calibri" w:cs="Calibri"/>
                <w:b/>
                <w:bCs/>
              </w:rPr>
              <w:t>134*</w:t>
            </w:r>
          </w:p>
        </w:tc>
        <w:tc>
          <w:tcPr>
            <w:tcW w:w="959" w:type="dxa"/>
            <w:tcBorders>
              <w:top w:val="nil"/>
              <w:left w:val="nil"/>
              <w:bottom w:val="single" w:color="auto" w:sz="8" w:space="0"/>
              <w:right w:val="single" w:color="auto" w:sz="8" w:space="0"/>
            </w:tcBorders>
            <w:vAlign w:val="center"/>
          </w:tcPr>
          <w:p w:rsidRPr="001E23B9" w:rsidR="00AE3B69" w:rsidP="00242511" w:rsidRDefault="00AE3B69" w14:paraId="5DDD43DF" w14:textId="77777777">
            <w:pPr>
              <w:spacing w:line="24" w:lineRule="atLeast"/>
              <w:rPr>
                <w:rFonts w:ascii="Calibri" w:hAnsi="Calibri" w:eastAsia="Calibri" w:cs="Calibri"/>
                <w:b/>
                <w:bCs/>
              </w:rPr>
            </w:pPr>
            <w:r w:rsidRPr="001E23B9">
              <w:rPr>
                <w:rFonts w:ascii="Calibri" w:hAnsi="Calibri" w:eastAsia="Calibri" w:cs="Calibri"/>
                <w:b/>
                <w:bCs/>
              </w:rPr>
              <w:t>137*</w:t>
            </w:r>
          </w:p>
        </w:tc>
        <w:tc>
          <w:tcPr>
            <w:tcW w:w="959" w:type="dxa"/>
            <w:tcBorders>
              <w:top w:val="nil"/>
              <w:left w:val="nil"/>
              <w:bottom w:val="single" w:color="auto" w:sz="8" w:space="0"/>
              <w:right w:val="single" w:color="auto" w:sz="8" w:space="0"/>
            </w:tcBorders>
            <w:vAlign w:val="center"/>
          </w:tcPr>
          <w:p w:rsidRPr="001E23B9" w:rsidR="00AE3B69" w:rsidP="00242511" w:rsidRDefault="00AE3B69" w14:paraId="0C81BB8D" w14:textId="77777777">
            <w:pPr>
              <w:spacing w:line="24" w:lineRule="atLeast"/>
              <w:rPr>
                <w:rFonts w:ascii="Calibri" w:hAnsi="Calibri" w:eastAsia="Calibri" w:cs="Calibri"/>
                <w:b/>
                <w:bCs/>
              </w:rPr>
            </w:pPr>
            <w:r w:rsidRPr="001E23B9">
              <w:rPr>
                <w:rFonts w:ascii="Calibri" w:hAnsi="Calibri" w:eastAsia="Calibri" w:cs="Calibri"/>
                <w:b/>
                <w:bCs/>
              </w:rPr>
              <w:t>141</w:t>
            </w:r>
          </w:p>
        </w:tc>
      </w:tr>
    </w:tbl>
    <w:p w:rsidRPr="001E23B9" w:rsidR="00AE3B69" w:rsidP="00AE3B69" w:rsidRDefault="00AE3B69" w14:paraId="17A6D4CB" w14:textId="77777777">
      <w:pPr>
        <w:rPr>
          <w:rFonts w:ascii="Calibri" w:hAnsi="Calibri" w:cs="Calibri"/>
        </w:rPr>
      </w:pPr>
      <w:r w:rsidRPr="001E23B9">
        <w:rPr>
          <w:rFonts w:ascii="Calibri" w:hAnsi="Calibri" w:cs="Calibri"/>
        </w:rPr>
        <w:lastRenderedPageBreak/>
        <w:t>*De optelsom van de bovenstaande effecten op de Nederlandse raming van de EU-afdrachten wijkt af door een afrondingsverschil.</w:t>
      </w:r>
      <w:r w:rsidRPr="001E23B9">
        <w:rPr>
          <w:rFonts w:ascii="Calibri" w:hAnsi="Calibri" w:cs="Calibri"/>
        </w:rPr>
        <w:br w:type="textWrapping" w:clear="all"/>
      </w:r>
    </w:p>
    <w:p w:rsidRPr="001E23B9" w:rsidR="00AE3B69" w:rsidP="00AE3B69" w:rsidRDefault="00AE3B69" w14:paraId="763E1CA0" w14:textId="77777777">
      <w:pPr>
        <w:rPr>
          <w:rFonts w:ascii="Calibri" w:hAnsi="Calibri" w:cs="Calibri"/>
        </w:rPr>
      </w:pPr>
      <w:r w:rsidRPr="001E23B9">
        <w:rPr>
          <w:rFonts w:ascii="Calibri" w:hAnsi="Calibri" w:cs="Calibri"/>
        </w:rPr>
        <w:t>Daarnaast informeer ik u dat in de Miljoenennota 2026, naast de budgettaire verwerking van DAB2, ook een aantal andere actualisaties worden doorgevoerd. De invoerrechten (structurele tegenvaller van 64 mln. euro in 2030) en de perceptiekostenvergoeding (structurele meevaller van 16 mln. euro in 2030) worden geactualiseerd op basis van de Macro Economische Verkenning (MEV). Ook wordt de (verwachte) renteontwikkeling voor de verstrekte leningen aan lidstaten onder NGEU geactualiseerd, dit leidt tot een structurele tegenvaller van 154 mln. euro in 2030. Ten slotte wordt op basis van het Commissievoorstel voor de jaarbegroting 2026</w:t>
      </w:r>
      <w:r w:rsidRPr="001E23B9">
        <w:rPr>
          <w:rStyle w:val="Voetnootmarkering"/>
          <w:rFonts w:ascii="Calibri" w:hAnsi="Calibri" w:cs="Calibri"/>
        </w:rPr>
        <w:footnoteReference w:id="4"/>
      </w:r>
      <w:r w:rsidRPr="001E23B9">
        <w:rPr>
          <w:rFonts w:ascii="Calibri" w:hAnsi="Calibri" w:cs="Calibri"/>
        </w:rPr>
        <w:t xml:space="preserve"> de raming van de Nederlandse afdrachten aan de EU neerwaarts bijgesteld met 946 mln. euro naar het voorgestelde uitgavenniveau voor 2026. Daarbij wordt een marge aangehouden voor het geval de Commissie dit uitgavenniveau in de loop van dit of volgend jaar verhoogt. Deze bovenstaande aanpassingen op de raming van de Nederlandse EU afdrachten vormen geen onderdeel van het DAB2 voorstel van de Commissie. </w:t>
      </w:r>
    </w:p>
    <w:p w:rsidRPr="001E23B9" w:rsidR="00AE3B69" w:rsidP="00AE3B69" w:rsidRDefault="00AE3B69" w14:paraId="47DD1EC2" w14:textId="77777777">
      <w:pPr>
        <w:rPr>
          <w:rFonts w:ascii="Calibri" w:hAnsi="Calibri" w:cs="Calibri"/>
          <w:i/>
          <w:iCs/>
        </w:rPr>
      </w:pPr>
    </w:p>
    <w:p w:rsidRPr="001E23B9" w:rsidR="00AE3B69" w:rsidP="00AE3B69" w:rsidRDefault="00AE3B69" w14:paraId="08F1E367" w14:textId="77777777">
      <w:pPr>
        <w:rPr>
          <w:rFonts w:ascii="Calibri" w:hAnsi="Calibri" w:cs="Calibri"/>
          <w:i/>
          <w:iCs/>
        </w:rPr>
      </w:pPr>
      <w:r w:rsidRPr="001E23B9">
        <w:rPr>
          <w:rFonts w:ascii="Calibri" w:hAnsi="Calibri" w:cs="Calibri"/>
          <w:i/>
          <w:iCs/>
        </w:rPr>
        <w:t xml:space="preserve">Proces en krachtenveld </w:t>
      </w:r>
    </w:p>
    <w:p w:rsidRPr="001E23B9" w:rsidR="00AE3B69" w:rsidP="00AE3B69" w:rsidRDefault="00AE3B69" w14:paraId="42ADA19D" w14:textId="77777777">
      <w:pPr>
        <w:rPr>
          <w:rFonts w:ascii="Calibri" w:hAnsi="Calibri" w:cs="Calibri"/>
        </w:rPr>
      </w:pPr>
      <w:r w:rsidRPr="001E23B9">
        <w:rPr>
          <w:rFonts w:ascii="Calibri" w:hAnsi="Calibri" w:cs="Calibri"/>
        </w:rPr>
        <w:t xml:space="preserve">De behandeling van DAB2 in Coreper vindt plaats op 10 september a.s. De Raad besluit met een gekwalificeerde meerderheid. DAB2 betreft een jaarlijkse bijstellingen op basis van de laatste economische verwachtingen en een reguliere actualisatie van de overige ontvangsten en het betalingenniveau. Het kabinet is daarom voornemens om in te stemmen met deze aanvullende begroting. De verwachting is dat alle lidstaten zullen instemmen. Na behandeling in de Raad wordt de begroting behandeld in het Europees Parlement. De stemprocedure hierbij is gewone meerderheid. </w:t>
      </w:r>
      <w:r w:rsidRPr="001E23B9">
        <w:rPr>
          <w:rFonts w:ascii="Calibri" w:hAnsi="Calibri" w:cs="Calibri"/>
          <w:i/>
          <w:iCs/>
        </w:rPr>
        <w:t xml:space="preserve"> </w:t>
      </w:r>
    </w:p>
    <w:p w:rsidRPr="001E23B9" w:rsidR="00AE3B69" w:rsidP="00AE3B69" w:rsidRDefault="00AE3B69" w14:paraId="1A1DCA8C" w14:textId="77777777">
      <w:pPr>
        <w:pStyle w:val="StandaardSlotzin"/>
        <w:rPr>
          <w:rFonts w:ascii="Calibri" w:hAnsi="Calibri" w:cs="Calibri"/>
          <w:sz w:val="22"/>
          <w:szCs w:val="22"/>
          <w:lang w:val="de-DE"/>
        </w:rPr>
      </w:pPr>
    </w:p>
    <w:p w:rsidRPr="001E23B9" w:rsidR="004E6804" w:rsidP="004E6804" w:rsidRDefault="004E6804" w14:paraId="4E7DFB04" w14:textId="0A1FB50E">
      <w:pPr>
        <w:pStyle w:val="Geenafstand"/>
        <w:rPr>
          <w:rFonts w:ascii="Calibri" w:hAnsi="Calibri" w:cs="Calibri"/>
        </w:rPr>
      </w:pPr>
      <w:r w:rsidRPr="001E23B9">
        <w:rPr>
          <w:rFonts w:ascii="Calibri" w:hAnsi="Calibri" w:cs="Calibri"/>
        </w:rPr>
        <w:t>De minister van Financiën,</w:t>
      </w:r>
      <w:r w:rsidRPr="001E23B9">
        <w:rPr>
          <w:rFonts w:ascii="Calibri" w:hAnsi="Calibri" w:cs="Calibri"/>
        </w:rPr>
        <w:br/>
        <w:t>E. Heinen</w:t>
      </w:r>
    </w:p>
    <w:p w:rsidRPr="001E23B9" w:rsidR="004E6804" w:rsidP="00242511" w:rsidRDefault="004E6804" w14:paraId="3ED0FC44" w14:textId="77777777">
      <w:pPr>
        <w:rPr>
          <w:rFonts w:ascii="Calibri" w:hAnsi="Calibri" w:cs="Calibri"/>
        </w:rPr>
      </w:pPr>
    </w:p>
    <w:sectPr w:rsidRPr="001E23B9" w:rsidR="004E6804" w:rsidSect="00AE3B69">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84DF" w14:textId="77777777" w:rsidR="00AE3B69" w:rsidRDefault="00AE3B69" w:rsidP="00AE3B69">
      <w:pPr>
        <w:spacing w:after="0" w:line="240" w:lineRule="auto"/>
      </w:pPr>
      <w:r>
        <w:separator/>
      </w:r>
    </w:p>
  </w:endnote>
  <w:endnote w:type="continuationSeparator" w:id="0">
    <w:p w14:paraId="0B59014D" w14:textId="77777777" w:rsidR="00AE3B69" w:rsidRDefault="00AE3B69" w:rsidP="00AE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A1D4" w14:textId="77777777" w:rsidR="00AE3B69" w:rsidRPr="00AE3B69" w:rsidRDefault="00AE3B69" w:rsidP="00AE3B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744C" w14:textId="77777777" w:rsidR="00AE3B69" w:rsidRPr="00AE3B69" w:rsidRDefault="00AE3B69" w:rsidP="00AE3B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643F" w14:textId="77777777" w:rsidR="00AE3B69" w:rsidRPr="00AE3B69" w:rsidRDefault="00AE3B69" w:rsidP="00AE3B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E8828" w14:textId="77777777" w:rsidR="00AE3B69" w:rsidRDefault="00AE3B69" w:rsidP="00AE3B69">
      <w:pPr>
        <w:spacing w:after="0" w:line="240" w:lineRule="auto"/>
      </w:pPr>
      <w:r>
        <w:separator/>
      </w:r>
    </w:p>
  </w:footnote>
  <w:footnote w:type="continuationSeparator" w:id="0">
    <w:p w14:paraId="6CE26D38" w14:textId="77777777" w:rsidR="00AE3B69" w:rsidRDefault="00AE3B69" w:rsidP="00AE3B69">
      <w:pPr>
        <w:spacing w:after="0" w:line="240" w:lineRule="auto"/>
      </w:pPr>
      <w:r>
        <w:continuationSeparator/>
      </w:r>
    </w:p>
  </w:footnote>
  <w:footnote w:id="1">
    <w:p w14:paraId="33AAB464" w14:textId="77777777" w:rsidR="00AE3B69" w:rsidRPr="001E23B9" w:rsidRDefault="00AE3B69" w:rsidP="00AE3B69">
      <w:pPr>
        <w:pStyle w:val="Voetnoottekst"/>
        <w:rPr>
          <w:rFonts w:ascii="Calibri" w:hAnsi="Calibri" w:cs="Calibri"/>
        </w:rPr>
      </w:pPr>
      <w:r w:rsidRPr="001E23B9">
        <w:rPr>
          <w:rStyle w:val="Voetnootmarkering"/>
          <w:rFonts w:ascii="Calibri" w:hAnsi="Calibri" w:cs="Calibri"/>
        </w:rPr>
        <w:footnoteRef/>
      </w:r>
      <w:r w:rsidRPr="001E23B9">
        <w:rPr>
          <w:rFonts w:ascii="Calibri" w:hAnsi="Calibri" w:cs="Calibri"/>
        </w:rPr>
        <w:t xml:space="preserve"> Invoerrechten zijn tevens onderdeel van de ACOR, maar voor de raming van de Nederlandse afdracht op basis van de invoerrechten gebruikt het Ministerie van Financiën een eigen raming in plaats van die van de Europese Commissie. </w:t>
      </w:r>
    </w:p>
  </w:footnote>
  <w:footnote w:id="2">
    <w:p w14:paraId="36D72F01" w14:textId="77777777" w:rsidR="00AE3B69" w:rsidRPr="001E23B9" w:rsidRDefault="00AE3B69" w:rsidP="00AE3B69">
      <w:pPr>
        <w:pStyle w:val="Voetnoottekst"/>
        <w:rPr>
          <w:rFonts w:ascii="Calibri" w:hAnsi="Calibri" w:cs="Calibri"/>
        </w:rPr>
      </w:pPr>
      <w:r w:rsidRPr="001E23B9">
        <w:rPr>
          <w:rStyle w:val="Voetnootmarkering"/>
          <w:rFonts w:ascii="Calibri" w:hAnsi="Calibri" w:cs="Calibri"/>
        </w:rPr>
        <w:footnoteRef/>
      </w:r>
      <w:r w:rsidRPr="001E23B9">
        <w:rPr>
          <w:rFonts w:ascii="Calibri" w:hAnsi="Calibri" w:cs="Calibri"/>
        </w:rPr>
        <w:t xml:space="preserve"> https://open.overheid.nl/documenten/910f6f86-c426-4f7a-8edf-b5771f9179c4/file</w:t>
      </w:r>
    </w:p>
  </w:footnote>
  <w:footnote w:id="3">
    <w:p w14:paraId="7833088F" w14:textId="77777777" w:rsidR="00AE3B69" w:rsidRPr="001E23B9" w:rsidRDefault="00AE3B69" w:rsidP="00AE3B69">
      <w:pPr>
        <w:pStyle w:val="Voetnoottekst"/>
        <w:rPr>
          <w:rFonts w:ascii="Calibri" w:hAnsi="Calibri" w:cs="Calibri"/>
        </w:rPr>
      </w:pPr>
      <w:r w:rsidRPr="001E23B9">
        <w:rPr>
          <w:rStyle w:val="Voetnootmarkering"/>
          <w:rFonts w:ascii="Calibri" w:hAnsi="Calibri" w:cs="Calibri"/>
        </w:rPr>
        <w:footnoteRef/>
      </w:r>
      <w:r w:rsidRPr="001E23B9">
        <w:rPr>
          <w:rFonts w:ascii="Calibri" w:hAnsi="Calibri" w:cs="Calibri"/>
        </w:rPr>
        <w:t xml:space="preserve"> Kamerstuk II 2024-2024, 21 501-03, nr. 185</w:t>
      </w:r>
    </w:p>
  </w:footnote>
  <w:footnote w:id="4">
    <w:p w14:paraId="58DC55ED" w14:textId="77777777" w:rsidR="00AE3B69" w:rsidRPr="001E23B9" w:rsidRDefault="00AE3B69" w:rsidP="00AE3B69">
      <w:pPr>
        <w:pStyle w:val="Voetnoottekst"/>
        <w:rPr>
          <w:rFonts w:ascii="Calibri" w:hAnsi="Calibri" w:cs="Calibri"/>
        </w:rPr>
      </w:pPr>
      <w:r w:rsidRPr="001E23B9">
        <w:rPr>
          <w:rStyle w:val="Voetnootmarkering"/>
          <w:rFonts w:ascii="Calibri" w:hAnsi="Calibri" w:cs="Calibri"/>
        </w:rPr>
        <w:footnoteRef/>
      </w:r>
      <w:r w:rsidRPr="001E23B9">
        <w:rPr>
          <w:rFonts w:ascii="Calibri" w:hAnsi="Calibri" w:cs="Calibri"/>
        </w:rPr>
        <w:t xml:space="preserve"> https://www.rijksoverheid.nl/documenten/kamerstukken/2025/07/02/kamerbrief-voorstel-jaarbegroting-europese-unie-2026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8005" w14:textId="77777777" w:rsidR="00AE3B69" w:rsidRPr="00AE3B69" w:rsidRDefault="00AE3B69" w:rsidP="00AE3B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1911" w14:textId="77777777" w:rsidR="00AE3B69" w:rsidRPr="00AE3B69" w:rsidRDefault="00AE3B69" w:rsidP="00AE3B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BA2" w14:textId="77777777" w:rsidR="00AE3B69" w:rsidRPr="00AE3B69" w:rsidRDefault="00AE3B69" w:rsidP="00AE3B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69"/>
    <w:rsid w:val="001E23B9"/>
    <w:rsid w:val="002E3E61"/>
    <w:rsid w:val="004E34C2"/>
    <w:rsid w:val="004E6804"/>
    <w:rsid w:val="00745797"/>
    <w:rsid w:val="00AE3B69"/>
    <w:rsid w:val="00D3310C"/>
    <w:rsid w:val="00DE2A3D"/>
    <w:rsid w:val="00E80808"/>
    <w:rsid w:val="00FC285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DD7A"/>
  <w15:chartTrackingRefBased/>
  <w15:docId w15:val="{2198E885-ABBB-44A4-82A4-2B9F51D3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3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3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3B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3B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3B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3B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3B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3B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3B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3B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3B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3B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3B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3B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3B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3B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3B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3B69"/>
    <w:rPr>
      <w:rFonts w:eastAsiaTheme="majorEastAsia" w:cstheme="majorBidi"/>
      <w:color w:val="272727" w:themeColor="text1" w:themeTint="D8"/>
    </w:rPr>
  </w:style>
  <w:style w:type="paragraph" w:styleId="Titel">
    <w:name w:val="Title"/>
    <w:basedOn w:val="Standaard"/>
    <w:next w:val="Standaard"/>
    <w:link w:val="TitelChar"/>
    <w:uiPriority w:val="10"/>
    <w:qFormat/>
    <w:rsid w:val="00AE3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3B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3B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3B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3B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3B69"/>
    <w:rPr>
      <w:i/>
      <w:iCs/>
      <w:color w:val="404040" w:themeColor="text1" w:themeTint="BF"/>
    </w:rPr>
  </w:style>
  <w:style w:type="paragraph" w:styleId="Lijstalinea">
    <w:name w:val="List Paragraph"/>
    <w:basedOn w:val="Standaard"/>
    <w:uiPriority w:val="34"/>
    <w:qFormat/>
    <w:rsid w:val="00AE3B69"/>
    <w:pPr>
      <w:ind w:left="720"/>
      <w:contextualSpacing/>
    </w:pPr>
  </w:style>
  <w:style w:type="character" w:styleId="Intensievebenadrukking">
    <w:name w:val="Intense Emphasis"/>
    <w:basedOn w:val="Standaardalinea-lettertype"/>
    <w:uiPriority w:val="21"/>
    <w:qFormat/>
    <w:rsid w:val="00AE3B69"/>
    <w:rPr>
      <w:i/>
      <w:iCs/>
      <w:color w:val="0F4761" w:themeColor="accent1" w:themeShade="BF"/>
    </w:rPr>
  </w:style>
  <w:style w:type="paragraph" w:styleId="Duidelijkcitaat">
    <w:name w:val="Intense Quote"/>
    <w:basedOn w:val="Standaard"/>
    <w:next w:val="Standaard"/>
    <w:link w:val="DuidelijkcitaatChar"/>
    <w:uiPriority w:val="30"/>
    <w:qFormat/>
    <w:rsid w:val="00AE3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3B69"/>
    <w:rPr>
      <w:i/>
      <w:iCs/>
      <w:color w:val="0F4761" w:themeColor="accent1" w:themeShade="BF"/>
    </w:rPr>
  </w:style>
  <w:style w:type="character" w:styleId="Intensieveverwijzing">
    <w:name w:val="Intense Reference"/>
    <w:basedOn w:val="Standaardalinea-lettertype"/>
    <w:uiPriority w:val="32"/>
    <w:qFormat/>
    <w:rsid w:val="00AE3B69"/>
    <w:rPr>
      <w:b/>
      <w:bCs/>
      <w:smallCaps/>
      <w:color w:val="0F4761" w:themeColor="accent1" w:themeShade="BF"/>
      <w:spacing w:val="5"/>
    </w:rPr>
  </w:style>
  <w:style w:type="paragraph" w:customStyle="1" w:styleId="StandaardSlotzin">
    <w:name w:val="Standaard_Slotzin"/>
    <w:basedOn w:val="Standaard"/>
    <w:next w:val="Standaard"/>
    <w:rsid w:val="00AE3B6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E3B6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E3B6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unhideWhenUsed/>
    <w:rsid w:val="00AE3B6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E3B6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E3B69"/>
    <w:rPr>
      <w:vertAlign w:val="superscript"/>
    </w:rPr>
  </w:style>
  <w:style w:type="paragraph" w:styleId="Koptekst">
    <w:name w:val="header"/>
    <w:basedOn w:val="Standaard"/>
    <w:link w:val="KoptekstChar"/>
    <w:uiPriority w:val="99"/>
    <w:unhideWhenUsed/>
    <w:rsid w:val="00AE3B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3B69"/>
  </w:style>
  <w:style w:type="paragraph" w:styleId="Voettekst">
    <w:name w:val="footer"/>
    <w:basedOn w:val="Standaard"/>
    <w:link w:val="VoettekstChar"/>
    <w:uiPriority w:val="99"/>
    <w:unhideWhenUsed/>
    <w:rsid w:val="00AE3B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B69"/>
  </w:style>
  <w:style w:type="paragraph" w:styleId="Geenafstand">
    <w:name w:val="No Spacing"/>
    <w:uiPriority w:val="1"/>
    <w:qFormat/>
    <w:rsid w:val="004E68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1261</ap:Words>
  <ap:Characters>6937</ap:Characters>
  <ap:DocSecurity>0</ap:DocSecurity>
  <ap:Lines>57</ap:Lines>
  <ap:Paragraphs>16</ap:Paragraphs>
  <ap:ScaleCrop>false</ap:ScaleCrop>
  <ap:LinksUpToDate>false</ap:LinksUpToDate>
  <ap:CharactersWithSpaces>8182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2025-09-10T14:58:00.0000000Z</dcterms:created>
  <dcterms:modified xsi:type="dcterms:W3CDTF">2025-09-10T14:58:00.0000000Z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