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2025Z16421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9 september 2025)</w:t>
        <w:br/>
      </w:r>
    </w:p>
    <w:p>
      <w:r>
        <w:t xml:space="preserve">Vragen van het lid Kröger (GroenLinks-PvdA) aan de minister van Klimaat en Groene Groei over winningsvergunningen</w:t>
      </w:r>
      <w:r>
        <w:br/>
      </w:r>
    </w:p>
    <w:p>
      <w:r>
        <w:t xml:space="preserve"> </w:t>
      </w:r>
      <w:r>
        <w:br/>
      </w:r>
    </w:p>
    <w:p>
      <w:r>
        <w:t xml:space="preserve">1            Kunt u nader toelichten wat u in de brief van 4 september 2025 over de stand van zaken gebruik diepe ondergrond Waddenzee (Kamerstuk 29684, nr. 296) op pagina 4 schrijft: “(h)et is aan een volgend kabinet hoe om te gaan met deze nieuwe inzichten die meer ruimte lijken te geven voor activiteiten in de Waddenzee dan het huidige vastgestelde ’hand-aan-de-kraan’-beleid.”?</w:t>
      </w:r>
      <w:r>
        <w:br/>
      </w:r>
    </w:p>
    <w:p>
      <w:r>
        <w:t xml:space="preserve">2            Kan dit betekenen dat een volgend kabinet zou kunnen besluiten om de gas en/of zoutwinning vanuit bestaande vergunde winningslocaties te intensiveren? Geeft de wet dan wel de vergunningen hiervoor mogelijkheden?</w:t>
      </w:r>
      <w:r>
        <w:br/>
      </w:r>
    </w:p>
    <w:p>
      <w:r>
        <w:t xml:space="preserve">3            Geeft dit wat u betreft mogelijkheden voor nieuwe winningsvergunningen?</w:t>
      </w:r>
      <w:r>
        <w:br/>
      </w:r>
    </w:p>
    <w:p>
      <w:r>
        <w:t xml:space="preserve">4            Vindt u het wenselijk of moreel acceptabel dat mijnbouwbedrijven alle hun vergunde milieuschade, zoals bodemdaling, ‘opmaken’? Gaat u dat faciliteren?</w:t>
      </w:r>
      <w:r>
        <w:br/>
      </w:r>
    </w:p>
    <w:p>
      <w:r>
        <w:t xml:space="preserve">5            Kunt u deze vragen voor 22 september 2025 beantwoorden?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