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E6D82" w:rsidRDefault="001E6D82" w14:paraId="4A81FBEF" w14:textId="77777777"/>
    <w:p w:rsidR="00F82D61" w:rsidRDefault="00CC6769" w14:paraId="31E5A426" w14:textId="5D817568">
      <w:r>
        <w:t>Geachte</w:t>
      </w:r>
      <w:r w:rsidR="003247E0">
        <w:t xml:space="preserve"> voorzitter,</w:t>
      </w:r>
    </w:p>
    <w:p w:rsidR="00F82D61" w:rsidP="001E6D82" w:rsidRDefault="00CC5901" w14:paraId="51D70EEF" w14:textId="5220E62A">
      <w:pPr>
        <w:pStyle w:val="WitregelW1bodytekst"/>
        <w:tabs>
          <w:tab w:val="left" w:pos="6396"/>
        </w:tabs>
      </w:pPr>
      <w:r>
        <w:tab/>
      </w:r>
    </w:p>
    <w:p w:rsidR="00F82D61" w:rsidRDefault="00567765" w14:paraId="4264CB74" w14:textId="76C93A9D">
      <w:r>
        <w:t xml:space="preserve">Hierbij bied ik u </w:t>
      </w:r>
      <w:r w:rsidR="00CC5901">
        <w:t>de</w:t>
      </w:r>
      <w:r>
        <w:t xml:space="preserve"> onderzoek</w:t>
      </w:r>
      <w:r w:rsidR="00CC5901">
        <w:t>en</w:t>
      </w:r>
      <w:r>
        <w:t xml:space="preserve"> aan van SEO Economisch Onderzoek naar de verwachte effecten van het EU-</w:t>
      </w:r>
      <w:proofErr w:type="spellStart"/>
      <w:r>
        <w:t>Mercosur</w:t>
      </w:r>
      <w:proofErr w:type="spellEnd"/>
      <w:r>
        <w:t xml:space="preserve"> akkoord op de Nederlandse economie en </w:t>
      </w:r>
      <w:r w:rsidR="00267CD3">
        <w:t xml:space="preserve">naar </w:t>
      </w:r>
      <w:r>
        <w:t>handelsstromen tussen Nederland/EU en Argentinië, Brazilië, Canada, Chili, Mexico, Paraguay en Uruguay.</w:t>
      </w:r>
      <w:r>
        <w:rPr>
          <w:rStyle w:val="FootnoteReference"/>
        </w:rPr>
        <w:footnoteReference w:id="2"/>
      </w:r>
      <w:r>
        <w:t xml:space="preserve"> Tevens informeer ik u </w:t>
      </w:r>
      <w:r w:rsidRPr="00C157C8">
        <w:t>over een voorstel van de Europese Commissie voor een onderhandelingsmandaat ten behoeve van de amendering van een overeenkomst tussen de EU en Marokko die de toepassing van tariefpreferenties op producten afkomstig uit de Westelijke Sahara faciliteert</w:t>
      </w:r>
      <w:r>
        <w:t>.</w:t>
      </w:r>
    </w:p>
    <w:p w:rsidR="00567765" w:rsidRDefault="00567765" w14:paraId="0985CEC2" w14:textId="77777777"/>
    <w:p w:rsidRPr="00567765" w:rsidR="00567765" w:rsidRDefault="00567765" w14:paraId="1FE94686" w14:textId="55B215A9">
      <w:pPr>
        <w:rPr>
          <w:i/>
          <w:iCs/>
        </w:rPr>
      </w:pPr>
      <w:r w:rsidRPr="00567765">
        <w:rPr>
          <w:i/>
          <w:iCs/>
        </w:rPr>
        <w:t>SEO Economisch Onderzoek</w:t>
      </w:r>
    </w:p>
    <w:p w:rsidR="00CD1B6E" w:rsidP="00DF5FC6" w:rsidRDefault="00CD1B6E" w14:paraId="736A324A" w14:textId="60415DA7">
      <w:r>
        <w:t>Dit onderzoek is uitgevoerd in opdracht van het ministerie van Buitenlandse Zaken. Ook in voorgaande jaren heeft het ministerie onderzoek laten uitvoeren naar de verwachte effecten van verschillende EU</w:t>
      </w:r>
      <w:r w:rsidR="00D356E0">
        <w:t>-</w:t>
      </w:r>
      <w:r>
        <w:t xml:space="preserve">handelsakkoorden. </w:t>
      </w:r>
    </w:p>
    <w:p w:rsidR="00CD1B6E" w:rsidP="00DF5FC6" w:rsidRDefault="00CD1B6E" w14:paraId="1C1AC88F" w14:textId="77777777"/>
    <w:p w:rsidR="001A6241" w:rsidP="00DF5FC6" w:rsidRDefault="00A148A7" w14:paraId="0B00EA58" w14:textId="25D5F4BD">
      <w:r>
        <w:t>SEO</w:t>
      </w:r>
      <w:r w:rsidRPr="00A148A7">
        <w:t xml:space="preserve"> concludeert dat het EU-</w:t>
      </w:r>
      <w:proofErr w:type="spellStart"/>
      <w:r w:rsidRPr="00A148A7">
        <w:t>Mercosur</w:t>
      </w:r>
      <w:proofErr w:type="spellEnd"/>
      <w:r w:rsidRPr="00A148A7">
        <w:t xml:space="preserve"> akkoord over het geheel genomen positief is voor de Nederlandse economie</w:t>
      </w:r>
      <w:r w:rsidR="00100553">
        <w:t xml:space="preserve">, specifiek voor de Nederlandse consument en de verwerkende industrie en </w:t>
      </w:r>
      <w:r w:rsidR="00B55430">
        <w:t xml:space="preserve">de </w:t>
      </w:r>
      <w:r w:rsidR="00100553">
        <w:t>dienstensector</w:t>
      </w:r>
      <w:r w:rsidR="000B734A">
        <w:t>.</w:t>
      </w:r>
      <w:r w:rsidR="00DE6EE8">
        <w:t xml:space="preserve"> De </w:t>
      </w:r>
      <w:r w:rsidR="00C948D8">
        <w:t>doorrekening</w:t>
      </w:r>
      <w:r w:rsidR="00DE6EE8">
        <w:t xml:space="preserve"> </w:t>
      </w:r>
      <w:r w:rsidR="00C948D8">
        <w:t xml:space="preserve">van SEO </w:t>
      </w:r>
      <w:r w:rsidR="00DE6EE8">
        <w:t xml:space="preserve">houdt rekening met zowel de </w:t>
      </w:r>
      <w:r w:rsidRPr="00DE6EE8" w:rsidR="00DE6EE8">
        <w:t xml:space="preserve">directe effecten </w:t>
      </w:r>
      <w:r w:rsidR="00DE6EE8">
        <w:t>van een EU-</w:t>
      </w:r>
      <w:proofErr w:type="spellStart"/>
      <w:r w:rsidR="00DE6EE8">
        <w:t>Mercosur</w:t>
      </w:r>
      <w:proofErr w:type="spellEnd"/>
      <w:r w:rsidR="00DE6EE8">
        <w:t xml:space="preserve"> akkoord </w:t>
      </w:r>
      <w:r w:rsidR="00702C6B">
        <w:t>op</w:t>
      </w:r>
      <w:r w:rsidRPr="00DE6EE8" w:rsidR="00DE6EE8">
        <w:t xml:space="preserve"> de handel </w:t>
      </w:r>
      <w:r w:rsidR="00DE6EE8">
        <w:t xml:space="preserve">tussen Nederland en </w:t>
      </w:r>
      <w:r w:rsidRPr="00DE6EE8" w:rsidR="00DE6EE8">
        <w:t xml:space="preserve">de </w:t>
      </w:r>
      <w:proofErr w:type="spellStart"/>
      <w:r w:rsidRPr="00DE6EE8" w:rsidR="00DE6EE8">
        <w:t>Mercosur</w:t>
      </w:r>
      <w:proofErr w:type="spellEnd"/>
      <w:r w:rsidRPr="00DE6EE8" w:rsidR="00DE6EE8">
        <w:t>-landen</w:t>
      </w:r>
      <w:r w:rsidR="00702C6B">
        <w:t>,</w:t>
      </w:r>
      <w:r w:rsidRPr="00DE6EE8" w:rsidR="00DE6EE8">
        <w:t xml:space="preserve"> als</w:t>
      </w:r>
      <w:r w:rsidR="00702C6B">
        <w:t xml:space="preserve"> met</w:t>
      </w:r>
      <w:r w:rsidRPr="00DE6EE8" w:rsidR="00DE6EE8">
        <w:t xml:space="preserve"> </w:t>
      </w:r>
      <w:r w:rsidR="00DE6EE8">
        <w:t xml:space="preserve">de </w:t>
      </w:r>
      <w:r w:rsidRPr="00DE6EE8" w:rsidR="00DE6EE8">
        <w:t xml:space="preserve">indirecte effecten </w:t>
      </w:r>
      <w:r w:rsidR="002326A3">
        <w:t xml:space="preserve">van het akkoord </w:t>
      </w:r>
      <w:r w:rsidR="00702C6B">
        <w:t>op</w:t>
      </w:r>
      <w:r w:rsidRPr="00DE6EE8" w:rsidR="00DE6EE8">
        <w:t xml:space="preserve"> </w:t>
      </w:r>
      <w:r w:rsidR="00702C6B">
        <w:t>de</w:t>
      </w:r>
      <w:r w:rsidRPr="00DE6EE8" w:rsidR="00DE6EE8">
        <w:t xml:space="preserve"> handel </w:t>
      </w:r>
      <w:r w:rsidR="00702C6B">
        <w:t xml:space="preserve">tussen Nederland en </w:t>
      </w:r>
      <w:r w:rsidRPr="00DE6EE8" w:rsidR="00DE6EE8">
        <w:t>andere landen</w:t>
      </w:r>
      <w:r w:rsidR="00DE6EE8">
        <w:t xml:space="preserve">. SEO schat dat de totale Nederlandse wereldwijde export toeneemt met </w:t>
      </w:r>
      <w:r w:rsidRPr="00DE6EE8" w:rsidR="00DE6EE8">
        <w:t>EUR +1,1 miljard en de import met EUR +1,2 miljard. De effecten zijn het grootst voor de verwerkende industrie en de dienstensector, met respectievelijk EUR +0,5 miljard en EUR +0,4 miljard voor zowel export als import. De export van landbouwproducten neemt naar schatting toe met EUR +0,2 miljard en de import met EUR +0,3 miljard.</w:t>
      </w:r>
      <w:r w:rsidR="00DE6EE8">
        <w:t xml:space="preserve"> </w:t>
      </w:r>
    </w:p>
    <w:p w:rsidR="001A6241" w:rsidP="00DF5FC6" w:rsidRDefault="001A6241" w14:paraId="2480ADDB" w14:textId="77777777"/>
    <w:p w:rsidR="00DF5FC6" w:rsidP="00DF5FC6" w:rsidRDefault="00442CBE" w14:paraId="442586D9" w14:textId="2042C735">
      <w:r>
        <w:t>Deze veranderingen in handel</w:t>
      </w:r>
      <w:r w:rsidR="00267CD3">
        <w:t>sstromen</w:t>
      </w:r>
      <w:r>
        <w:t xml:space="preserve"> leiden naar verwachting tot een </w:t>
      </w:r>
      <w:r w:rsidR="00702C6B">
        <w:t xml:space="preserve">reële groei van het </w:t>
      </w:r>
      <w:r>
        <w:t>Nederlandse bbp van +0,02%</w:t>
      </w:r>
      <w:r w:rsidR="00E737D6">
        <w:t xml:space="preserve">. </w:t>
      </w:r>
      <w:r w:rsidR="001131FE">
        <w:t>Deze groei bestaat uit het netto effect van inkomens- en prijseffecten. Met betrekking tot inkomenseffecten</w:t>
      </w:r>
      <w:r w:rsidR="00E737D6">
        <w:t xml:space="preserve"> suggereren de bevindingen </w:t>
      </w:r>
      <w:r w:rsidR="00DF5FC6">
        <w:t xml:space="preserve">een </w:t>
      </w:r>
      <w:r w:rsidR="00267CD3">
        <w:t xml:space="preserve">stijging in de nominale inkomens in de verwerkende industrie (+0,01%) en de dienstensector (+0,01%) en een </w:t>
      </w:r>
      <w:r w:rsidR="00DF5FC6">
        <w:t xml:space="preserve">daling in de nominale inkomens </w:t>
      </w:r>
      <w:r w:rsidR="00DF5FC6">
        <w:lastRenderedPageBreak/>
        <w:t xml:space="preserve">in de landbouwsector (-0,46%). </w:t>
      </w:r>
      <w:r w:rsidR="006D7341">
        <w:t xml:space="preserve">Het totale nominale inkomenseffect op de Nederlandse economie bedraagt -0,01%. </w:t>
      </w:r>
      <w:r w:rsidR="00DF5FC6">
        <w:t xml:space="preserve">Een groter aanbod van producten uit de </w:t>
      </w:r>
      <w:proofErr w:type="spellStart"/>
      <w:r w:rsidR="00DF5FC6">
        <w:t>Mercosur</w:t>
      </w:r>
      <w:proofErr w:type="spellEnd"/>
      <w:r w:rsidR="00DF5FC6">
        <w:t>-landen verlaagt naar schatting het algemene prijsniveau voor landbouw- en industrieproducten</w:t>
      </w:r>
      <w:r w:rsidR="00267CD3">
        <w:t xml:space="preserve"> in Nederland</w:t>
      </w:r>
      <w:r w:rsidR="00DF5FC6">
        <w:t xml:space="preserve">, met respectievelijk </w:t>
      </w:r>
      <w:r w:rsidR="002F18B3">
        <w:t>-</w:t>
      </w:r>
      <w:r w:rsidR="00DF5FC6">
        <w:t xml:space="preserve">0,54% en </w:t>
      </w:r>
      <w:r w:rsidR="002F18B3">
        <w:t>-</w:t>
      </w:r>
      <w:r w:rsidR="00DF5FC6">
        <w:t>0,01%</w:t>
      </w:r>
      <w:r w:rsidR="00267CD3">
        <w:t>, hetgeen een positief effect heeft op onze welvaart en ons bbp</w:t>
      </w:r>
      <w:r w:rsidR="00DF5FC6">
        <w:t xml:space="preserve">. </w:t>
      </w:r>
      <w:r w:rsidR="006D7341">
        <w:t xml:space="preserve">Het </w:t>
      </w:r>
      <w:r w:rsidR="00DF5FC6">
        <w:t>totale</w:t>
      </w:r>
      <w:r w:rsidRPr="00DF5FC6" w:rsidR="00DF5FC6">
        <w:t xml:space="preserve"> nominale prijseffect </w:t>
      </w:r>
      <w:r w:rsidR="00100553">
        <w:t xml:space="preserve">op de Nederlandse economie </w:t>
      </w:r>
      <w:r w:rsidR="006D7341">
        <w:t>is een daling van het prijsniveau van</w:t>
      </w:r>
      <w:r w:rsidR="00DF5FC6">
        <w:t xml:space="preserve"> </w:t>
      </w:r>
      <w:r w:rsidR="002F18B3">
        <w:t>-0,03%</w:t>
      </w:r>
      <w:r w:rsidRPr="00DF5FC6" w:rsidR="00DF5FC6">
        <w:t xml:space="preserve">. </w:t>
      </w:r>
      <w:r w:rsidRPr="00DF5FC6" w:rsidR="006D7341">
        <w:t>De</w:t>
      </w:r>
      <w:r w:rsidR="006D7341">
        <w:t xml:space="preserve"> totale inkomens- en prijseffecten </w:t>
      </w:r>
      <w:r w:rsidRPr="00DF5FC6" w:rsidR="00DF5FC6">
        <w:t xml:space="preserve">zijn een gewogen gemiddelde van het aandeel van </w:t>
      </w:r>
      <w:r w:rsidR="00DF5FC6">
        <w:t>de landbouwsector, de verwerkende industrie en de dienstensector</w:t>
      </w:r>
      <w:r w:rsidRPr="00DF5FC6" w:rsidR="00DF5FC6">
        <w:t xml:space="preserve"> in de totale economie. De verwerkende industrie en de dienstensector zijn relatief gezien grotere sectoren dan de landbouwsector, vandaar dat de geschatte totale effecten </w:t>
      </w:r>
      <w:r w:rsidRPr="00DF5FC6" w:rsidR="006D7341">
        <w:t>la</w:t>
      </w:r>
      <w:r w:rsidR="006D7341">
        <w:t>ger</w:t>
      </w:r>
      <w:r w:rsidRPr="00DF5FC6" w:rsidR="006D7341">
        <w:t xml:space="preserve"> </w:t>
      </w:r>
      <w:r w:rsidRPr="00DF5FC6" w:rsidR="00DF5FC6">
        <w:t>uitvallen</w:t>
      </w:r>
      <w:r w:rsidR="006D7341">
        <w:t xml:space="preserve"> dan de </w:t>
      </w:r>
      <w:r w:rsidR="00267CD3">
        <w:t xml:space="preserve">individuele </w:t>
      </w:r>
      <w:r w:rsidR="006D7341">
        <w:t>sectorale effecten</w:t>
      </w:r>
      <w:r w:rsidRPr="00DF5FC6" w:rsidR="00DF5FC6">
        <w:t>.</w:t>
      </w:r>
      <w:r w:rsidR="00100553">
        <w:t xml:space="preserve"> </w:t>
      </w:r>
    </w:p>
    <w:p w:rsidR="001C4647" w:rsidP="00DF5FC6" w:rsidRDefault="001C4647" w14:paraId="6CA46840" w14:textId="77777777"/>
    <w:p w:rsidRPr="001C4647" w:rsidR="001C4647" w:rsidP="001C4647" w:rsidRDefault="001C4647" w14:paraId="14869D4A" w14:textId="0313ED53">
      <w:r>
        <w:t>De handelsprofielen van Argentinië, Brazilië, Canada, Chili, Mexico, Paraguay en Uruguay geven een gedetailleerd overzicht van de belangrijkste export- en importproducten, handel in kritieke grondstoffen en de comparatieve voordelen voor handel met deze landen.</w:t>
      </w:r>
      <w:r w:rsidRPr="001C4647">
        <w:rPr>
          <w:rFonts w:ascii="Aptos" w:hAnsi="Aptos" w:eastAsia="Times New Roman" w:cs="Aptos"/>
          <w:color w:val="auto"/>
          <w:sz w:val="24"/>
          <w:szCs w:val="24"/>
          <w:lang w:eastAsia="en-US"/>
          <w14:ligatures w14:val="standardContextual"/>
        </w:rPr>
        <w:t xml:space="preserve"> </w:t>
      </w:r>
      <w:r w:rsidRPr="001C4647">
        <w:t xml:space="preserve">Hoewel </w:t>
      </w:r>
      <w:r w:rsidR="00196DE9">
        <w:t>de handelsprofielen</w:t>
      </w:r>
      <w:r w:rsidR="009368DD">
        <w:t xml:space="preserve"> </w:t>
      </w:r>
      <w:r w:rsidR="00196DE9">
        <w:t>aantonen</w:t>
      </w:r>
      <w:r w:rsidR="009368DD">
        <w:t xml:space="preserve"> dat </w:t>
      </w:r>
      <w:r w:rsidRPr="001C4647">
        <w:t>de handel in kritieke grondstoffen qua omvang</w:t>
      </w:r>
      <w:r w:rsidR="00D52579">
        <w:t xml:space="preserve"> in waarde</w:t>
      </w:r>
      <w:r w:rsidRPr="001C4647">
        <w:t xml:space="preserve"> beperkt is, mag het belang ervan niet worden onderschat, omdat kritieke grondstoffen in veel producten worden verwerkt en hierdoor een cruciale rol spelen.</w:t>
      </w:r>
    </w:p>
    <w:p w:rsidR="00E737D6" w:rsidP="00DE6EE8" w:rsidRDefault="00E737D6" w14:paraId="3780904F" w14:textId="6EB314C3"/>
    <w:p w:rsidRPr="00300725" w:rsidR="00567765" w:rsidRDefault="00DE6EE8" w14:paraId="13681DC5" w14:textId="1F1BD166">
      <w:r>
        <w:t>H</w:t>
      </w:r>
      <w:r w:rsidRPr="00567765" w:rsidR="00567765">
        <w:t xml:space="preserve">et kabinet neemt de bevindingen van </w:t>
      </w:r>
      <w:r w:rsidR="00EF65BD">
        <w:t>de</w:t>
      </w:r>
      <w:r w:rsidRPr="00567765" w:rsidR="00567765">
        <w:t xml:space="preserve"> onderzoek</w:t>
      </w:r>
      <w:r w:rsidR="00EF65BD">
        <w:t>en</w:t>
      </w:r>
      <w:r w:rsidRPr="00567765" w:rsidR="00567765">
        <w:t xml:space="preserve"> mee in de weging van het EU-</w:t>
      </w:r>
      <w:proofErr w:type="spellStart"/>
      <w:r w:rsidRPr="00567765" w:rsidR="00567765">
        <w:t>Mercosur</w:t>
      </w:r>
      <w:proofErr w:type="spellEnd"/>
      <w:r w:rsidRPr="00567765" w:rsidR="00567765">
        <w:t xml:space="preserve"> akkoord. Het kabinet zal hierin ook de uitkomsten </w:t>
      </w:r>
      <w:r w:rsidR="00196DE9">
        <w:t xml:space="preserve">meenemen </w:t>
      </w:r>
      <w:r w:rsidRPr="00567765" w:rsidR="00567765">
        <w:t xml:space="preserve">van </w:t>
      </w:r>
      <w:r w:rsidR="00567765">
        <w:t xml:space="preserve">het onderzoek door </w:t>
      </w:r>
      <w:r w:rsidRPr="00567765" w:rsidR="00567765">
        <w:t xml:space="preserve">Wageningen </w:t>
      </w:r>
      <w:proofErr w:type="spellStart"/>
      <w:r w:rsidRPr="00567765" w:rsidR="00567765">
        <w:rPr>
          <w:i/>
          <w:iCs/>
        </w:rPr>
        <w:t>Social</w:t>
      </w:r>
      <w:proofErr w:type="spellEnd"/>
      <w:r w:rsidRPr="00567765" w:rsidR="00567765">
        <w:rPr>
          <w:i/>
          <w:iCs/>
        </w:rPr>
        <w:t xml:space="preserve"> &amp; </w:t>
      </w:r>
      <w:proofErr w:type="spellStart"/>
      <w:r w:rsidRPr="00567765" w:rsidR="00567765">
        <w:rPr>
          <w:i/>
          <w:iCs/>
        </w:rPr>
        <w:t>Economic</w:t>
      </w:r>
      <w:proofErr w:type="spellEnd"/>
      <w:r w:rsidRPr="00567765" w:rsidR="00567765">
        <w:rPr>
          <w:i/>
          <w:iCs/>
        </w:rPr>
        <w:t xml:space="preserve"> Research</w:t>
      </w:r>
      <w:r w:rsidR="00435942">
        <w:t>, op 12 mei aangeboden aan uw Kamer</w:t>
      </w:r>
      <w:r w:rsidR="00435942">
        <w:rPr>
          <w:rStyle w:val="FootnoteReference"/>
        </w:rPr>
        <w:footnoteReference w:id="3"/>
      </w:r>
      <w:r w:rsidR="00435942">
        <w:t xml:space="preserve">, en </w:t>
      </w:r>
      <w:r w:rsidRPr="00567765" w:rsidR="00567765">
        <w:t xml:space="preserve">de economische analyse van de verwachte </w:t>
      </w:r>
      <w:r w:rsidRPr="00300725" w:rsidR="00567765">
        <w:t>effecten van het EU-</w:t>
      </w:r>
      <w:proofErr w:type="spellStart"/>
      <w:r w:rsidRPr="00300725" w:rsidR="00567765">
        <w:t>Mercosur</w:t>
      </w:r>
      <w:proofErr w:type="spellEnd"/>
      <w:r w:rsidRPr="00300725" w:rsidR="00567765">
        <w:t xml:space="preserve"> akkoord op de Europese Unie, die wordt uitgevoerd door de Europese Commissie.</w:t>
      </w:r>
    </w:p>
    <w:p w:rsidRPr="00300725" w:rsidR="00435942" w:rsidRDefault="00435942" w14:paraId="3DB16265" w14:textId="77777777"/>
    <w:p w:rsidRPr="00DB67A5" w:rsidR="00435942" w:rsidP="00435942" w:rsidRDefault="00DB67A5" w14:paraId="109F9ADA" w14:textId="7A9540F9">
      <w:pPr>
        <w:rPr>
          <w:strike/>
        </w:rPr>
      </w:pPr>
      <w:bookmarkStart w:name="_Hlk195867937" w:id="0"/>
      <w:r w:rsidRPr="00300725">
        <w:t>Op 3 september jl. heeft de Europese Commissie de definitieve teksten van het EU-</w:t>
      </w:r>
      <w:proofErr w:type="spellStart"/>
      <w:r w:rsidRPr="00300725">
        <w:t>Mercosur</w:t>
      </w:r>
      <w:proofErr w:type="spellEnd"/>
      <w:r w:rsidRPr="00300725">
        <w:t xml:space="preserve"> akkoord ter besluitvorming aangeboden aan de Raad. Uw Kamer ontvangt dit najaar, voorafgaand aan besluitvorming in de Raad, de kabinetsappreciatie van het akkoord, met daarin de voorgenomen positie van Nederland in de Raad.</w:t>
      </w:r>
      <w:r w:rsidR="00116BB2">
        <w:t xml:space="preserve"> </w:t>
      </w:r>
      <w:bookmarkEnd w:id="0"/>
    </w:p>
    <w:p w:rsidR="00F82D61" w:rsidRDefault="00F82D61" w14:paraId="2FDDF8CF" w14:textId="77777777">
      <w:pPr>
        <w:pStyle w:val="WitregelW1bodytekst"/>
      </w:pPr>
    </w:p>
    <w:p w:rsidRPr="00F46998" w:rsidR="00F46998" w:rsidP="00F46998" w:rsidRDefault="00F46998" w14:paraId="720C5683" w14:textId="77777777">
      <w:pPr>
        <w:pStyle w:val="WitregelW1bodytekst"/>
        <w:rPr>
          <w:i/>
          <w:iCs/>
        </w:rPr>
      </w:pPr>
      <w:r w:rsidRPr="00F46998">
        <w:rPr>
          <w:i/>
          <w:iCs/>
        </w:rPr>
        <w:t>Onderhandelingsmandaat EU-Marokko</w:t>
      </w:r>
    </w:p>
    <w:p w:rsidRPr="00CC6769" w:rsidR="00F46998" w:rsidP="00F46998" w:rsidRDefault="00F46998" w14:paraId="5E5FD035" w14:textId="77777777">
      <w:pPr>
        <w:pStyle w:val="WitregelW1bodytekst"/>
      </w:pPr>
      <w:r w:rsidRPr="00CC6769">
        <w:t xml:space="preserve">Het kabinet hecht eraan uw Kamer te informeren dat de Raad in september naar verwachting zal besluiten over een voorstel van de Europese Commissie (d.d. 22 juli 2025) voor een onderhandelingsmandaat ten behoeve van de amendering van een overeenkomst tussen de EU en Marokko, die de toepassing van tariefpreferenties op producten afkomstig uit de Westelijke Sahara faciliteert. De overeenkomst moet worden geamendeerd, omdat het Hof van Justitie van de Europese Unie op 4 oktober 2024 oordeelde dat deze tot stand is gekomen op een manier die niet verenigbaar is met het zelfbeschikkingsrecht van de oorspronkelijke bevolking van de Westelijke Sahara. </w:t>
      </w:r>
    </w:p>
    <w:p w:rsidRPr="00CC6769" w:rsidR="00F46998" w:rsidP="00F46998" w:rsidRDefault="00F46998" w14:paraId="1CC35B65" w14:textId="77777777">
      <w:pPr>
        <w:pStyle w:val="WitregelW1bodytekst"/>
      </w:pPr>
    </w:p>
    <w:p w:rsidR="00F82D61" w:rsidRDefault="00F46998" w14:paraId="77B4EC1E" w14:textId="6890FCE9">
      <w:r w:rsidRPr="00CC6769">
        <w:t xml:space="preserve">Met deze stap van de Commissie wordt het proces gestart om de overeenkomst met Marokko te amenderen. Indien na het verlenen van het onderhandelingsmandaat de Commissie met Marokko tot een </w:t>
      </w:r>
      <w:r w:rsidRPr="00CC6769">
        <w:lastRenderedPageBreak/>
        <w:t>onderhandelingsresultaat komt, zal de Raad vervolgens moeten besluiten over goedkeuring hiervan. Uw Kamer zal hierover worden geïnformeerd. De Commissie maakt het voorstel voor het onderhavige mandaat voorlopig niet openbaar. In het kader van transparantie zal het kabinet bepleiten dat het Raadsbesluit waarmee het onderhandelingsmandaat wordt verstrekt wel openbaar wordt gemaakt.</w:t>
      </w:r>
    </w:p>
    <w:p w:rsidR="00DB67A5" w:rsidRDefault="00DB67A5" w14:paraId="0BF65D08" w14:textId="77777777"/>
    <w:p w:rsidR="00DB67A5" w:rsidRDefault="00DB67A5" w14:paraId="4394FE9A" w14:textId="77777777"/>
    <w:p w:rsidRPr="00EB2582" w:rsidR="00DB67A5" w:rsidRDefault="00DB67A5" w14:paraId="2C04B603" w14:textId="7F04080F">
      <w:r w:rsidRPr="00EB2582">
        <w:t>Staatssecretaris Buitenlandse Handel en Ontwikkelingshulp,</w:t>
      </w:r>
    </w:p>
    <w:p w:rsidRPr="00EB2582" w:rsidR="00DB67A5" w:rsidRDefault="00DB67A5" w14:paraId="2F22A239" w14:textId="77777777"/>
    <w:p w:rsidRPr="00EB2582" w:rsidR="00DB67A5" w:rsidRDefault="00DB67A5" w14:paraId="0C6E41DE" w14:textId="77777777"/>
    <w:p w:rsidRPr="00EB2582" w:rsidR="00DB67A5" w:rsidRDefault="00DB67A5" w14:paraId="6062BB1C" w14:textId="77777777"/>
    <w:p w:rsidRPr="00EB2582" w:rsidR="00DB67A5" w:rsidRDefault="00DB67A5" w14:paraId="26114469" w14:textId="77777777"/>
    <w:p w:rsidR="00DB67A5" w:rsidRDefault="00DB67A5" w14:paraId="76E32A1E" w14:textId="3DE8FE93">
      <w:r w:rsidRPr="00EB2582">
        <w:t>Aukje de Vries</w:t>
      </w:r>
    </w:p>
    <w:p w:rsidR="00F82D61" w:rsidRDefault="00F82D61" w14:paraId="72D3249F" w14:textId="77777777"/>
    <w:p w:rsidR="00DB67A5" w:rsidP="00DB67A5" w:rsidRDefault="00DB67A5" w14:paraId="2A0B3339" w14:textId="3AC4F02E">
      <w:pPr>
        <w:rPr>
          <w:strike/>
        </w:rPr>
      </w:pPr>
    </w:p>
    <w:p w:rsidRPr="00DB67A5" w:rsidR="00DB67A5" w:rsidP="00DB67A5" w:rsidRDefault="00DB67A5" w14:paraId="79EAC209" w14:textId="2DB7BDA3">
      <w:pPr>
        <w:ind w:left="708" w:hanging="708"/>
        <w:rPr>
          <w:strike/>
        </w:rPr>
      </w:pPr>
    </w:p>
    <w:p w:rsidR="00F82D61" w:rsidRDefault="00F82D61" w14:paraId="68E55C51" w14:textId="77777777"/>
    <w:sectPr w:rsidR="00F82D61" w:rsidSect="00366A8D">
      <w:headerReference w:type="even" r:id="rId13"/>
      <w:headerReference w:type="default" r:id="rId14"/>
      <w:footerReference w:type="even" r:id="rId15"/>
      <w:footerReference w:type="default" r:id="rId16"/>
      <w:headerReference w:type="first" r:id="rId17"/>
      <w:footerReference w:type="first" r:id="rId18"/>
      <w:pgSz w:w="11905" w:h="16837" w:code="9"/>
      <w:pgMar w:top="3765"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93D5C" w14:textId="77777777" w:rsidR="0062026C" w:rsidRDefault="0062026C">
      <w:pPr>
        <w:spacing w:line="240" w:lineRule="auto"/>
      </w:pPr>
      <w:r>
        <w:separator/>
      </w:r>
    </w:p>
  </w:endnote>
  <w:endnote w:type="continuationSeparator" w:id="0">
    <w:p w14:paraId="60A566E2" w14:textId="77777777" w:rsidR="0062026C" w:rsidRDefault="0062026C">
      <w:pPr>
        <w:spacing w:line="240" w:lineRule="auto"/>
      </w:pPr>
      <w:r>
        <w:continuationSeparator/>
      </w:r>
    </w:p>
  </w:endnote>
  <w:endnote w:type="continuationNotice" w:id="1">
    <w:p w14:paraId="04758998" w14:textId="77777777" w:rsidR="006D0046" w:rsidRDefault="006D004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3CE74" w14:textId="77777777" w:rsidR="00300725" w:rsidRDefault="003007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7269" w14:textId="77777777" w:rsidR="00300725" w:rsidRDefault="003007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18C74" w14:textId="77777777" w:rsidR="00300725" w:rsidRDefault="003007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BB999" w14:textId="77777777" w:rsidR="0062026C" w:rsidRDefault="0062026C">
      <w:pPr>
        <w:spacing w:line="240" w:lineRule="auto"/>
      </w:pPr>
      <w:r>
        <w:separator/>
      </w:r>
    </w:p>
  </w:footnote>
  <w:footnote w:type="continuationSeparator" w:id="0">
    <w:p w14:paraId="32739B73" w14:textId="77777777" w:rsidR="0062026C" w:rsidRDefault="0062026C">
      <w:pPr>
        <w:spacing w:line="240" w:lineRule="auto"/>
      </w:pPr>
      <w:r>
        <w:continuationSeparator/>
      </w:r>
    </w:p>
  </w:footnote>
  <w:footnote w:type="continuationNotice" w:id="1">
    <w:p w14:paraId="046FD516" w14:textId="77777777" w:rsidR="006D0046" w:rsidRDefault="006D0046">
      <w:pPr>
        <w:spacing w:line="240" w:lineRule="auto"/>
      </w:pPr>
    </w:p>
  </w:footnote>
  <w:footnote w:id="2">
    <w:p w14:paraId="4ECA2EFA" w14:textId="70D0062F" w:rsidR="00567765" w:rsidRPr="00435942" w:rsidRDefault="00567765">
      <w:pPr>
        <w:pStyle w:val="FootnoteText"/>
        <w:rPr>
          <w:sz w:val="16"/>
          <w:szCs w:val="16"/>
        </w:rPr>
      </w:pPr>
      <w:r w:rsidRPr="00435942">
        <w:rPr>
          <w:rStyle w:val="FootnoteReference"/>
          <w:sz w:val="16"/>
          <w:szCs w:val="16"/>
        </w:rPr>
        <w:footnoteRef/>
      </w:r>
      <w:r w:rsidRPr="00435942">
        <w:rPr>
          <w:sz w:val="16"/>
          <w:szCs w:val="16"/>
        </w:rPr>
        <w:t xml:space="preserve"> </w:t>
      </w:r>
      <w:hyperlink r:id="rId1" w:history="1">
        <w:r w:rsidRPr="00435942">
          <w:rPr>
            <w:rStyle w:val="Hyperlink"/>
            <w:sz w:val="16"/>
            <w:szCs w:val="16"/>
          </w:rPr>
          <w:t>https://www.rijksoverheid.nl/documenten/rapporten/2025/07/31/effecten-eu-mercosur-akkoord-nederlandse-economie-en-handelsprofielen</w:t>
        </w:r>
      </w:hyperlink>
    </w:p>
  </w:footnote>
  <w:footnote w:id="3">
    <w:p w14:paraId="5E118FF1" w14:textId="565BFE9A" w:rsidR="00435942" w:rsidRPr="00442CBE" w:rsidRDefault="00435942">
      <w:pPr>
        <w:pStyle w:val="FootnoteText"/>
      </w:pPr>
      <w:r w:rsidRPr="00435942">
        <w:rPr>
          <w:rStyle w:val="FootnoteReference"/>
          <w:sz w:val="16"/>
          <w:szCs w:val="16"/>
        </w:rPr>
        <w:footnoteRef/>
      </w:r>
      <w:r w:rsidRPr="00435942">
        <w:rPr>
          <w:sz w:val="16"/>
          <w:szCs w:val="16"/>
        </w:rPr>
        <w:t xml:space="preserve"> </w:t>
      </w:r>
      <w:r w:rsidRPr="00442CBE">
        <w:rPr>
          <w:sz w:val="16"/>
          <w:szCs w:val="16"/>
        </w:rPr>
        <w:t>Kamerstuk 31 985, nr. 101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C6C42" w14:textId="77777777" w:rsidR="00300725" w:rsidRDefault="003007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2B4DE" w14:textId="159FEE6F" w:rsidR="00F82D61" w:rsidRDefault="00C157C8">
    <w:r>
      <w:rPr>
        <w:noProof/>
      </w:rPr>
      <mc:AlternateContent>
        <mc:Choice Requires="wps">
          <w:drawing>
            <wp:anchor distT="0" distB="0" distL="0" distR="0" simplePos="0" relativeHeight="251653120" behindDoc="0" locked="1" layoutInCell="1" allowOverlap="1" wp14:anchorId="34A9C9F0" wp14:editId="21770693">
              <wp:simplePos x="0" y="0"/>
              <wp:positionH relativeFrom="page">
                <wp:posOffset>5921375</wp:posOffset>
              </wp:positionH>
              <wp:positionV relativeFrom="page">
                <wp:posOffset>1965325</wp:posOffset>
              </wp:positionV>
              <wp:extent cx="1277620" cy="8009890"/>
              <wp:effectExtent l="0" t="0" r="0" b="0"/>
              <wp:wrapNone/>
              <wp:docPr id="2"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5155229" w14:textId="77777777" w:rsidR="00F82D61" w:rsidRDefault="00F82D61">
                          <w:pPr>
                            <w:pStyle w:val="WitregelW2"/>
                          </w:pPr>
                        </w:p>
                        <w:p w14:paraId="0F335894" w14:textId="77777777" w:rsidR="00F82D61" w:rsidRDefault="00F82D61">
                          <w:pPr>
                            <w:pStyle w:val="WitregelW1"/>
                          </w:pPr>
                        </w:p>
                        <w:p w14:paraId="527D8E9D" w14:textId="77777777" w:rsidR="00EF28D9" w:rsidRPr="00EF28D9" w:rsidRDefault="00EF28D9" w:rsidP="00EF28D9"/>
                        <w:p w14:paraId="3FD9D858" w14:textId="77777777" w:rsidR="00F82D61" w:rsidRDefault="00CC6769">
                          <w:pPr>
                            <w:pStyle w:val="Referentiegegevensbold"/>
                          </w:pPr>
                          <w:r>
                            <w:t>Onze referentie</w:t>
                          </w:r>
                        </w:p>
                        <w:p w14:paraId="234D72C0" w14:textId="2B7FE9D0" w:rsidR="00F82D61" w:rsidRDefault="00CC6769">
                          <w:pPr>
                            <w:pStyle w:val="Referentiegegevens"/>
                          </w:pPr>
                          <w:r>
                            <w:t>BZ</w:t>
                          </w:r>
                          <w:r w:rsidR="00173B2B">
                            <w:t>2519777</w:t>
                          </w:r>
                        </w:p>
                        <w:p w14:paraId="725BF439" w14:textId="77777777" w:rsidR="00F82D61" w:rsidRDefault="00F82D61"/>
                      </w:txbxContent>
                    </wps:txbx>
                    <wps:bodyPr vert="horz" wrap="square" lIns="0" tIns="0" rIns="0" bIns="0" anchor="t" anchorCtr="0"/>
                  </wps:wsp>
                </a:graphicData>
              </a:graphic>
            </wp:anchor>
          </w:drawing>
        </mc:Choice>
        <mc:Fallback>
          <w:pict>
            <v:shapetype w14:anchorId="34A9C9F0"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5155229" w14:textId="77777777" w:rsidR="00F82D61" w:rsidRDefault="00F82D61">
                    <w:pPr>
                      <w:pStyle w:val="WitregelW2"/>
                    </w:pPr>
                  </w:p>
                  <w:p w14:paraId="0F335894" w14:textId="77777777" w:rsidR="00F82D61" w:rsidRDefault="00F82D61">
                    <w:pPr>
                      <w:pStyle w:val="WitregelW1"/>
                    </w:pPr>
                  </w:p>
                  <w:p w14:paraId="527D8E9D" w14:textId="77777777" w:rsidR="00EF28D9" w:rsidRPr="00EF28D9" w:rsidRDefault="00EF28D9" w:rsidP="00EF28D9"/>
                  <w:p w14:paraId="3FD9D858" w14:textId="77777777" w:rsidR="00F82D61" w:rsidRDefault="00CC6769">
                    <w:pPr>
                      <w:pStyle w:val="Referentiegegevensbold"/>
                    </w:pPr>
                    <w:r>
                      <w:t>Onze referentie</w:t>
                    </w:r>
                  </w:p>
                  <w:p w14:paraId="234D72C0" w14:textId="2B7FE9D0" w:rsidR="00F82D61" w:rsidRDefault="00CC6769">
                    <w:pPr>
                      <w:pStyle w:val="Referentiegegevens"/>
                    </w:pPr>
                    <w:r>
                      <w:t>BZ</w:t>
                    </w:r>
                    <w:r w:rsidR="00173B2B">
                      <w:t>2519777</w:t>
                    </w:r>
                  </w:p>
                  <w:p w14:paraId="725BF439" w14:textId="77777777" w:rsidR="00F82D61" w:rsidRDefault="00F82D61"/>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56384F4D" wp14:editId="6D2D53D8">
              <wp:simplePos x="0" y="0"/>
              <wp:positionH relativeFrom="page">
                <wp:posOffset>5921375</wp:posOffset>
              </wp:positionH>
              <wp:positionV relativeFrom="page">
                <wp:posOffset>10194925</wp:posOffset>
              </wp:positionV>
              <wp:extent cx="1285875" cy="161925"/>
              <wp:effectExtent l="0" t="0" r="0" b="0"/>
              <wp:wrapNone/>
              <wp:docPr id="4"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6EC7886" w14:textId="67B19031" w:rsidR="00F82D61" w:rsidRDefault="00CC6769">
                          <w:pPr>
                            <w:pStyle w:val="Referentiegegevens"/>
                          </w:pPr>
                          <w:r>
                            <w:t xml:space="preserve">Pagina </w:t>
                          </w:r>
                          <w:r>
                            <w:fldChar w:fldCharType="begin"/>
                          </w:r>
                          <w:r>
                            <w:instrText>PAGE</w:instrText>
                          </w:r>
                          <w:r>
                            <w:fldChar w:fldCharType="separate"/>
                          </w:r>
                          <w:r w:rsidR="00567765">
                            <w:rPr>
                              <w:noProof/>
                            </w:rPr>
                            <w:t>2</w:t>
                          </w:r>
                          <w:r>
                            <w:fldChar w:fldCharType="end"/>
                          </w:r>
                          <w:r>
                            <w:t xml:space="preserve"> van </w:t>
                          </w:r>
                          <w:r>
                            <w:fldChar w:fldCharType="begin"/>
                          </w:r>
                          <w:r>
                            <w:instrText>NUMPAGES</w:instrText>
                          </w:r>
                          <w:r>
                            <w:fldChar w:fldCharType="separate"/>
                          </w:r>
                          <w:r w:rsidR="003247E0">
                            <w:rPr>
                              <w:noProof/>
                            </w:rPr>
                            <w:t>1</w:t>
                          </w:r>
                          <w:r>
                            <w:fldChar w:fldCharType="end"/>
                          </w:r>
                        </w:p>
                      </w:txbxContent>
                    </wps:txbx>
                    <wps:bodyPr vert="horz" wrap="square" lIns="0" tIns="0" rIns="0" bIns="0" anchor="t" anchorCtr="0"/>
                  </wps:wsp>
                </a:graphicData>
              </a:graphic>
            </wp:anchor>
          </w:drawing>
        </mc:Choice>
        <mc:Fallback>
          <w:pict>
            <v:shape w14:anchorId="56384F4D" id="41b1115b-80a4-11ea-b356-6230a4311406" o:spid="_x0000_s1027"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76EC7886" w14:textId="67B19031" w:rsidR="00F82D61" w:rsidRDefault="00CC6769">
                    <w:pPr>
                      <w:pStyle w:val="Referentiegegevens"/>
                    </w:pPr>
                    <w:r>
                      <w:t xml:space="preserve">Pagina </w:t>
                    </w:r>
                    <w:r>
                      <w:fldChar w:fldCharType="begin"/>
                    </w:r>
                    <w:r>
                      <w:instrText>PAGE</w:instrText>
                    </w:r>
                    <w:r>
                      <w:fldChar w:fldCharType="separate"/>
                    </w:r>
                    <w:r w:rsidR="00567765">
                      <w:rPr>
                        <w:noProof/>
                      </w:rPr>
                      <w:t>2</w:t>
                    </w:r>
                    <w:r>
                      <w:fldChar w:fldCharType="end"/>
                    </w:r>
                    <w:r>
                      <w:t xml:space="preserve"> van </w:t>
                    </w:r>
                    <w:r>
                      <w:fldChar w:fldCharType="begin"/>
                    </w:r>
                    <w:r>
                      <w:instrText>NUMPAGES</w:instrText>
                    </w:r>
                    <w:r>
                      <w:fldChar w:fldCharType="separate"/>
                    </w:r>
                    <w:r w:rsidR="003247E0">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0D54C" w14:textId="792A4F49" w:rsidR="00F82D61" w:rsidRDefault="00CC6769">
    <w:pPr>
      <w:spacing w:after="7131" w:line="14" w:lineRule="exact"/>
    </w:pPr>
    <w:r>
      <w:rPr>
        <w:noProof/>
      </w:rPr>
      <mc:AlternateContent>
        <mc:Choice Requires="wps">
          <w:drawing>
            <wp:anchor distT="0" distB="0" distL="0" distR="0" simplePos="0" relativeHeight="251657216" behindDoc="0" locked="1" layoutInCell="1" allowOverlap="1" wp14:anchorId="70B24607" wp14:editId="777A9B17">
              <wp:simplePos x="0" y="0"/>
              <wp:positionH relativeFrom="page">
                <wp:posOffset>1007744</wp:posOffset>
              </wp:positionH>
              <wp:positionV relativeFrom="page">
                <wp:posOffset>1954530</wp:posOffset>
              </wp:positionV>
              <wp:extent cx="3599815" cy="1115695"/>
              <wp:effectExtent l="0" t="0" r="0" b="0"/>
              <wp:wrapNone/>
              <wp:docPr id="6" name="41b10c0b-80a4-11ea-b356-6230a4311406"/>
              <wp:cNvGraphicFramePr/>
              <a:graphic xmlns:a="http://schemas.openxmlformats.org/drawingml/2006/main">
                <a:graphicData uri="http://schemas.microsoft.com/office/word/2010/wordprocessingShape">
                  <wps:wsp>
                    <wps:cNvSpPr txBox="1"/>
                    <wps:spPr>
                      <a:xfrm>
                        <a:off x="0" y="0"/>
                        <a:ext cx="3599815" cy="1115695"/>
                      </a:xfrm>
                      <a:prstGeom prst="rect">
                        <a:avLst/>
                      </a:prstGeom>
                      <a:noFill/>
                    </wps:spPr>
                    <wps:txbx>
                      <w:txbxContent>
                        <w:p w14:paraId="202A66EE" w14:textId="77777777" w:rsidR="00173B2B" w:rsidRDefault="00CC6769">
                          <w:r>
                            <w:t xml:space="preserve">Aan de Voorzitter van de </w:t>
                          </w:r>
                        </w:p>
                        <w:p w14:paraId="51E76365" w14:textId="425DB660" w:rsidR="00F82D61" w:rsidRDefault="00CC6769">
                          <w:r>
                            <w:t>Tweede Kamer der Staten-Generaal</w:t>
                          </w:r>
                        </w:p>
                        <w:p w14:paraId="34DCFAE0" w14:textId="77777777" w:rsidR="00F82D61" w:rsidRDefault="00CC6769">
                          <w:r>
                            <w:t xml:space="preserve">Prinses Irenestraat 6 </w:t>
                          </w:r>
                        </w:p>
                        <w:p w14:paraId="1C912D68" w14:textId="7E1FAC7C" w:rsidR="00F82D61" w:rsidRDefault="00CC6769">
                          <w:r>
                            <w:t>Den Haag</w:t>
                          </w:r>
                        </w:p>
                      </w:txbxContent>
                    </wps:txbx>
                    <wps:bodyPr vert="horz" wrap="square" lIns="0" tIns="0" rIns="0" bIns="0" anchor="t" anchorCtr="0"/>
                  </wps:wsp>
                </a:graphicData>
              </a:graphic>
            </wp:anchor>
          </w:drawing>
        </mc:Choice>
        <mc:Fallback>
          <w:pict>
            <v:shapetype w14:anchorId="70B24607" id="_x0000_t202" coordsize="21600,21600" o:spt="202" path="m,l,21600r21600,l21600,xe">
              <v:stroke joinstyle="miter"/>
              <v:path gradientshapeok="t" o:connecttype="rect"/>
            </v:shapetype>
            <v:shape id="41b10c0b-80a4-11ea-b356-6230a4311406" o:spid="_x0000_s1028" type="#_x0000_t202" style="position:absolute;margin-left:79.35pt;margin-top:153.9pt;width:283.45pt;height:87.8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" filled="f" stroked="f">
              <v:textbox inset="0,0,0,0">
                <w:txbxContent>
                  <w:p w14:paraId="202A66EE" w14:textId="77777777" w:rsidR="00173B2B" w:rsidRDefault="00CC6769">
                    <w:r>
                      <w:t xml:space="preserve">Aan de Voorzitter van de </w:t>
                    </w:r>
                  </w:p>
                  <w:p w14:paraId="51E76365" w14:textId="425DB660" w:rsidR="00F82D61" w:rsidRDefault="00CC6769">
                    <w:r>
                      <w:t>Tweede Kamer der Staten-Generaal</w:t>
                    </w:r>
                  </w:p>
                  <w:p w14:paraId="34DCFAE0" w14:textId="77777777" w:rsidR="00F82D61" w:rsidRDefault="00CC6769">
                    <w:r>
                      <w:t xml:space="preserve">Prinses Irenestraat 6 </w:t>
                    </w:r>
                  </w:p>
                  <w:p w14:paraId="1C912D68" w14:textId="7E1FAC7C" w:rsidR="00F82D61" w:rsidRDefault="00CC6769">
                    <w:r>
                      <w:t>Den Haag</w:t>
                    </w:r>
                  </w:p>
                </w:txbxContent>
              </v:textbox>
              <w10:wrap anchorx="page" anchory="page"/>
              <w10:anchorlock/>
            </v:shape>
          </w:pict>
        </mc:Fallback>
      </mc:AlternateContent>
    </w:r>
    <w:r w:rsidR="00C157C8">
      <w:rPr>
        <w:noProof/>
      </w:rPr>
      <mc:AlternateContent>
        <mc:Choice Requires="wps">
          <w:drawing>
            <wp:anchor distT="0" distB="0" distL="0" distR="0" simplePos="0" relativeHeight="251658240" behindDoc="0" locked="1" layoutInCell="1" allowOverlap="1" wp14:anchorId="59597BA2" wp14:editId="4F9EBB48">
              <wp:simplePos x="0" y="0"/>
              <wp:positionH relativeFrom="margin">
                <wp:align>right</wp:align>
              </wp:positionH>
              <wp:positionV relativeFrom="page">
                <wp:posOffset>3762375</wp:posOffset>
              </wp:positionV>
              <wp:extent cx="4787900" cy="795020"/>
              <wp:effectExtent l="0" t="0" r="0" b="0"/>
              <wp:wrapNone/>
              <wp:docPr id="7" name="41b10c7e-80a4-11ea-b356-6230a4311406"/>
              <wp:cNvGraphicFramePr/>
              <a:graphic xmlns:a="http://schemas.openxmlformats.org/drawingml/2006/main">
                <a:graphicData uri="http://schemas.microsoft.com/office/word/2010/wordprocessingShape">
                  <wps:wsp>
                    <wps:cNvSpPr txBox="1"/>
                    <wps:spPr>
                      <a:xfrm>
                        <a:off x="0" y="0"/>
                        <a:ext cx="4787900" cy="795647"/>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F82D61" w14:paraId="5656E6BE" w14:textId="77777777" w:rsidTr="00173B2B">
                            <w:trPr>
                              <w:trHeight w:val="240"/>
                            </w:trPr>
                            <w:tc>
                              <w:tcPr>
                                <w:tcW w:w="1140" w:type="dxa"/>
                              </w:tcPr>
                              <w:p w14:paraId="590EF120" w14:textId="77777777" w:rsidR="00F82D61" w:rsidRDefault="00CC6769">
                                <w:r>
                                  <w:t>Datum</w:t>
                                </w:r>
                              </w:p>
                            </w:tc>
                            <w:tc>
                              <w:tcPr>
                                <w:tcW w:w="5918" w:type="dxa"/>
                                <w:shd w:val="clear" w:color="auto" w:fill="auto"/>
                              </w:tcPr>
                              <w:p w14:paraId="2D454AE4" w14:textId="2F974D7C" w:rsidR="00F82D61" w:rsidRDefault="00300725">
                                <w:r>
                                  <w:rPr>
                                    <w:lang w:val="nl"/>
                                  </w:rPr>
                                  <w:t>10</w:t>
                                </w:r>
                                <w:r w:rsidR="00267CD3" w:rsidRPr="00173B2B">
                                  <w:rPr>
                                    <w:lang w:val="nl"/>
                                  </w:rPr>
                                  <w:t xml:space="preserve"> september 2025</w:t>
                                </w:r>
                              </w:p>
                            </w:tc>
                          </w:tr>
                          <w:tr w:rsidR="00F82D61" w14:paraId="1052A525" w14:textId="77777777">
                            <w:trPr>
                              <w:trHeight w:val="240"/>
                            </w:trPr>
                            <w:tc>
                              <w:tcPr>
                                <w:tcW w:w="1140" w:type="dxa"/>
                              </w:tcPr>
                              <w:p w14:paraId="5EDEDFA9" w14:textId="77777777" w:rsidR="00F82D61" w:rsidRDefault="00CC6769">
                                <w:r>
                                  <w:t>Betreft</w:t>
                                </w:r>
                              </w:p>
                            </w:tc>
                            <w:tc>
                              <w:tcPr>
                                <w:tcW w:w="5918" w:type="dxa"/>
                              </w:tcPr>
                              <w:p w14:paraId="27375207" w14:textId="616A57A5" w:rsidR="00F82D61" w:rsidRDefault="001B3CAF">
                                <w:r>
                                  <w:t>Aanbieding van onderzoek</w:t>
                                </w:r>
                                <w:r w:rsidR="003440F3">
                                  <w:t>en</w:t>
                                </w:r>
                                <w:r>
                                  <w:t xml:space="preserve"> door </w:t>
                                </w:r>
                                <w:r w:rsidR="00C157C8">
                                  <w:t xml:space="preserve">SEO Economisch Onderzoek en </w:t>
                                </w:r>
                                <w:r w:rsidR="006A62C3">
                                  <w:t>informatievoorziening</w:t>
                                </w:r>
                                <w:r w:rsidR="003440F3">
                                  <w:t xml:space="preserve"> over </w:t>
                                </w:r>
                                <w:r w:rsidR="00267CD3">
                                  <w:t>voorgesteld onderhandelingsmandaat</w:t>
                                </w:r>
                                <w:r w:rsidR="003440F3">
                                  <w:t xml:space="preserve"> inzake de </w:t>
                                </w:r>
                                <w:r w:rsidR="00C157C8">
                                  <w:t>Westelijke Sahara</w:t>
                                </w:r>
                              </w:p>
                            </w:tc>
                          </w:tr>
                        </w:tbl>
                        <w:p w14:paraId="4D9644AC" w14:textId="77777777" w:rsidR="00B03986" w:rsidRDefault="00B03986"/>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9597BA2" id="41b10c7e-80a4-11ea-b356-6230a4311406" o:spid="_x0000_s1029" type="#_x0000_t202" style="position:absolute;margin-left:325.8pt;margin-top:296.25pt;width:377pt;height:62.6pt;z-index:251658240;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" filled="f" stroked="f">
              <v:textbox inset="0,0,0,0">
                <w:txbxContent>
                  <w:tbl>
                    <w:tblPr>
                      <w:tblW w:w="0" w:type="auto"/>
                      <w:tblLayout w:type="fixed"/>
                      <w:tblLook w:val="07E0" w:firstRow="1" w:lastRow="1" w:firstColumn="1" w:lastColumn="1" w:noHBand="1" w:noVBand="1"/>
                    </w:tblPr>
                    <w:tblGrid>
                      <w:gridCol w:w="1140"/>
                      <w:gridCol w:w="5918"/>
                    </w:tblGrid>
                    <w:tr w:rsidR="00F82D61" w14:paraId="5656E6BE" w14:textId="77777777" w:rsidTr="00173B2B">
                      <w:trPr>
                        <w:trHeight w:val="240"/>
                      </w:trPr>
                      <w:tc>
                        <w:tcPr>
                          <w:tcW w:w="1140" w:type="dxa"/>
                        </w:tcPr>
                        <w:p w14:paraId="590EF120" w14:textId="77777777" w:rsidR="00F82D61" w:rsidRDefault="00CC6769">
                          <w:r>
                            <w:t>Datum</w:t>
                          </w:r>
                        </w:p>
                      </w:tc>
                      <w:tc>
                        <w:tcPr>
                          <w:tcW w:w="5918" w:type="dxa"/>
                          <w:shd w:val="clear" w:color="auto" w:fill="auto"/>
                        </w:tcPr>
                        <w:p w14:paraId="2D454AE4" w14:textId="2F974D7C" w:rsidR="00F82D61" w:rsidRDefault="00300725">
                          <w:r>
                            <w:rPr>
                              <w:lang w:val="nl"/>
                            </w:rPr>
                            <w:t>10</w:t>
                          </w:r>
                          <w:r w:rsidR="00267CD3" w:rsidRPr="00173B2B">
                            <w:rPr>
                              <w:lang w:val="nl"/>
                            </w:rPr>
                            <w:t xml:space="preserve"> september 2025</w:t>
                          </w:r>
                        </w:p>
                      </w:tc>
                    </w:tr>
                    <w:tr w:rsidR="00F82D61" w14:paraId="1052A525" w14:textId="77777777">
                      <w:trPr>
                        <w:trHeight w:val="240"/>
                      </w:trPr>
                      <w:tc>
                        <w:tcPr>
                          <w:tcW w:w="1140" w:type="dxa"/>
                        </w:tcPr>
                        <w:p w14:paraId="5EDEDFA9" w14:textId="77777777" w:rsidR="00F82D61" w:rsidRDefault="00CC6769">
                          <w:r>
                            <w:t>Betreft</w:t>
                          </w:r>
                        </w:p>
                      </w:tc>
                      <w:tc>
                        <w:tcPr>
                          <w:tcW w:w="5918" w:type="dxa"/>
                        </w:tcPr>
                        <w:p w14:paraId="27375207" w14:textId="616A57A5" w:rsidR="00F82D61" w:rsidRDefault="001B3CAF">
                          <w:r>
                            <w:t>Aanbieding van onderzoek</w:t>
                          </w:r>
                          <w:r w:rsidR="003440F3">
                            <w:t>en</w:t>
                          </w:r>
                          <w:r>
                            <w:t xml:space="preserve"> door </w:t>
                          </w:r>
                          <w:r w:rsidR="00C157C8">
                            <w:t xml:space="preserve">SEO Economisch Onderzoek en </w:t>
                          </w:r>
                          <w:r w:rsidR="006A62C3">
                            <w:t>informatievoorziening</w:t>
                          </w:r>
                          <w:r w:rsidR="003440F3">
                            <w:t xml:space="preserve"> over </w:t>
                          </w:r>
                          <w:r w:rsidR="00267CD3">
                            <w:t>voorgesteld onderhandelingsmandaat</w:t>
                          </w:r>
                          <w:r w:rsidR="003440F3">
                            <w:t xml:space="preserve"> inzake de </w:t>
                          </w:r>
                          <w:r w:rsidR="00C157C8">
                            <w:t>Westelijke Sahara</w:t>
                          </w:r>
                        </w:p>
                      </w:tc>
                    </w:tr>
                  </w:tbl>
                  <w:p w14:paraId="4D9644AC" w14:textId="77777777" w:rsidR="00B03986" w:rsidRDefault="00B03986"/>
                </w:txbxContent>
              </v:textbox>
              <w10:wrap anchorx="margin" anchory="page"/>
              <w10:anchorlock/>
            </v:shape>
          </w:pict>
        </mc:Fallback>
      </mc:AlternateContent>
    </w:r>
    <w:r>
      <w:rPr>
        <w:noProof/>
      </w:rPr>
      <mc:AlternateContent>
        <mc:Choice Requires="wps">
          <w:drawing>
            <wp:anchor distT="0" distB="0" distL="0" distR="0" simplePos="0" relativeHeight="251659264" behindDoc="0" locked="1" layoutInCell="1" allowOverlap="1" wp14:anchorId="761B85FB" wp14:editId="18EFF189">
              <wp:simplePos x="0" y="0"/>
              <wp:positionH relativeFrom="page">
                <wp:posOffset>5921375</wp:posOffset>
              </wp:positionH>
              <wp:positionV relativeFrom="page">
                <wp:posOffset>1965325</wp:posOffset>
              </wp:positionV>
              <wp:extent cx="1277620" cy="8009890"/>
              <wp:effectExtent l="0" t="0" r="0" b="0"/>
              <wp:wrapNone/>
              <wp:docPr id="8"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BA63F19" w14:textId="09441495" w:rsidR="00F82D61" w:rsidRDefault="003247E0">
                          <w:pPr>
                            <w:pStyle w:val="Referentiegegevensbold"/>
                          </w:pPr>
                          <w:r>
                            <w:t>Ministerie van Buitenlandse Zaken</w:t>
                          </w:r>
                        </w:p>
                        <w:p w14:paraId="0C2203C5" w14:textId="77777777" w:rsidR="00F82D61" w:rsidRDefault="00F82D61">
                          <w:pPr>
                            <w:pStyle w:val="WitregelW1"/>
                          </w:pPr>
                        </w:p>
                        <w:p w14:paraId="0FF74AA7" w14:textId="77777777" w:rsidR="00F82D61" w:rsidRPr="00173B2B" w:rsidRDefault="00CC6769" w:rsidP="00173B2B">
                          <w:pPr>
                            <w:pStyle w:val="Referentiegegevens"/>
                            <w:spacing w:line="360" w:lineRule="auto"/>
                          </w:pPr>
                          <w:r w:rsidRPr="00173B2B">
                            <w:t>Rijnstraat 8</w:t>
                          </w:r>
                        </w:p>
                        <w:p w14:paraId="6081BC62" w14:textId="6B8A7F86" w:rsidR="00F82D61" w:rsidRPr="006878F7" w:rsidRDefault="00CC6769" w:rsidP="00173B2B">
                          <w:pPr>
                            <w:pStyle w:val="Referentiegegevens"/>
                            <w:spacing w:line="360" w:lineRule="auto"/>
                            <w:rPr>
                              <w:lang w:val="da-DK"/>
                            </w:rPr>
                          </w:pPr>
                          <w:r w:rsidRPr="006878F7">
                            <w:rPr>
                              <w:lang w:val="da-DK"/>
                            </w:rPr>
                            <w:t>2515 XP  Den Haag</w:t>
                          </w:r>
                        </w:p>
                        <w:p w14:paraId="6C24D537" w14:textId="77777777" w:rsidR="00F82D61" w:rsidRPr="006878F7" w:rsidRDefault="00CC6769" w:rsidP="00173B2B">
                          <w:pPr>
                            <w:pStyle w:val="Referentiegegevens"/>
                            <w:spacing w:line="360" w:lineRule="auto"/>
                            <w:rPr>
                              <w:lang w:val="da-DK"/>
                            </w:rPr>
                          </w:pPr>
                          <w:r w:rsidRPr="006878F7">
                            <w:rPr>
                              <w:lang w:val="da-DK"/>
                            </w:rPr>
                            <w:t>Postbus 20061</w:t>
                          </w:r>
                        </w:p>
                        <w:p w14:paraId="67E69E11" w14:textId="77777777" w:rsidR="00F82D61" w:rsidRPr="006878F7" w:rsidRDefault="00CC6769" w:rsidP="00173B2B">
                          <w:pPr>
                            <w:pStyle w:val="Referentiegegevens"/>
                            <w:spacing w:line="360" w:lineRule="auto"/>
                            <w:rPr>
                              <w:lang w:val="da-DK"/>
                            </w:rPr>
                          </w:pPr>
                          <w:r w:rsidRPr="006878F7">
                            <w:rPr>
                              <w:lang w:val="da-DK"/>
                            </w:rPr>
                            <w:t>Nederland</w:t>
                          </w:r>
                        </w:p>
                        <w:p w14:paraId="4F450D3F" w14:textId="1B414ACE" w:rsidR="00173B2B" w:rsidRPr="006878F7" w:rsidRDefault="00173B2B" w:rsidP="00173B2B">
                          <w:pPr>
                            <w:spacing w:line="360" w:lineRule="auto"/>
                            <w:rPr>
                              <w:sz w:val="13"/>
                              <w:szCs w:val="13"/>
                              <w:lang w:val="da-DK"/>
                            </w:rPr>
                          </w:pPr>
                          <w:r w:rsidRPr="006878F7">
                            <w:rPr>
                              <w:sz w:val="13"/>
                              <w:szCs w:val="13"/>
                              <w:lang w:val="da-DK"/>
                            </w:rPr>
                            <w:t>www.minbuza.nl</w:t>
                          </w:r>
                        </w:p>
                        <w:p w14:paraId="154AEABD" w14:textId="77777777" w:rsidR="00F82D61" w:rsidRPr="006878F7" w:rsidRDefault="00F82D61">
                          <w:pPr>
                            <w:pStyle w:val="WitregelW1"/>
                            <w:rPr>
                              <w:lang w:val="da-DK"/>
                            </w:rPr>
                          </w:pPr>
                        </w:p>
                        <w:p w14:paraId="21417269" w14:textId="77777777" w:rsidR="003247E0" w:rsidRPr="006878F7" w:rsidRDefault="003247E0">
                          <w:pPr>
                            <w:pStyle w:val="Referentiegegevensbold"/>
                            <w:rPr>
                              <w:lang w:val="da-DK"/>
                            </w:rPr>
                          </w:pPr>
                        </w:p>
                        <w:p w14:paraId="11C3EF94" w14:textId="13D659D8" w:rsidR="00F82D61" w:rsidRDefault="00CC6769">
                          <w:pPr>
                            <w:pStyle w:val="Referentiegegevensbold"/>
                          </w:pPr>
                          <w:r>
                            <w:t>Onze referentie</w:t>
                          </w:r>
                        </w:p>
                        <w:p w14:paraId="24CABEF5" w14:textId="2F577EF6" w:rsidR="00F82D61" w:rsidRDefault="00CC6769">
                          <w:pPr>
                            <w:pStyle w:val="Referentiegegevens"/>
                          </w:pPr>
                          <w:r>
                            <w:t>BZ</w:t>
                          </w:r>
                          <w:r w:rsidR="00173B2B">
                            <w:t>2519777</w:t>
                          </w:r>
                        </w:p>
                        <w:p w14:paraId="2BD25428" w14:textId="77777777" w:rsidR="003247E0" w:rsidRDefault="003247E0" w:rsidP="003247E0"/>
                        <w:p w14:paraId="5DCE3EED" w14:textId="4E95BBBC" w:rsidR="003247E0" w:rsidRDefault="003247E0" w:rsidP="003247E0">
                          <w:pPr>
                            <w:pStyle w:val="Referentiegegevensbold"/>
                          </w:pPr>
                          <w:r>
                            <w:t>Bijlage</w:t>
                          </w:r>
                          <w:r w:rsidR="00D270BA">
                            <w:t>n</w:t>
                          </w:r>
                        </w:p>
                        <w:p w14:paraId="539BAFF7" w14:textId="726A81AA" w:rsidR="00D270BA" w:rsidRPr="00D270BA" w:rsidRDefault="006878F7" w:rsidP="00D270BA">
                          <w:pPr>
                            <w:rPr>
                              <w:sz w:val="13"/>
                              <w:szCs w:val="13"/>
                            </w:rPr>
                          </w:pPr>
                          <w:r>
                            <w:rPr>
                              <w:sz w:val="13"/>
                              <w:szCs w:val="13"/>
                            </w:rPr>
                            <w:t>8</w:t>
                          </w:r>
                        </w:p>
                        <w:p w14:paraId="14856FBA" w14:textId="5A95F53E" w:rsidR="003247E0" w:rsidRPr="003247E0" w:rsidRDefault="003247E0" w:rsidP="003247E0"/>
                      </w:txbxContent>
                    </wps:txbx>
                    <wps:bodyPr vert="horz" wrap="square" lIns="0" tIns="0" rIns="0" bIns="0" anchor="t" anchorCtr="0"/>
                  </wps:wsp>
                </a:graphicData>
              </a:graphic>
            </wp:anchor>
          </w:drawing>
        </mc:Choice>
        <mc:Fallback>
          <w:pict>
            <v:shape w14:anchorId="761B85FB" id="41b10cd4-80a4-11ea-b356-6230a4311406" o:spid="_x0000_s1030" type="#_x0000_t202" style="position:absolute;margin-left:466.25pt;margin-top:154.75pt;width:100.6pt;height:630.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p5lAEAABUDAAAOAAAAZHJzL2Uyb0RvYy54bWysUlFvEzEMfkfiP0R5p3er0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D/4Bp5lAEAABUD&#10;AAAOAAAAAAAAAAAAAAAAAC4CAABkcnMvZTJvRG9jLnhtbFBLAQItABQABgAIAAAAIQAn6c2f4gAA&#10;AA0BAAAPAAAAAAAAAAAAAAAAAO4DAABkcnMvZG93bnJldi54bWxQSwUGAAAAAAQABADzAAAA/QQA&#10;AAAA&#10;" filled="f" stroked="f">
              <v:textbox inset="0,0,0,0">
                <w:txbxContent>
                  <w:p w14:paraId="4BA63F19" w14:textId="09441495" w:rsidR="00F82D61" w:rsidRDefault="003247E0">
                    <w:pPr>
                      <w:pStyle w:val="Referentiegegevensbold"/>
                    </w:pPr>
                    <w:r>
                      <w:t>Ministerie van Buitenlandse Zaken</w:t>
                    </w:r>
                  </w:p>
                  <w:p w14:paraId="0C2203C5" w14:textId="77777777" w:rsidR="00F82D61" w:rsidRDefault="00F82D61">
                    <w:pPr>
                      <w:pStyle w:val="WitregelW1"/>
                    </w:pPr>
                  </w:p>
                  <w:p w14:paraId="0FF74AA7" w14:textId="77777777" w:rsidR="00F82D61" w:rsidRPr="00173B2B" w:rsidRDefault="00CC6769" w:rsidP="00173B2B">
                    <w:pPr>
                      <w:pStyle w:val="Referentiegegevens"/>
                      <w:spacing w:line="360" w:lineRule="auto"/>
                    </w:pPr>
                    <w:r w:rsidRPr="00173B2B">
                      <w:t>Rijnstraat 8</w:t>
                    </w:r>
                  </w:p>
                  <w:p w14:paraId="6081BC62" w14:textId="6B8A7F86" w:rsidR="00F82D61" w:rsidRPr="006878F7" w:rsidRDefault="00CC6769" w:rsidP="00173B2B">
                    <w:pPr>
                      <w:pStyle w:val="Referentiegegevens"/>
                      <w:spacing w:line="360" w:lineRule="auto"/>
                      <w:rPr>
                        <w:lang w:val="da-DK"/>
                      </w:rPr>
                    </w:pPr>
                    <w:r w:rsidRPr="006878F7">
                      <w:rPr>
                        <w:lang w:val="da-DK"/>
                      </w:rPr>
                      <w:t>2515 XP  Den Haag</w:t>
                    </w:r>
                  </w:p>
                  <w:p w14:paraId="6C24D537" w14:textId="77777777" w:rsidR="00F82D61" w:rsidRPr="006878F7" w:rsidRDefault="00CC6769" w:rsidP="00173B2B">
                    <w:pPr>
                      <w:pStyle w:val="Referentiegegevens"/>
                      <w:spacing w:line="360" w:lineRule="auto"/>
                      <w:rPr>
                        <w:lang w:val="da-DK"/>
                      </w:rPr>
                    </w:pPr>
                    <w:r w:rsidRPr="006878F7">
                      <w:rPr>
                        <w:lang w:val="da-DK"/>
                      </w:rPr>
                      <w:t>Postbus 20061</w:t>
                    </w:r>
                  </w:p>
                  <w:p w14:paraId="67E69E11" w14:textId="77777777" w:rsidR="00F82D61" w:rsidRPr="006878F7" w:rsidRDefault="00CC6769" w:rsidP="00173B2B">
                    <w:pPr>
                      <w:pStyle w:val="Referentiegegevens"/>
                      <w:spacing w:line="360" w:lineRule="auto"/>
                      <w:rPr>
                        <w:lang w:val="da-DK"/>
                      </w:rPr>
                    </w:pPr>
                    <w:r w:rsidRPr="006878F7">
                      <w:rPr>
                        <w:lang w:val="da-DK"/>
                      </w:rPr>
                      <w:t>Nederland</w:t>
                    </w:r>
                  </w:p>
                  <w:p w14:paraId="4F450D3F" w14:textId="1B414ACE" w:rsidR="00173B2B" w:rsidRPr="006878F7" w:rsidRDefault="00173B2B" w:rsidP="00173B2B">
                    <w:pPr>
                      <w:spacing w:line="360" w:lineRule="auto"/>
                      <w:rPr>
                        <w:sz w:val="13"/>
                        <w:szCs w:val="13"/>
                        <w:lang w:val="da-DK"/>
                      </w:rPr>
                    </w:pPr>
                    <w:r w:rsidRPr="006878F7">
                      <w:rPr>
                        <w:sz w:val="13"/>
                        <w:szCs w:val="13"/>
                        <w:lang w:val="da-DK"/>
                      </w:rPr>
                      <w:t>www.minbuza.nl</w:t>
                    </w:r>
                  </w:p>
                  <w:p w14:paraId="154AEABD" w14:textId="77777777" w:rsidR="00F82D61" w:rsidRPr="006878F7" w:rsidRDefault="00F82D61">
                    <w:pPr>
                      <w:pStyle w:val="WitregelW1"/>
                      <w:rPr>
                        <w:lang w:val="da-DK"/>
                      </w:rPr>
                    </w:pPr>
                  </w:p>
                  <w:p w14:paraId="21417269" w14:textId="77777777" w:rsidR="003247E0" w:rsidRPr="006878F7" w:rsidRDefault="003247E0">
                    <w:pPr>
                      <w:pStyle w:val="Referentiegegevensbold"/>
                      <w:rPr>
                        <w:lang w:val="da-DK"/>
                      </w:rPr>
                    </w:pPr>
                  </w:p>
                  <w:p w14:paraId="11C3EF94" w14:textId="13D659D8" w:rsidR="00F82D61" w:rsidRDefault="00CC6769">
                    <w:pPr>
                      <w:pStyle w:val="Referentiegegevensbold"/>
                    </w:pPr>
                    <w:r>
                      <w:t>Onze referentie</w:t>
                    </w:r>
                  </w:p>
                  <w:p w14:paraId="24CABEF5" w14:textId="2F577EF6" w:rsidR="00F82D61" w:rsidRDefault="00CC6769">
                    <w:pPr>
                      <w:pStyle w:val="Referentiegegevens"/>
                    </w:pPr>
                    <w:r>
                      <w:t>BZ</w:t>
                    </w:r>
                    <w:r w:rsidR="00173B2B">
                      <w:t>2519777</w:t>
                    </w:r>
                  </w:p>
                  <w:p w14:paraId="2BD25428" w14:textId="77777777" w:rsidR="003247E0" w:rsidRDefault="003247E0" w:rsidP="003247E0"/>
                  <w:p w14:paraId="5DCE3EED" w14:textId="4E95BBBC" w:rsidR="003247E0" w:rsidRDefault="003247E0" w:rsidP="003247E0">
                    <w:pPr>
                      <w:pStyle w:val="Referentiegegevensbold"/>
                    </w:pPr>
                    <w:r>
                      <w:t>Bijlage</w:t>
                    </w:r>
                    <w:r w:rsidR="00D270BA">
                      <w:t>n</w:t>
                    </w:r>
                  </w:p>
                  <w:p w14:paraId="539BAFF7" w14:textId="726A81AA" w:rsidR="00D270BA" w:rsidRPr="00D270BA" w:rsidRDefault="006878F7" w:rsidP="00D270BA">
                    <w:pPr>
                      <w:rPr>
                        <w:sz w:val="13"/>
                        <w:szCs w:val="13"/>
                      </w:rPr>
                    </w:pPr>
                    <w:r>
                      <w:rPr>
                        <w:sz w:val="13"/>
                        <w:szCs w:val="13"/>
                      </w:rPr>
                      <w:t>8</w:t>
                    </w:r>
                  </w:p>
                  <w:p w14:paraId="14856FBA" w14:textId="5A95F53E" w:rsidR="003247E0" w:rsidRPr="003247E0" w:rsidRDefault="003247E0" w:rsidP="003247E0"/>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811D848" wp14:editId="6FA30EE1">
              <wp:simplePos x="0" y="0"/>
              <wp:positionH relativeFrom="page">
                <wp:posOffset>1007744</wp:posOffset>
              </wp:positionH>
              <wp:positionV relativeFrom="page">
                <wp:posOffset>10194925</wp:posOffset>
              </wp:positionV>
              <wp:extent cx="4791075" cy="161925"/>
              <wp:effectExtent l="0" t="0" r="0" b="0"/>
              <wp:wrapNone/>
              <wp:docPr id="9" name="41b10d26-80a4-11ea-b356-6230a4311406"/>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29A4FDEC" w14:textId="647A17FA" w:rsidR="00F82D61" w:rsidRDefault="00F82D61">
                          <w:pPr>
                            <w:pStyle w:val="Rubricering"/>
                          </w:pPr>
                        </w:p>
                      </w:txbxContent>
                    </wps:txbx>
                    <wps:bodyPr vert="horz" wrap="square" lIns="0" tIns="0" rIns="0" bIns="0" anchor="t" anchorCtr="0"/>
                  </wps:wsp>
                </a:graphicData>
              </a:graphic>
            </wp:anchor>
          </w:drawing>
        </mc:Choice>
        <mc:Fallback>
          <w:pict>
            <v:shape w14:anchorId="4811D848" id="41b10d26-80a4-11ea-b356-6230a4311406" o:spid="_x0000_s1031" type="#_x0000_t202" style="position:absolute;margin-left:79.35pt;margin-top:802.75pt;width:377.25pt;height:12.7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" filled="f" stroked="f">
              <v:textbox inset="0,0,0,0">
                <w:txbxContent>
                  <w:p w14:paraId="29A4FDEC" w14:textId="647A17FA" w:rsidR="00F82D61" w:rsidRDefault="00F82D61">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D7ECDF0" wp14:editId="64AF684C">
              <wp:simplePos x="0" y="0"/>
              <wp:positionH relativeFrom="page">
                <wp:posOffset>5921375</wp:posOffset>
              </wp:positionH>
              <wp:positionV relativeFrom="page">
                <wp:posOffset>10194925</wp:posOffset>
              </wp:positionV>
              <wp:extent cx="1285875" cy="161925"/>
              <wp:effectExtent l="0" t="0" r="0" b="0"/>
              <wp:wrapNone/>
              <wp:docPr id="10"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2EEB514" w14:textId="77777777" w:rsidR="00F82D61" w:rsidRDefault="00CC6769">
                          <w:pPr>
                            <w:pStyle w:val="Referentiegegevens"/>
                          </w:pPr>
                          <w:r>
                            <w:t xml:space="preserve">Pagina </w:t>
                          </w:r>
                          <w:r>
                            <w:fldChar w:fldCharType="begin"/>
                          </w:r>
                          <w:r>
                            <w:instrText>PAGE</w:instrText>
                          </w:r>
                          <w:r>
                            <w:fldChar w:fldCharType="separate"/>
                          </w:r>
                          <w:r w:rsidR="003247E0">
                            <w:rPr>
                              <w:noProof/>
                            </w:rPr>
                            <w:t>1</w:t>
                          </w:r>
                          <w:r>
                            <w:fldChar w:fldCharType="end"/>
                          </w:r>
                          <w:r>
                            <w:t xml:space="preserve"> van </w:t>
                          </w:r>
                          <w:r>
                            <w:fldChar w:fldCharType="begin"/>
                          </w:r>
                          <w:r>
                            <w:instrText>NUMPAGES</w:instrText>
                          </w:r>
                          <w:r>
                            <w:fldChar w:fldCharType="separate"/>
                          </w:r>
                          <w:r w:rsidR="003247E0">
                            <w:rPr>
                              <w:noProof/>
                            </w:rPr>
                            <w:t>1</w:t>
                          </w:r>
                          <w:r>
                            <w:fldChar w:fldCharType="end"/>
                          </w:r>
                        </w:p>
                      </w:txbxContent>
                    </wps:txbx>
                    <wps:bodyPr vert="horz" wrap="square" lIns="0" tIns="0" rIns="0" bIns="0" anchor="t" anchorCtr="0"/>
                  </wps:wsp>
                </a:graphicData>
              </a:graphic>
            </wp:anchor>
          </w:drawing>
        </mc:Choice>
        <mc:Fallback>
          <w:pict>
            <v:shape w14:anchorId="5D7ECDF0" id="41b10d73-80a4-11ea-b356-6230a4311406" o:spid="_x0000_s1032" type="#_x0000_t202" style="position:absolute;margin-left:466.25pt;margin-top:802.75pt;width:101.25pt;height:12.7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62EEB514" w14:textId="77777777" w:rsidR="00F82D61" w:rsidRDefault="00CC6769">
                    <w:pPr>
                      <w:pStyle w:val="Referentiegegevens"/>
                    </w:pPr>
                    <w:r>
                      <w:t xml:space="preserve">Pagina </w:t>
                    </w:r>
                    <w:r>
                      <w:fldChar w:fldCharType="begin"/>
                    </w:r>
                    <w:r>
                      <w:instrText>PAGE</w:instrText>
                    </w:r>
                    <w:r>
                      <w:fldChar w:fldCharType="separate"/>
                    </w:r>
                    <w:r w:rsidR="003247E0">
                      <w:rPr>
                        <w:noProof/>
                      </w:rPr>
                      <w:t>1</w:t>
                    </w:r>
                    <w:r>
                      <w:fldChar w:fldCharType="end"/>
                    </w:r>
                    <w:r>
                      <w:t xml:space="preserve"> van </w:t>
                    </w:r>
                    <w:r>
                      <w:fldChar w:fldCharType="begin"/>
                    </w:r>
                    <w:r>
                      <w:instrText>NUMPAGES</w:instrText>
                    </w:r>
                    <w:r>
                      <w:fldChar w:fldCharType="separate"/>
                    </w:r>
                    <w:r w:rsidR="003247E0">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BA2B7A7" wp14:editId="3C6C707D">
              <wp:simplePos x="0" y="0"/>
              <wp:positionH relativeFrom="page">
                <wp:posOffset>3995420</wp:posOffset>
              </wp:positionH>
              <wp:positionV relativeFrom="page">
                <wp:posOffset>0</wp:posOffset>
              </wp:positionV>
              <wp:extent cx="2339975" cy="1583690"/>
              <wp:effectExtent l="0" t="0" r="0" b="0"/>
              <wp:wrapNone/>
              <wp:docPr id="13"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10CCC81" w14:textId="77777777" w:rsidR="00F82D61" w:rsidRDefault="00CC6769">
                          <w:pPr>
                            <w:spacing w:line="240" w:lineRule="auto"/>
                          </w:pPr>
                          <w:r>
                            <w:rPr>
                              <w:noProof/>
                            </w:rPr>
                            <w:drawing>
                              <wp:inline distT="0" distB="0" distL="0" distR="0" wp14:anchorId="2D30DD48" wp14:editId="46A5DE62">
                                <wp:extent cx="2339975" cy="1582834"/>
                                <wp:effectExtent l="0" t="0" r="0" b="0"/>
                                <wp:docPr id="14" name="Logotype_BZ"/>
                                <wp:cNvGraphicFramePr/>
                                <a:graphic xmlns:a="http://schemas.openxmlformats.org/drawingml/2006/main">
                                  <a:graphicData uri="http://schemas.openxmlformats.org/drawingml/2006/picture">
                                    <pic:pic xmlns:pic="http://schemas.openxmlformats.org/drawingml/2006/picture">
                                      <pic:nvPicPr>
                                        <pic:cNvPr id="14"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BA2B7A7" id="41b10edc-80a4-11ea-b356-6230a4311406" o:spid="_x0000_s1033" type="#_x0000_t202" style="position:absolute;margin-left:314.6pt;margin-top:0;width:184.25pt;height:124.7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T8uGSJYBAAAVAwAA&#10;DgAAAAAAAAAAAAAAAAAuAgAAZHJzL2Uyb0RvYy54bWxQSwECLQAUAAYACAAAACEAWMNnP94AAAAI&#10;AQAADwAAAAAAAAAAAAAAAADwAwAAZHJzL2Rvd25yZXYueG1sUEsFBgAAAAAEAAQA8wAAAPsEAAAA&#10;AA==&#10;" filled="f" stroked="f">
              <v:textbox inset="0,0,0,0">
                <w:txbxContent>
                  <w:p w14:paraId="610CCC81" w14:textId="77777777" w:rsidR="00F82D61" w:rsidRDefault="00CC6769">
                    <w:pPr>
                      <w:spacing w:line="240" w:lineRule="auto"/>
                    </w:pPr>
                    <w:r>
                      <w:rPr>
                        <w:noProof/>
                      </w:rPr>
                      <w:drawing>
                        <wp:inline distT="0" distB="0" distL="0" distR="0" wp14:anchorId="2D30DD48" wp14:editId="46A5DE62">
                          <wp:extent cx="2339975" cy="1582834"/>
                          <wp:effectExtent l="0" t="0" r="0" b="0"/>
                          <wp:docPr id="14" name="Logotype_BZ"/>
                          <wp:cNvGraphicFramePr/>
                          <a:graphic xmlns:a="http://schemas.openxmlformats.org/drawingml/2006/main">
                            <a:graphicData uri="http://schemas.openxmlformats.org/drawingml/2006/picture">
                              <pic:pic xmlns:pic="http://schemas.openxmlformats.org/drawingml/2006/picture">
                                <pic:nvPicPr>
                                  <pic:cNvPr id="14"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EDAA6E"/>
    <w:multiLevelType w:val="multilevel"/>
    <w:tmpl w:val="18E3599B"/>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0FED31B4"/>
    <w:multiLevelType w:val="multilevel"/>
    <w:tmpl w:val="1D4A18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30C512"/>
    <w:multiLevelType w:val="multilevel"/>
    <w:tmpl w:val="4B63C910"/>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6816DE68"/>
    <w:multiLevelType w:val="multilevel"/>
    <w:tmpl w:val="6E85912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71DB3BC1"/>
    <w:multiLevelType w:val="multilevel"/>
    <w:tmpl w:val="66EBE18C"/>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3B368BC"/>
    <w:multiLevelType w:val="multilevel"/>
    <w:tmpl w:val="8A9CFB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480459013">
    <w:abstractNumId w:val="0"/>
  </w:num>
  <w:num w:numId="2" w16cid:durableId="132135604">
    <w:abstractNumId w:val="2"/>
  </w:num>
  <w:num w:numId="3" w16cid:durableId="1345791849">
    <w:abstractNumId w:val="3"/>
  </w:num>
  <w:num w:numId="4" w16cid:durableId="307055594">
    <w:abstractNumId w:val="4"/>
  </w:num>
  <w:num w:numId="5" w16cid:durableId="579339560">
    <w:abstractNumId w:val="1"/>
  </w:num>
  <w:num w:numId="6" w16cid:durableId="8914221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7E0"/>
    <w:rsid w:val="0002046C"/>
    <w:rsid w:val="000B734A"/>
    <w:rsid w:val="000D7CCF"/>
    <w:rsid w:val="00100553"/>
    <w:rsid w:val="001054A2"/>
    <w:rsid w:val="001131FE"/>
    <w:rsid w:val="00116BB2"/>
    <w:rsid w:val="0012662D"/>
    <w:rsid w:val="00135E79"/>
    <w:rsid w:val="00155ED6"/>
    <w:rsid w:val="00173B2B"/>
    <w:rsid w:val="00196DE9"/>
    <w:rsid w:val="001A6241"/>
    <w:rsid w:val="001B3CAF"/>
    <w:rsid w:val="001C4647"/>
    <w:rsid w:val="001E6D82"/>
    <w:rsid w:val="00224ABA"/>
    <w:rsid w:val="002326A3"/>
    <w:rsid w:val="00233E24"/>
    <w:rsid w:val="00254171"/>
    <w:rsid w:val="00267CD3"/>
    <w:rsid w:val="002C2691"/>
    <w:rsid w:val="002D7FDC"/>
    <w:rsid w:val="002F18B3"/>
    <w:rsid w:val="00300725"/>
    <w:rsid w:val="003247E0"/>
    <w:rsid w:val="003440F3"/>
    <w:rsid w:val="0036584C"/>
    <w:rsid w:val="00366A8D"/>
    <w:rsid w:val="00373007"/>
    <w:rsid w:val="0039478F"/>
    <w:rsid w:val="003C4634"/>
    <w:rsid w:val="0043497A"/>
    <w:rsid w:val="00435942"/>
    <w:rsid w:val="00442CBE"/>
    <w:rsid w:val="004714D0"/>
    <w:rsid w:val="0047403C"/>
    <w:rsid w:val="004D35E4"/>
    <w:rsid w:val="004E56B8"/>
    <w:rsid w:val="005310B5"/>
    <w:rsid w:val="00567765"/>
    <w:rsid w:val="00571433"/>
    <w:rsid w:val="0058667C"/>
    <w:rsid w:val="005E3311"/>
    <w:rsid w:val="00601986"/>
    <w:rsid w:val="00617C73"/>
    <w:rsid w:val="0062026C"/>
    <w:rsid w:val="00645E19"/>
    <w:rsid w:val="006878F7"/>
    <w:rsid w:val="006A62C3"/>
    <w:rsid w:val="006B7C81"/>
    <w:rsid w:val="006D0046"/>
    <w:rsid w:val="006D7341"/>
    <w:rsid w:val="00702C6B"/>
    <w:rsid w:val="00741EB6"/>
    <w:rsid w:val="00760FCF"/>
    <w:rsid w:val="007665C7"/>
    <w:rsid w:val="0079519D"/>
    <w:rsid w:val="007D5806"/>
    <w:rsid w:val="007E554D"/>
    <w:rsid w:val="00877EF8"/>
    <w:rsid w:val="008B190E"/>
    <w:rsid w:val="008B28B2"/>
    <w:rsid w:val="008E1C42"/>
    <w:rsid w:val="009368DD"/>
    <w:rsid w:val="009871CF"/>
    <w:rsid w:val="00997669"/>
    <w:rsid w:val="009C3033"/>
    <w:rsid w:val="00A148A7"/>
    <w:rsid w:val="00A4497B"/>
    <w:rsid w:val="00A76281"/>
    <w:rsid w:val="00A91951"/>
    <w:rsid w:val="00AA3A05"/>
    <w:rsid w:val="00AC0C4B"/>
    <w:rsid w:val="00AF0A4F"/>
    <w:rsid w:val="00B03986"/>
    <w:rsid w:val="00B21464"/>
    <w:rsid w:val="00B22BFE"/>
    <w:rsid w:val="00B55430"/>
    <w:rsid w:val="00BD044F"/>
    <w:rsid w:val="00BD4971"/>
    <w:rsid w:val="00BE6EC4"/>
    <w:rsid w:val="00BF30BA"/>
    <w:rsid w:val="00BF612E"/>
    <w:rsid w:val="00C12A4C"/>
    <w:rsid w:val="00C157C8"/>
    <w:rsid w:val="00C910B5"/>
    <w:rsid w:val="00C948D8"/>
    <w:rsid w:val="00CB7A4D"/>
    <w:rsid w:val="00CC5901"/>
    <w:rsid w:val="00CC6769"/>
    <w:rsid w:val="00CD1B6E"/>
    <w:rsid w:val="00CF3946"/>
    <w:rsid w:val="00D14511"/>
    <w:rsid w:val="00D270BA"/>
    <w:rsid w:val="00D356E0"/>
    <w:rsid w:val="00D52579"/>
    <w:rsid w:val="00D53294"/>
    <w:rsid w:val="00D6527C"/>
    <w:rsid w:val="00D87B80"/>
    <w:rsid w:val="00DB2E5D"/>
    <w:rsid w:val="00DB67A5"/>
    <w:rsid w:val="00DD0F33"/>
    <w:rsid w:val="00DD73BC"/>
    <w:rsid w:val="00DE6EE8"/>
    <w:rsid w:val="00DF5FC6"/>
    <w:rsid w:val="00E52584"/>
    <w:rsid w:val="00E737D6"/>
    <w:rsid w:val="00EB2582"/>
    <w:rsid w:val="00EF28D9"/>
    <w:rsid w:val="00EF65BD"/>
    <w:rsid w:val="00F370BD"/>
    <w:rsid w:val="00F4013E"/>
    <w:rsid w:val="00F46998"/>
    <w:rsid w:val="00F533B2"/>
    <w:rsid w:val="00F66610"/>
    <w:rsid w:val="00F74D54"/>
    <w:rsid w:val="00F82D61"/>
    <w:rsid w:val="00FA4951"/>
    <w:rsid w:val="00FA7D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23B69"/>
  <w15:docId w15:val="{B5FFBA44-62F4-48D5-A256-1FEB319B3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4"/>
      </w:numPr>
    </w:pPr>
  </w:style>
  <w:style w:type="paragraph" w:customStyle="1" w:styleId="Opsommingstekenstandaard">
    <w:name w:val="Opsommingsteken standaard"/>
    <w:basedOn w:val="Normal"/>
    <w:next w:val="Normal"/>
    <w:pPr>
      <w:numPr>
        <w:numId w:val="4"/>
      </w:numPr>
    </w:pPr>
  </w:style>
  <w:style w:type="paragraph" w:customStyle="1" w:styleId="Opsommingstekenvierkant">
    <w:name w:val="Opsommingsteken vierkant"/>
    <w:basedOn w:val="Normal"/>
    <w:next w:val="Normal"/>
    <w:pPr>
      <w:numPr>
        <w:ilvl w:val="1"/>
        <w:numId w:val="4"/>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3247E0"/>
    <w:pPr>
      <w:tabs>
        <w:tab w:val="center" w:pos="4513"/>
        <w:tab w:val="right" w:pos="9026"/>
      </w:tabs>
      <w:spacing w:line="240" w:lineRule="auto"/>
    </w:pPr>
  </w:style>
  <w:style w:type="character" w:customStyle="1" w:styleId="HeaderChar">
    <w:name w:val="Header Char"/>
    <w:basedOn w:val="DefaultParagraphFont"/>
    <w:link w:val="Header"/>
    <w:uiPriority w:val="99"/>
    <w:rsid w:val="003247E0"/>
    <w:rPr>
      <w:rFonts w:ascii="Verdana" w:hAnsi="Verdana"/>
      <w:color w:val="000000"/>
      <w:sz w:val="18"/>
      <w:szCs w:val="18"/>
    </w:rPr>
  </w:style>
  <w:style w:type="paragraph" w:styleId="Footer">
    <w:name w:val="footer"/>
    <w:basedOn w:val="Normal"/>
    <w:link w:val="FooterChar"/>
    <w:uiPriority w:val="99"/>
    <w:unhideWhenUsed/>
    <w:rsid w:val="003247E0"/>
    <w:pPr>
      <w:tabs>
        <w:tab w:val="center" w:pos="4513"/>
        <w:tab w:val="right" w:pos="9026"/>
      </w:tabs>
      <w:spacing w:line="240" w:lineRule="auto"/>
    </w:pPr>
  </w:style>
  <w:style w:type="character" w:customStyle="1" w:styleId="FooterChar">
    <w:name w:val="Footer Char"/>
    <w:basedOn w:val="DefaultParagraphFont"/>
    <w:link w:val="Footer"/>
    <w:uiPriority w:val="99"/>
    <w:rsid w:val="003247E0"/>
    <w:rPr>
      <w:rFonts w:ascii="Verdana" w:hAnsi="Verdana"/>
      <w:color w:val="000000"/>
      <w:sz w:val="18"/>
      <w:szCs w:val="18"/>
    </w:rPr>
  </w:style>
  <w:style w:type="paragraph" w:styleId="FootnoteText">
    <w:name w:val="footnote text"/>
    <w:basedOn w:val="Normal"/>
    <w:link w:val="FootnoteTextChar"/>
    <w:uiPriority w:val="99"/>
    <w:semiHidden/>
    <w:unhideWhenUsed/>
    <w:rsid w:val="006D0046"/>
    <w:pPr>
      <w:spacing w:line="240" w:lineRule="auto"/>
    </w:pPr>
    <w:rPr>
      <w:sz w:val="20"/>
      <w:szCs w:val="20"/>
    </w:rPr>
  </w:style>
  <w:style w:type="character" w:customStyle="1" w:styleId="FootnoteTextChar">
    <w:name w:val="Footnote Text Char"/>
    <w:basedOn w:val="DefaultParagraphFont"/>
    <w:link w:val="FootnoteText"/>
    <w:uiPriority w:val="99"/>
    <w:semiHidden/>
    <w:rsid w:val="006D0046"/>
    <w:rPr>
      <w:rFonts w:ascii="Verdana" w:hAnsi="Verdana"/>
      <w:color w:val="000000"/>
    </w:rPr>
  </w:style>
  <w:style w:type="character" w:styleId="FootnoteReference">
    <w:name w:val="footnote reference"/>
    <w:basedOn w:val="DefaultParagraphFont"/>
    <w:uiPriority w:val="99"/>
    <w:semiHidden/>
    <w:unhideWhenUsed/>
    <w:rsid w:val="006D0046"/>
    <w:rPr>
      <w:vertAlign w:val="superscript"/>
    </w:rPr>
  </w:style>
  <w:style w:type="character" w:styleId="UnresolvedMention">
    <w:name w:val="Unresolved Mention"/>
    <w:basedOn w:val="DefaultParagraphFont"/>
    <w:uiPriority w:val="99"/>
    <w:semiHidden/>
    <w:unhideWhenUsed/>
    <w:rsid w:val="006D0046"/>
    <w:rPr>
      <w:color w:val="605E5C"/>
      <w:shd w:val="clear" w:color="auto" w:fill="E1DFDD"/>
    </w:rPr>
  </w:style>
  <w:style w:type="character" w:styleId="FollowedHyperlink">
    <w:name w:val="FollowedHyperlink"/>
    <w:basedOn w:val="DefaultParagraphFont"/>
    <w:uiPriority w:val="99"/>
    <w:semiHidden/>
    <w:unhideWhenUsed/>
    <w:rsid w:val="006D0046"/>
    <w:rPr>
      <w:color w:val="96607D" w:themeColor="followedHyperlink"/>
      <w:u w:val="single"/>
    </w:rPr>
  </w:style>
  <w:style w:type="character" w:styleId="CommentReference">
    <w:name w:val="annotation reference"/>
    <w:basedOn w:val="DefaultParagraphFont"/>
    <w:uiPriority w:val="99"/>
    <w:semiHidden/>
    <w:unhideWhenUsed/>
    <w:rsid w:val="006D0046"/>
    <w:rPr>
      <w:sz w:val="16"/>
      <w:szCs w:val="16"/>
    </w:rPr>
  </w:style>
  <w:style w:type="paragraph" w:styleId="CommentText">
    <w:name w:val="annotation text"/>
    <w:basedOn w:val="Normal"/>
    <w:link w:val="CommentTextChar"/>
    <w:uiPriority w:val="99"/>
    <w:unhideWhenUsed/>
    <w:rsid w:val="006D0046"/>
    <w:pPr>
      <w:spacing w:line="240" w:lineRule="auto"/>
    </w:pPr>
    <w:rPr>
      <w:sz w:val="20"/>
      <w:szCs w:val="20"/>
    </w:rPr>
  </w:style>
  <w:style w:type="character" w:customStyle="1" w:styleId="CommentTextChar">
    <w:name w:val="Comment Text Char"/>
    <w:basedOn w:val="DefaultParagraphFont"/>
    <w:link w:val="CommentText"/>
    <w:uiPriority w:val="99"/>
    <w:rsid w:val="006D0046"/>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6D0046"/>
    <w:rPr>
      <w:b/>
      <w:bCs/>
    </w:rPr>
  </w:style>
  <w:style w:type="character" w:customStyle="1" w:styleId="CommentSubjectChar">
    <w:name w:val="Comment Subject Char"/>
    <w:basedOn w:val="CommentTextChar"/>
    <w:link w:val="CommentSubject"/>
    <w:uiPriority w:val="99"/>
    <w:semiHidden/>
    <w:rsid w:val="006D0046"/>
    <w:rPr>
      <w:rFonts w:ascii="Verdana" w:hAnsi="Verdana"/>
      <w:b/>
      <w:bCs/>
      <w:color w:val="000000"/>
    </w:rPr>
  </w:style>
  <w:style w:type="paragraph" w:styleId="Revision">
    <w:name w:val="Revision"/>
    <w:hidden/>
    <w:uiPriority w:val="99"/>
    <w:semiHidden/>
    <w:rsid w:val="006D0046"/>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1612">
      <w:bodyDiv w:val="1"/>
      <w:marLeft w:val="0"/>
      <w:marRight w:val="0"/>
      <w:marTop w:val="0"/>
      <w:marBottom w:val="0"/>
      <w:divBdr>
        <w:top w:val="none" w:sz="0" w:space="0" w:color="auto"/>
        <w:left w:val="none" w:sz="0" w:space="0" w:color="auto"/>
        <w:bottom w:val="none" w:sz="0" w:space="0" w:color="auto"/>
        <w:right w:val="none" w:sz="0" w:space="0" w:color="auto"/>
      </w:divBdr>
    </w:div>
    <w:div w:id="46953742">
      <w:bodyDiv w:val="1"/>
      <w:marLeft w:val="0"/>
      <w:marRight w:val="0"/>
      <w:marTop w:val="0"/>
      <w:marBottom w:val="0"/>
      <w:divBdr>
        <w:top w:val="none" w:sz="0" w:space="0" w:color="auto"/>
        <w:left w:val="none" w:sz="0" w:space="0" w:color="auto"/>
        <w:bottom w:val="none" w:sz="0" w:space="0" w:color="auto"/>
        <w:right w:val="none" w:sz="0" w:space="0" w:color="auto"/>
      </w:divBdr>
    </w:div>
    <w:div w:id="217397573">
      <w:bodyDiv w:val="1"/>
      <w:marLeft w:val="0"/>
      <w:marRight w:val="0"/>
      <w:marTop w:val="0"/>
      <w:marBottom w:val="0"/>
      <w:divBdr>
        <w:top w:val="none" w:sz="0" w:space="0" w:color="auto"/>
        <w:left w:val="none" w:sz="0" w:space="0" w:color="auto"/>
        <w:bottom w:val="none" w:sz="0" w:space="0" w:color="auto"/>
        <w:right w:val="none" w:sz="0" w:space="0" w:color="auto"/>
      </w:divBdr>
    </w:div>
    <w:div w:id="390349784">
      <w:bodyDiv w:val="1"/>
      <w:marLeft w:val="0"/>
      <w:marRight w:val="0"/>
      <w:marTop w:val="0"/>
      <w:marBottom w:val="0"/>
      <w:divBdr>
        <w:top w:val="none" w:sz="0" w:space="0" w:color="auto"/>
        <w:left w:val="none" w:sz="0" w:space="0" w:color="auto"/>
        <w:bottom w:val="none" w:sz="0" w:space="0" w:color="auto"/>
        <w:right w:val="none" w:sz="0" w:space="0" w:color="auto"/>
      </w:divBdr>
    </w:div>
    <w:div w:id="633413701">
      <w:bodyDiv w:val="1"/>
      <w:marLeft w:val="0"/>
      <w:marRight w:val="0"/>
      <w:marTop w:val="0"/>
      <w:marBottom w:val="0"/>
      <w:divBdr>
        <w:top w:val="none" w:sz="0" w:space="0" w:color="auto"/>
        <w:left w:val="none" w:sz="0" w:space="0" w:color="auto"/>
        <w:bottom w:val="none" w:sz="0" w:space="0" w:color="auto"/>
        <w:right w:val="none" w:sz="0" w:space="0" w:color="auto"/>
      </w:divBdr>
    </w:div>
    <w:div w:id="797334105">
      <w:bodyDiv w:val="1"/>
      <w:marLeft w:val="0"/>
      <w:marRight w:val="0"/>
      <w:marTop w:val="0"/>
      <w:marBottom w:val="0"/>
      <w:divBdr>
        <w:top w:val="none" w:sz="0" w:space="0" w:color="auto"/>
        <w:left w:val="none" w:sz="0" w:space="0" w:color="auto"/>
        <w:bottom w:val="none" w:sz="0" w:space="0" w:color="auto"/>
        <w:right w:val="none" w:sz="0" w:space="0" w:color="auto"/>
      </w:divBdr>
    </w:div>
    <w:div w:id="923686750">
      <w:bodyDiv w:val="1"/>
      <w:marLeft w:val="0"/>
      <w:marRight w:val="0"/>
      <w:marTop w:val="0"/>
      <w:marBottom w:val="0"/>
      <w:divBdr>
        <w:top w:val="none" w:sz="0" w:space="0" w:color="auto"/>
        <w:left w:val="none" w:sz="0" w:space="0" w:color="auto"/>
        <w:bottom w:val="none" w:sz="0" w:space="0" w:color="auto"/>
        <w:right w:val="none" w:sz="0" w:space="0" w:color="auto"/>
      </w:divBdr>
    </w:div>
    <w:div w:id="942490220">
      <w:bodyDiv w:val="1"/>
      <w:marLeft w:val="0"/>
      <w:marRight w:val="0"/>
      <w:marTop w:val="0"/>
      <w:marBottom w:val="0"/>
      <w:divBdr>
        <w:top w:val="none" w:sz="0" w:space="0" w:color="auto"/>
        <w:left w:val="none" w:sz="0" w:space="0" w:color="auto"/>
        <w:bottom w:val="none" w:sz="0" w:space="0" w:color="auto"/>
        <w:right w:val="none" w:sz="0" w:space="0" w:color="auto"/>
      </w:divBdr>
    </w:div>
    <w:div w:id="1312755991">
      <w:bodyDiv w:val="1"/>
      <w:marLeft w:val="0"/>
      <w:marRight w:val="0"/>
      <w:marTop w:val="0"/>
      <w:marBottom w:val="0"/>
      <w:divBdr>
        <w:top w:val="none" w:sz="0" w:space="0" w:color="auto"/>
        <w:left w:val="none" w:sz="0" w:space="0" w:color="auto"/>
        <w:bottom w:val="none" w:sz="0" w:space="0" w:color="auto"/>
        <w:right w:val="none" w:sz="0" w:space="0" w:color="auto"/>
      </w:divBdr>
    </w:div>
    <w:div w:id="1681810162">
      <w:bodyDiv w:val="1"/>
      <w:marLeft w:val="0"/>
      <w:marRight w:val="0"/>
      <w:marTop w:val="0"/>
      <w:marBottom w:val="0"/>
      <w:divBdr>
        <w:top w:val="none" w:sz="0" w:space="0" w:color="auto"/>
        <w:left w:val="none" w:sz="0" w:space="0" w:color="auto"/>
        <w:bottom w:val="none" w:sz="0" w:space="0" w:color="auto"/>
        <w:right w:val="none" w:sz="0" w:space="0" w:color="auto"/>
      </w:divBdr>
    </w:div>
    <w:div w:id="1838955557">
      <w:bodyDiv w:val="1"/>
      <w:marLeft w:val="0"/>
      <w:marRight w:val="0"/>
      <w:marTop w:val="0"/>
      <w:marBottom w:val="0"/>
      <w:divBdr>
        <w:top w:val="none" w:sz="0" w:space="0" w:color="auto"/>
        <w:left w:val="none" w:sz="0" w:space="0" w:color="auto"/>
        <w:bottom w:val="none" w:sz="0" w:space="0" w:color="auto"/>
        <w:right w:val="none" w:sz="0" w:space="0" w:color="auto"/>
      </w:divBdr>
    </w:div>
    <w:div w:id="18824040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5/07/31/effecten-eu-mercosur-akkoord-nederlandse-economie-en-handelsprofiel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olters.violette\Downloads\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840</ap:Words>
  <ap:Characters>4626</ap:Characters>
  <ap:DocSecurity>0</ap:DocSecurity>
  <ap:Lines>38</ap:Lines>
  <ap:Paragraphs>10</ap:Paragraphs>
  <ap:ScaleCrop>false</ap:ScaleCrop>
  <ap:HeadingPairs>
    <vt:vector baseType="variant" size="2">
      <vt:variant>
        <vt:lpstr>Title</vt:lpstr>
      </vt:variant>
      <vt:variant>
        <vt:i4>1</vt:i4>
      </vt:variant>
    </vt:vector>
  </ap:HeadingPairs>
  <ap:TitlesOfParts>
    <vt:vector baseType="lpstr" size="1">
      <vt:lpstr>SEO Economisch Onderzoek rapport over de effecten van het EU-Mercosur akkoord op de Nederlandse economie en Westelijke Sahara</vt:lpstr>
    </vt:vector>
  </ap:TitlesOfParts>
  <ap:LinksUpToDate>false</ap:LinksUpToDate>
  <ap:CharactersWithSpaces>5456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2025-09-05T10:18:00.0000000Z</lastPrinted>
  <dcterms:created xsi:type="dcterms:W3CDTF">2025-09-10T07:50:00.0000000Z</dcterms:created>
  <dcterms:modified xsi:type="dcterms:W3CDTF">2025-09-10T07:50:00.0000000Z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Onderwerp">
    <vt:lpwstr>SEO Economisch Onderzoek rapport over de effecten van het EU-Mercosur akkoord op de Nederlandse economie en Westelijke Sahara</vt:lpwstr>
  </property>
  <property fmtid="{D5CDD505-2E9C-101B-9397-08002B2CF9AE}" pid="3" name="gc2efd3bfea04f7f8169be07009f5536">
    <vt:lpwstr/>
  </property>
  <property fmtid="{D5CDD505-2E9C-101B-9397-08002B2CF9AE}" pid="4" name="cc4b55a5ee91473b87ec338540cdae54">
    <vt:lpwstr>The Netherlands|7f69a7bb-478c-499d-a6cf-5869916dfee4</vt:lpwstr>
  </property>
  <property fmtid="{D5CDD505-2E9C-101B-9397-08002B2CF9AE}" pid="5" name="BZForumOrganisation">
    <vt:lpwstr>2;#Not applicable|0049e722-bfb1-4a3f-9d08-af7366a9af40</vt:lpwstr>
  </property>
  <property fmtid="{D5CDD505-2E9C-101B-9397-08002B2CF9AE}" pid="6" name="BZDossierProcessType">
    <vt:lpwstr/>
  </property>
  <property fmtid="{D5CDD505-2E9C-101B-9397-08002B2CF9AE}" pid="7" name="BZDossierBudgetManager">
    <vt:lpwstr/>
  </property>
  <property fmtid="{D5CDD505-2E9C-101B-9397-08002B2CF9AE}" pid="8" name="BZDossierSendTo">
    <vt:lpwstr/>
  </property>
  <property fmtid="{D5CDD505-2E9C-101B-9397-08002B2CF9AE}" pid="9" name="BZTheme">
    <vt:lpwstr>1;#Not applicable|ec01d90b-9d0f-4785-8785-e1ea615196bf</vt:lpwstr>
  </property>
  <property fmtid="{D5CDD505-2E9C-101B-9397-08002B2CF9AE}" pid="10" name="d1b77f58b5724360bd683b4bf0d30054">
    <vt:lpwstr>UNCLASSIFIED (U)|284e6a62-15ab-4017-be27-a1e965f4e940</vt:lpwstr>
  </property>
  <property fmtid="{D5CDD505-2E9C-101B-9397-08002B2CF9AE}" pid="11" name="ContentTypeId">
    <vt:lpwstr>0x0101009C7CE436063D44E9BE7DC0259EF7C32F006EB9F9836A634AE58B6169785FD3936F00EC4ABB6A373EEC4B8476FB85D9BD4979</vt:lpwstr>
  </property>
  <property fmtid="{D5CDD505-2E9C-101B-9397-08002B2CF9AE}" pid="12" name="TaxCatchAll">
    <vt:lpwstr>5;#NO MARKING|0a4eb9ae-69eb-4d9e-b573-43ab99ef8592;#4;#UNCLASSIFIED (U)|284e6a62-15ab-4017-be27-a1e965f4e940;#3;#The Netherlands|7f69a7bb-478c-499d-a6cf-5869916dfee4;#2;#EU|4d8f9873-61b3-4ee5-b6f7-0bb00c6df5e8;#1;#Trade policy|b9fa3ffc-5597-4a84-a9df-28e6349298d4</vt:lpwstr>
  </property>
  <property fmtid="{D5CDD505-2E9C-101B-9397-08002B2CF9AE}" pid="13" name="e35afc56668347c3aef24194d1ed59ea">
    <vt:lpwstr>EU|4d8f9873-61b3-4ee5-b6f7-0bb00c6df5e8</vt:lpwstr>
  </property>
  <property fmtid="{D5CDD505-2E9C-101B-9397-08002B2CF9AE}" pid="14" name="f7af940f06314dc78018242c25682d67">
    <vt:lpwstr>NO MARKING|0a4eb9ae-69eb-4d9e-b573-43ab99ef8592</vt:lpwstr>
  </property>
  <property fmtid="{D5CDD505-2E9C-101B-9397-08002B2CF9AE}" pid="15" name="BZDossierResponsibleDepartment">
    <vt:lpwstr/>
  </property>
  <property fmtid="{D5CDD505-2E9C-101B-9397-08002B2CF9AE}" pid="16" name="BZCountryState">
    <vt:lpwstr>3;#Not applicable|ec01d90b-9d0f-4785-8785-e1ea615196bf</vt:lpwstr>
  </property>
  <property fmtid="{D5CDD505-2E9C-101B-9397-08002B2CF9AE}" pid="17" name="BZDossierGovernmentOfficial">
    <vt:lpwstr/>
  </property>
  <property fmtid="{D5CDD505-2E9C-101B-9397-08002B2CF9AE}" pid="18" name="BZDossierProcessLocation">
    <vt:lpwstr/>
  </property>
  <property fmtid="{D5CDD505-2E9C-101B-9397-08002B2CF9AE}" pid="19" name="i42ef48d5fa942a0ad0d60e44f201751">
    <vt:lpwstr/>
  </property>
  <property fmtid="{D5CDD505-2E9C-101B-9397-08002B2CF9AE}" pid="20" name="BZDossierPublishingWOOCategory">
    <vt:lpwstr/>
  </property>
  <property fmtid="{D5CDD505-2E9C-101B-9397-08002B2CF9AE}" pid="21" name="f2fb2a8e39404f1ab554e4e4a49d2918">
    <vt:lpwstr/>
  </property>
  <property fmtid="{D5CDD505-2E9C-101B-9397-08002B2CF9AE}" pid="22" name="BZMarking">
    <vt:lpwstr>5;#NO MARKING|0a4eb9ae-69eb-4d9e-b573-43ab99ef8592</vt:lpwstr>
  </property>
  <property fmtid="{D5CDD505-2E9C-101B-9397-08002B2CF9AE}" pid="23" name="f8e003236e1c4ac2ab9051d5d8789bbb">
    <vt:lpwstr/>
  </property>
  <property fmtid="{D5CDD505-2E9C-101B-9397-08002B2CF9AE}" pid="24" name="BZClassification">
    <vt:lpwstr>4;#UNCLASSIFIED (U)|284e6a62-15ab-4017-be27-a1e965f4e940</vt:lpwstr>
  </property>
  <property fmtid="{D5CDD505-2E9C-101B-9397-08002B2CF9AE}" pid="25" name="p29721a54a5c4bbe9786e930fc91e270">
    <vt:lpwstr/>
  </property>
  <property fmtid="{D5CDD505-2E9C-101B-9397-08002B2CF9AE}" pid="26" name="BZThemeAsText">
    <vt:lpwstr>Trade policy</vt:lpwstr>
  </property>
  <property fmtid="{D5CDD505-2E9C-101B-9397-08002B2CF9AE}" pid="27" name="bb20b5f81c9f47a48f8188e85aec1253">
    <vt:lpwstr>Trade policy|b9fa3ffc-5597-4a84-a9df-28e6349298d4</vt:lpwstr>
  </property>
  <property fmtid="{D5CDD505-2E9C-101B-9397-08002B2CF9AE}" pid="28" name="e256f556a7b748329ab47889947c7d40">
    <vt:lpwstr/>
  </property>
  <property fmtid="{D5CDD505-2E9C-101B-9397-08002B2CF9AE}" pid="29" name="ed9282a3f18446ec8c17c7829edf82dd">
    <vt:lpwstr/>
  </property>
  <property fmtid="{D5CDD505-2E9C-101B-9397-08002B2CF9AE}" pid="30" name="_docset_NoMedatataSyncRequired">
    <vt:lpwstr>False</vt:lpwstr>
  </property>
  <property fmtid="{D5CDD505-2E9C-101B-9397-08002B2CF9AE}" pid="31" name="_dlc_DocIdItemGuid">
    <vt:lpwstr>e6018018-9e5d-42b3-8482-a8732ab772f2</vt:lpwstr>
  </property>
</Properties>
</file>