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2025Z16522</w:t>
        <w:br/>
      </w:r>
      <w:proofErr w:type="spellEnd"/>
    </w:p>
    <w:p>
      <w:pPr>
        <w:pStyle w:val="Normal"/>
        <w:rPr>
          <w:b w:val="1"/>
          <w:bCs w:val="1"/>
        </w:rPr>
      </w:pPr>
      <w:r w:rsidR="250AE766">
        <w:rPr>
          <w:b w:val="0"/>
          <w:bCs w:val="0"/>
        </w:rPr>
        <w:t>(ingezonden 10 september 2025)</w:t>
        <w:br/>
      </w:r>
    </w:p>
    <w:p>
      <w:r>
        <w:t xml:space="preserve">Vragen van het lid Inge van Dijk (CDA) aan de staatssecretarissen van Financiën over het rapport 'Rechtsbescherming in het geding – Onderzoek informatieverstrekking aan de rechter, deel 2' </w:t>
      </w:r>
      <w:r>
        <w:br/>
      </w:r>
    </w:p>
    <w:p>
      <w:r>
        <w:t xml:space="preserve"> </w:t>
      </w:r>
      <w:r>
        <w:br/>
      </w:r>
    </w:p>
    <w:p>
      <w:pPr>
        <w:pStyle w:val="ListParagraph"/>
        <w:numPr>
          <w:ilvl w:val="0"/>
          <w:numId w:val="100486250"/>
        </w:numPr>
        <w:ind w:left="360"/>
      </w:pPr>
      <w:r>
        <w:t xml:space="preserve">Hoe duidt u de constatering dat er binnen de Belastingdienst een cultuur heerst waarin het “winnen van de zaak” prevaleert boven het eerlijk en volledig informeren van rechter en burger? 1)</w:t>
      </w:r>
      <w:r>
        <w:br/>
      </w:r>
    </w:p>
    <w:p>
      <w:pPr>
        <w:pStyle w:val="ListParagraph"/>
        <w:numPr>
          <w:ilvl w:val="0"/>
          <w:numId w:val="100486250"/>
        </w:numPr>
        <w:ind w:left="360"/>
      </w:pPr>
      <w:r>
        <w:t xml:space="preserve">Onderschrijft u de conclusie dat de Belastingdienst structureel tekortschiet in de informatieverstrekking aan de rechter, waardoor de rechtsbescherming van burgers in het geding komt?</w:t>
      </w:r>
      <w:r>
        <w:br/>
      </w:r>
    </w:p>
    <w:p>
      <w:pPr>
        <w:pStyle w:val="ListParagraph"/>
        <w:numPr>
          <w:ilvl w:val="0"/>
          <w:numId w:val="100486250"/>
        </w:numPr>
        <w:ind w:left="360"/>
      </w:pPr>
      <w:r>
        <w:t xml:space="preserve">Wat gaat u doen aan de constatering van de Inspectie Belastingen, Toeslagen en Douane dat de informatiehuishouding van de Belastingdienst niet op orde is (meerdere systemen, conversieproblemen, ontbrekende e-mails), waardoor de informatieverstrekking aan de rechter en burgers en bedrijven in het geding komt?</w:t>
      </w:r>
      <w:r>
        <w:br/>
      </w:r>
    </w:p>
    <w:p>
      <w:pPr>
        <w:pStyle w:val="ListParagraph"/>
        <w:numPr>
          <w:ilvl w:val="0"/>
          <w:numId w:val="100486250"/>
        </w:numPr>
        <w:ind w:left="360"/>
      </w:pPr>
      <w:r>
        <w:t xml:space="preserve">Welke (directe) gevolgen verbindt u aan de bevinding dat artikel 8:42 Awb door de Belastingdienst te beperkt wordt toegepast?</w:t>
      </w:r>
      <w:r>
        <w:br/>
      </w:r>
    </w:p>
    <w:p>
      <w:pPr>
        <w:pStyle w:val="ListParagraph"/>
        <w:numPr>
          <w:ilvl w:val="0"/>
          <w:numId w:val="100486250"/>
        </w:numPr>
        <w:ind w:left="360"/>
      </w:pPr>
      <w:r>
        <w:t xml:space="preserve">Herinnert u zich uw antwoord op de motie Inge van Dijk over een onderzoek naar de meerwaarde van het inrichten van een team monitoring hoger beroep (Kamerstukken II 2024/25, 31066, nr. 1463, bijlage 2025D09381)?</w:t>
      </w:r>
      <w:r>
        <w:br/>
      </w:r>
    </w:p>
    <w:p>
      <w:pPr>
        <w:pStyle w:val="ListParagraph"/>
        <w:numPr>
          <w:ilvl w:val="0"/>
          <w:numId w:val="100486250"/>
        </w:numPr>
        <w:ind w:left="360"/>
      </w:pPr>
      <w:r>
        <w:t xml:space="preserve">⁠Herinnert u zich de vraag dat uw onderzoek naar doorprocederen ‘aan het licht gebracht dat de Belastingdienst geen of weinig kwalitatieve informatie heeft over de afwegingen van de inspecteur om al dan niet in hoger beroep te gaan’? Kunt u dit onderzoek naar doorprocederen als bijlage bij uw antwoorden voegen?</w:t>
      </w:r>
      <w:r>
        <w:br/>
      </w:r>
    </w:p>
    <w:p>
      <w:pPr>
        <w:pStyle w:val="ListParagraph"/>
        <w:numPr>
          <w:ilvl w:val="0"/>
          <w:numId w:val="100486250"/>
        </w:numPr>
        <w:ind w:left="360"/>
      </w:pPr>
      <w:r>
        <w:t xml:space="preserve">Bent u na het rapport van de Inspectie alsnog bereid om het procederen door de fiscus meer aandacht te geven en waar mogelijk minder tegenover burgers en bedrijven te staan?</w:t>
      </w:r>
      <w:r>
        <w:br/>
      </w:r>
    </w:p>
    <w:p>
      <w:pPr>
        <w:pStyle w:val="ListParagraph"/>
        <w:numPr>
          <w:ilvl w:val="0"/>
          <w:numId w:val="100486250"/>
        </w:numPr>
        <w:ind w:left="360"/>
      </w:pPr>
      <w:r>
        <w:t xml:space="preserve">Bent u bereid de Kamer periodiek te informeren over de voortgang van verbetermaatregelen en specifiek te rapporteren over de naleving van artikel 8:42 Awb?</w:t>
      </w:r>
      <w:r>
        <w:br/>
      </w:r>
    </w:p>
    <w:p>
      <w:pPr>
        <w:pStyle w:val="ListParagraph"/>
        <w:numPr>
          <w:ilvl w:val="0"/>
          <w:numId w:val="100486250"/>
        </w:numPr>
        <w:ind w:left="360"/>
      </w:pPr>
      <w:r>
        <w:t xml:space="preserve">Kunt u aangeven of dezelfde risico’s (selectieve dossiervorming, niet aanleveren interne stukken, onvoldoende reflectie) ook spelen bij de Uitvoeringsorganisatie Herstel Toeslagen (UHT)?</w:t>
      </w:r>
      <w:r>
        <w:br/>
      </w:r>
    </w:p>
    <w:p>
      <w:pPr>
        <w:pStyle w:val="ListParagraph"/>
        <w:numPr>
          <w:ilvl w:val="0"/>
          <w:numId w:val="100486250"/>
        </w:numPr>
        <w:ind w:left="360"/>
      </w:pPr>
      <w:r>
        <w:t xml:space="preserve">Zijn er specifieke waarborgen ingebouwd bij de UHT om te voorkomen dat stukken worden achtergehouden of selectief aangeleverd aan de rechter?</w:t>
      </w:r>
      <w:r>
        <w:br/>
      </w:r>
    </w:p>
    <w:p>
      <w:pPr>
        <w:pStyle w:val="ListParagraph"/>
        <w:numPr>
          <w:ilvl w:val="0"/>
          <w:numId w:val="100486250"/>
        </w:numPr>
        <w:ind w:left="360"/>
      </w:pPr>
      <w:r>
        <w:t xml:space="preserve">Kunt u garanderen dat interne notities, e-mails en verslagen binnen de UHT in beginsel conform artikel 8:42 Awb worden verstrekt aan gedupeerden en de rechter, tenzij artikel 8:29 Awb wordt toegepast?</w:t>
      </w:r>
      <w:r>
        <w:br/>
      </w:r>
    </w:p>
    <w:p>
      <w:pPr>
        <w:pStyle w:val="ListParagraph"/>
        <w:numPr>
          <w:ilvl w:val="0"/>
          <w:numId w:val="100486250"/>
        </w:numPr>
        <w:ind w:left="360"/>
      </w:pPr>
      <w:r>
        <w:t xml:space="preserve">⁠Indien zulke waarborgen ontbreken, bent u bereid die alsnog in te voeren?</w:t>
      </w:r>
      <w:r>
        <w:br/>
      </w:r>
    </w:p>
    <w:p>
      <w:r>
        <w:t xml:space="preserve"> </w:t>
      </w:r>
      <w:r>
        <w:br/>
      </w:r>
    </w:p>
    <w:p>
      <w:r>
        <w:t xml:space="preserve">1) Inspectie BTD, rapport "Rechtsbescherming in het geding" d.d. 27 augustus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210">
    <w:abstractNumId w:val="100486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