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2025Z16517</w:t>
        <w:br/>
      </w:r>
      <w:proofErr w:type="spellEnd"/>
    </w:p>
    <w:p>
      <w:pPr>
        <w:pStyle w:val="Normal"/>
        <w:rPr>
          <w:b w:val="1"/>
          <w:bCs w:val="1"/>
        </w:rPr>
      </w:pPr>
      <w:r w:rsidR="250AE766">
        <w:rPr>
          <w:b w:val="0"/>
          <w:bCs w:val="0"/>
        </w:rPr>
        <w:t>(ingezonden 10 september 2025)</w:t>
        <w:br/>
      </w:r>
    </w:p>
    <w:p>
      <w:r>
        <w:t xml:space="preserve">Vragen van het lid Patijn (GroenLinks-PvdA) aan de minister van Sociale Zaken en Werkgelegenheid over de opbouw van vakantiedagen tijdens ziekte</w:t>
      </w:r>
      <w:r>
        <w:br/>
      </w:r>
    </w:p>
    <w:p>
      <w:pPr>
        <w:pStyle w:val="ListParagraph"/>
        <w:numPr>
          <w:ilvl w:val="0"/>
          <w:numId w:val="100486210"/>
        </w:numPr>
        <w:ind w:left="360"/>
      </w:pPr>
      <w:r>
        <w:t xml:space="preserve">Bent u bekend met de uitspraak van de Rechtbank Gelderland van 12 augustus jl., waarin werd geoordeeld dat werknemers in een slapend dienstverband ook recht hebben op de opbouw en uitbetaling van vakantiedagen? 1)</w:t>
      </w:r>
      <w:r>
        <w:br/>
      </w:r>
    </w:p>
    <w:p>
      <w:pPr>
        <w:pStyle w:val="ListParagraph"/>
        <w:numPr>
          <w:ilvl w:val="0"/>
          <w:numId w:val="100486210"/>
        </w:numPr>
        <w:ind w:left="360"/>
      </w:pPr>
      <w:r>
        <w:t xml:space="preserve">Hoe duidt u deze uitspraak?</w:t>
      </w:r>
      <w:r>
        <w:br/>
      </w:r>
    </w:p>
    <w:p>
      <w:pPr>
        <w:pStyle w:val="ListParagraph"/>
        <w:numPr>
          <w:ilvl w:val="0"/>
          <w:numId w:val="100486210"/>
        </w:numPr>
        <w:ind w:left="360"/>
      </w:pPr>
      <w:r>
        <w:t xml:space="preserve">Vindt de regering dat de Nederlandse wetgeving in lijn is met het Europees recht en jurisprudentie? Waarom wel of niet?</w:t>
      </w:r>
      <w:r>
        <w:br/>
      </w:r>
    </w:p>
    <w:p>
      <w:pPr>
        <w:pStyle w:val="ListParagraph"/>
        <w:numPr>
          <w:ilvl w:val="0"/>
          <w:numId w:val="100486210"/>
        </w:numPr>
        <w:ind w:left="360"/>
      </w:pPr>
      <w:r>
        <w:t xml:space="preserve">Hoe reflecteert u op artikel 7:634 BW, artikel 7 lid 1 Richtlijn 2003/88/EG en op rechtspraak van het Europese Hof van Justitie (HvJ EU)?</w:t>
      </w:r>
      <w:r>
        <w:br/>
      </w:r>
    </w:p>
    <w:p>
      <w:pPr>
        <w:pStyle w:val="ListParagraph"/>
        <w:numPr>
          <w:ilvl w:val="0"/>
          <w:numId w:val="100486210"/>
        </w:numPr>
        <w:ind w:left="360"/>
      </w:pPr>
      <w:r>
        <w:t xml:space="preserve">Hoe reflecteert u op de publicatie ‘Geen arbeid, geen loon en toch vakantie’ van Q. van Vliet in ArbeidsRecht 2024/28?</w:t>
      </w:r>
      <w:r>
        <w:br/>
      </w:r>
    </w:p>
    <w:p>
      <w:pPr>
        <w:pStyle w:val="ListParagraph"/>
        <w:numPr>
          <w:ilvl w:val="0"/>
          <w:numId w:val="100486210"/>
        </w:numPr>
        <w:ind w:left="360"/>
      </w:pPr>
      <w:r>
        <w:t xml:space="preserve">Gaat u de Nederlandse wetgeving in lijn brengen met het Europees recht middels een wetswijziging? Zo ja, wanneer kan de Kamer deze wetgeving verwachten? Zo nee, waarom niet?</w:t>
      </w:r>
      <w:r>
        <w:br/>
      </w:r>
    </w:p>
    <w:p>
      <w:r>
        <w:t xml:space="preserve"> </w:t>
      </w:r>
      <w:r>
        <w:br/>
      </w:r>
    </w:p>
    <w:p>
      <w:r>
        <w:t xml:space="preserve">1) Rechtbank Gelderland, 12 augustus 2025, ECLI:NL:RBGEL:2025:7054.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2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210">
    <w:abstractNumId w:val="1004862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