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F39" w:rsidR="007D6FAE" w:rsidP="007D6FAE" w:rsidRDefault="00301FB4" w14:paraId="7B062105" w14:textId="6667AFDD">
      <w:pPr>
        <w:pStyle w:val="ArialBold"/>
        <w:rPr>
          <w:bCs/>
          <w:noProof w:val="0"/>
          <w:sz w:val="18"/>
          <w:szCs w:val="18"/>
        </w:rPr>
      </w:pPr>
      <w:r w:rsidRPr="001A3F39">
        <w:rPr>
          <w:sz w:val="18"/>
          <w:szCs w:val="18"/>
        </w:rPr>
        <mc:AlternateContent>
          <mc:Choice Requires="wps">
            <w:drawing>
              <wp:anchor distT="0" distB="0" distL="114300" distR="114300" simplePos="0" relativeHeight="251658240" behindDoc="0" locked="0" layoutInCell="1" allowOverlap="1" wp14:editId="402A07CF" wp14:anchorId="1CFA0F4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4B7B3F3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FA0F4F">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4B7B3F32" w14:textId="77777777"/>
                  </w:txbxContent>
                </v:textbox>
              </v:shape>
            </w:pict>
          </mc:Fallback>
        </mc:AlternateContent>
      </w:r>
      <w:r w:rsidRPr="001A3F39">
        <w:rPr>
          <w:sz w:val="18"/>
          <w:szCs w:val="18"/>
        </w:rPr>
        <mc:AlternateContent>
          <mc:Choice Requires="wps">
            <w:drawing>
              <wp:anchor distT="0" distB="0" distL="114300" distR="114300" simplePos="0" relativeHeight="251660288" behindDoc="0" locked="0" layoutInCell="1" allowOverlap="1" wp14:editId="1EBA1DFA" wp14:anchorId="277A6D26">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382D2E0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77A6D26">
                <v:textbox style="layout-flow:vertical;mso-layout-flow-alt:bottom-to-top">
                  <w:txbxContent>
                    <w:p w:rsidR="007D6FAE" w:rsidP="007D6FAE" w:rsidRDefault="007D6FAE" w14:paraId="382D2E05" w14:textId="77777777"/>
                  </w:txbxContent>
                </v:textbox>
              </v:shape>
            </w:pict>
          </mc:Fallback>
        </mc:AlternateContent>
      </w:r>
      <w:r w:rsidRPr="001A3F39">
        <w:rPr>
          <w:bCs/>
          <w:sz w:val="18"/>
          <w:szCs w:val="18"/>
        </w:rPr>
        <w:t>TWEEDE KAMER DER STATEN-GENERAAL</w:t>
      </w:r>
    </w:p>
    <w:p w:rsidRPr="001A3F39" w:rsidR="007D6FAE" w:rsidP="007D6FAE" w:rsidRDefault="007D6FAE" w14:paraId="352DC02B" w14:textId="77777777">
      <w:pPr>
        <w:rPr>
          <w:sz w:val="18"/>
          <w:szCs w:val="18"/>
        </w:rPr>
      </w:pPr>
    </w:p>
    <w:p w:rsidRPr="001A3F39" w:rsidR="007D6FAE" w:rsidP="007D6FAE" w:rsidRDefault="00301FB4" w14:paraId="3731F522" w14:textId="51C433A1">
      <w:pPr>
        <w:spacing w:line="260" w:lineRule="atLeast"/>
        <w:rPr>
          <w:sz w:val="18"/>
          <w:szCs w:val="18"/>
        </w:rPr>
      </w:pPr>
      <w:r w:rsidRPr="001A3F39">
        <w:rPr>
          <w:sz w:val="18"/>
          <w:szCs w:val="18"/>
        </w:rPr>
        <w:t>Vergaderjaar 20</w:t>
      </w:r>
      <w:r w:rsidRPr="001A3F39" w:rsidR="00791710">
        <w:rPr>
          <w:sz w:val="18"/>
          <w:szCs w:val="18"/>
        </w:rPr>
        <w:t>24</w:t>
      </w:r>
      <w:r w:rsidRPr="001A3F39">
        <w:rPr>
          <w:sz w:val="18"/>
          <w:szCs w:val="18"/>
        </w:rPr>
        <w:t>/</w:t>
      </w:r>
      <w:r w:rsidRPr="001A3F39" w:rsidR="00791710">
        <w:rPr>
          <w:sz w:val="18"/>
          <w:szCs w:val="18"/>
        </w:rPr>
        <w:t>25</w:t>
      </w:r>
    </w:p>
    <w:p w:rsidRPr="001A3F39" w:rsidR="007D6FAE" w:rsidP="007D6FAE" w:rsidRDefault="007D6FAE" w14:paraId="1295E615" w14:textId="77777777">
      <w:pPr>
        <w:spacing w:line="260" w:lineRule="atLeast"/>
        <w:rPr>
          <w:sz w:val="18"/>
          <w:szCs w:val="18"/>
        </w:rPr>
      </w:pPr>
    </w:p>
    <w:p w:rsidRPr="001A3F39" w:rsidR="007D6FAE" w:rsidP="007D6FAE" w:rsidRDefault="007D6FAE" w14:paraId="1BA8671B" w14:textId="77777777">
      <w:pPr>
        <w:spacing w:line="260" w:lineRule="atLeast"/>
        <w:rPr>
          <w:sz w:val="18"/>
          <w:szCs w:val="18"/>
        </w:rPr>
      </w:pPr>
    </w:p>
    <w:p w:rsidRPr="001A3F39" w:rsidR="007D6FAE" w:rsidP="007D6FAE" w:rsidRDefault="0084643D" w14:paraId="2688487B" w14:textId="240C9C46">
      <w:pPr>
        <w:spacing w:line="260" w:lineRule="atLeast"/>
        <w:ind w:hanging="1134"/>
        <w:rPr>
          <w:sz w:val="18"/>
          <w:szCs w:val="18"/>
        </w:rPr>
      </w:pPr>
      <w:r w:rsidRPr="001A3F39">
        <w:rPr>
          <w:b/>
          <w:sz w:val="18"/>
          <w:szCs w:val="18"/>
        </w:rPr>
        <w:t>36 692</w:t>
      </w:r>
      <w:r w:rsidRPr="001A3F39" w:rsidR="00301FB4">
        <w:rPr>
          <w:sz w:val="18"/>
          <w:szCs w:val="18"/>
        </w:rPr>
        <w:tab/>
      </w:r>
      <w:r w:rsidRPr="001A3F39" w:rsidR="00791710">
        <w:rPr>
          <w:b/>
          <w:sz w:val="18"/>
          <w:szCs w:val="18"/>
        </w:rPr>
        <w:t>Wijziging van diverse onderwijswetten voor een meer planmatige en doelmatige aanpak van de onderwijshuisvesting in het primair en het voortgezet onderwijs (Wet planmatige aanpak onderwijshuisvesting)</w:t>
      </w:r>
    </w:p>
    <w:p w:rsidRPr="001A3F39" w:rsidR="007D6FAE" w:rsidP="007D6FAE" w:rsidRDefault="007D6FAE" w14:paraId="55517012" w14:textId="77777777">
      <w:pPr>
        <w:spacing w:line="260" w:lineRule="atLeast"/>
        <w:ind w:hanging="1134"/>
        <w:rPr>
          <w:sz w:val="18"/>
          <w:szCs w:val="18"/>
        </w:rPr>
      </w:pPr>
    </w:p>
    <w:p w:rsidRPr="001A3F39" w:rsidR="007D6FAE" w:rsidP="007D6FAE" w:rsidRDefault="007D6FAE" w14:paraId="30455721" w14:textId="77777777">
      <w:pPr>
        <w:spacing w:line="260" w:lineRule="atLeast"/>
        <w:ind w:hanging="1134"/>
        <w:rPr>
          <w:sz w:val="18"/>
          <w:szCs w:val="18"/>
        </w:rPr>
      </w:pPr>
    </w:p>
    <w:p w:rsidRPr="001A3F39" w:rsidR="007D6FAE" w:rsidP="007D6FAE" w:rsidRDefault="00301FB4" w14:paraId="6F2C58BD" w14:textId="41FFDFD1">
      <w:pPr>
        <w:spacing w:line="260" w:lineRule="atLeast"/>
        <w:ind w:hanging="1134"/>
        <w:rPr>
          <w:b/>
          <w:bCs/>
          <w:sz w:val="18"/>
          <w:szCs w:val="18"/>
        </w:rPr>
      </w:pPr>
      <w:r w:rsidRPr="001A3F39">
        <w:rPr>
          <w:b/>
          <w:sz w:val="18"/>
          <w:szCs w:val="18"/>
        </w:rPr>
        <w:t>Nr.</w:t>
      </w:r>
      <w:r w:rsidRPr="001A3F39">
        <w:rPr>
          <w:b/>
          <w:sz w:val="18"/>
          <w:szCs w:val="18"/>
        </w:rPr>
        <w:tab/>
        <w:t>Nota van wijziging</w:t>
      </w:r>
    </w:p>
    <w:p w:rsidRPr="001A3F39" w:rsidR="007D6FAE" w:rsidP="007D6FAE" w:rsidRDefault="007D6FAE" w14:paraId="13553D01" w14:textId="77777777">
      <w:pPr>
        <w:spacing w:line="260" w:lineRule="atLeast"/>
        <w:rPr>
          <w:sz w:val="18"/>
          <w:szCs w:val="18"/>
        </w:rPr>
      </w:pPr>
    </w:p>
    <w:p w:rsidRPr="001A3F39" w:rsidR="007D6FAE" w:rsidP="007D6FAE" w:rsidRDefault="007D6FAE" w14:paraId="48120A08" w14:textId="77777777">
      <w:pPr>
        <w:spacing w:line="260" w:lineRule="atLeast"/>
        <w:rPr>
          <w:sz w:val="18"/>
          <w:szCs w:val="18"/>
        </w:rPr>
      </w:pPr>
    </w:p>
    <w:p w:rsidRPr="001A3F39" w:rsidR="007D6FAE" w:rsidP="007D6FAE" w:rsidRDefault="00301FB4" w14:paraId="7717B75C" w14:textId="77777777">
      <w:pPr>
        <w:pStyle w:val="Koptekst"/>
        <w:tabs>
          <w:tab w:val="left" w:pos="720"/>
        </w:tabs>
        <w:spacing w:line="260" w:lineRule="atLeast"/>
        <w:rPr>
          <w:sz w:val="18"/>
          <w:szCs w:val="18"/>
        </w:rPr>
      </w:pPr>
      <w:r w:rsidRPr="001A3F39">
        <w:rPr>
          <w:sz w:val="18"/>
          <w:szCs w:val="18"/>
        </w:rPr>
        <w:t>Ontvangen</w:t>
      </w:r>
    </w:p>
    <w:p w:rsidRPr="001A3F39" w:rsidR="007D6FAE" w:rsidP="007D6FAE" w:rsidRDefault="007D6FAE" w14:paraId="63E2382F" w14:textId="77777777">
      <w:pPr>
        <w:spacing w:line="260" w:lineRule="atLeast"/>
        <w:rPr>
          <w:sz w:val="18"/>
          <w:szCs w:val="18"/>
        </w:rPr>
      </w:pPr>
    </w:p>
    <w:p w:rsidRPr="001A3F39" w:rsidR="007D6FAE" w:rsidP="007D6FAE" w:rsidRDefault="00301FB4" w14:paraId="78925556" w14:textId="77777777">
      <w:pPr>
        <w:spacing w:line="260" w:lineRule="atLeast"/>
        <w:rPr>
          <w:sz w:val="18"/>
          <w:szCs w:val="18"/>
        </w:rPr>
      </w:pPr>
      <w:r w:rsidRPr="001A3F39">
        <w:rPr>
          <w:sz w:val="18"/>
          <w:szCs w:val="18"/>
        </w:rPr>
        <w:t>Het voorstel van wet wordt als volgt gewijzigd:</w:t>
      </w:r>
    </w:p>
    <w:p w:rsidRPr="001A3F39" w:rsidR="007D6FAE" w:rsidP="007D6FAE" w:rsidRDefault="007D6FAE" w14:paraId="20E0C486" w14:textId="77777777">
      <w:pPr>
        <w:spacing w:line="260" w:lineRule="atLeast"/>
        <w:rPr>
          <w:sz w:val="18"/>
          <w:szCs w:val="18"/>
        </w:rPr>
      </w:pPr>
    </w:p>
    <w:p w:rsidRPr="001A3F39" w:rsidR="007D6FAE" w:rsidP="007D6FAE" w:rsidRDefault="00301FB4" w14:paraId="69DFFAF4" w14:textId="77777777">
      <w:pPr>
        <w:spacing w:line="260" w:lineRule="atLeast"/>
        <w:rPr>
          <w:sz w:val="18"/>
          <w:szCs w:val="18"/>
        </w:rPr>
      </w:pPr>
      <w:r w:rsidRPr="001A3F39">
        <w:rPr>
          <w:sz w:val="18"/>
          <w:szCs w:val="18"/>
        </w:rPr>
        <w:t>A</w:t>
      </w:r>
    </w:p>
    <w:p w:rsidRPr="001A3F39" w:rsidR="007D6FAE" w:rsidP="007D6FAE" w:rsidRDefault="007D6FAE" w14:paraId="50AB5E46" w14:textId="77777777">
      <w:pPr>
        <w:spacing w:line="260" w:lineRule="atLeast"/>
        <w:rPr>
          <w:sz w:val="18"/>
          <w:szCs w:val="18"/>
        </w:rPr>
      </w:pPr>
    </w:p>
    <w:p w:rsidRPr="001A3F39" w:rsidR="007D6FAE" w:rsidP="007D6FAE" w:rsidRDefault="00791710" w14:paraId="594C7207" w14:textId="6E73D68A">
      <w:pPr>
        <w:spacing w:line="260" w:lineRule="atLeast"/>
        <w:rPr>
          <w:sz w:val="18"/>
          <w:szCs w:val="18"/>
        </w:rPr>
      </w:pPr>
      <w:r w:rsidRPr="001A3F39">
        <w:rPr>
          <w:sz w:val="18"/>
          <w:szCs w:val="18"/>
        </w:rPr>
        <w:t>Aan artikel I wordt een onderdeel toegevoegd luidende:</w:t>
      </w:r>
    </w:p>
    <w:p w:rsidRPr="001A3F39" w:rsidR="00791710" w:rsidP="007D6FAE" w:rsidRDefault="00791710" w14:paraId="5D77186F" w14:textId="48CA1106">
      <w:pPr>
        <w:spacing w:line="260" w:lineRule="atLeast"/>
        <w:rPr>
          <w:sz w:val="18"/>
          <w:szCs w:val="18"/>
        </w:rPr>
      </w:pPr>
      <w:r w:rsidRPr="001A3F39">
        <w:rPr>
          <w:sz w:val="18"/>
          <w:szCs w:val="18"/>
        </w:rPr>
        <w:t>E</w:t>
      </w:r>
    </w:p>
    <w:p w:rsidRPr="001A3F39" w:rsidR="00791710" w:rsidP="007D6FAE" w:rsidRDefault="00791710" w14:paraId="7B5C6608" w14:textId="77777777">
      <w:pPr>
        <w:spacing w:line="260" w:lineRule="atLeast"/>
        <w:rPr>
          <w:sz w:val="18"/>
          <w:szCs w:val="18"/>
        </w:rPr>
      </w:pPr>
    </w:p>
    <w:p w:rsidRPr="001A3F39" w:rsidR="00791710" w:rsidP="007D6FAE" w:rsidRDefault="00791710" w14:paraId="36E50982" w14:textId="35BDC611">
      <w:pPr>
        <w:spacing w:line="260" w:lineRule="atLeast"/>
        <w:rPr>
          <w:sz w:val="18"/>
          <w:szCs w:val="18"/>
        </w:rPr>
      </w:pPr>
      <w:bookmarkStart w:name="_Hlk202863624" w:id="0"/>
      <w:r w:rsidRPr="001A3F39">
        <w:rPr>
          <w:sz w:val="18"/>
          <w:szCs w:val="18"/>
        </w:rPr>
        <w:t xml:space="preserve">Na artikel 194 wordt een artikel ingevoegd, luidende: </w:t>
      </w:r>
    </w:p>
    <w:p w:rsidRPr="001A3F39" w:rsidR="00E50BC6" w:rsidP="00791710" w:rsidRDefault="00E50BC6" w14:paraId="1E8B4B77" w14:textId="77777777">
      <w:pPr>
        <w:spacing w:line="260" w:lineRule="atLeast"/>
        <w:rPr>
          <w:b/>
          <w:bCs/>
          <w:sz w:val="18"/>
          <w:szCs w:val="18"/>
        </w:rPr>
      </w:pPr>
      <w:r w:rsidRPr="001A3F39">
        <w:rPr>
          <w:b/>
          <w:bCs/>
          <w:sz w:val="18"/>
          <w:szCs w:val="18"/>
        </w:rPr>
        <w:t xml:space="preserve">Artikel 195. Evaluatie Wet planmatige aanpak onderwijshuisvesting </w:t>
      </w:r>
    </w:p>
    <w:p w:rsidRPr="001A3F39" w:rsidR="00791710" w:rsidP="008D0619" w:rsidRDefault="00791710" w14:paraId="0F286161" w14:textId="732F9C56">
      <w:pPr>
        <w:spacing w:line="260" w:lineRule="atLeast"/>
        <w:rPr>
          <w:sz w:val="18"/>
          <w:szCs w:val="18"/>
        </w:rPr>
      </w:pPr>
      <w:r w:rsidRPr="001A3F39">
        <w:rPr>
          <w:sz w:val="18"/>
          <w:szCs w:val="18"/>
        </w:rPr>
        <w:t xml:space="preserve">Onze Minister zendt binnen vijf jaar </w:t>
      </w:r>
      <w:r w:rsidRPr="001A3F39" w:rsidR="00023539">
        <w:rPr>
          <w:sz w:val="18"/>
          <w:szCs w:val="18"/>
        </w:rPr>
        <w:t xml:space="preserve">en binnen tien jaar </w:t>
      </w:r>
      <w:r w:rsidRPr="001A3F39">
        <w:rPr>
          <w:sz w:val="18"/>
          <w:szCs w:val="18"/>
        </w:rPr>
        <w:t xml:space="preserve">na de inwerkingtreding van </w:t>
      </w:r>
      <w:r w:rsidRPr="001A3F39" w:rsidR="002575A4">
        <w:rPr>
          <w:sz w:val="18"/>
          <w:szCs w:val="18"/>
        </w:rPr>
        <w:t>de Wet planmatige aanpak onderwijshuisvesting</w:t>
      </w:r>
      <w:r w:rsidRPr="001A3F39">
        <w:rPr>
          <w:sz w:val="18"/>
          <w:szCs w:val="18"/>
        </w:rPr>
        <w:t xml:space="preserve"> aan de Staten-Generaal een verslag over de doeltreffendheid en de effecten van </w:t>
      </w:r>
      <w:r w:rsidRPr="001A3F39" w:rsidR="00963698">
        <w:rPr>
          <w:sz w:val="18"/>
          <w:szCs w:val="18"/>
        </w:rPr>
        <w:t xml:space="preserve">de artikelen </w:t>
      </w:r>
      <w:r w:rsidRPr="001A3F39" w:rsidR="004D4290">
        <w:rPr>
          <w:sz w:val="18"/>
          <w:szCs w:val="18"/>
        </w:rPr>
        <w:t xml:space="preserve">92, eerste lid, onderdeel a, onderdeel 4, </w:t>
      </w:r>
      <w:r w:rsidRPr="001A3F39" w:rsidR="00963698">
        <w:rPr>
          <w:sz w:val="18"/>
          <w:szCs w:val="18"/>
        </w:rPr>
        <w:t>92a, 92b</w:t>
      </w:r>
      <w:r w:rsidRPr="001A3F39" w:rsidR="008D0619">
        <w:rPr>
          <w:sz w:val="18"/>
          <w:szCs w:val="18"/>
        </w:rPr>
        <w:t xml:space="preserve"> en </w:t>
      </w:r>
      <w:r w:rsidRPr="001A3F39" w:rsidR="00963698">
        <w:rPr>
          <w:sz w:val="18"/>
          <w:szCs w:val="18"/>
        </w:rPr>
        <w:t xml:space="preserve">92c </w:t>
      </w:r>
      <w:r w:rsidR="004D4290">
        <w:rPr>
          <w:sz w:val="18"/>
          <w:szCs w:val="18"/>
        </w:rPr>
        <w:t xml:space="preserve">en 115 </w:t>
      </w:r>
      <w:r w:rsidRPr="001A3F39">
        <w:rPr>
          <w:sz w:val="18"/>
          <w:szCs w:val="18"/>
        </w:rPr>
        <w:t>in de praktijk.</w:t>
      </w:r>
    </w:p>
    <w:bookmarkEnd w:id="0"/>
    <w:p w:rsidRPr="001A3F39" w:rsidR="00791710" w:rsidP="00791710" w:rsidRDefault="00791710" w14:paraId="67720678" w14:textId="77777777">
      <w:pPr>
        <w:spacing w:line="260" w:lineRule="atLeast"/>
        <w:rPr>
          <w:sz w:val="18"/>
          <w:szCs w:val="18"/>
        </w:rPr>
      </w:pPr>
    </w:p>
    <w:p w:rsidRPr="001A3F39" w:rsidR="00023539" w:rsidP="00791710" w:rsidRDefault="00023539" w14:paraId="0A9BC0C7" w14:textId="77777777">
      <w:pPr>
        <w:spacing w:line="260" w:lineRule="atLeast"/>
        <w:rPr>
          <w:sz w:val="18"/>
          <w:szCs w:val="18"/>
        </w:rPr>
      </w:pPr>
    </w:p>
    <w:p w:rsidRPr="001A3F39" w:rsidR="00791710" w:rsidP="00791710" w:rsidRDefault="00791710" w14:paraId="3DC26EF0" w14:textId="0E159ED0">
      <w:pPr>
        <w:spacing w:line="260" w:lineRule="atLeast"/>
        <w:rPr>
          <w:sz w:val="18"/>
          <w:szCs w:val="18"/>
        </w:rPr>
      </w:pPr>
      <w:r w:rsidRPr="001A3F39">
        <w:rPr>
          <w:sz w:val="18"/>
          <w:szCs w:val="18"/>
        </w:rPr>
        <w:t>B</w:t>
      </w:r>
    </w:p>
    <w:p w:rsidRPr="001A3F39" w:rsidR="000426ED" w:rsidP="00E50BC6" w:rsidRDefault="000426ED" w14:paraId="1F845FC8" w14:textId="77777777">
      <w:pPr>
        <w:spacing w:line="260" w:lineRule="atLeast"/>
        <w:rPr>
          <w:sz w:val="18"/>
          <w:szCs w:val="18"/>
        </w:rPr>
      </w:pPr>
    </w:p>
    <w:p w:rsidRPr="001A3F39" w:rsidR="00E50BC6" w:rsidP="00E50BC6" w:rsidRDefault="00E50BC6" w14:paraId="144926BD" w14:textId="1B97898B">
      <w:pPr>
        <w:spacing w:line="260" w:lineRule="atLeast"/>
        <w:rPr>
          <w:sz w:val="18"/>
          <w:szCs w:val="18"/>
        </w:rPr>
      </w:pPr>
      <w:r w:rsidRPr="001A3F39">
        <w:rPr>
          <w:sz w:val="18"/>
          <w:szCs w:val="18"/>
        </w:rPr>
        <w:t>Aan artikel II wordt een onderdeel toegevoegd luidende:</w:t>
      </w:r>
    </w:p>
    <w:p w:rsidRPr="001A3F39" w:rsidR="00E50BC6" w:rsidP="00E50BC6" w:rsidRDefault="00E50BC6" w14:paraId="555FCF57" w14:textId="77B4C889">
      <w:pPr>
        <w:spacing w:line="260" w:lineRule="atLeast"/>
        <w:rPr>
          <w:sz w:val="18"/>
          <w:szCs w:val="18"/>
        </w:rPr>
      </w:pPr>
      <w:r w:rsidRPr="001A3F39">
        <w:rPr>
          <w:sz w:val="18"/>
          <w:szCs w:val="18"/>
        </w:rPr>
        <w:t>E</w:t>
      </w:r>
    </w:p>
    <w:p w:rsidRPr="001A3F39" w:rsidR="00E50BC6" w:rsidP="00E50BC6" w:rsidRDefault="00E50BC6" w14:paraId="3929E176" w14:textId="77777777">
      <w:pPr>
        <w:spacing w:line="260" w:lineRule="atLeast"/>
        <w:rPr>
          <w:sz w:val="18"/>
          <w:szCs w:val="18"/>
        </w:rPr>
      </w:pPr>
    </w:p>
    <w:p w:rsidRPr="001A3F39" w:rsidR="00E50BC6" w:rsidP="00E50BC6" w:rsidRDefault="00E50BC6" w14:paraId="7F95501E" w14:textId="021878C9">
      <w:pPr>
        <w:spacing w:line="260" w:lineRule="atLeast"/>
        <w:rPr>
          <w:sz w:val="18"/>
          <w:szCs w:val="18"/>
        </w:rPr>
      </w:pPr>
      <w:r w:rsidRPr="001A3F39">
        <w:rPr>
          <w:sz w:val="18"/>
          <w:szCs w:val="18"/>
        </w:rPr>
        <w:t xml:space="preserve">Na artikel 178 wordt een artikel ingevoegd, luidende: </w:t>
      </w:r>
    </w:p>
    <w:p w:rsidRPr="001A3F39" w:rsidR="00E50BC6" w:rsidP="00E50BC6" w:rsidRDefault="00E50BC6" w14:paraId="1E2F8CA1" w14:textId="26EF40E2">
      <w:pPr>
        <w:spacing w:line="260" w:lineRule="atLeast"/>
        <w:rPr>
          <w:b/>
          <w:bCs/>
          <w:sz w:val="18"/>
          <w:szCs w:val="18"/>
        </w:rPr>
      </w:pPr>
      <w:r w:rsidRPr="001A3F39">
        <w:rPr>
          <w:b/>
          <w:bCs/>
          <w:sz w:val="18"/>
          <w:szCs w:val="18"/>
        </w:rPr>
        <w:t xml:space="preserve">Artikel 178a. Evaluatie Wet planmatige aanpak onderwijshuisvesting </w:t>
      </w:r>
    </w:p>
    <w:p w:rsidRPr="001A3F39" w:rsidR="002D4C2B" w:rsidP="004D4290" w:rsidRDefault="002D4C2B" w14:paraId="4FC20A67" w14:textId="0135D4F0">
      <w:pPr>
        <w:spacing w:line="260" w:lineRule="atLeast"/>
        <w:rPr>
          <w:sz w:val="18"/>
          <w:szCs w:val="18"/>
        </w:rPr>
      </w:pPr>
      <w:r w:rsidRPr="001A3F39">
        <w:rPr>
          <w:sz w:val="18"/>
          <w:szCs w:val="18"/>
        </w:rPr>
        <w:t>Onze Minister zendt binnen vijf jaar en binnen tien jaar na de inwerkingtreding van de Wet planmatige aanpak onderwijshuisvesting aan de Staten-Generaal een verslag over de doeltreffendheid en de effecten van de artikelen 90, eerste lid, onderdeel a, onderdeel 4,</w:t>
      </w:r>
      <w:r w:rsidRPr="004D4290" w:rsidR="004D4290">
        <w:rPr>
          <w:sz w:val="18"/>
          <w:szCs w:val="18"/>
        </w:rPr>
        <w:t xml:space="preserve"> </w:t>
      </w:r>
      <w:r w:rsidRPr="001A3F39" w:rsidR="004D4290">
        <w:rPr>
          <w:sz w:val="18"/>
          <w:szCs w:val="18"/>
        </w:rPr>
        <w:t>92a, 92b en 92c</w:t>
      </w:r>
      <w:r w:rsidRPr="001A3F39">
        <w:rPr>
          <w:sz w:val="18"/>
          <w:szCs w:val="18"/>
        </w:rPr>
        <w:t xml:space="preserve"> en 113, derde lid, tweede volzin, in de praktijk. </w:t>
      </w:r>
    </w:p>
    <w:p w:rsidRPr="001A3F39" w:rsidR="002575A4" w:rsidRDefault="002575A4" w14:paraId="189B1B9A" w14:textId="795090E6">
      <w:pPr>
        <w:spacing w:line="240" w:lineRule="auto"/>
        <w:rPr>
          <w:sz w:val="18"/>
          <w:szCs w:val="18"/>
        </w:rPr>
      </w:pPr>
    </w:p>
    <w:p w:rsidRPr="001A3F39" w:rsidR="002575A4" w:rsidRDefault="002575A4" w14:paraId="6840A14D" w14:textId="77777777">
      <w:pPr>
        <w:spacing w:line="240" w:lineRule="auto"/>
        <w:rPr>
          <w:sz w:val="18"/>
          <w:szCs w:val="18"/>
        </w:rPr>
      </w:pPr>
    </w:p>
    <w:p w:rsidRPr="001A3F39" w:rsidR="00E50BC6" w:rsidP="00791710" w:rsidRDefault="00E50BC6" w14:paraId="178FF9C1" w14:textId="70E89BFF">
      <w:pPr>
        <w:spacing w:line="260" w:lineRule="atLeast"/>
        <w:rPr>
          <w:sz w:val="18"/>
          <w:szCs w:val="18"/>
        </w:rPr>
      </w:pPr>
      <w:r w:rsidRPr="001A3F39">
        <w:rPr>
          <w:sz w:val="18"/>
          <w:szCs w:val="18"/>
        </w:rPr>
        <w:t>C</w:t>
      </w:r>
    </w:p>
    <w:p w:rsidRPr="001A3F39" w:rsidR="000426ED" w:rsidP="00791710" w:rsidRDefault="000426ED" w14:paraId="2B59A3F0" w14:textId="77777777">
      <w:pPr>
        <w:spacing w:line="260" w:lineRule="atLeast"/>
        <w:rPr>
          <w:sz w:val="18"/>
          <w:szCs w:val="18"/>
        </w:rPr>
      </w:pPr>
    </w:p>
    <w:p w:rsidRPr="001A3F39" w:rsidR="00791710" w:rsidP="00791710" w:rsidRDefault="00791710" w14:paraId="54A894FC" w14:textId="345B3DAB">
      <w:pPr>
        <w:spacing w:line="260" w:lineRule="atLeast"/>
        <w:rPr>
          <w:sz w:val="18"/>
          <w:szCs w:val="18"/>
        </w:rPr>
      </w:pPr>
      <w:r w:rsidRPr="001A3F39">
        <w:rPr>
          <w:sz w:val="18"/>
          <w:szCs w:val="18"/>
        </w:rPr>
        <w:t>Aan artikel II</w:t>
      </w:r>
      <w:r w:rsidRPr="001A3F39" w:rsidR="00E50BC6">
        <w:rPr>
          <w:sz w:val="18"/>
          <w:szCs w:val="18"/>
        </w:rPr>
        <w:t>I</w:t>
      </w:r>
      <w:r w:rsidRPr="001A3F39">
        <w:rPr>
          <w:sz w:val="18"/>
          <w:szCs w:val="18"/>
        </w:rPr>
        <w:t xml:space="preserve"> wordt een onderdeel toegevoegd luidende:</w:t>
      </w:r>
    </w:p>
    <w:p w:rsidRPr="001A3F39" w:rsidR="00791710" w:rsidP="00791710" w:rsidRDefault="00E50BC6" w14:paraId="62685851" w14:textId="79C11F30">
      <w:pPr>
        <w:spacing w:line="260" w:lineRule="atLeast"/>
        <w:rPr>
          <w:sz w:val="18"/>
          <w:szCs w:val="18"/>
        </w:rPr>
      </w:pPr>
      <w:r w:rsidRPr="001A3F39">
        <w:rPr>
          <w:sz w:val="18"/>
          <w:szCs w:val="18"/>
        </w:rPr>
        <w:t>H</w:t>
      </w:r>
    </w:p>
    <w:p w:rsidRPr="001A3F39" w:rsidR="00791710" w:rsidP="00791710" w:rsidRDefault="00791710" w14:paraId="58111449" w14:textId="77777777">
      <w:pPr>
        <w:spacing w:line="260" w:lineRule="atLeast"/>
        <w:rPr>
          <w:sz w:val="18"/>
          <w:szCs w:val="18"/>
        </w:rPr>
      </w:pPr>
    </w:p>
    <w:p w:rsidRPr="001A3F39" w:rsidR="00791710" w:rsidP="00791710" w:rsidRDefault="00791710" w14:paraId="22440DD6" w14:textId="30605CC8">
      <w:pPr>
        <w:spacing w:line="260" w:lineRule="atLeast"/>
        <w:rPr>
          <w:sz w:val="18"/>
          <w:szCs w:val="18"/>
        </w:rPr>
      </w:pPr>
      <w:r w:rsidRPr="001A3F39">
        <w:rPr>
          <w:sz w:val="18"/>
          <w:szCs w:val="18"/>
        </w:rPr>
        <w:t xml:space="preserve">Na artikel </w:t>
      </w:r>
      <w:r w:rsidRPr="001A3F39" w:rsidR="00E50BC6">
        <w:rPr>
          <w:sz w:val="18"/>
          <w:szCs w:val="18"/>
        </w:rPr>
        <w:t>13.14</w:t>
      </w:r>
      <w:r w:rsidRPr="001A3F39">
        <w:rPr>
          <w:sz w:val="18"/>
          <w:szCs w:val="18"/>
        </w:rPr>
        <w:t xml:space="preserve"> wordt een artikel ingevoegd, luidende: </w:t>
      </w:r>
    </w:p>
    <w:p w:rsidRPr="001A3F39" w:rsidR="00E50BC6" w:rsidP="00E50BC6" w:rsidRDefault="00E50BC6" w14:paraId="3F6520FE" w14:textId="375AAC3E">
      <w:pPr>
        <w:spacing w:line="260" w:lineRule="atLeast"/>
        <w:rPr>
          <w:b/>
          <w:bCs/>
          <w:sz w:val="18"/>
          <w:szCs w:val="18"/>
        </w:rPr>
      </w:pPr>
      <w:r w:rsidRPr="001A3F39">
        <w:rPr>
          <w:b/>
          <w:bCs/>
          <w:sz w:val="18"/>
          <w:szCs w:val="18"/>
        </w:rPr>
        <w:t xml:space="preserve">Artikel 13.15. Evaluatie Wet planmatige aanpak onderwijshuisvesting </w:t>
      </w:r>
    </w:p>
    <w:p w:rsidRPr="001A3F39" w:rsidR="008D0619" w:rsidP="004D4290" w:rsidRDefault="002575A4" w14:paraId="5F40E4E4" w14:textId="6F215C11">
      <w:pPr>
        <w:spacing w:line="260" w:lineRule="atLeast"/>
        <w:rPr>
          <w:sz w:val="18"/>
          <w:szCs w:val="18"/>
        </w:rPr>
      </w:pPr>
      <w:r w:rsidRPr="001A3F39">
        <w:rPr>
          <w:sz w:val="18"/>
          <w:szCs w:val="18"/>
        </w:rPr>
        <w:t>Onze Minister zendt binnen vijf jaar en binnen tien jaar na de inwerkingtreding van de Wet planmatige aanpak onderwijshuisvesting aan de Staten-Generaal een verslag over de doeltreffendheid en de effecten van</w:t>
      </w:r>
      <w:r w:rsidR="009A3FB2">
        <w:rPr>
          <w:sz w:val="18"/>
          <w:szCs w:val="18"/>
        </w:rPr>
        <w:t xml:space="preserve"> de</w:t>
      </w:r>
      <w:r w:rsidRPr="001A3F39">
        <w:rPr>
          <w:sz w:val="18"/>
          <w:szCs w:val="18"/>
        </w:rPr>
        <w:t xml:space="preserve"> artikel</w:t>
      </w:r>
      <w:r w:rsidR="009A3FB2">
        <w:rPr>
          <w:sz w:val="18"/>
          <w:szCs w:val="18"/>
        </w:rPr>
        <w:t>en</w:t>
      </w:r>
      <w:r w:rsidRPr="001A3F39">
        <w:rPr>
          <w:sz w:val="18"/>
          <w:szCs w:val="18"/>
        </w:rPr>
        <w:t xml:space="preserve"> 6.2, eerste lid, onderdeel a, onderdeel 4, </w:t>
      </w:r>
      <w:r w:rsidRPr="001A3F39" w:rsidR="00E50BC6">
        <w:rPr>
          <w:sz w:val="18"/>
          <w:szCs w:val="18"/>
        </w:rPr>
        <w:lastRenderedPageBreak/>
        <w:t>6.2a, 6.2b</w:t>
      </w:r>
      <w:r w:rsidR="004D4290">
        <w:rPr>
          <w:sz w:val="18"/>
          <w:szCs w:val="18"/>
        </w:rPr>
        <w:t xml:space="preserve">, </w:t>
      </w:r>
      <w:r w:rsidRPr="001A3F39" w:rsidR="00E50BC6">
        <w:rPr>
          <w:sz w:val="18"/>
          <w:szCs w:val="18"/>
        </w:rPr>
        <w:t>6.2c</w:t>
      </w:r>
      <w:r w:rsidR="004D4290">
        <w:rPr>
          <w:sz w:val="18"/>
          <w:szCs w:val="18"/>
        </w:rPr>
        <w:t xml:space="preserve">, </w:t>
      </w:r>
      <w:r w:rsidRPr="001A3F39">
        <w:rPr>
          <w:sz w:val="18"/>
          <w:szCs w:val="18"/>
        </w:rPr>
        <w:t xml:space="preserve">11.63, eerste lid, onderdeel a, onderdeel 4, </w:t>
      </w:r>
      <w:r w:rsidRPr="001A3F39" w:rsidR="008D0619">
        <w:rPr>
          <w:sz w:val="18"/>
          <w:szCs w:val="18"/>
        </w:rPr>
        <w:t>11.63a, 11.63b en 11.63c in de praktijk.</w:t>
      </w:r>
    </w:p>
    <w:p w:rsidRPr="001A3F39" w:rsidR="00E50BC6" w:rsidP="00791710" w:rsidRDefault="00E50BC6" w14:paraId="5FC25B17" w14:textId="77777777">
      <w:pPr>
        <w:spacing w:line="260" w:lineRule="atLeast"/>
        <w:rPr>
          <w:sz w:val="18"/>
          <w:szCs w:val="18"/>
        </w:rPr>
      </w:pPr>
    </w:p>
    <w:p w:rsidRPr="001A3F39" w:rsidR="000426ED" w:rsidP="00791710" w:rsidRDefault="000426ED" w14:paraId="09A27E9B" w14:textId="77777777">
      <w:pPr>
        <w:spacing w:line="260" w:lineRule="atLeast"/>
        <w:rPr>
          <w:sz w:val="18"/>
          <w:szCs w:val="18"/>
        </w:rPr>
      </w:pPr>
    </w:p>
    <w:p w:rsidRPr="001A3F39" w:rsidR="00E50BC6" w:rsidP="00E50BC6" w:rsidRDefault="00E50BC6" w14:paraId="7C428D16" w14:textId="1958ED82">
      <w:pPr>
        <w:spacing w:line="260" w:lineRule="atLeast"/>
        <w:rPr>
          <w:sz w:val="18"/>
          <w:szCs w:val="18"/>
        </w:rPr>
      </w:pPr>
      <w:r w:rsidRPr="001A3F39">
        <w:rPr>
          <w:sz w:val="18"/>
          <w:szCs w:val="18"/>
        </w:rPr>
        <w:t>D</w:t>
      </w:r>
    </w:p>
    <w:p w:rsidRPr="001A3F39" w:rsidR="00E50BC6" w:rsidP="00E50BC6" w:rsidRDefault="00E50BC6" w14:paraId="202B75FC" w14:textId="77777777">
      <w:pPr>
        <w:spacing w:line="260" w:lineRule="atLeast"/>
        <w:rPr>
          <w:sz w:val="18"/>
          <w:szCs w:val="18"/>
        </w:rPr>
      </w:pPr>
    </w:p>
    <w:p w:rsidRPr="001A3F39" w:rsidR="00E50BC6" w:rsidP="00E50BC6" w:rsidRDefault="00E50BC6" w14:paraId="3E5A1B17" w14:textId="221DA086">
      <w:pPr>
        <w:spacing w:line="260" w:lineRule="atLeast"/>
        <w:rPr>
          <w:sz w:val="18"/>
          <w:szCs w:val="18"/>
        </w:rPr>
      </w:pPr>
      <w:r w:rsidRPr="001A3F39">
        <w:rPr>
          <w:sz w:val="18"/>
          <w:szCs w:val="18"/>
        </w:rPr>
        <w:t>Aan artikel IV wordt een onderdeel toegevoegd luidende:</w:t>
      </w:r>
    </w:p>
    <w:p w:rsidRPr="001A3F39" w:rsidR="00E50BC6" w:rsidP="00E50BC6" w:rsidRDefault="00E50BC6" w14:paraId="21CE1354" w14:textId="77777777">
      <w:pPr>
        <w:spacing w:line="260" w:lineRule="atLeast"/>
        <w:rPr>
          <w:sz w:val="18"/>
          <w:szCs w:val="18"/>
        </w:rPr>
      </w:pPr>
      <w:r w:rsidRPr="001A3F39">
        <w:rPr>
          <w:sz w:val="18"/>
          <w:szCs w:val="18"/>
        </w:rPr>
        <w:t>E</w:t>
      </w:r>
    </w:p>
    <w:p w:rsidRPr="001A3F39" w:rsidR="00E50BC6" w:rsidP="00E50BC6" w:rsidRDefault="00E50BC6" w14:paraId="79C84C69" w14:textId="77777777">
      <w:pPr>
        <w:spacing w:line="260" w:lineRule="atLeast"/>
        <w:rPr>
          <w:sz w:val="18"/>
          <w:szCs w:val="18"/>
        </w:rPr>
      </w:pPr>
    </w:p>
    <w:p w:rsidRPr="001A3F39" w:rsidR="00E50BC6" w:rsidP="00E50BC6" w:rsidRDefault="00E50BC6" w14:paraId="1428629D" w14:textId="3EFE4112">
      <w:pPr>
        <w:spacing w:line="260" w:lineRule="atLeast"/>
        <w:rPr>
          <w:sz w:val="18"/>
          <w:szCs w:val="18"/>
        </w:rPr>
      </w:pPr>
      <w:r w:rsidRPr="001A3F39">
        <w:rPr>
          <w:sz w:val="18"/>
          <w:szCs w:val="18"/>
        </w:rPr>
        <w:t xml:space="preserve">Na artikel </w:t>
      </w:r>
      <w:r w:rsidRPr="001A3F39" w:rsidR="00462C97">
        <w:rPr>
          <w:sz w:val="18"/>
          <w:szCs w:val="18"/>
        </w:rPr>
        <w:t>164</w:t>
      </w:r>
      <w:r w:rsidRPr="001A3F39">
        <w:rPr>
          <w:sz w:val="18"/>
          <w:szCs w:val="18"/>
        </w:rPr>
        <w:t xml:space="preserve"> wordt een artikel ingevoegd, luidende: </w:t>
      </w:r>
    </w:p>
    <w:p w:rsidRPr="001A3F39" w:rsidR="00E50BC6" w:rsidP="00E50BC6" w:rsidRDefault="00E50BC6" w14:paraId="6C5BEE49" w14:textId="58322B58">
      <w:pPr>
        <w:spacing w:line="260" w:lineRule="atLeast"/>
        <w:rPr>
          <w:b/>
          <w:bCs/>
          <w:sz w:val="18"/>
          <w:szCs w:val="18"/>
        </w:rPr>
      </w:pPr>
      <w:r w:rsidRPr="001A3F39">
        <w:rPr>
          <w:b/>
          <w:bCs/>
          <w:sz w:val="18"/>
          <w:szCs w:val="18"/>
        </w:rPr>
        <w:t>Artikel 1</w:t>
      </w:r>
      <w:r w:rsidRPr="001A3F39" w:rsidR="00462C97">
        <w:rPr>
          <w:b/>
          <w:bCs/>
          <w:sz w:val="18"/>
          <w:szCs w:val="18"/>
        </w:rPr>
        <w:t>65</w:t>
      </w:r>
      <w:r w:rsidRPr="001A3F39">
        <w:rPr>
          <w:b/>
          <w:bCs/>
          <w:sz w:val="18"/>
          <w:szCs w:val="18"/>
        </w:rPr>
        <w:t xml:space="preserve">. Evaluatie Wet planmatige aanpak onderwijshuisvesting </w:t>
      </w:r>
    </w:p>
    <w:p w:rsidRPr="001A3F39" w:rsidR="004D4290" w:rsidP="004D4290" w:rsidRDefault="002D4C2B" w14:paraId="6309E026" w14:textId="349B9C3D">
      <w:pPr>
        <w:spacing w:line="260" w:lineRule="atLeast"/>
        <w:rPr>
          <w:sz w:val="18"/>
          <w:szCs w:val="18"/>
        </w:rPr>
      </w:pPr>
      <w:r w:rsidRPr="001A3F39">
        <w:rPr>
          <w:sz w:val="18"/>
          <w:szCs w:val="18"/>
        </w:rPr>
        <w:t>Onze Minister zendt binnen vijf jaar en binnen tien jaar na de inwerkingtreding van de Wet planmatige aanpak onderwijshuisvesting aan de Staten-Generaal een verslag over de doeltreffendheid en de effecten van de artikelen 79, eerste lid, onderdeel a, onderdeel 4,</w:t>
      </w:r>
      <w:r w:rsidR="004D4290">
        <w:rPr>
          <w:sz w:val="18"/>
          <w:szCs w:val="18"/>
        </w:rPr>
        <w:t xml:space="preserve"> </w:t>
      </w:r>
      <w:r w:rsidRPr="001A3F39">
        <w:rPr>
          <w:sz w:val="18"/>
          <w:szCs w:val="18"/>
        </w:rPr>
        <w:t>79a, 79b</w:t>
      </w:r>
      <w:r w:rsidR="004D4290">
        <w:rPr>
          <w:sz w:val="18"/>
          <w:szCs w:val="18"/>
        </w:rPr>
        <w:t xml:space="preserve">, </w:t>
      </w:r>
      <w:r w:rsidRPr="001A3F39">
        <w:rPr>
          <w:sz w:val="18"/>
          <w:szCs w:val="18"/>
        </w:rPr>
        <w:t xml:space="preserve">79c </w:t>
      </w:r>
      <w:r w:rsidRPr="001A3F39" w:rsidR="004D4290">
        <w:rPr>
          <w:sz w:val="18"/>
          <w:szCs w:val="18"/>
        </w:rPr>
        <w:t>en 99, derde lid, tweede volzin, in de praktijk.</w:t>
      </w:r>
    </w:p>
    <w:p w:rsidRPr="001A3F39" w:rsidR="00791710" w:rsidP="00791710" w:rsidRDefault="00791710" w14:paraId="186A36BB" w14:textId="77777777">
      <w:pPr>
        <w:spacing w:line="260" w:lineRule="atLeast"/>
        <w:rPr>
          <w:sz w:val="18"/>
          <w:szCs w:val="18"/>
        </w:rPr>
      </w:pPr>
    </w:p>
    <w:p w:rsidRPr="001A3F39" w:rsidR="007D6FAE" w:rsidP="007D6FAE" w:rsidRDefault="007D6FAE" w14:paraId="64BF6523" w14:textId="77777777">
      <w:pPr>
        <w:spacing w:line="260" w:lineRule="atLeast"/>
        <w:rPr>
          <w:sz w:val="18"/>
          <w:szCs w:val="18"/>
        </w:rPr>
      </w:pPr>
    </w:p>
    <w:p w:rsidRPr="001A3F39" w:rsidR="007D6FAE" w:rsidP="007D6FAE" w:rsidRDefault="00301FB4" w14:paraId="1D97CD74" w14:textId="77777777">
      <w:pPr>
        <w:pStyle w:val="ArialBold"/>
        <w:spacing w:line="260" w:lineRule="atLeast"/>
        <w:rPr>
          <w:bCs/>
          <w:sz w:val="18"/>
          <w:szCs w:val="18"/>
        </w:rPr>
      </w:pPr>
      <w:r w:rsidRPr="001A3F39">
        <w:rPr>
          <w:bCs/>
          <w:sz w:val="18"/>
          <w:szCs w:val="18"/>
        </w:rPr>
        <w:t>Toelichting</w:t>
      </w:r>
    </w:p>
    <w:p w:rsidRPr="001A3F39" w:rsidR="007D6FAE" w:rsidP="007D6FAE" w:rsidRDefault="007D6FAE" w14:paraId="63B19788" w14:textId="77777777">
      <w:pPr>
        <w:pStyle w:val="Koptekst"/>
        <w:tabs>
          <w:tab w:val="left" w:pos="720"/>
        </w:tabs>
        <w:spacing w:line="260" w:lineRule="atLeast"/>
        <w:rPr>
          <w:sz w:val="18"/>
          <w:szCs w:val="18"/>
        </w:rPr>
      </w:pPr>
    </w:p>
    <w:p w:rsidRPr="001A3F39" w:rsidR="000426ED" w:rsidP="000426ED" w:rsidRDefault="00E50BC6" w14:paraId="57A455B8" w14:textId="0917D9D6">
      <w:pPr>
        <w:pStyle w:val="Koptekst"/>
        <w:tabs>
          <w:tab w:val="left" w:pos="720"/>
        </w:tabs>
        <w:spacing w:line="260" w:lineRule="atLeast"/>
        <w:rPr>
          <w:sz w:val="18"/>
          <w:szCs w:val="18"/>
        </w:rPr>
      </w:pPr>
      <w:r w:rsidRPr="001A3F39">
        <w:rPr>
          <w:sz w:val="18"/>
          <w:szCs w:val="18"/>
        </w:rPr>
        <w:t xml:space="preserve">Deze nota van wijziging voorziet in een wettelijke evaluatieplicht van de de doeltreffendheid en de effecten </w:t>
      </w:r>
      <w:r w:rsidRPr="001A3F39" w:rsidR="000426ED">
        <w:rPr>
          <w:sz w:val="18"/>
          <w:szCs w:val="18"/>
        </w:rPr>
        <w:t>van de maatregelen in de praktijk. De maatregelen hebben in samenhang tot doel om te komen tot een meer planmatige en doelmatige aanpak van bouw en onderhoud van schoolgebouwen in het primair onderwijs en het voortgezet onderwijs en de</w:t>
      </w:r>
      <w:r w:rsidRPr="001A3F39" w:rsidR="007609A3">
        <w:rPr>
          <w:sz w:val="18"/>
          <w:szCs w:val="18"/>
        </w:rPr>
        <w:t xml:space="preserve"> v</w:t>
      </w:r>
      <w:r w:rsidRPr="001A3F39" w:rsidR="000426ED">
        <w:rPr>
          <w:sz w:val="18"/>
          <w:szCs w:val="18"/>
        </w:rPr>
        <w:t>erdeling van de verantwoordelijkheid voor de onderwijshuisvesting</w:t>
      </w:r>
      <w:r w:rsidRPr="001A3F39" w:rsidR="007609A3">
        <w:rPr>
          <w:sz w:val="18"/>
          <w:szCs w:val="18"/>
        </w:rPr>
        <w:t xml:space="preserve"> te verduidelijken</w:t>
      </w:r>
      <w:r w:rsidRPr="001A3F39" w:rsidR="000426ED">
        <w:rPr>
          <w:sz w:val="18"/>
          <w:szCs w:val="18"/>
        </w:rPr>
        <w:t>.</w:t>
      </w:r>
    </w:p>
    <w:p w:rsidRPr="001A3F39" w:rsidR="000426ED" w:rsidP="007D6FAE" w:rsidRDefault="000426ED" w14:paraId="3D9C1A01" w14:textId="56796AE7">
      <w:pPr>
        <w:pStyle w:val="Koptekst"/>
        <w:tabs>
          <w:tab w:val="left" w:pos="720"/>
        </w:tabs>
        <w:spacing w:line="260" w:lineRule="atLeast"/>
        <w:rPr>
          <w:sz w:val="18"/>
          <w:szCs w:val="18"/>
        </w:rPr>
      </w:pPr>
    </w:p>
    <w:p w:rsidRPr="001A3F39" w:rsidR="000426ED" w:rsidP="003A0122" w:rsidRDefault="000426ED" w14:paraId="143B8AD0" w14:textId="00F7C3F4">
      <w:pPr>
        <w:pStyle w:val="Koptekst"/>
        <w:tabs>
          <w:tab w:val="left" w:pos="720"/>
        </w:tabs>
        <w:spacing w:line="260" w:lineRule="atLeast"/>
        <w:rPr>
          <w:sz w:val="18"/>
          <w:szCs w:val="18"/>
        </w:rPr>
      </w:pPr>
      <w:r w:rsidRPr="001A3F39">
        <w:rPr>
          <w:sz w:val="18"/>
          <w:szCs w:val="18"/>
        </w:rPr>
        <w:t xml:space="preserve">Een evaluatie vijf jaar na inwerkingtreding geeft slechts een beperkt beeld, omdat </w:t>
      </w:r>
      <w:r w:rsidRPr="001A3F39" w:rsidR="003A0122">
        <w:rPr>
          <w:sz w:val="18"/>
          <w:szCs w:val="18"/>
        </w:rPr>
        <w:t>artikel III, onderdeel G, artikel IV, onderdeel D,</w:t>
      </w:r>
      <w:r w:rsidRPr="001A3F39" w:rsidR="00E50BC6">
        <w:rPr>
          <w:sz w:val="18"/>
          <w:szCs w:val="18"/>
        </w:rPr>
        <w:t xml:space="preserve"> </w:t>
      </w:r>
      <w:r w:rsidRPr="001A3F39" w:rsidR="003A0122">
        <w:rPr>
          <w:sz w:val="18"/>
          <w:szCs w:val="18"/>
        </w:rPr>
        <w:t xml:space="preserve">en artikel V van het wetsvoorstel </w:t>
      </w:r>
      <w:r w:rsidRPr="001A3F39">
        <w:rPr>
          <w:sz w:val="18"/>
          <w:szCs w:val="18"/>
        </w:rPr>
        <w:t xml:space="preserve">een invoeringstermijn </w:t>
      </w:r>
      <w:r w:rsidRPr="001A3F39" w:rsidR="003A0122">
        <w:rPr>
          <w:sz w:val="18"/>
          <w:szCs w:val="18"/>
        </w:rPr>
        <w:t>regelen ten aanzien van de artikelen over meerjarenonderhoudsplannen en integrale huisvestingsplannen. Het eerste meerjarenonderhoudsplan moet twee jaar na inwerkingtreding van de wettelijke bepalingen over meerjarenonderhoudsplannen zijn vastgesteld en het eerste integrale huisvestingsplan drie jaar na inwerkingtreding van de wettelijke bepalingen.</w:t>
      </w:r>
      <w:r w:rsidR="00D313EC">
        <w:rPr>
          <w:sz w:val="18"/>
          <w:szCs w:val="18"/>
        </w:rPr>
        <w:t xml:space="preserve"> Vijf jaar na inwerkingtreding is de periode waarop de eerste MJOP’s en IHP’s zien nog niet afgelopen. </w:t>
      </w:r>
      <w:r w:rsidRPr="001A3F39" w:rsidR="003A0122">
        <w:rPr>
          <w:sz w:val="18"/>
          <w:szCs w:val="18"/>
        </w:rPr>
        <w:t xml:space="preserve"> </w:t>
      </w:r>
      <w:r w:rsidRPr="001A3F39">
        <w:rPr>
          <w:sz w:val="18"/>
          <w:szCs w:val="18"/>
        </w:rPr>
        <w:t xml:space="preserve">Een tweede evaluatie tien jaar na inwerkingtreding is daarom noodzakelijk om de doeltreffendheid en effecten volledig te kunnen evalueren. </w:t>
      </w:r>
    </w:p>
    <w:p w:rsidRPr="001A3F39" w:rsidR="000426ED" w:rsidP="003A0122" w:rsidRDefault="000426ED" w14:paraId="00D16E34" w14:textId="77777777">
      <w:pPr>
        <w:pStyle w:val="Koptekst"/>
        <w:tabs>
          <w:tab w:val="left" w:pos="720"/>
        </w:tabs>
        <w:spacing w:line="260" w:lineRule="atLeast"/>
        <w:rPr>
          <w:sz w:val="18"/>
          <w:szCs w:val="18"/>
        </w:rPr>
      </w:pPr>
    </w:p>
    <w:p w:rsidRPr="001A3F39" w:rsidR="007D6FAE" w:rsidP="003A0122" w:rsidRDefault="000426ED" w14:paraId="2F0F25AF" w14:textId="21BFA40F">
      <w:pPr>
        <w:pStyle w:val="Koptekst"/>
        <w:tabs>
          <w:tab w:val="left" w:pos="720"/>
        </w:tabs>
        <w:spacing w:line="260" w:lineRule="atLeast"/>
        <w:rPr>
          <w:sz w:val="18"/>
          <w:szCs w:val="18"/>
        </w:rPr>
      </w:pPr>
      <w:r w:rsidRPr="001A3F39">
        <w:rPr>
          <w:sz w:val="18"/>
          <w:szCs w:val="18"/>
        </w:rPr>
        <w:t>Vanwege de samenhang van de maatregelen om te komen tot een meer planmatige en doelmatige aanpak van bouw en onderhoud van de onderwijshuisvesting worden ook de andere maatregelen in het wetsvoorstel binnen 5 jaar en binnen 10 jaar ge</w:t>
      </w:r>
      <w:r w:rsidR="00A201A6">
        <w:rPr>
          <w:sz w:val="18"/>
          <w:szCs w:val="18"/>
        </w:rPr>
        <w:t>e</w:t>
      </w:r>
      <w:r w:rsidRPr="001A3F39">
        <w:rPr>
          <w:sz w:val="18"/>
          <w:szCs w:val="18"/>
        </w:rPr>
        <w:t xml:space="preserve">valueerd. </w:t>
      </w:r>
    </w:p>
    <w:p w:rsidRPr="001A3F39" w:rsidR="00E50BC6" w:rsidP="007D6FAE" w:rsidRDefault="00E50BC6" w14:paraId="7F6AB9E8" w14:textId="77777777">
      <w:pPr>
        <w:spacing w:line="260" w:lineRule="atLeast"/>
        <w:rPr>
          <w:sz w:val="18"/>
          <w:szCs w:val="18"/>
        </w:rPr>
      </w:pPr>
    </w:p>
    <w:p w:rsidRPr="001A3F39" w:rsidR="00E50BC6" w:rsidP="007D6FAE" w:rsidRDefault="00E50BC6" w14:paraId="713C4169" w14:textId="77777777">
      <w:pPr>
        <w:spacing w:line="260" w:lineRule="atLeast"/>
        <w:rPr>
          <w:sz w:val="18"/>
          <w:szCs w:val="18"/>
        </w:rPr>
      </w:pPr>
    </w:p>
    <w:p w:rsidRPr="001A3F39" w:rsidR="007D6FAE" w:rsidP="007D6FAE" w:rsidRDefault="007D6FAE" w14:paraId="732565EA" w14:textId="77777777">
      <w:pPr>
        <w:spacing w:line="260" w:lineRule="atLeast"/>
        <w:rPr>
          <w:sz w:val="18"/>
          <w:szCs w:val="18"/>
        </w:rPr>
      </w:pPr>
    </w:p>
    <w:p w:rsidRPr="001A3F39" w:rsidR="001E61E4" w:rsidP="007D6FAE" w:rsidRDefault="00301FB4" w14:paraId="4268FF17" w14:textId="77777777">
      <w:pPr>
        <w:pStyle w:val="ArialBold"/>
        <w:rPr>
          <w:b w:val="0"/>
          <w:bCs/>
          <w:noProof w:val="0"/>
          <w:sz w:val="18"/>
          <w:szCs w:val="18"/>
        </w:rPr>
      </w:pPr>
      <w:r w:rsidRPr="001A3F39">
        <w:rPr>
          <w:b w:val="0"/>
          <w:bCs/>
          <w:noProof w:val="0"/>
          <w:sz w:val="18"/>
          <w:szCs w:val="18"/>
        </w:rPr>
        <w:t>De Staatssecretaris van Onderwijs, Cultuur en Wetenschap</w:t>
      </w:r>
      <w:r w:rsidRPr="001A3F39" w:rsidR="00745AE0">
        <w:rPr>
          <w:b w:val="0"/>
          <w:bCs/>
          <w:noProof w:val="0"/>
          <w:sz w:val="18"/>
          <w:szCs w:val="18"/>
        </w:rPr>
        <w:t>,</w:t>
      </w:r>
    </w:p>
    <w:p w:rsidRPr="001A3F39" w:rsidR="00745AE0" w:rsidP="003A7160" w:rsidRDefault="00745AE0" w14:paraId="510EF1E4" w14:textId="77777777">
      <w:pPr>
        <w:rPr>
          <w:sz w:val="18"/>
          <w:szCs w:val="18"/>
        </w:rPr>
      </w:pPr>
    </w:p>
    <w:p w:rsidRPr="001A3F39" w:rsidR="00745AE0" w:rsidP="003A7160" w:rsidRDefault="00745AE0" w14:paraId="45629E2E" w14:textId="77777777">
      <w:pPr>
        <w:rPr>
          <w:sz w:val="18"/>
          <w:szCs w:val="18"/>
        </w:rPr>
      </w:pPr>
    </w:p>
    <w:p w:rsidRPr="001A3F39" w:rsidR="00745AE0" w:rsidP="003A7160" w:rsidRDefault="00745AE0" w14:paraId="735B2931" w14:textId="77777777">
      <w:pPr>
        <w:rPr>
          <w:sz w:val="18"/>
          <w:szCs w:val="18"/>
        </w:rPr>
      </w:pPr>
    </w:p>
    <w:p w:rsidRPr="001A3F39" w:rsidR="00745AE0" w:rsidP="003A7160" w:rsidRDefault="00745AE0" w14:paraId="0B483EE1" w14:textId="77777777">
      <w:pPr>
        <w:rPr>
          <w:sz w:val="18"/>
          <w:szCs w:val="18"/>
        </w:rPr>
      </w:pPr>
    </w:p>
    <w:p w:rsidRPr="001A3F39" w:rsidR="00745AE0" w:rsidP="003A7160" w:rsidRDefault="00B41990" w14:paraId="6DA0FDCD" w14:textId="5ED24B13">
      <w:pPr>
        <w:rPr>
          <w:sz w:val="18"/>
          <w:szCs w:val="18"/>
        </w:rPr>
      </w:pPr>
      <w:r>
        <w:rPr>
          <w:sz w:val="18"/>
          <w:szCs w:val="18"/>
        </w:rPr>
        <w:t>Koen Becking</w:t>
      </w:r>
    </w:p>
    <w:p w:rsidRPr="001A3F39" w:rsidR="00C7013F" w:rsidP="003A7160" w:rsidRDefault="00C7013F" w14:paraId="248609D7" w14:textId="77777777">
      <w:pPr>
        <w:rPr>
          <w:sz w:val="18"/>
          <w:szCs w:val="18"/>
        </w:rPr>
      </w:pPr>
    </w:p>
    <w:p w:rsidRPr="001A3F39" w:rsidR="00184B30" w:rsidP="00A60B58" w:rsidRDefault="00184B30" w14:paraId="45344B7B" w14:textId="77777777">
      <w:pPr>
        <w:rPr>
          <w:sz w:val="18"/>
          <w:szCs w:val="18"/>
        </w:rPr>
      </w:pPr>
    </w:p>
    <w:p w:rsidRPr="001A3F39" w:rsidR="00184B30" w:rsidP="00A60B58" w:rsidRDefault="00184B30" w14:paraId="02408760" w14:textId="77777777">
      <w:pPr>
        <w:rPr>
          <w:sz w:val="18"/>
          <w:szCs w:val="18"/>
        </w:rPr>
        <w:sectPr w:rsidRPr="001A3F39" w:rsidR="00184B30" w:rsidSect="004F34AA">
          <w:footerReference w:type="even" r:id="rId8"/>
          <w:footerReference w:type="default" r:id="rId9"/>
          <w:pgSz w:w="11907" w:h="16840" w:code="9"/>
          <w:pgMar w:top="1418" w:right="1440" w:bottom="1418" w:left="2268" w:header="709" w:footer="709" w:gutter="0"/>
          <w:cols w:space="720"/>
          <w:docGrid w:linePitch="299"/>
        </w:sectPr>
      </w:pPr>
    </w:p>
    <w:p w:rsidRPr="001A3F39" w:rsidR="006371FE" w:rsidP="001E61E4" w:rsidRDefault="006371FE" w14:paraId="0096319D" w14:textId="77777777">
      <w:pPr>
        <w:tabs>
          <w:tab w:val="left" w:pos="2040"/>
        </w:tabs>
        <w:rPr>
          <w:sz w:val="18"/>
          <w:szCs w:val="18"/>
        </w:rPr>
      </w:pPr>
    </w:p>
    <w:sectPr w:rsidRPr="001A3F39"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DE9D" w14:textId="77777777" w:rsidR="00301FB4" w:rsidRDefault="00301FB4">
      <w:pPr>
        <w:spacing w:line="240" w:lineRule="auto"/>
      </w:pPr>
      <w:r>
        <w:separator/>
      </w:r>
    </w:p>
  </w:endnote>
  <w:endnote w:type="continuationSeparator" w:id="0">
    <w:p w14:paraId="10182431" w14:textId="77777777" w:rsidR="00301FB4" w:rsidRDefault="00301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BFB5" w14:textId="77777777" w:rsidR="008E6E93" w:rsidRDefault="00301FB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B0F5CBE"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26354C00" w14:textId="77777777" w:rsidR="000100EF" w:rsidRDefault="00301FB4">
        <w:pPr>
          <w:pStyle w:val="Voettekst"/>
          <w:jc w:val="right"/>
        </w:pPr>
        <w:r>
          <w:fldChar w:fldCharType="begin"/>
        </w:r>
        <w:r>
          <w:instrText>PAGE   \* MERGEFORMAT</w:instrText>
        </w:r>
        <w:r>
          <w:fldChar w:fldCharType="separate"/>
        </w:r>
        <w:r>
          <w:t>1</w:t>
        </w:r>
        <w:r>
          <w:fldChar w:fldCharType="end"/>
        </w:r>
      </w:p>
    </w:sdtContent>
  </w:sdt>
  <w:p w14:paraId="65B16AF9" w14:textId="11576CA7" w:rsidR="008E6E93" w:rsidRPr="00B54606" w:rsidRDefault="00301FB4"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w:t>
    </w:r>
    <w:r w:rsidR="005A195A" w:rsidRPr="005A195A">
      <w:rPr>
        <w:sz w:val="18"/>
        <w:szCs w:val="18"/>
      </w:rPr>
      <w:t>8129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D389" w14:textId="77777777" w:rsidR="001E61E4" w:rsidRPr="00603C68" w:rsidRDefault="00301FB4">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4CB01366" w14:textId="77777777" w:rsidR="001E61E4" w:rsidRDefault="00301FB4">
    <w:pPr>
      <w:framePr w:hSpace="142" w:wrap="around" w:vAnchor="page" w:hAnchor="page" w:x="449" w:y="15174" w:anchorLock="1"/>
      <w:textDirection w:val="btLr"/>
      <w:rPr>
        <w:sz w:val="14"/>
      </w:rPr>
    </w:pPr>
    <w:r>
      <w:rPr>
        <w:sz w:val="12"/>
      </w:rPr>
      <w:t>OCW 10928</w:t>
    </w:r>
  </w:p>
  <w:p w14:paraId="19E507B9"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5328" w14:textId="77777777" w:rsidR="00301FB4" w:rsidRDefault="00301FB4">
      <w:pPr>
        <w:spacing w:line="240" w:lineRule="auto"/>
      </w:pPr>
      <w:r>
        <w:separator/>
      </w:r>
    </w:p>
  </w:footnote>
  <w:footnote w:type="continuationSeparator" w:id="0">
    <w:p w14:paraId="2C3FBC91" w14:textId="77777777" w:rsidR="00301FB4" w:rsidRDefault="00301F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A8F8C496">
      <w:start w:val="1"/>
      <w:numFmt w:val="bullet"/>
      <w:pStyle w:val="Lijstopsomteken"/>
      <w:lvlText w:val="•"/>
      <w:lvlJc w:val="left"/>
      <w:pPr>
        <w:tabs>
          <w:tab w:val="num" w:pos="227"/>
        </w:tabs>
        <w:ind w:left="227" w:hanging="227"/>
      </w:pPr>
      <w:rPr>
        <w:rFonts w:ascii="Verdana" w:hAnsi="Verdana" w:hint="default"/>
        <w:sz w:val="18"/>
        <w:szCs w:val="18"/>
      </w:rPr>
    </w:lvl>
    <w:lvl w:ilvl="1" w:tplc="53C62EB6" w:tentative="1">
      <w:start w:val="1"/>
      <w:numFmt w:val="bullet"/>
      <w:lvlText w:val="o"/>
      <w:lvlJc w:val="left"/>
      <w:pPr>
        <w:tabs>
          <w:tab w:val="num" w:pos="1440"/>
        </w:tabs>
        <w:ind w:left="1440" w:hanging="360"/>
      </w:pPr>
      <w:rPr>
        <w:rFonts w:ascii="Courier New" w:hAnsi="Courier New" w:cs="Courier New" w:hint="default"/>
      </w:rPr>
    </w:lvl>
    <w:lvl w:ilvl="2" w:tplc="6BD2BAC6" w:tentative="1">
      <w:start w:val="1"/>
      <w:numFmt w:val="bullet"/>
      <w:lvlText w:val=""/>
      <w:lvlJc w:val="left"/>
      <w:pPr>
        <w:tabs>
          <w:tab w:val="num" w:pos="2160"/>
        </w:tabs>
        <w:ind w:left="2160" w:hanging="360"/>
      </w:pPr>
      <w:rPr>
        <w:rFonts w:ascii="Wingdings" w:hAnsi="Wingdings" w:hint="default"/>
      </w:rPr>
    </w:lvl>
    <w:lvl w:ilvl="3" w:tplc="D0587ABC" w:tentative="1">
      <w:start w:val="1"/>
      <w:numFmt w:val="bullet"/>
      <w:lvlText w:val=""/>
      <w:lvlJc w:val="left"/>
      <w:pPr>
        <w:tabs>
          <w:tab w:val="num" w:pos="2880"/>
        </w:tabs>
        <w:ind w:left="2880" w:hanging="360"/>
      </w:pPr>
      <w:rPr>
        <w:rFonts w:ascii="Symbol" w:hAnsi="Symbol" w:hint="default"/>
      </w:rPr>
    </w:lvl>
    <w:lvl w:ilvl="4" w:tplc="1F4029E0" w:tentative="1">
      <w:start w:val="1"/>
      <w:numFmt w:val="bullet"/>
      <w:lvlText w:val="o"/>
      <w:lvlJc w:val="left"/>
      <w:pPr>
        <w:tabs>
          <w:tab w:val="num" w:pos="3600"/>
        </w:tabs>
        <w:ind w:left="3600" w:hanging="360"/>
      </w:pPr>
      <w:rPr>
        <w:rFonts w:ascii="Courier New" w:hAnsi="Courier New" w:cs="Courier New" w:hint="default"/>
      </w:rPr>
    </w:lvl>
    <w:lvl w:ilvl="5" w:tplc="D0F83A3E" w:tentative="1">
      <w:start w:val="1"/>
      <w:numFmt w:val="bullet"/>
      <w:lvlText w:val=""/>
      <w:lvlJc w:val="left"/>
      <w:pPr>
        <w:tabs>
          <w:tab w:val="num" w:pos="4320"/>
        </w:tabs>
        <w:ind w:left="4320" w:hanging="360"/>
      </w:pPr>
      <w:rPr>
        <w:rFonts w:ascii="Wingdings" w:hAnsi="Wingdings" w:hint="default"/>
      </w:rPr>
    </w:lvl>
    <w:lvl w:ilvl="6" w:tplc="B4FCD8DE" w:tentative="1">
      <w:start w:val="1"/>
      <w:numFmt w:val="bullet"/>
      <w:lvlText w:val=""/>
      <w:lvlJc w:val="left"/>
      <w:pPr>
        <w:tabs>
          <w:tab w:val="num" w:pos="5040"/>
        </w:tabs>
        <w:ind w:left="5040" w:hanging="360"/>
      </w:pPr>
      <w:rPr>
        <w:rFonts w:ascii="Symbol" w:hAnsi="Symbol" w:hint="default"/>
      </w:rPr>
    </w:lvl>
    <w:lvl w:ilvl="7" w:tplc="559A50B6" w:tentative="1">
      <w:start w:val="1"/>
      <w:numFmt w:val="bullet"/>
      <w:lvlText w:val="o"/>
      <w:lvlJc w:val="left"/>
      <w:pPr>
        <w:tabs>
          <w:tab w:val="num" w:pos="5760"/>
        </w:tabs>
        <w:ind w:left="5760" w:hanging="360"/>
      </w:pPr>
      <w:rPr>
        <w:rFonts w:ascii="Courier New" w:hAnsi="Courier New" w:cs="Courier New" w:hint="default"/>
      </w:rPr>
    </w:lvl>
    <w:lvl w:ilvl="8" w:tplc="CF2421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10585"/>
    <w:multiLevelType w:val="hybridMultilevel"/>
    <w:tmpl w:val="4022B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39526CCE">
      <w:start w:val="1"/>
      <w:numFmt w:val="bullet"/>
      <w:pStyle w:val="Lijstopsomteken2"/>
      <w:lvlText w:val="–"/>
      <w:lvlJc w:val="left"/>
      <w:pPr>
        <w:tabs>
          <w:tab w:val="num" w:pos="227"/>
        </w:tabs>
        <w:ind w:left="227" w:firstLine="0"/>
      </w:pPr>
      <w:rPr>
        <w:rFonts w:ascii="Verdana" w:hAnsi="Verdana" w:hint="default"/>
      </w:rPr>
    </w:lvl>
    <w:lvl w:ilvl="1" w:tplc="B8180DE8" w:tentative="1">
      <w:start w:val="1"/>
      <w:numFmt w:val="bullet"/>
      <w:lvlText w:val="o"/>
      <w:lvlJc w:val="left"/>
      <w:pPr>
        <w:tabs>
          <w:tab w:val="num" w:pos="1440"/>
        </w:tabs>
        <w:ind w:left="1440" w:hanging="360"/>
      </w:pPr>
      <w:rPr>
        <w:rFonts w:ascii="Courier New" w:hAnsi="Courier New" w:cs="Courier New" w:hint="default"/>
      </w:rPr>
    </w:lvl>
    <w:lvl w:ilvl="2" w:tplc="F6A241E4" w:tentative="1">
      <w:start w:val="1"/>
      <w:numFmt w:val="bullet"/>
      <w:lvlText w:val=""/>
      <w:lvlJc w:val="left"/>
      <w:pPr>
        <w:tabs>
          <w:tab w:val="num" w:pos="2160"/>
        </w:tabs>
        <w:ind w:left="2160" w:hanging="360"/>
      </w:pPr>
      <w:rPr>
        <w:rFonts w:ascii="Wingdings" w:hAnsi="Wingdings" w:hint="default"/>
      </w:rPr>
    </w:lvl>
    <w:lvl w:ilvl="3" w:tplc="154A30FC" w:tentative="1">
      <w:start w:val="1"/>
      <w:numFmt w:val="bullet"/>
      <w:lvlText w:val=""/>
      <w:lvlJc w:val="left"/>
      <w:pPr>
        <w:tabs>
          <w:tab w:val="num" w:pos="2880"/>
        </w:tabs>
        <w:ind w:left="2880" w:hanging="360"/>
      </w:pPr>
      <w:rPr>
        <w:rFonts w:ascii="Symbol" w:hAnsi="Symbol" w:hint="default"/>
      </w:rPr>
    </w:lvl>
    <w:lvl w:ilvl="4" w:tplc="86C4B24E" w:tentative="1">
      <w:start w:val="1"/>
      <w:numFmt w:val="bullet"/>
      <w:lvlText w:val="o"/>
      <w:lvlJc w:val="left"/>
      <w:pPr>
        <w:tabs>
          <w:tab w:val="num" w:pos="3600"/>
        </w:tabs>
        <w:ind w:left="3600" w:hanging="360"/>
      </w:pPr>
      <w:rPr>
        <w:rFonts w:ascii="Courier New" w:hAnsi="Courier New" w:cs="Courier New" w:hint="default"/>
      </w:rPr>
    </w:lvl>
    <w:lvl w:ilvl="5" w:tplc="E362B742" w:tentative="1">
      <w:start w:val="1"/>
      <w:numFmt w:val="bullet"/>
      <w:lvlText w:val=""/>
      <w:lvlJc w:val="left"/>
      <w:pPr>
        <w:tabs>
          <w:tab w:val="num" w:pos="4320"/>
        </w:tabs>
        <w:ind w:left="4320" w:hanging="360"/>
      </w:pPr>
      <w:rPr>
        <w:rFonts w:ascii="Wingdings" w:hAnsi="Wingdings" w:hint="default"/>
      </w:rPr>
    </w:lvl>
    <w:lvl w:ilvl="6" w:tplc="EFDC8240" w:tentative="1">
      <w:start w:val="1"/>
      <w:numFmt w:val="bullet"/>
      <w:lvlText w:val=""/>
      <w:lvlJc w:val="left"/>
      <w:pPr>
        <w:tabs>
          <w:tab w:val="num" w:pos="5040"/>
        </w:tabs>
        <w:ind w:left="5040" w:hanging="360"/>
      </w:pPr>
      <w:rPr>
        <w:rFonts w:ascii="Symbol" w:hAnsi="Symbol" w:hint="default"/>
      </w:rPr>
    </w:lvl>
    <w:lvl w:ilvl="7" w:tplc="3878ABD4" w:tentative="1">
      <w:start w:val="1"/>
      <w:numFmt w:val="bullet"/>
      <w:lvlText w:val="o"/>
      <w:lvlJc w:val="left"/>
      <w:pPr>
        <w:tabs>
          <w:tab w:val="num" w:pos="5760"/>
        </w:tabs>
        <w:ind w:left="5760" w:hanging="360"/>
      </w:pPr>
      <w:rPr>
        <w:rFonts w:ascii="Courier New" w:hAnsi="Courier New" w:cs="Courier New" w:hint="default"/>
      </w:rPr>
    </w:lvl>
    <w:lvl w:ilvl="8" w:tplc="67C8EF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47F55"/>
    <w:multiLevelType w:val="hybridMultilevel"/>
    <w:tmpl w:val="88EE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0B0540"/>
    <w:multiLevelType w:val="hybridMultilevel"/>
    <w:tmpl w:val="8D687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494960"/>
    <w:multiLevelType w:val="hybridMultilevel"/>
    <w:tmpl w:val="FEC8F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66461C"/>
    <w:multiLevelType w:val="hybridMultilevel"/>
    <w:tmpl w:val="87F08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3C428D"/>
    <w:multiLevelType w:val="hybridMultilevel"/>
    <w:tmpl w:val="E5B85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51595112">
    <w:abstractNumId w:val="0"/>
  </w:num>
  <w:num w:numId="2" w16cid:durableId="2014139522">
    <w:abstractNumId w:val="2"/>
  </w:num>
  <w:num w:numId="3" w16cid:durableId="486634744">
    <w:abstractNumId w:val="1"/>
  </w:num>
  <w:num w:numId="4" w16cid:durableId="32732216">
    <w:abstractNumId w:val="4"/>
  </w:num>
  <w:num w:numId="5" w16cid:durableId="369377999">
    <w:abstractNumId w:val="6"/>
  </w:num>
  <w:num w:numId="6" w16cid:durableId="1053962632">
    <w:abstractNumId w:val="7"/>
  </w:num>
  <w:num w:numId="7" w16cid:durableId="575016266">
    <w:abstractNumId w:val="5"/>
  </w:num>
  <w:num w:numId="8" w16cid:durableId="1660763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23539"/>
    <w:rsid w:val="000426ED"/>
    <w:rsid w:val="0005424E"/>
    <w:rsid w:val="00064A0A"/>
    <w:rsid w:val="000956C0"/>
    <w:rsid w:val="000A7A8D"/>
    <w:rsid w:val="000C45A6"/>
    <w:rsid w:val="000D608E"/>
    <w:rsid w:val="000E6900"/>
    <w:rsid w:val="0010350E"/>
    <w:rsid w:val="00135384"/>
    <w:rsid w:val="00146972"/>
    <w:rsid w:val="00163E98"/>
    <w:rsid w:val="00164C01"/>
    <w:rsid w:val="00183FEA"/>
    <w:rsid w:val="00184B30"/>
    <w:rsid w:val="001A3F39"/>
    <w:rsid w:val="001E61E4"/>
    <w:rsid w:val="001F57AD"/>
    <w:rsid w:val="00222935"/>
    <w:rsid w:val="00246E96"/>
    <w:rsid w:val="002575A4"/>
    <w:rsid w:val="0029552C"/>
    <w:rsid w:val="002B2EE2"/>
    <w:rsid w:val="002D4C2B"/>
    <w:rsid w:val="00301FB4"/>
    <w:rsid w:val="003321FB"/>
    <w:rsid w:val="003371F3"/>
    <w:rsid w:val="0036327C"/>
    <w:rsid w:val="003719E3"/>
    <w:rsid w:val="003A0122"/>
    <w:rsid w:val="003A7160"/>
    <w:rsid w:val="0044688C"/>
    <w:rsid w:val="00462C97"/>
    <w:rsid w:val="004D4290"/>
    <w:rsid w:val="004F34AA"/>
    <w:rsid w:val="0054475B"/>
    <w:rsid w:val="005823FA"/>
    <w:rsid w:val="00593585"/>
    <w:rsid w:val="005A195A"/>
    <w:rsid w:val="005C21D7"/>
    <w:rsid w:val="00603C68"/>
    <w:rsid w:val="006338E5"/>
    <w:rsid w:val="006371FE"/>
    <w:rsid w:val="00683886"/>
    <w:rsid w:val="006A533F"/>
    <w:rsid w:val="006B4D99"/>
    <w:rsid w:val="00745AE0"/>
    <w:rsid w:val="00754BEF"/>
    <w:rsid w:val="00755AD3"/>
    <w:rsid w:val="007609A3"/>
    <w:rsid w:val="00791710"/>
    <w:rsid w:val="00793CEE"/>
    <w:rsid w:val="007D2015"/>
    <w:rsid w:val="007D6FAE"/>
    <w:rsid w:val="007E4157"/>
    <w:rsid w:val="00806A50"/>
    <w:rsid w:val="00827E33"/>
    <w:rsid w:val="008462B8"/>
    <w:rsid w:val="0084643D"/>
    <w:rsid w:val="008645CD"/>
    <w:rsid w:val="0087358B"/>
    <w:rsid w:val="00874659"/>
    <w:rsid w:val="008853BB"/>
    <w:rsid w:val="00887699"/>
    <w:rsid w:val="008C4A81"/>
    <w:rsid w:val="008D0619"/>
    <w:rsid w:val="008E6E93"/>
    <w:rsid w:val="008F57F7"/>
    <w:rsid w:val="00901114"/>
    <w:rsid w:val="00955381"/>
    <w:rsid w:val="00963698"/>
    <w:rsid w:val="0099766C"/>
    <w:rsid w:val="009A3FB2"/>
    <w:rsid w:val="009B74DE"/>
    <w:rsid w:val="00A201A6"/>
    <w:rsid w:val="00A60B58"/>
    <w:rsid w:val="00AF57C7"/>
    <w:rsid w:val="00B317F5"/>
    <w:rsid w:val="00B32F89"/>
    <w:rsid w:val="00B41990"/>
    <w:rsid w:val="00B41BBB"/>
    <w:rsid w:val="00B43004"/>
    <w:rsid w:val="00B5063C"/>
    <w:rsid w:val="00B54606"/>
    <w:rsid w:val="00B975AA"/>
    <w:rsid w:val="00BB3DE9"/>
    <w:rsid w:val="00BD0E17"/>
    <w:rsid w:val="00C23230"/>
    <w:rsid w:val="00C26834"/>
    <w:rsid w:val="00C43C9A"/>
    <w:rsid w:val="00C7013F"/>
    <w:rsid w:val="00CA7E1E"/>
    <w:rsid w:val="00CB1B4A"/>
    <w:rsid w:val="00CD1846"/>
    <w:rsid w:val="00D17010"/>
    <w:rsid w:val="00D313EC"/>
    <w:rsid w:val="00D70A63"/>
    <w:rsid w:val="00DF448F"/>
    <w:rsid w:val="00E35822"/>
    <w:rsid w:val="00E50BC6"/>
    <w:rsid w:val="00E83883"/>
    <w:rsid w:val="00E841AB"/>
    <w:rsid w:val="00EB4CF1"/>
    <w:rsid w:val="00F32EEA"/>
    <w:rsid w:val="00F87B02"/>
    <w:rsid w:val="00F970F5"/>
    <w:rsid w:val="00FA4D9F"/>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733FB"/>
  <w15:docId w15:val="{18A770BE-7608-4AF3-B195-9685F2A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0619"/>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791710"/>
    <w:rPr>
      <w:color w:val="605E5C"/>
      <w:shd w:val="clear" w:color="auto" w:fill="E1DFDD"/>
    </w:rPr>
  </w:style>
  <w:style w:type="paragraph" w:styleId="Lijstalinea">
    <w:name w:val="List Paragraph"/>
    <w:basedOn w:val="Standaard"/>
    <w:uiPriority w:val="34"/>
    <w:qFormat/>
    <w:rsid w:val="00791710"/>
    <w:pPr>
      <w:ind w:left="720"/>
      <w:contextualSpacing/>
    </w:pPr>
  </w:style>
  <w:style w:type="character" w:styleId="Verwijzingopmerking">
    <w:name w:val="annotation reference"/>
    <w:basedOn w:val="Standaardalinea-lettertype"/>
    <w:uiPriority w:val="99"/>
    <w:semiHidden/>
    <w:unhideWhenUsed/>
    <w:rsid w:val="00791710"/>
    <w:rPr>
      <w:sz w:val="16"/>
      <w:szCs w:val="16"/>
    </w:rPr>
  </w:style>
  <w:style w:type="paragraph" w:styleId="Tekstopmerking">
    <w:name w:val="annotation text"/>
    <w:basedOn w:val="Standaard"/>
    <w:link w:val="TekstopmerkingChar"/>
    <w:uiPriority w:val="99"/>
    <w:unhideWhenUsed/>
    <w:rsid w:val="00791710"/>
    <w:pPr>
      <w:spacing w:line="240" w:lineRule="auto"/>
    </w:pPr>
    <w:rPr>
      <w:szCs w:val="20"/>
    </w:rPr>
  </w:style>
  <w:style w:type="character" w:customStyle="1" w:styleId="TekstopmerkingChar">
    <w:name w:val="Tekst opmerking Char"/>
    <w:basedOn w:val="Standaardalinea-lettertype"/>
    <w:link w:val="Tekstopmerking"/>
    <w:uiPriority w:val="99"/>
    <w:rsid w:val="00791710"/>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791710"/>
    <w:rPr>
      <w:b/>
      <w:bCs/>
    </w:rPr>
  </w:style>
  <w:style w:type="character" w:customStyle="1" w:styleId="OnderwerpvanopmerkingChar">
    <w:name w:val="Onderwerp van opmerking Char"/>
    <w:basedOn w:val="TekstopmerkingChar"/>
    <w:link w:val="Onderwerpvanopmerking"/>
    <w:uiPriority w:val="99"/>
    <w:semiHidden/>
    <w:rsid w:val="00791710"/>
    <w:rPr>
      <w:rFonts w:ascii="Verdana" w:hAnsi="Verdana"/>
      <w:b/>
      <w:bCs/>
      <w:noProof/>
      <w:lang w:val="nl-NL"/>
    </w:rPr>
  </w:style>
  <w:style w:type="paragraph" w:styleId="Revisie">
    <w:name w:val="Revision"/>
    <w:hidden/>
    <w:uiPriority w:val="99"/>
    <w:semiHidden/>
    <w:rsid w:val="002575A4"/>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614</ap:Words>
  <ap:Characters>3377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2025-09-10T07:12:00.0000000Z</dcterms:created>
  <dcterms:modified xsi:type="dcterms:W3CDTF">2025-09-10T07:12:00.0000000Z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O203JAN</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O203JAN</vt:lpwstr>
  </property>
</Properties>
</file>