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5002" w:rsidR="000E39D4" w:rsidRDefault="001854C5" w14:paraId="51F83F34" w14:textId="64955230">
      <w:pPr>
        <w:rPr>
          <w:rFonts w:ascii="Calibri" w:hAnsi="Calibri" w:cs="Calibri"/>
        </w:rPr>
      </w:pPr>
      <w:r w:rsidRPr="005F5002">
        <w:rPr>
          <w:rFonts w:ascii="Calibri" w:hAnsi="Calibri" w:cs="Calibri"/>
        </w:rPr>
        <w:t>32</w:t>
      </w:r>
      <w:r w:rsidRPr="005F5002" w:rsidR="005F5002">
        <w:rPr>
          <w:rFonts w:ascii="Calibri" w:hAnsi="Calibri" w:cs="Calibri"/>
        </w:rPr>
        <w:t xml:space="preserve"> </w:t>
      </w:r>
      <w:r w:rsidRPr="005F5002">
        <w:rPr>
          <w:rFonts w:ascii="Calibri" w:hAnsi="Calibri" w:cs="Calibri"/>
        </w:rPr>
        <w:t>800</w:t>
      </w:r>
      <w:r w:rsidRPr="005F5002" w:rsidR="000E39D4">
        <w:rPr>
          <w:rFonts w:ascii="Calibri" w:hAnsi="Calibri" w:cs="Calibri"/>
        </w:rPr>
        <w:tab/>
      </w:r>
      <w:r w:rsidRPr="005F5002" w:rsidR="000E39D4">
        <w:rPr>
          <w:rFonts w:ascii="Calibri" w:hAnsi="Calibri" w:cs="Calibri"/>
        </w:rPr>
        <w:tab/>
        <w:t xml:space="preserve">Maatregelen op het gebied van autobelastingen (“Autobrief”) </w:t>
      </w:r>
    </w:p>
    <w:p w:rsidRPr="005F5002" w:rsidR="000E39D4" w:rsidP="00D31852" w:rsidRDefault="000E39D4" w14:paraId="2C6FC347" w14:textId="77777777">
      <w:pPr>
        <w:rPr>
          <w:rFonts w:ascii="Calibri" w:hAnsi="Calibri" w:cs="Calibri"/>
        </w:rPr>
      </w:pPr>
      <w:r w:rsidRPr="005F5002">
        <w:rPr>
          <w:rFonts w:ascii="Calibri" w:hAnsi="Calibri" w:cs="Calibri"/>
        </w:rPr>
        <w:t xml:space="preserve">Nr. </w:t>
      </w:r>
      <w:r w:rsidRPr="005F5002" w:rsidR="001854C5">
        <w:rPr>
          <w:rFonts w:ascii="Calibri" w:hAnsi="Calibri" w:cs="Calibri"/>
        </w:rPr>
        <w:t>90</w:t>
      </w:r>
      <w:r w:rsidRPr="005F5002">
        <w:rPr>
          <w:rFonts w:ascii="Calibri" w:hAnsi="Calibri" w:cs="Calibri"/>
        </w:rPr>
        <w:tab/>
      </w:r>
      <w:r w:rsidRPr="005F5002">
        <w:rPr>
          <w:rFonts w:ascii="Calibri" w:hAnsi="Calibri" w:cs="Calibri"/>
        </w:rPr>
        <w:tab/>
        <w:t>Brief van de staatssecretaris van Financiën</w:t>
      </w:r>
    </w:p>
    <w:p w:rsidRPr="005F5002" w:rsidR="001854C5" w:rsidP="001854C5" w:rsidRDefault="000E39D4" w14:paraId="2860634B" w14:textId="155BD058">
      <w:pPr>
        <w:rPr>
          <w:rFonts w:ascii="Calibri" w:hAnsi="Calibri" w:cs="Calibri"/>
        </w:rPr>
      </w:pPr>
      <w:r w:rsidRPr="005F5002">
        <w:rPr>
          <w:rFonts w:ascii="Calibri" w:hAnsi="Calibri" w:cs="Calibri"/>
        </w:rPr>
        <w:t>Aan de Voorzitter van de Tweede Kamer der Staten-Generaal</w:t>
      </w:r>
    </w:p>
    <w:p w:rsidRPr="005F5002" w:rsidR="000E39D4" w:rsidP="001854C5" w:rsidRDefault="000E39D4" w14:paraId="0BD48BF3" w14:textId="5E000B96">
      <w:pPr>
        <w:rPr>
          <w:rFonts w:ascii="Calibri" w:hAnsi="Calibri" w:cs="Calibri"/>
        </w:rPr>
      </w:pPr>
      <w:r w:rsidRPr="005F5002">
        <w:rPr>
          <w:rFonts w:ascii="Calibri" w:hAnsi="Calibri" w:cs="Calibri"/>
        </w:rPr>
        <w:t>Den Haag, 10 september 2025</w:t>
      </w:r>
    </w:p>
    <w:p w:rsidRPr="005F5002" w:rsidR="001854C5" w:rsidP="001854C5" w:rsidRDefault="001854C5" w14:paraId="3B2B2B46" w14:textId="77777777">
      <w:pPr>
        <w:rPr>
          <w:rFonts w:ascii="Calibri" w:hAnsi="Calibri" w:cs="Calibri"/>
        </w:rPr>
      </w:pPr>
    </w:p>
    <w:p w:rsidRPr="005F5002" w:rsidR="001854C5" w:rsidP="001854C5" w:rsidRDefault="001854C5" w14:paraId="07F36934" w14:textId="14CDEDDE">
      <w:pPr>
        <w:rPr>
          <w:rFonts w:ascii="Calibri" w:hAnsi="Calibri" w:cs="Calibri"/>
        </w:rPr>
      </w:pPr>
      <w:r w:rsidRPr="005F5002">
        <w:rPr>
          <w:rFonts w:ascii="Calibri" w:hAnsi="Calibri" w:cs="Calibri"/>
        </w:rPr>
        <w:t>Teruggaaf van belasting van personenauto’s en motorrijwielen (bpm) is onder voorwaarden mogelijk wanneer een motorrijtuig wordt geëxporteerd. De hoogte van de teruggaaf is afhankelijk van zowel de bpm die voor het motorrijtuig is betaald en de leeftijd van de auto. De teruggaafregeling kent diverse voorwaarden die de uitvoering compliceren. Een arrest van het Hof van Justitie van de Europese Unie heeft op 2 februari 2023 duidelijk gemaakt dat lidstaten een zekere vrijheid hebben om, binnen de grenzen van het fiscaal discriminatieverbod</w:t>
      </w:r>
      <w:r w:rsidRPr="005F5002">
        <w:rPr>
          <w:rStyle w:val="Voetnootmarkering"/>
          <w:rFonts w:ascii="Calibri" w:hAnsi="Calibri" w:cs="Calibri"/>
        </w:rPr>
        <w:footnoteReference w:id="1"/>
      </w:r>
      <w:r w:rsidRPr="005F5002">
        <w:rPr>
          <w:rFonts w:ascii="Calibri" w:hAnsi="Calibri" w:cs="Calibri"/>
        </w:rPr>
        <w:t>, de teruggaaf van bpm bij export nader vorm te geven.</w:t>
      </w:r>
      <w:r w:rsidRPr="005F5002">
        <w:rPr>
          <w:rStyle w:val="Voetnootmarkering"/>
          <w:rFonts w:ascii="Calibri" w:hAnsi="Calibri" w:cs="Calibri"/>
        </w:rPr>
        <w:footnoteReference w:id="2"/>
      </w:r>
    </w:p>
    <w:p w:rsidRPr="005F5002" w:rsidR="001854C5" w:rsidP="001854C5" w:rsidRDefault="001854C5" w14:paraId="2017A2B2" w14:textId="77777777">
      <w:pPr>
        <w:rPr>
          <w:rFonts w:ascii="Calibri" w:hAnsi="Calibri" w:cs="Calibri"/>
        </w:rPr>
      </w:pPr>
    </w:p>
    <w:p w:rsidRPr="005F5002" w:rsidR="001854C5" w:rsidP="001854C5" w:rsidRDefault="001854C5" w14:paraId="45C93FFC" w14:textId="77777777">
      <w:pPr>
        <w:rPr>
          <w:rFonts w:ascii="Calibri" w:hAnsi="Calibri" w:cs="Calibri"/>
        </w:rPr>
      </w:pPr>
      <w:r w:rsidRPr="005F5002">
        <w:rPr>
          <w:rFonts w:ascii="Calibri" w:hAnsi="Calibri" w:cs="Calibri"/>
        </w:rPr>
        <w:t>De huidige voorwaarden voor de teruggaaf van bpm zijn belastend. Zowel voor belastingplichtigen als voor de Belastingdienst dat op deze voorwaarden moet toezien. In opdracht van het Ministerie van Financiën is door Revnext onderzocht wat de effecten van verschillende vereenvoudigingen van de huidige teruggaveregeling van bpm zouden kunnen betekenen voor het Nederlandse wagenpark. Dit onderzoek maakt duidelijk dat de teruggaveregeling budgetneutraal kan worden vereenvoudigd wanneer er tevens voor zou worden gekozen de doelgroep van de regeling te beperken. Via deze weg bied ik u graag inzicht in het onderzoek zoals dat door Revnext is uitgevoerd.</w:t>
      </w:r>
    </w:p>
    <w:p w:rsidRPr="005F5002" w:rsidR="001854C5" w:rsidP="001854C5" w:rsidRDefault="001854C5" w14:paraId="54A87EA9" w14:textId="77777777">
      <w:pPr>
        <w:rPr>
          <w:rFonts w:ascii="Calibri" w:hAnsi="Calibri" w:cs="Calibri"/>
        </w:rPr>
      </w:pPr>
    </w:p>
    <w:p w:rsidRPr="005F5002" w:rsidR="001854C5" w:rsidP="001854C5" w:rsidRDefault="001854C5" w14:paraId="5F100A9C" w14:textId="77777777">
      <w:pPr>
        <w:rPr>
          <w:rFonts w:ascii="Calibri" w:hAnsi="Calibri" w:cs="Calibri"/>
        </w:rPr>
      </w:pPr>
      <w:r w:rsidRPr="005F5002">
        <w:rPr>
          <w:rFonts w:ascii="Calibri" w:hAnsi="Calibri" w:cs="Calibri"/>
        </w:rPr>
        <w:t xml:space="preserve">Het onderzoek van Revnext bevat waardevolle aanknopingspunten voor het vereenvoudigen van de huidige teruggaveregeling van bpm. Ik ben voornemens op korte termijn via internetconsultatie een voorstel voor te leggen. Gevraagd zal worden om te reageren op het idee om de eis van een duurzame registratie binnen 13 weken in een ander EU- of EER land te laten vervallen. Daarbij zal ik tevens inventariseren welke reacties het idee oproept om de teruggaaf niet langer voor te behouden aan motorrijtuigen zonder essentiële gebreken. In essentie zal deze aanpassing resulteren in de verplichting om bpm te voldoen bij inschrijving in het kentekenregister en recht op teruggaaf wanneer de tenaamstelling van het motorrijtuig in het kentekenregister wordt beëindigd. De derving die kan ontstaan door het laten vervallen van de genoemde voorwaarden kan worden opgevangen </w:t>
      </w:r>
      <w:r w:rsidRPr="005F5002">
        <w:rPr>
          <w:rFonts w:ascii="Calibri" w:hAnsi="Calibri" w:cs="Calibri"/>
        </w:rPr>
        <w:lastRenderedPageBreak/>
        <w:t>door te teruggaaf voor te behouden aan motorrijtuigen die jonger zijn dan twaalf jaar.</w:t>
      </w:r>
    </w:p>
    <w:p w:rsidRPr="005F5002" w:rsidR="001854C5" w:rsidP="001854C5" w:rsidRDefault="001854C5" w14:paraId="0573EE1F" w14:textId="77777777">
      <w:pPr>
        <w:rPr>
          <w:rFonts w:ascii="Calibri" w:hAnsi="Calibri" w:cs="Calibri"/>
          <w:i/>
          <w:iCs/>
        </w:rPr>
      </w:pPr>
    </w:p>
    <w:p w:rsidRPr="005F5002" w:rsidR="001854C5" w:rsidP="001854C5" w:rsidRDefault="001854C5" w14:paraId="4B82E0DF" w14:textId="77777777">
      <w:pPr>
        <w:rPr>
          <w:rFonts w:ascii="Calibri" w:hAnsi="Calibri" w:cs="Calibri"/>
        </w:rPr>
      </w:pPr>
      <w:r w:rsidRPr="005F5002">
        <w:rPr>
          <w:rFonts w:ascii="Calibri" w:hAnsi="Calibri" w:cs="Calibri"/>
        </w:rPr>
        <w:t xml:space="preserve">Het laten vervallen van de eis dat een voertuig binnen 13 weken duurzaam en aantoonbaar moet worden geregistreerd in een andere EU- of EER-lidstaat vergroot de kans op een </w:t>
      </w:r>
      <w:r w:rsidRPr="005F5002">
        <w:rPr>
          <w:rFonts w:ascii="Calibri" w:hAnsi="Calibri" w:cs="Calibri"/>
          <w:i/>
          <w:iCs/>
        </w:rPr>
        <w:t>carrousel</w:t>
      </w:r>
      <w:r w:rsidRPr="005F5002">
        <w:rPr>
          <w:rFonts w:ascii="Calibri" w:hAnsi="Calibri" w:cs="Calibri"/>
        </w:rPr>
        <w:t>. Bij een carrousel wordt de tenaamstelling in het kentekenregister beëindigd met het oog op het verkrijgen van de rest bpm op basis van de wettelijke afschrijvingstabel. Hierna zou het motorrijtuig opnieuw tenaamgesteld kunnen worden en zou de bpm-aangifte kunnen worden gedaan met behulp van een koerslijst of taxatierapport. Via deze weg zou een deel van de op een auto rustende bpm tussentijds kunnen worden verzilverd.</w:t>
      </w:r>
    </w:p>
    <w:p w:rsidRPr="005F5002" w:rsidR="001854C5" w:rsidP="001854C5" w:rsidRDefault="001854C5" w14:paraId="76F99B08" w14:textId="77777777">
      <w:pPr>
        <w:rPr>
          <w:rFonts w:ascii="Calibri" w:hAnsi="Calibri" w:cs="Calibri"/>
        </w:rPr>
      </w:pPr>
    </w:p>
    <w:p w:rsidRPr="005F5002" w:rsidR="001854C5" w:rsidP="001854C5" w:rsidRDefault="001854C5" w14:paraId="60BD81CF" w14:textId="77777777">
      <w:pPr>
        <w:rPr>
          <w:rFonts w:ascii="Calibri" w:hAnsi="Calibri" w:cs="Calibri"/>
        </w:rPr>
      </w:pPr>
      <w:r w:rsidRPr="005F5002">
        <w:rPr>
          <w:rFonts w:ascii="Calibri" w:hAnsi="Calibri" w:cs="Calibri"/>
        </w:rPr>
        <w:t>Vastgesteld is dat de eis om een voertuig binnen 13 weken duurzaam in een EU- of EER-lidstaat in te schrijven niet kan vervallen zonder het risico op een carrousel via een andere weg te beperken. In de internetconsultatie zal worden gevraagd om te reageren op het idee om pas na één jaar een verzoek om teruggaaf van BPM in behandeling te nemen. Als het motorrijtuig in die periode niet opnieuw in het kentekenregister is geregistreerd volgt volledige teruggaaf van de bpm die nog op het motorrijtuig rustte. Wanneer een motorrijtuig tussentijds wel opnieuw wordt tenaamgesteld blijft teruggaaf van bpm achterwege. Hierbij wordt voor specifieke ondernemers een soepeler regime voorzien. Ondernemers die voorzien in een waarborg ontvangen de resterende bpm onmiddellijk terug bij het uitschrijven van een motorrijtuig in het kentekenregister. Wanneer motorrijtuigen binnen een jaar opnieuw worden ingeschreven zal de teruggaaf voor deze motorrijtuigen worden herzien. De teruggaaf zal in dat geval niet plaatsvinden of onder voorwaarden worden bepaald aan de hand van de wettelijke afschrijvingstabel over de periode waarin het motorrijtuig uitgeschreven is geweest.</w:t>
      </w:r>
    </w:p>
    <w:p w:rsidRPr="005F5002" w:rsidR="001854C5" w:rsidP="001854C5" w:rsidRDefault="001854C5" w14:paraId="6129BE6F" w14:textId="77777777">
      <w:pPr>
        <w:rPr>
          <w:rFonts w:ascii="Calibri" w:hAnsi="Calibri" w:cs="Calibri"/>
          <w:i/>
          <w:iCs/>
        </w:rPr>
      </w:pPr>
    </w:p>
    <w:p w:rsidRPr="005F5002" w:rsidR="001854C5" w:rsidP="001854C5" w:rsidRDefault="001854C5" w14:paraId="197B992B" w14:textId="77777777">
      <w:pPr>
        <w:rPr>
          <w:rFonts w:ascii="Calibri" w:hAnsi="Calibri" w:cs="Calibri"/>
        </w:rPr>
      </w:pPr>
      <w:r w:rsidRPr="005F5002">
        <w:rPr>
          <w:rFonts w:ascii="Calibri" w:hAnsi="Calibri" w:cs="Calibri"/>
        </w:rPr>
        <w:t>Op basis van de reacties uit de internetconsultatie en een eventuele uitvoeringstoets door de Belastingdienst wordt vastgesteld of de bpm-teruggaaf budgetneutraal vereenvoudigd kan worden. Als dat zo is zullen daarvoor de benodigde vervolgstappen worden gezet. Uw Kamer zal hier dan uiteraard ook over worden geïnformeerd.</w:t>
      </w:r>
    </w:p>
    <w:p w:rsidRPr="005F5002" w:rsidR="001854C5" w:rsidP="001854C5" w:rsidRDefault="001854C5" w14:paraId="0869C4AC" w14:textId="77777777">
      <w:pPr>
        <w:rPr>
          <w:rFonts w:ascii="Calibri" w:hAnsi="Calibri" w:cs="Calibri"/>
        </w:rPr>
      </w:pPr>
    </w:p>
    <w:p w:rsidRPr="005F5002" w:rsidR="005F5002" w:rsidP="005F5002" w:rsidRDefault="005F5002" w14:paraId="5171B61A" w14:textId="21EEE80A">
      <w:pPr>
        <w:pStyle w:val="Geenafstand"/>
        <w:rPr>
          <w:rFonts w:ascii="Calibri" w:hAnsi="Calibri" w:cs="Calibri"/>
        </w:rPr>
      </w:pPr>
      <w:r w:rsidRPr="005F5002">
        <w:rPr>
          <w:rFonts w:ascii="Calibri" w:hAnsi="Calibri" w:cs="Calibri"/>
        </w:rPr>
        <w:t>De staatssecretaris van Financiën,</w:t>
      </w:r>
      <w:r w:rsidRPr="005F5002">
        <w:rPr>
          <w:rFonts w:ascii="Calibri" w:hAnsi="Calibri" w:cs="Calibri"/>
        </w:rPr>
        <w:br/>
        <w:t>E.H.J. Heijnen</w:t>
      </w:r>
    </w:p>
    <w:p w:rsidRPr="005F5002" w:rsidR="006F53E6" w:rsidRDefault="006F53E6" w14:paraId="652A773A" w14:textId="77777777">
      <w:pPr>
        <w:rPr>
          <w:rFonts w:ascii="Calibri" w:hAnsi="Calibri" w:cs="Calibri"/>
        </w:rPr>
      </w:pPr>
    </w:p>
    <w:sectPr w:rsidRPr="005F5002" w:rsidR="006F53E6" w:rsidSect="001854C5">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0F129" w14:textId="77777777" w:rsidR="001854C5" w:rsidRDefault="001854C5" w:rsidP="001854C5">
      <w:pPr>
        <w:spacing w:after="0" w:line="240" w:lineRule="auto"/>
      </w:pPr>
      <w:r>
        <w:separator/>
      </w:r>
    </w:p>
  </w:endnote>
  <w:endnote w:type="continuationSeparator" w:id="0">
    <w:p w14:paraId="2C13F354" w14:textId="77777777" w:rsidR="001854C5" w:rsidRDefault="001854C5" w:rsidP="00185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6E27" w14:textId="77777777" w:rsidR="001854C5" w:rsidRPr="001854C5" w:rsidRDefault="001854C5" w:rsidP="001854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05C42" w14:textId="77777777" w:rsidR="001854C5" w:rsidRPr="001854C5" w:rsidRDefault="001854C5" w:rsidP="001854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ECBAB" w14:textId="77777777" w:rsidR="001854C5" w:rsidRPr="001854C5" w:rsidRDefault="001854C5" w:rsidP="001854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2D2CF" w14:textId="77777777" w:rsidR="001854C5" w:rsidRDefault="001854C5" w:rsidP="001854C5">
      <w:pPr>
        <w:spacing w:after="0" w:line="240" w:lineRule="auto"/>
      </w:pPr>
      <w:r>
        <w:separator/>
      </w:r>
    </w:p>
  </w:footnote>
  <w:footnote w:type="continuationSeparator" w:id="0">
    <w:p w14:paraId="3908525A" w14:textId="77777777" w:rsidR="001854C5" w:rsidRDefault="001854C5" w:rsidP="001854C5">
      <w:pPr>
        <w:spacing w:after="0" w:line="240" w:lineRule="auto"/>
      </w:pPr>
      <w:r>
        <w:continuationSeparator/>
      </w:r>
    </w:p>
  </w:footnote>
  <w:footnote w:id="1">
    <w:p w14:paraId="291069DA" w14:textId="77777777" w:rsidR="001854C5" w:rsidRPr="006B32B6" w:rsidRDefault="001854C5" w:rsidP="001854C5">
      <w:pPr>
        <w:pStyle w:val="Voetnoottekst"/>
        <w:rPr>
          <w:rFonts w:ascii="Calibri" w:hAnsi="Calibri" w:cs="Calibri"/>
          <w:lang w:val="nl-NL"/>
        </w:rPr>
      </w:pPr>
      <w:r w:rsidRPr="006B32B6">
        <w:rPr>
          <w:rStyle w:val="Voetnootmarkering"/>
          <w:rFonts w:ascii="Calibri" w:hAnsi="Calibri" w:cs="Calibri"/>
        </w:rPr>
        <w:footnoteRef/>
      </w:r>
      <w:r w:rsidRPr="006B32B6">
        <w:rPr>
          <w:rFonts w:ascii="Calibri" w:hAnsi="Calibri" w:cs="Calibri"/>
          <w:lang w:val="nl-NL"/>
        </w:rPr>
        <w:t xml:space="preserve"> Artikel 110 van het Verdrag betreffende de werking van de Europese Unie.</w:t>
      </w:r>
    </w:p>
  </w:footnote>
  <w:footnote w:id="2">
    <w:p w14:paraId="75B9914E" w14:textId="70D0A9AA" w:rsidR="001854C5" w:rsidRPr="006B32B6" w:rsidRDefault="001854C5" w:rsidP="001854C5">
      <w:pPr>
        <w:pStyle w:val="Voetnoottekst"/>
        <w:rPr>
          <w:rFonts w:ascii="Calibri" w:hAnsi="Calibri" w:cs="Calibri"/>
          <w:lang w:val="de-DE"/>
        </w:rPr>
      </w:pPr>
      <w:r w:rsidRPr="006B32B6">
        <w:rPr>
          <w:rStyle w:val="Voetnootmarkering"/>
          <w:rFonts w:ascii="Calibri" w:hAnsi="Calibri" w:cs="Calibri"/>
        </w:rPr>
        <w:footnoteRef/>
      </w:r>
      <w:r w:rsidRPr="006B32B6">
        <w:rPr>
          <w:rFonts w:ascii="Calibri" w:hAnsi="Calibri" w:cs="Calibri"/>
          <w:lang w:val="de-DE"/>
        </w:rPr>
        <w:t xml:space="preserve"> HvJ EU 2 februari 2023, ECLI:EU:C:2023:63, zaaknummer C-676/21.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FD3BD" w14:textId="77777777" w:rsidR="001854C5" w:rsidRPr="001854C5" w:rsidRDefault="001854C5" w:rsidP="001854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53218" w14:textId="77777777" w:rsidR="001854C5" w:rsidRPr="001854C5" w:rsidRDefault="001854C5" w:rsidP="001854C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3215F" w14:textId="77777777" w:rsidR="001854C5" w:rsidRPr="001854C5" w:rsidRDefault="001854C5" w:rsidP="001854C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4C5"/>
    <w:rsid w:val="000E39D4"/>
    <w:rsid w:val="000F74A3"/>
    <w:rsid w:val="001854C5"/>
    <w:rsid w:val="00371A0E"/>
    <w:rsid w:val="005F5002"/>
    <w:rsid w:val="006B32B6"/>
    <w:rsid w:val="006F53E6"/>
    <w:rsid w:val="008375DE"/>
    <w:rsid w:val="00B000C4"/>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00690"/>
  <w15:chartTrackingRefBased/>
  <w15:docId w15:val="{35B10EB6-AC14-44FF-ABC2-08958FB3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54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854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854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54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54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54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54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54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54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54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54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54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54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54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54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54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54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54C5"/>
    <w:rPr>
      <w:rFonts w:eastAsiaTheme="majorEastAsia" w:cstheme="majorBidi"/>
      <w:color w:val="272727" w:themeColor="text1" w:themeTint="D8"/>
    </w:rPr>
  </w:style>
  <w:style w:type="paragraph" w:styleId="Titel">
    <w:name w:val="Title"/>
    <w:basedOn w:val="Standaard"/>
    <w:next w:val="Standaard"/>
    <w:link w:val="TitelChar"/>
    <w:uiPriority w:val="10"/>
    <w:qFormat/>
    <w:rsid w:val="001854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54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54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54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54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54C5"/>
    <w:rPr>
      <w:i/>
      <w:iCs/>
      <w:color w:val="404040" w:themeColor="text1" w:themeTint="BF"/>
    </w:rPr>
  </w:style>
  <w:style w:type="paragraph" w:styleId="Lijstalinea">
    <w:name w:val="List Paragraph"/>
    <w:basedOn w:val="Standaard"/>
    <w:uiPriority w:val="34"/>
    <w:qFormat/>
    <w:rsid w:val="001854C5"/>
    <w:pPr>
      <w:ind w:left="720"/>
      <w:contextualSpacing/>
    </w:pPr>
  </w:style>
  <w:style w:type="character" w:styleId="Intensievebenadrukking">
    <w:name w:val="Intense Emphasis"/>
    <w:basedOn w:val="Standaardalinea-lettertype"/>
    <w:uiPriority w:val="21"/>
    <w:qFormat/>
    <w:rsid w:val="001854C5"/>
    <w:rPr>
      <w:i/>
      <w:iCs/>
      <w:color w:val="0F4761" w:themeColor="accent1" w:themeShade="BF"/>
    </w:rPr>
  </w:style>
  <w:style w:type="paragraph" w:styleId="Duidelijkcitaat">
    <w:name w:val="Intense Quote"/>
    <w:basedOn w:val="Standaard"/>
    <w:next w:val="Standaard"/>
    <w:link w:val="DuidelijkcitaatChar"/>
    <w:uiPriority w:val="30"/>
    <w:qFormat/>
    <w:rsid w:val="001854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54C5"/>
    <w:rPr>
      <w:i/>
      <w:iCs/>
      <w:color w:val="0F4761" w:themeColor="accent1" w:themeShade="BF"/>
    </w:rPr>
  </w:style>
  <w:style w:type="character" w:styleId="Intensieveverwijzing">
    <w:name w:val="Intense Reference"/>
    <w:basedOn w:val="Standaardalinea-lettertype"/>
    <w:uiPriority w:val="32"/>
    <w:qFormat/>
    <w:rsid w:val="001854C5"/>
    <w:rPr>
      <w:b/>
      <w:bCs/>
      <w:smallCaps/>
      <w:color w:val="0F4761" w:themeColor="accent1" w:themeShade="BF"/>
      <w:spacing w:val="5"/>
    </w:rPr>
  </w:style>
  <w:style w:type="paragraph" w:customStyle="1" w:styleId="StandaardSlotzin">
    <w:name w:val="Standaard_Slotzin"/>
    <w:basedOn w:val="Standaard"/>
    <w:next w:val="Standaard"/>
    <w:rsid w:val="001854C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1854C5"/>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1854C5"/>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unhideWhenUsed/>
    <w:rsid w:val="001854C5"/>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rsid w:val="001854C5"/>
    <w:rPr>
      <w:rFonts w:ascii="Verdana" w:hAnsi="Verdana"/>
      <w:sz w:val="20"/>
      <w:szCs w:val="20"/>
      <w:lang w:val="en-US"/>
    </w:rPr>
  </w:style>
  <w:style w:type="character" w:styleId="Voetnootmarkering">
    <w:name w:val="footnote reference"/>
    <w:basedOn w:val="Standaardalinea-lettertype"/>
    <w:uiPriority w:val="99"/>
    <w:unhideWhenUsed/>
    <w:rsid w:val="001854C5"/>
    <w:rPr>
      <w:vertAlign w:val="superscript"/>
    </w:rPr>
  </w:style>
  <w:style w:type="paragraph" w:styleId="Koptekst">
    <w:name w:val="header"/>
    <w:basedOn w:val="Standaard"/>
    <w:link w:val="KoptekstChar"/>
    <w:uiPriority w:val="99"/>
    <w:unhideWhenUsed/>
    <w:rsid w:val="001854C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854C5"/>
  </w:style>
  <w:style w:type="paragraph" w:styleId="Voettekst">
    <w:name w:val="footer"/>
    <w:basedOn w:val="Standaard"/>
    <w:link w:val="VoettekstChar"/>
    <w:uiPriority w:val="99"/>
    <w:unhideWhenUsed/>
    <w:rsid w:val="001854C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54C5"/>
  </w:style>
  <w:style w:type="paragraph" w:styleId="Geenafstand">
    <w:name w:val="No Spacing"/>
    <w:uiPriority w:val="1"/>
    <w:qFormat/>
    <w:rsid w:val="005F50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701</ap:Words>
  <ap:Characters>3859</ap:Characters>
  <ap:DocSecurity>0</ap:DocSecurity>
  <ap:Lines>32</ap:Lines>
  <ap:Paragraphs>9</ap:Paragraphs>
  <ap:ScaleCrop>false</ap:ScaleCrop>
  <ap:LinksUpToDate>false</ap:LinksUpToDate>
  <ap:CharactersWithSpaces>4551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2025-09-15T07:28:00.0000000Z</dcterms:created>
  <dcterms:modified xsi:type="dcterms:W3CDTF">2025-09-15T07:28:00.0000000Z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