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08FC" w:rsidP="00D208FC" w:rsidRDefault="00D208FC" w14:paraId="44A0CB12" w14:textId="77777777">
      <w:pPr>
        <w:pStyle w:val="Kop1"/>
        <w:rPr>
          <w:rFonts w:ascii="Arial" w:hAnsi="Arial" w:eastAsia="Times New Roman" w:cs="Arial"/>
        </w:rPr>
      </w:pPr>
      <w:r>
        <w:rPr>
          <w:rStyle w:val="Zwaar"/>
          <w:rFonts w:ascii="Arial" w:hAnsi="Arial" w:eastAsia="Times New Roman" w:cs="Arial"/>
          <w:b w:val="0"/>
          <w:bCs w:val="0"/>
        </w:rPr>
        <w:t>Mededelingen</w:t>
      </w:r>
    </w:p>
    <w:p w:rsidR="00D208FC" w:rsidP="00D208FC" w:rsidRDefault="00D208FC" w14:paraId="679B3D37"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D208FC" w:rsidP="00D208FC" w:rsidRDefault="00D208FC" w14:paraId="49885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heel veel voorlezen. U bent van harte welkom om nog een koffietje te nemen in het Ledenrestaurant, want ik moet een behoorlijk verhaal voordragen. Meneer Timmermans staat klaar om elk woord tot zich te nemen. Dat siert hem.</w:t>
      </w:r>
    </w:p>
    <w:p w:rsidR="00D208FC" w:rsidP="00D208FC" w:rsidRDefault="00D208FC" w14:paraId="0DCC2BB4"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D208FC" w:rsidP="00D208FC" w:rsidRDefault="00D208FC" w14:paraId="6CB5462B"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D208FC" w:rsidP="00D208FC" w:rsidRDefault="00D208FC" w14:paraId="0151DF27"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D208FC" w:rsidP="00D208FC" w:rsidRDefault="00D208FC" w14:paraId="3CEA94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dinsdag 23 september aanstaande ook te stemmen over de Wijzigingswet accountancysector (36484) en de daarbij ingediende moties.</w:t>
      </w:r>
      <w:r>
        <w:rPr>
          <w:rFonts w:ascii="Arial" w:hAnsi="Arial" w:eastAsia="Times New Roman" w:cs="Arial"/>
          <w:sz w:val="22"/>
          <w:szCs w:val="22"/>
        </w:rPr>
        <w:br/>
      </w:r>
      <w:r>
        <w:rPr>
          <w:rFonts w:ascii="Arial" w:hAnsi="Arial" w:eastAsia="Times New Roman" w:cs="Arial"/>
          <w:sz w:val="22"/>
          <w:szCs w:val="22"/>
        </w:rPr>
        <w:br/>
        <w:t>Ik stel voor de volgende wetsvoorstellen toe te voegen aan de agenda van de Kamer:</w:t>
      </w:r>
    </w:p>
    <w:p w:rsidR="00D208FC" w:rsidP="00D208FC" w:rsidRDefault="00D208FC" w14:paraId="0E55174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Uitvoering van verordening (EU) 2022/2560 van het Europees Parlement en de Raad van 14 december 2022 betreffende buitenlandse subsidies die de interne markt verstoren (Uitvoeringswet verordening buitenlandse subsidies) (36671);</w:t>
      </w:r>
    </w:p>
    <w:p w:rsidR="00D208FC" w:rsidP="00D208FC" w:rsidRDefault="00D208FC" w14:paraId="716A802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Wijziging van de Wet houdbare overheidsfinanciën in verband met de implementatie van Richtlijn 2024/1265 tot wijziging van Richtlijn 2011/85/EU betreffende voorschriften voor de begrotingskaders van de lidstaten (Implementatiewet herziene Europese begrotingsregels) (36756);</w:t>
      </w:r>
    </w:p>
    <w:p w:rsidR="00D208FC" w:rsidP="00D208FC" w:rsidRDefault="00D208FC" w14:paraId="1DC2C94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Wijziging van de Paspoortwet in verband met de ontvlechting van de Nederlandse identiteitskaart (36643);</w:t>
      </w:r>
    </w:p>
    <w:p w:rsidR="00D208FC" w:rsidP="00D208FC" w:rsidRDefault="00D208FC" w14:paraId="54AFBD4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Regels in verband met de uitgifte van de Nederlandse identiteitskaart (Wet op de Nederlandse identiteitskaart) (36644);</w:t>
      </w:r>
    </w:p>
    <w:p w:rsidR="00D208FC" w:rsidP="00D208FC" w:rsidRDefault="00D208FC" w14:paraId="74FCE72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Wijziging van de Wet op het financieel toezicht, de Bankwet 1998 en enige andere wetten in verband met de goede werking van het chartale betalingsverkeer (Wet chartaal betalingsverkeer) (36711);</w:t>
      </w:r>
    </w:p>
    <w:p w:rsidR="00D208FC" w:rsidP="00D208FC" w:rsidRDefault="00D208FC" w14:paraId="253D341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Wijziging van de Wet inkomstenbelasting 2001 om werkelijke inkomsten uit bezittingen en schulden in box 3 te belasten (Wet werkelijk rendement box 3) (36748).</w:t>
      </w:r>
    </w:p>
    <w:p w:rsidR="00D208FC" w:rsidP="00D208FC" w:rsidRDefault="00D208FC" w14:paraId="380322C1"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fractie van Forum voor Democratie bij de stemmingen op dinsdag 9 september jongstleden over de motie-Podt (27858, nr. 721) geacht wenst te worden tegen deze motie te hebben gestemd.</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D208FC" w:rsidP="00D208FC" w:rsidRDefault="00D208FC" w14:paraId="6B5910E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tweeminutendebat Academische vrijheid (CD d.d. 10/09), met als eerste spreker het lid Stultiens van GroenLinks-PvdA;</w:t>
      </w:r>
    </w:p>
    <w:p w:rsidR="00D208FC" w:rsidP="00D208FC" w:rsidRDefault="00D208FC" w14:paraId="52E9DF4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Publieke gezondheidszorg (CD d.d. 10/09), met als eerste spreker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van GroenLinks-PvdA;</w:t>
      </w:r>
    </w:p>
    <w:p w:rsidR="00D208FC" w:rsidP="00D208FC" w:rsidRDefault="00D208FC" w14:paraId="7128A38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Europees actieplan omtrent kabelveiligheid (22112, nr. 4019),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GroenLinks-PvdA;</w:t>
      </w:r>
    </w:p>
    <w:p w:rsidR="00D208FC" w:rsidP="00D208FC" w:rsidRDefault="00D208FC" w14:paraId="3F15627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Verduurzaming industrie (CD d.d. 10/09), met als eerste spreker het lid Thijssen van GroenLinks-PvdA;</w:t>
      </w:r>
    </w:p>
    <w:p w:rsidR="00D208FC" w:rsidP="00D208FC" w:rsidRDefault="00D208FC" w14:paraId="326FE1A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Criminaliteitsbestrijding, ondermijning en georganiseerde criminaliteit (CD d.d. 10/09), met als eerste spreker het lid Koops van Nieuw Sociaal Contract;</w:t>
      </w:r>
    </w:p>
    <w:p w:rsidR="00D208FC" w:rsidP="00D208FC" w:rsidRDefault="00D208FC" w14:paraId="092F81E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Luchtvaart (CD d.d. 10/09), met als eerste spreker het lid Postma van Nieuw Sociaal Contract;</w:t>
      </w:r>
    </w:p>
    <w:p w:rsidR="00D208FC" w:rsidP="00D208FC" w:rsidRDefault="00D208FC" w14:paraId="7E975F6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Versterking lokaal bestuur (CD d.d. 10/09), met als eerste spreker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BBB;</w:t>
      </w:r>
    </w:p>
    <w:p w:rsidR="00D208FC" w:rsidP="00D208FC" w:rsidRDefault="00D208FC" w14:paraId="103395C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Uitkomst evaluatie experiment instellingsaccreditatie, in relatie tot aanbevelingen over het hoger onderwijs uit het advies Essentie van extern toezicht van de Onderwijsraad (31288, nr. 1210), met als eerste spreker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van GroenLinks-PvdA;</w:t>
      </w:r>
    </w:p>
    <w:p w:rsidR="00D208FC" w:rsidP="00D208FC" w:rsidRDefault="00D208FC" w14:paraId="26060FA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Digitalisering in het mbo, hbo en wo (32034, nr. 69),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GroenLinks-PvdA;</w:t>
      </w:r>
    </w:p>
    <w:p w:rsidR="00D208FC" w:rsidP="00D208FC" w:rsidRDefault="00D208FC" w14:paraId="5193F02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Midden- en kleinbedrijf (CD d.d. 11/09), met als eerste spreker het lid Kisteman van de VVD;</w:t>
      </w:r>
    </w:p>
    <w:p w:rsidR="00D208FC" w:rsidP="00D208FC" w:rsidRDefault="00D208FC" w14:paraId="3372057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Arbeidsmigratie (CD d.d. 11/09), met als eerste spreker het lid Podt van D66.</w:t>
      </w:r>
    </w:p>
    <w:p w:rsidR="00D208FC" w:rsidP="00D208FC" w:rsidRDefault="00D208FC" w14:paraId="38490152"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volgende debatten zijn vervallen:</w:t>
      </w:r>
    </w:p>
    <w:p w:rsidR="00D208FC" w:rsidP="00D208FC" w:rsidRDefault="00D208FC" w14:paraId="63C4851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jaarverslag van de Regionale Toetsingscommissie Euthanasie;</w:t>
      </w:r>
    </w:p>
    <w:p w:rsidR="00D208FC" w:rsidP="00D208FC" w:rsidRDefault="00D208FC" w14:paraId="0533EA6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sluiting van chemische fabrieken;</w:t>
      </w:r>
    </w:p>
    <w:p w:rsidR="00D208FC" w:rsidP="00D208FC" w:rsidRDefault="00D208FC" w14:paraId="33B439B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terugdraaien van de bezuinigingen op de zorg;</w:t>
      </w:r>
    </w:p>
    <w:p w:rsidR="00D208FC" w:rsidP="00D208FC" w:rsidRDefault="00D208FC" w14:paraId="241752E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WODC-rapport Rechtsvergelijking toegang tot de rechter van belangenorganisaties in </w:t>
      </w:r>
      <w:proofErr w:type="spellStart"/>
      <w:r>
        <w:rPr>
          <w:rFonts w:ascii="Arial" w:hAnsi="Arial" w:eastAsia="Times New Roman" w:cs="Arial"/>
          <w:sz w:val="22"/>
          <w:szCs w:val="22"/>
        </w:rPr>
        <w:t>algemeenbelangacties</w:t>
      </w:r>
      <w:proofErr w:type="spellEnd"/>
      <w:r>
        <w:rPr>
          <w:rFonts w:ascii="Arial" w:hAnsi="Arial" w:eastAsia="Times New Roman" w:cs="Arial"/>
          <w:sz w:val="22"/>
          <w:szCs w:val="22"/>
        </w:rPr>
        <w:t>;</w:t>
      </w:r>
    </w:p>
    <w:p w:rsidR="00D208FC" w:rsidP="00D208FC" w:rsidRDefault="00D208FC" w14:paraId="2DD4934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fysiotherapeuten die stoppen met hun praktijk;</w:t>
      </w:r>
    </w:p>
    <w:p w:rsidR="00D208FC" w:rsidP="00D208FC" w:rsidRDefault="00D208FC" w14:paraId="4F22F47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rapport van het SCP Verdeeld over het land.</w:t>
      </w:r>
    </w:p>
    <w:p w:rsidR="00D208FC" w:rsidP="00D208FC" w:rsidRDefault="00D208FC" w14:paraId="0B08713D"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het debat over het onderzoek naar doorstroomtoetsen de termijn voor toekenning is verlengd.</w:t>
      </w:r>
      <w:r>
        <w:rPr>
          <w:rFonts w:ascii="Arial" w:hAnsi="Arial" w:eastAsia="Times New Roman" w:cs="Arial"/>
          <w:sz w:val="22"/>
          <w:szCs w:val="22"/>
        </w:rPr>
        <w:br/>
      </w:r>
      <w:r>
        <w:rPr>
          <w:rFonts w:ascii="Arial" w:hAnsi="Arial" w:eastAsia="Times New Roman" w:cs="Arial"/>
          <w:sz w:val="22"/>
          <w:szCs w:val="22"/>
        </w:rPr>
        <w:br/>
        <w:t xml:space="preserve">Ik stel voor de volgende stukken van de stand van werkzaamheden af te voeren: 31209-264; 36740-XIII-7; 36725-X-6; 36725-K-4; 28676-519; 2024Z00456; 36600-X-83; 36740-K-6; 22112-4065; 36180-169; 36778-1; 22054-457; 22054-458; 22054-460; 22054-454; 22054-456; 22054-455; 22054-459; 22054-451; 22054-452; 36560-XVII-7; 36560-XVII-1; 36550-XVII-3; 36410-XVII-51; 36410-XVII-53; 36410-XVII-54; 36410-XVII-55; 36180-89; 36410-V-85; 36180-103; 36180-100; 36180-94; 36180-98; 36180-102; 36180-104; 35529-24; 32852-287; 33625-352; 31865-256; 29237-204; 26234-293; 22112-3923; 21501-04-270; 22112-3902; 22112-3904; 21501-04-272; 21501-04-267; 21501-02-2912; 21501-04-269; 36180-168; 21501-02-3178; 36740-XVII-10; 36560-XVII-2; 29754-749; 36760-21; 36471-107; 33529-1285; 32734-55; 34158-(R2048)-15; 23432-571; 36600-V-74; 29521-498; 28498-56; 21501-02-3181; 21501-02-3182; 21501-02-3180; 36045-212; 36045-211; 36353-13; 31936-1243; 33763-166; 36045-208; 31936-1241; 27925-1011; 36045-207; 36600-X-86; 36600-X-84; 36600-K-7; 26643-1358; 36725-X-5; 33033-39; 36592-22; 26643-1366; 21501-33-1135; </w:t>
      </w:r>
      <w:r>
        <w:rPr>
          <w:rFonts w:ascii="Arial" w:hAnsi="Arial" w:eastAsia="Times New Roman" w:cs="Arial"/>
          <w:sz w:val="22"/>
          <w:szCs w:val="22"/>
        </w:rPr>
        <w:lastRenderedPageBreak/>
        <w:t>22112-4086; 26643-1356; 21501-02-3177; 29338-292; 33009-159; 29338-276; 33009-151; 33009-141; 34682-229; 36600-XIII-64; 31477-114; 31477-113; 31477-112; 36560-4; 35510-142; 36418-131; 36560-IX-8; 36550-IX-7; 36410-89; 32140-172; 32140-177; 31066-1335; 29232-67; 28165-428; 26234-290; 26234-291; 21501-03-183; 21501-07-2027; 36725-4; 32893-7; 21501-07-2123; 36712-7; 36602-161; 32140-263; 22112-4095; 21501-07-2122; 36560-IX-6; 29398-1182; 29398-1175; 29398-1181; 29385-144; 31305-519; 29398-1180; 29398-1179; 29398-1174; 22112-4070; 22112-4071; 29398-1169; 29398-1158; 29398-1171; 29398-1160; 32813-1520; 23645-853; 30872-314; 22112-4076; 29665-568; 29665-567; 30952-482; 29984-1259; 24587-1056; 29398-1178; 33628-109; 29398-1173; 29279-931; 28684-772; 29279-924; 36326-6; 34477-87; 30010-60; 36410-VI-106; 29754-753; 29754-752; 29754-751; 29754-750; 31015-304; 31839-1095; 31839-1067; 31839-1071; 31839-1065; 31839-1064; 29754-756; 29754-755; 29754-754; 29754-748; 34861-42; 29754-747; 29754-745; 36248-3; 33033-36; 25424-708; 25424-709; 30821-253; 32317-949; 32317-964; 32317-967; 24587-1045; 33552-137; 36767-1; 34340-21; 31239-428; 31239-429; 32627-69; 32813-1521; 31239-424; 22112-4106; 32725-7; 31793-280; 36600-XIII-62; 32813-1512; 31239-418; 29023-530; 32813-1437; 31793-282; 29684-295; 33561-89; 33043-117; 29383-439; 29826-261; 30196-850; 31239-425; 36600-IV-70; 33202-2; 36600-IV-73; 36600-IV-56; 36600-IV-72; 36600-IV-54; 36600-IV-52; 29023-558; 36600-IV-38; 36600-IV-36; 36600-IV-41; 36740-IV-9; 33576-451; 33037-603; 33118-298; 32336-167; 36723-2; 36740-20; 31322-560; 25424-765; 36534-(R2193)-7; 31839-1093; 31015-303; 32793-848; 2025Z13660; 31839-1091; 31839-1089; 31839-1088; 31839-1092; 31839-1087; 31839-1080; 31839-1050; 31839-1069; 31839-1076; 31839-1066; 31839-1060; 36600-XVI-199; 32012-65; 27926-400; 28325-297; 29282-610; 36592-24; 36592-13; 36592-17; 36592-10; 36592-4; 36592-7; 36124-47; 36247-3; 36247-6; 36650-3; 36247; 29398-1183; 23235-241; 23235-245; 23235-244; 29538-370; 25424-715; 30950-460; 29427-132; 36600-51; 36746-5; 29214-109; 24170-361; 24170-362; 22343-430; 36600-X-79; 31516-47; 36600-X-87; 36600-X-23; 36600-X-30; 36600-X-80; 36600-X-72; 36600-X-73; 36410-X-94; 36600-X-71; 30462-10; 32761-329; 32761-330; 32761-327; 30821-303; 32793-823; 32793-812; 29323-182; 25295-2226; 32793-811; 29826-262; 29826-260; 29826-259; 29826-258; 32813-1516; 32637-695; 32239-18; 32793-792; 36410-XVI-157; 29240-174; 31288-1200; 29338-291; 31288-1182; 31288-1207; 31288-1202; 29240-175; 30872-315; 22112-4110; 36600-XII-88; 2025Z15110; 26643-1374; 2025Z14648; 28089-339; 29385-143; 22112-4111; 21501-30-676; 26643-1381; 33009-166; 22112-4109; 2025Z15267; 2025Z08967; 21501-32-1725; 21501-33-1147; 29911-476; 29911-478; 29911-473; 28684-783; 29911-475; 29911-474; 26643-1357; 29911-467; 28684-748; 28684-779; 33173-25; 29911-453; 32824-457; 32824-456; 32824-451; 36600-XV-111; 32847-1371; 29665-571; 31936-1242; 29665-572; 31936-1232; 29665-573; 31936-1244; 31936-1237; 29665-574; 24446-92; 31936-1231; 29665-564; 29665-569; 31936-1238; 29665-565; 31936-1240; 29665-560; 29665-566; 29665-559; 29665-555; 31936-1224; 29665-557; 29665-537; 31936-1225; 30806-58; 31936-1221; 29665-533; 31936-1220; 31936-1218; 24515-736; 30821-238; 36600-VII-132; 36600-VII-133; 36600-VII-143; 28750-85; 35619-14; 28750-86.</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voor kennisgeving aan te nemen: 29477-936; 29389-155; 29323-184; 31239-422.</w:t>
      </w:r>
      <w:r>
        <w:rPr>
          <w:rFonts w:ascii="Arial" w:hAnsi="Arial" w:eastAsia="Times New Roman" w:cs="Arial"/>
          <w:sz w:val="22"/>
          <w:szCs w:val="22"/>
        </w:rPr>
        <w:br/>
      </w:r>
      <w:r>
        <w:rPr>
          <w:rFonts w:ascii="Arial" w:hAnsi="Arial" w:eastAsia="Times New Roman" w:cs="Arial"/>
          <w:sz w:val="22"/>
          <w:szCs w:val="22"/>
        </w:rPr>
        <w:br/>
        <w:t>Ik deel mee dat de aangehouden motie op stuk nr. 139 (36600-VII) is vervallen.</w:t>
      </w:r>
    </w:p>
    <w:p w:rsidR="00D208FC" w:rsidP="00D208FC" w:rsidRDefault="00D208FC" w14:paraId="5DECF0FF"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315AA3" w:rsidRDefault="00315AA3" w14:paraId="60881128" w14:textId="77777777"/>
    <w:sectPr w:rsidR="00315A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56DBF"/>
    <w:multiLevelType w:val="multilevel"/>
    <w:tmpl w:val="1A98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17D57"/>
    <w:multiLevelType w:val="multilevel"/>
    <w:tmpl w:val="AC52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13158"/>
    <w:multiLevelType w:val="multilevel"/>
    <w:tmpl w:val="594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024936">
    <w:abstractNumId w:val="1"/>
  </w:num>
  <w:num w:numId="2" w16cid:durableId="1170681172">
    <w:abstractNumId w:val="2"/>
  </w:num>
  <w:num w:numId="3" w16cid:durableId="149071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FC"/>
    <w:rsid w:val="002334AF"/>
    <w:rsid w:val="00315AA3"/>
    <w:rsid w:val="00D20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66D8"/>
  <w15:chartTrackingRefBased/>
  <w15:docId w15:val="{60FFA74E-857F-4195-8BB7-0C1EFC8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8F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208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08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08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08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08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08F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8F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8F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8F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8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08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08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08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08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0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8FC"/>
    <w:rPr>
      <w:rFonts w:eastAsiaTheme="majorEastAsia" w:cstheme="majorBidi"/>
      <w:color w:val="272727" w:themeColor="text1" w:themeTint="D8"/>
    </w:rPr>
  </w:style>
  <w:style w:type="paragraph" w:styleId="Titel">
    <w:name w:val="Title"/>
    <w:basedOn w:val="Standaard"/>
    <w:next w:val="Standaard"/>
    <w:link w:val="TitelChar"/>
    <w:uiPriority w:val="10"/>
    <w:qFormat/>
    <w:rsid w:val="00D208F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8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8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8FC"/>
    <w:rPr>
      <w:i/>
      <w:iCs/>
      <w:color w:val="404040" w:themeColor="text1" w:themeTint="BF"/>
    </w:rPr>
  </w:style>
  <w:style w:type="paragraph" w:styleId="Lijstalinea">
    <w:name w:val="List Paragraph"/>
    <w:basedOn w:val="Standaard"/>
    <w:uiPriority w:val="34"/>
    <w:qFormat/>
    <w:rsid w:val="00D208FC"/>
    <w:pPr>
      <w:ind w:left="720"/>
      <w:contextualSpacing/>
    </w:pPr>
  </w:style>
  <w:style w:type="character" w:styleId="Intensievebenadrukking">
    <w:name w:val="Intense Emphasis"/>
    <w:basedOn w:val="Standaardalinea-lettertype"/>
    <w:uiPriority w:val="21"/>
    <w:qFormat/>
    <w:rsid w:val="00D208FC"/>
    <w:rPr>
      <w:i/>
      <w:iCs/>
      <w:color w:val="2F5496" w:themeColor="accent1" w:themeShade="BF"/>
    </w:rPr>
  </w:style>
  <w:style w:type="paragraph" w:styleId="Duidelijkcitaat">
    <w:name w:val="Intense Quote"/>
    <w:basedOn w:val="Standaard"/>
    <w:next w:val="Standaard"/>
    <w:link w:val="DuidelijkcitaatChar"/>
    <w:uiPriority w:val="30"/>
    <w:qFormat/>
    <w:rsid w:val="00D20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08FC"/>
    <w:rPr>
      <w:i/>
      <w:iCs/>
      <w:color w:val="2F5496" w:themeColor="accent1" w:themeShade="BF"/>
    </w:rPr>
  </w:style>
  <w:style w:type="character" w:styleId="Intensieveverwijzing">
    <w:name w:val="Intense Reference"/>
    <w:basedOn w:val="Standaardalinea-lettertype"/>
    <w:uiPriority w:val="32"/>
    <w:qFormat/>
    <w:rsid w:val="00D208FC"/>
    <w:rPr>
      <w:b/>
      <w:bCs/>
      <w:smallCaps/>
      <w:color w:val="2F5496" w:themeColor="accent1" w:themeShade="BF"/>
      <w:spacing w:val="5"/>
    </w:rPr>
  </w:style>
  <w:style w:type="character" w:styleId="Zwaar">
    <w:name w:val="Strong"/>
    <w:basedOn w:val="Standaardalinea-lettertype"/>
    <w:uiPriority w:val="22"/>
    <w:qFormat/>
    <w:rsid w:val="00D20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1410</ap:Words>
  <ap:Characters>7755</ap:Characters>
  <ap:DocSecurity>0</ap:DocSecurity>
  <ap:Lines>64</ap:Lines>
  <ap:Paragraphs>18</ap:Paragraphs>
  <ap:ScaleCrop>false</ap:ScaleCrop>
  <ap:LinksUpToDate>false</ap:LinksUpToDate>
  <ap:CharactersWithSpaces>9147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2025-09-12T07:49:00.0000000Z</dcterms:created>
  <dcterms:modified xsi:type="dcterms:W3CDTF">2025-09-12T07:49:00.0000000Z</dcterms:modified>
  <version/>
  <category/>
</coreProperties>
</file>