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3A50" w:rsidR="008E45AF" w:rsidRDefault="00EB30F7" w14:paraId="609B6ACD" w14:textId="43556300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21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501-20</w:t>
      </w:r>
      <w:r w:rsidRPr="00103A50" w:rsidR="008E45AF">
        <w:rPr>
          <w:rFonts w:ascii="Calibri" w:hAnsi="Calibri" w:cs="Calibri"/>
        </w:rPr>
        <w:tab/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 w:rsidR="008E45AF">
        <w:rPr>
          <w:rFonts w:ascii="Calibri" w:hAnsi="Calibri" w:cs="Calibri"/>
        </w:rPr>
        <w:t>Raad</w:t>
      </w:r>
    </w:p>
    <w:p w:rsidRPr="00103A50" w:rsidR="008E45AF" w:rsidP="00C024A6" w:rsidRDefault="00F02859" w14:paraId="77F950AE" w14:textId="2C2E480B">
      <w:pPr>
        <w:rPr>
          <w:rFonts w:ascii="Calibri" w:hAnsi="Calibri" w:cs="Calibri"/>
          <w:spacing w:val="-3"/>
        </w:rPr>
      </w:pPr>
      <w:r w:rsidRPr="00103A50">
        <w:rPr>
          <w:rFonts w:ascii="Calibri" w:hAnsi="Calibri" w:cs="Calibri"/>
        </w:rPr>
        <w:t>Nr.</w:t>
      </w:r>
      <w:r w:rsidRPr="00103A50" w:rsidR="003674D3">
        <w:rPr>
          <w:rFonts w:ascii="Calibri" w:hAnsi="Calibri" w:cs="Calibri"/>
        </w:rPr>
        <w:t xml:space="preserve"> </w:t>
      </w:r>
      <w:r w:rsidRPr="00103A50" w:rsidR="00EB30F7">
        <w:rPr>
          <w:rFonts w:ascii="Calibri" w:hAnsi="Calibri" w:cs="Calibri"/>
        </w:rPr>
        <w:t>2268</w:t>
      </w:r>
      <w:r w:rsidRPr="00103A50">
        <w:rPr>
          <w:rFonts w:ascii="Calibri" w:hAnsi="Calibri" w:cs="Calibri"/>
        </w:rPr>
        <w:tab/>
        <w:t>Brief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 w:rsidR="008E45AF">
        <w:rPr>
          <w:rFonts w:ascii="Calibri" w:hAnsi="Calibri" w:cs="Calibri"/>
        </w:rPr>
        <w:t>ministers</w:t>
      </w:r>
      <w:r w:rsidRPr="00103A50" w:rsidR="003674D3">
        <w:rPr>
          <w:rFonts w:ascii="Calibri" w:hAnsi="Calibri" w:cs="Calibri"/>
        </w:rPr>
        <w:t xml:space="preserve"> </w:t>
      </w:r>
      <w:r w:rsidRPr="00103A50" w:rsidR="008E45AF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 w:rsidR="008E45AF">
        <w:rPr>
          <w:rFonts w:ascii="Calibri" w:hAnsi="Calibri" w:cs="Calibri"/>
        </w:rPr>
        <w:t>Buitenlandse</w:t>
      </w:r>
      <w:r w:rsidRPr="00103A50" w:rsidR="003674D3">
        <w:rPr>
          <w:rFonts w:ascii="Calibri" w:hAnsi="Calibri" w:cs="Calibri"/>
        </w:rPr>
        <w:t xml:space="preserve"> </w:t>
      </w:r>
      <w:r w:rsidRPr="00103A50" w:rsidR="008E45AF">
        <w:rPr>
          <w:rFonts w:ascii="Calibri" w:hAnsi="Calibri" w:cs="Calibri"/>
        </w:rPr>
        <w:t>Zaken</w:t>
      </w:r>
      <w:r w:rsidRPr="00103A50" w:rsidR="003674D3">
        <w:rPr>
          <w:rFonts w:ascii="Calibri" w:hAnsi="Calibri" w:cs="Calibri"/>
        </w:rPr>
        <w:t xml:space="preserve"> </w:t>
      </w:r>
      <w:r w:rsidRPr="00103A50" w:rsidR="008E45AF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 w:rsidR="008E45AF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 w:rsidR="008E45AF">
        <w:rPr>
          <w:rFonts w:ascii="Calibri" w:hAnsi="Calibri" w:cs="Calibri"/>
          <w:spacing w:val="-3"/>
        </w:rPr>
        <w:t>Financiën</w:t>
      </w:r>
    </w:p>
    <w:p w:rsidRPr="00103A50" w:rsidR="00C83724" w:rsidP="00C83724" w:rsidRDefault="008E45AF" w14:paraId="356967E4" w14:textId="51091AE0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Voorzitter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Tweede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Kamer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Staten-Generaal</w:t>
      </w:r>
    </w:p>
    <w:p w:rsidRPr="00103A50" w:rsidR="00C83724" w:rsidP="00C83724" w:rsidRDefault="008E45AF" w14:paraId="0EF34C8E" w14:textId="1BF3A8EF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Haag,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12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september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2025</w:t>
      </w:r>
    </w:p>
    <w:p w:rsidRPr="00103A50" w:rsidR="008E45AF" w:rsidP="00C83724" w:rsidRDefault="008E45AF" w14:paraId="316F190B" w14:textId="77777777">
      <w:pPr>
        <w:rPr>
          <w:rFonts w:ascii="Calibri" w:hAnsi="Calibri" w:cs="Calibri"/>
        </w:rPr>
      </w:pPr>
    </w:p>
    <w:p w:rsidRPr="00103A50" w:rsidR="00C83724" w:rsidP="00C83724" w:rsidRDefault="00C83724" w14:paraId="60A104D0" w14:textId="70A106D1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Graag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bieden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kabinetsappreciatie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Meerjarig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(MFK)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eigenmiddelenbesluit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(EMB)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16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juli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jl.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gepubliceerd.</w:t>
      </w:r>
    </w:p>
    <w:p w:rsidRPr="00103A50" w:rsidR="00C83724" w:rsidP="00C83724" w:rsidRDefault="00C83724" w14:paraId="4771B79E" w14:textId="77777777">
      <w:pPr>
        <w:rPr>
          <w:rFonts w:ascii="Calibri" w:hAnsi="Calibri" w:cs="Calibri"/>
        </w:rPr>
      </w:pPr>
    </w:p>
    <w:p w:rsidRPr="00103A50" w:rsidR="00A651EC" w:rsidP="00A651EC" w:rsidRDefault="00A651EC" w14:paraId="191964A9" w14:textId="0D69BB40">
      <w:pPr>
        <w:pStyle w:val="Geenafstand"/>
        <w:rPr>
          <w:rFonts w:ascii="Calibri" w:hAnsi="Calibri" w:cs="Calibri"/>
        </w:rPr>
      </w:pP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minister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Buitenlandse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Zaken,</w:t>
      </w:r>
    </w:p>
    <w:p w:rsidRPr="00103A50" w:rsidR="00A651EC" w:rsidP="00A651EC" w:rsidRDefault="00A651EC" w14:paraId="77AD752E" w14:textId="11E94627">
      <w:pPr>
        <w:pStyle w:val="Geenafstand"/>
        <w:rPr>
          <w:rFonts w:ascii="Calibri" w:hAnsi="Calibri" w:cs="Calibri"/>
        </w:rPr>
      </w:pPr>
      <w:r w:rsidRPr="00103A50">
        <w:rPr>
          <w:rFonts w:ascii="Calibri" w:hAnsi="Calibri" w:cs="Calibri"/>
        </w:rPr>
        <w:t>D.M.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Weel</w:t>
      </w:r>
    </w:p>
    <w:p w:rsidRPr="00103A50" w:rsidR="00A651EC" w:rsidP="00A651EC" w:rsidRDefault="00A651EC" w14:paraId="06BADFDB" w14:textId="77777777">
      <w:pPr>
        <w:pStyle w:val="Geenafstand"/>
        <w:rPr>
          <w:rFonts w:ascii="Calibri" w:hAnsi="Calibri" w:cs="Calibri"/>
        </w:rPr>
      </w:pPr>
    </w:p>
    <w:p w:rsidRPr="00103A50" w:rsidR="00A651EC" w:rsidP="00A651EC" w:rsidRDefault="00A651EC" w14:paraId="37F306D3" w14:textId="00F9FE50">
      <w:pPr>
        <w:pStyle w:val="Geenafstand"/>
        <w:rPr>
          <w:rFonts w:ascii="Calibri" w:hAnsi="Calibri" w:cs="Calibri"/>
        </w:rPr>
      </w:pP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minister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Financiën,</w:t>
      </w:r>
    </w:p>
    <w:p w:rsidRPr="00103A50" w:rsidR="00A651EC" w:rsidP="00A651EC" w:rsidRDefault="00A651EC" w14:paraId="264E5557" w14:textId="7438BB9B">
      <w:pPr>
        <w:pStyle w:val="Geenafstand"/>
        <w:rPr>
          <w:rFonts w:ascii="Calibri" w:hAnsi="Calibri" w:cs="Calibri"/>
        </w:rPr>
      </w:pPr>
      <w:r w:rsidRPr="00103A50">
        <w:rPr>
          <w:rFonts w:ascii="Calibri" w:hAnsi="Calibri" w:cs="Calibri"/>
        </w:rPr>
        <w:t>E.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Heinen</w:t>
      </w:r>
    </w:p>
    <w:p w:rsidRPr="00103A50" w:rsidR="00C83724" w:rsidP="00C83724" w:rsidRDefault="00C83724" w14:paraId="2F7B0ACE" w14:textId="77777777">
      <w:pPr>
        <w:rPr>
          <w:rFonts w:ascii="Calibri" w:hAnsi="Calibri" w:cs="Calibri"/>
        </w:rPr>
      </w:pPr>
    </w:p>
    <w:p w:rsidRPr="00103A50" w:rsidR="00A651EC" w:rsidRDefault="00A651EC" w14:paraId="0CE61A4C" w14:textId="77777777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br w:type="page"/>
      </w:r>
    </w:p>
    <w:p w:rsidRPr="00103A50" w:rsidR="00C83724" w:rsidP="00C83724" w:rsidRDefault="00C83724" w14:paraId="39EC73E5" w14:textId="0DFF0EC3">
      <w:pPr>
        <w:rPr>
          <w:rFonts w:ascii="Calibri" w:hAnsi="Calibri" w:cs="Calibri"/>
          <w:b/>
        </w:rPr>
      </w:pPr>
      <w:r w:rsidRPr="00103A50">
        <w:rPr>
          <w:rFonts w:ascii="Calibri" w:hAnsi="Calibri" w:cs="Calibri"/>
          <w:b/>
        </w:rPr>
        <w:lastRenderedPageBreak/>
        <w:t>Inleiding</w:t>
      </w:r>
    </w:p>
    <w:p w:rsidRPr="00103A50" w:rsidR="00C83724" w:rsidP="00C83724" w:rsidRDefault="00C83724" w14:paraId="3F26FC25" w14:textId="60D94674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16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juli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jl.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presenteerde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(hierna: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volgend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Meerjarig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(hierna: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MFK),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januari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2028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ingaan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periode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zeven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jaar,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2034.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begroting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Unie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(hierna: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jaarlijks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vastgesteld.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Parallel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eigenmiddelenbesluit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(hierna: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gepresenteerd,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financiering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EU-begroting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geregeld.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onderhandelingen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bepalen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belangrijk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omvang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verdeling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uitgaven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inkomsten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periode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2028-2034.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afspraken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aangevuld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Inter-institutioneel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Akkoord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(hierna: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IIA)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begrotingszaken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tussen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Raad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Unie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(hierna: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Raad)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Parlement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(hierna: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EP),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aantal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deelverordeningen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werking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vastgelegd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verschillende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fondsen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instrumenten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EU-begroting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vallen.</w:t>
      </w:r>
    </w:p>
    <w:p w:rsidRPr="00103A50" w:rsidR="00C83724" w:rsidP="00C83724" w:rsidRDefault="00C83724" w14:paraId="55A3FD1E" w14:textId="77777777">
      <w:pPr>
        <w:rPr>
          <w:rFonts w:ascii="Calibri" w:hAnsi="Calibri" w:cs="Calibri"/>
        </w:rPr>
      </w:pPr>
    </w:p>
    <w:p w:rsidRPr="00103A50" w:rsidR="00C83724" w:rsidP="00C83724" w:rsidRDefault="00C83724" w14:paraId="0F325466" w14:textId="59F20A65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verenigd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verschillende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(geo)politieke,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maatschappelijke,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economische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financiële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uitdagingen,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zowel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korte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lange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termijn.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wereld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volatiel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onzeker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andere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Russische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oorlog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Oekraïne,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toegenomen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handelsspanningen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situatie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Midden-Oosten.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staat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concurrentievermogen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economie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druk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liggen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opgaven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gebied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defensie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veiligheid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asiel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migratie.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uitdagingen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hebben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rechtstreeks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invloed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welvaart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veiligheid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prioriteiten.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context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beziet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MFK-voorstellen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vormgeving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volgend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biedt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toekomstige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uitdagingen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adresseren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tastbare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resultaten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blijven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leveren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burgers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bedrijven.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welvaart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veiligheid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essentieel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belang,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zeker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tijdsgewricht.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Modernisering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begroting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draagt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versterken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concurrentievermogen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sterke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interne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markt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inzet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onderzoek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innovatie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fundament,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stevig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migratie-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asielbeleid,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veiligheid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defensie.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aandacht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hebben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voedselzekerheid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weerbaarheid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beoordeling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MFK-voorstellen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nadrukkelijk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proportionaliteits-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subsidiariteitsprincipe.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Kortom,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Unie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zich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richten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kerntaken.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uiteindelijk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beschikbaar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verhouding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moeten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beoogde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eisen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gesteld.</w:t>
      </w:r>
    </w:p>
    <w:p w:rsidRPr="00103A50" w:rsidR="00C83724" w:rsidP="00C83724" w:rsidRDefault="00C83724" w14:paraId="18DC8122" w14:textId="77777777">
      <w:pPr>
        <w:rPr>
          <w:rFonts w:ascii="Calibri" w:hAnsi="Calibri" w:cs="Calibri"/>
        </w:rPr>
      </w:pPr>
    </w:p>
    <w:p w:rsidRPr="00103A50" w:rsidR="00C83724" w:rsidP="00C83724" w:rsidRDefault="00C83724" w14:paraId="5E52B20B" w14:textId="212BDEAD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Hoewel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demissionair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blijft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eerder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uw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Kamer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aangegeven,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actieve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inzet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voeren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gebied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internationale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lastRenderedPageBreak/>
        <w:t>economische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verhoudingen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internationale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veiligheid.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Bontenbal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Campen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werken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cruciale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onderwerpen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kunnen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wachten.</w:t>
      </w:r>
      <w:r w:rsidRPr="00103A50">
        <w:rPr>
          <w:rFonts w:ascii="Calibri" w:hAnsi="Calibri" w:cs="Calibri"/>
          <w:vertAlign w:val="superscript"/>
        </w:rPr>
        <w:footnoteReference w:id="1"/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essentiële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instrumentarium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doelstellingen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verwezenlijken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uitvoering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aangegeven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Kamerbrief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28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maart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jl.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kabinetsinzet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(Kamerstuk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21501-20,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nr.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2245).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demissionaire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zich,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afstemming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uw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Kamer,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actief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inzetten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tijdens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onderhandelingen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najaar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start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gaan.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onderhandelingen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zullen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verwachting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2027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voortduren.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25852EC8" w14:textId="77777777">
      <w:pPr>
        <w:rPr>
          <w:rFonts w:ascii="Calibri" w:hAnsi="Calibri" w:cs="Calibri"/>
        </w:rPr>
      </w:pPr>
    </w:p>
    <w:p w:rsidRPr="00103A50" w:rsidR="00C83724" w:rsidP="00C83724" w:rsidRDefault="00C83724" w14:paraId="01607FE2" w14:textId="22AEF63B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Kamerbrief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bevat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overkoepelende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kabinetsappreciatie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EMB-voorstellen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komt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plaats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BNC-fiches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MFK-verordening</w:t>
      </w:r>
      <w:r w:rsidRPr="00103A50">
        <w:rPr>
          <w:rFonts w:ascii="Calibri" w:hAnsi="Calibri" w:cs="Calibri"/>
          <w:vertAlign w:val="superscript"/>
        </w:rPr>
        <w:footnoteReference w:id="2"/>
      </w:r>
      <w:r w:rsidRPr="00103A50">
        <w:rPr>
          <w:rFonts w:ascii="Calibri" w:hAnsi="Calibri" w:cs="Calibri"/>
        </w:rPr>
        <w:t>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>
        <w:rPr>
          <w:rFonts w:ascii="Calibri" w:hAnsi="Calibri" w:cs="Calibri"/>
          <w:vertAlign w:val="superscript"/>
        </w:rPr>
        <w:footnoteReference w:id="3"/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IIA</w:t>
      </w:r>
      <w:r w:rsidRPr="00103A50">
        <w:rPr>
          <w:rFonts w:ascii="Calibri" w:hAnsi="Calibri" w:cs="Calibri"/>
          <w:vertAlign w:val="superscript"/>
        </w:rPr>
        <w:footnoteReference w:id="4"/>
      </w:r>
      <w:r w:rsidRPr="00103A50">
        <w:rPr>
          <w:rFonts w:ascii="Calibri" w:hAnsi="Calibri" w:cs="Calibri"/>
        </w:rPr>
        <w:t>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Gezien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complexiteit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dossier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samenhang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tussen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kiest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appreciatie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lichten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Kamerbrief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plaats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gebruikelijke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BNC-fiches.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sectorale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Commissievoorstellen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gepubliceerd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vanaf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16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juli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jl.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BNC-fiches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opgesteld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separaat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toekomen.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sectorale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eerder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gepubliceerd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aanvullende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bijvoorbeeld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implementatieregels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zullen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later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BNC-fiches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uw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Kamer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gedeeld,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gebruikelijke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termijnen.</w:t>
      </w:r>
    </w:p>
    <w:p w:rsidRPr="00103A50" w:rsidR="00C83724" w:rsidP="00C83724" w:rsidRDefault="00C83724" w14:paraId="6E16B0AE" w14:textId="77777777">
      <w:pPr>
        <w:rPr>
          <w:rFonts w:ascii="Calibri" w:hAnsi="Calibri" w:cs="Calibri"/>
        </w:rPr>
      </w:pPr>
    </w:p>
    <w:p w:rsidRPr="00103A50" w:rsidR="00C83724" w:rsidP="00C83724" w:rsidRDefault="00C83724" w14:paraId="7784EA29" w14:textId="77777777">
      <w:pPr>
        <w:rPr>
          <w:rFonts w:ascii="Calibri" w:hAnsi="Calibri" w:cs="Calibri"/>
          <w:b/>
        </w:rPr>
      </w:pPr>
      <w:r w:rsidRPr="00103A50">
        <w:rPr>
          <w:rFonts w:ascii="Calibri" w:hAnsi="Calibri" w:cs="Calibri"/>
          <w:b/>
        </w:rPr>
        <w:t>Leeswijzer</w:t>
      </w:r>
    </w:p>
    <w:p w:rsidRPr="00103A50" w:rsidR="00C83724" w:rsidP="00C83724" w:rsidRDefault="00C83724" w14:paraId="4118224D" w14:textId="6062B329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brief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beschrijft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eerst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hoofdlijnen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aansluitend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algemene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appreciatie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ervan.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Daarnaast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ingegaan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begrotingspijlers.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specifieke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uitwerking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opgenomen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betreffende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BNC-fiches.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Vervolgens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gaat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brief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aantal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specifieke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speciale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instrumenten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leenfaciliteiten.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Daarna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EMB-voorstel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beschreven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geapprecieerd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ingegaan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financiële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gevolgen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bekend).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Vervolgens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gaat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brief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bevoegdheid,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proportionaliteit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subsidiariteit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EMB-voorstel.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slot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schetst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brief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krachtenveld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lastRenderedPageBreak/>
        <w:t>onderhandelingsproces.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annex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overzicht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opgenomen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sectorale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voorstellen.</w:t>
      </w:r>
    </w:p>
    <w:p w:rsidRPr="00103A50" w:rsidR="00C83724" w:rsidP="00C83724" w:rsidRDefault="00C83724" w14:paraId="55E8C41B" w14:textId="77777777">
      <w:pPr>
        <w:rPr>
          <w:rFonts w:ascii="Calibri" w:hAnsi="Calibri" w:cs="Calibri"/>
          <w:b/>
        </w:rPr>
      </w:pPr>
    </w:p>
    <w:p w:rsidRPr="00103A50" w:rsidR="00C83724" w:rsidP="00C83724" w:rsidRDefault="00C83724" w14:paraId="5DB81B5F" w14:textId="5CF85CFE">
      <w:pPr>
        <w:rPr>
          <w:rFonts w:ascii="Calibri" w:hAnsi="Calibri" w:cs="Calibri"/>
          <w:b/>
        </w:rPr>
      </w:pPr>
      <w:r w:rsidRPr="00103A50">
        <w:rPr>
          <w:rFonts w:ascii="Calibri" w:hAnsi="Calibri" w:cs="Calibri"/>
          <w:b/>
        </w:rPr>
        <w:t>Hoofdlijnen</w:t>
      </w:r>
      <w:r w:rsidRPr="00103A50" w:rsidR="003674D3">
        <w:rPr>
          <w:rFonts w:ascii="Calibri" w:hAnsi="Calibri" w:cs="Calibri"/>
          <w:b/>
        </w:rPr>
        <w:t xml:space="preserve"> </w:t>
      </w:r>
      <w:r w:rsidRPr="00103A50">
        <w:rPr>
          <w:rFonts w:ascii="Calibri" w:hAnsi="Calibri" w:cs="Calibri"/>
          <w:b/>
        </w:rPr>
        <w:t>Commissievoorstel</w:t>
      </w:r>
    </w:p>
    <w:p w:rsidRPr="00103A50" w:rsidR="00C83724" w:rsidP="00C83724" w:rsidRDefault="00C83724" w14:paraId="7AFEE400" w14:textId="746143F3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architectuur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werking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hervormen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aantal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begrotingshoofdstukken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verminderen,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fondsen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samen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voegen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resultaatgericht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begroten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passen.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Daarnaast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wil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moderniseren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begroting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spitsen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thema’s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concurrentievermogen,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veiligheid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defensie,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asiel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migratie.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beter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onvoorziene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omstandigheden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kunnen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grotere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budgetflexibiliteit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1F7DC1B3" w14:textId="77777777">
      <w:pPr>
        <w:rPr>
          <w:rFonts w:ascii="Calibri" w:hAnsi="Calibri" w:cs="Calibri"/>
        </w:rPr>
      </w:pPr>
    </w:p>
    <w:p w:rsidRPr="00103A50" w:rsidR="00C83724" w:rsidP="00C83724" w:rsidRDefault="00C83724" w14:paraId="367CA082" w14:textId="46905AE5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periode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2028-2034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maximaal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uitgavenplafond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vastleggingen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1.763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miljard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2025-prijzen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1.985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miljard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lopende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prijzen.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1,26%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verwachte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bruto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nationaal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inkomen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(bni)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1,15%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(t.o.v.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1,13%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bni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>
        <w:rPr>
          <w:rStyle w:val="Voetnootmarkering"/>
          <w:rFonts w:ascii="Calibri" w:hAnsi="Calibri" w:cs="Calibri"/>
        </w:rPr>
        <w:footnoteReference w:id="5"/>
      </w:r>
      <w:r w:rsidRPr="00103A50">
        <w:rPr>
          <w:rFonts w:ascii="Calibri" w:hAnsi="Calibri" w:cs="Calibri"/>
        </w:rPr>
        <w:t>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voorzien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beleidsuitgaven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0,11%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aflossing-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rentebetalingen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Unie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geleend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uitgaven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gedaan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coronaherstelfonds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  <w:i/>
          <w:iCs/>
        </w:rPr>
        <w:t>NextGenerationEU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(hierna: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NGEU).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EU-begroting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bedraagt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daarmee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gemiddeld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284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miljard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gehele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Unie.</w:t>
      </w:r>
      <w:r w:rsidRPr="00103A50">
        <w:rPr>
          <w:rStyle w:val="Voetnootmarkering"/>
          <w:rFonts w:ascii="Calibri" w:hAnsi="Calibri" w:cs="Calibri"/>
        </w:rPr>
        <w:footnoteReference w:id="6"/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landbouw-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cohesiebeleid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beslaat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altijd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grootste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begroting.</w:t>
      </w:r>
    </w:p>
    <w:p w:rsidRPr="00103A50" w:rsidR="00C83724" w:rsidP="00C83724" w:rsidRDefault="00C83724" w14:paraId="662662B5" w14:textId="77777777">
      <w:pPr>
        <w:rPr>
          <w:rFonts w:ascii="Calibri" w:hAnsi="Calibri" w:cs="Calibri"/>
        </w:rPr>
      </w:pPr>
    </w:p>
    <w:p w:rsidRPr="00103A50" w:rsidR="00C83724" w:rsidP="00C83724" w:rsidRDefault="00C83724" w14:paraId="69A59E88" w14:textId="344D0AAB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Tabel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vergelijkt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verdeling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zeven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verschillende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begrotingscategorieën,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terwijl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volgend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pijlers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tabel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begrotingscategorieën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ingedeeld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volgens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pijlers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gerekend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cijfers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basis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akkoord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2020.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MFK-herziening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toegevoegd.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programma’s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ingedeeld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pijlers.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betreft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inschatting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dus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afwijken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precieze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vragen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vergelijkende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tabellen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publiceren.</w:t>
      </w:r>
    </w:p>
    <w:p w:rsidRPr="00103A50" w:rsidR="00C83724" w:rsidP="00C83724" w:rsidRDefault="00C83724" w14:paraId="11BFAD03" w14:textId="77777777">
      <w:pPr>
        <w:rPr>
          <w:rFonts w:ascii="Calibri" w:hAnsi="Calibri" w:cs="Calibri"/>
        </w:rPr>
      </w:pPr>
    </w:p>
    <w:p w:rsidRPr="00103A50" w:rsidR="00C83724" w:rsidP="00C83724" w:rsidRDefault="00C83724" w14:paraId="015D0B42" w14:textId="784E1148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lastRenderedPageBreak/>
        <w:t>Zoals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weergegeven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tabel,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45%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(894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miljard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gereserveerd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pijler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nationale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regionale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partnerschapsplannen,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name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structuur-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investeringsfondsen,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landbouwfondsen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migratiefondsen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zitten.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onderdeel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begrotingscategorieën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3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4.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pijler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concurrentievermogen,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welvaart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veiligheid,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30%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(590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miljard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budget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gereserveerd.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veiligheid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defensie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(momenteel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begrotingscategorie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5).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pijler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3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11%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(215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miljard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budget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gereserveerd.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externe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Unie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externe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aspecten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migratie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ondergebracht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begrotingscategorie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6).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administratieve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apart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opgenomen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pijler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4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(momenteel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begrotingscategorie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7)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6%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(104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miljard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budget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gereserveerd.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69859B2C" w14:textId="77777777">
      <w:pPr>
        <w:rPr>
          <w:rFonts w:ascii="Calibri" w:hAnsi="Calibri" w:cs="Calibri"/>
        </w:rPr>
      </w:pPr>
    </w:p>
    <w:p w:rsidRPr="00103A50" w:rsidR="00C83724" w:rsidP="00C83724" w:rsidRDefault="00C83724" w14:paraId="459EC9AB" w14:textId="70C3D448">
      <w:pPr>
        <w:rPr>
          <w:rFonts w:ascii="Calibri" w:hAnsi="Calibri" w:cs="Calibri"/>
          <w:b/>
        </w:rPr>
      </w:pPr>
      <w:r w:rsidRPr="00103A50">
        <w:rPr>
          <w:rFonts w:ascii="Calibri" w:hAnsi="Calibri" w:cs="Calibri"/>
          <w:b/>
        </w:rPr>
        <w:t>Tabel</w:t>
      </w:r>
      <w:r w:rsidRPr="00103A50" w:rsidR="003674D3">
        <w:rPr>
          <w:rFonts w:ascii="Calibri" w:hAnsi="Calibri" w:cs="Calibri"/>
          <w:b/>
        </w:rPr>
        <w:t xml:space="preserve"> </w:t>
      </w:r>
      <w:r w:rsidRPr="00103A50">
        <w:rPr>
          <w:rFonts w:ascii="Calibri" w:hAnsi="Calibri" w:cs="Calibri"/>
          <w:b/>
        </w:rPr>
        <w:t>1.</w:t>
      </w:r>
      <w:r w:rsidRPr="00103A50" w:rsidR="003674D3">
        <w:rPr>
          <w:rFonts w:ascii="Calibri" w:hAnsi="Calibri" w:cs="Calibri"/>
          <w:b/>
        </w:rPr>
        <w:t xml:space="preserve"> </w:t>
      </w:r>
      <w:r w:rsidRPr="00103A50">
        <w:rPr>
          <w:rFonts w:ascii="Calibri" w:hAnsi="Calibri" w:cs="Calibri"/>
          <w:b/>
        </w:rPr>
        <w:t>Vastleggingenplafonds</w:t>
      </w:r>
      <w:r w:rsidRPr="00103A50" w:rsidR="003674D3">
        <w:rPr>
          <w:rFonts w:ascii="Calibri" w:hAnsi="Calibri" w:cs="Calibri"/>
          <w:b/>
        </w:rPr>
        <w:t xml:space="preserve"> </w:t>
      </w:r>
      <w:r w:rsidRPr="00103A50">
        <w:rPr>
          <w:rFonts w:ascii="Calibri" w:hAnsi="Calibri" w:cs="Calibri"/>
          <w:b/>
        </w:rPr>
        <w:t>in</w:t>
      </w:r>
      <w:r w:rsidRPr="00103A50" w:rsidR="003674D3">
        <w:rPr>
          <w:rFonts w:ascii="Calibri" w:hAnsi="Calibri" w:cs="Calibri"/>
          <w:b/>
        </w:rPr>
        <w:t xml:space="preserve"> </w:t>
      </w:r>
      <w:r w:rsidRPr="00103A50">
        <w:rPr>
          <w:rFonts w:ascii="Calibri" w:hAnsi="Calibri" w:cs="Calibri"/>
          <w:b/>
        </w:rPr>
        <w:t>huidige</w:t>
      </w:r>
      <w:r w:rsidRPr="00103A50" w:rsidR="003674D3">
        <w:rPr>
          <w:rFonts w:ascii="Calibri" w:hAnsi="Calibri" w:cs="Calibri"/>
          <w:b/>
        </w:rPr>
        <w:t xml:space="preserve"> </w:t>
      </w:r>
      <w:r w:rsidRPr="00103A50">
        <w:rPr>
          <w:rFonts w:ascii="Calibri" w:hAnsi="Calibri" w:cs="Calibri"/>
          <w:b/>
        </w:rPr>
        <w:t>MFK</w:t>
      </w:r>
      <w:r w:rsidRPr="00103A50" w:rsidR="003674D3">
        <w:rPr>
          <w:rFonts w:ascii="Calibri" w:hAnsi="Calibri" w:cs="Calibri"/>
          <w:b/>
        </w:rPr>
        <w:t xml:space="preserve"> </w:t>
      </w:r>
      <w:r w:rsidRPr="00103A50">
        <w:rPr>
          <w:rFonts w:ascii="Calibri" w:hAnsi="Calibri" w:cs="Calibri"/>
          <w:b/>
        </w:rPr>
        <w:t>en</w:t>
      </w:r>
      <w:r w:rsidRPr="00103A50" w:rsidR="003674D3">
        <w:rPr>
          <w:rFonts w:ascii="Calibri" w:hAnsi="Calibri" w:cs="Calibri"/>
          <w:b/>
        </w:rPr>
        <w:t xml:space="preserve"> </w:t>
      </w:r>
      <w:r w:rsidRPr="00103A50">
        <w:rPr>
          <w:rFonts w:ascii="Calibri" w:hAnsi="Calibri" w:cs="Calibri"/>
          <w:b/>
        </w:rPr>
        <w:t>Commissievoorstel</w:t>
      </w:r>
      <w:r w:rsidRPr="00103A50" w:rsidR="003674D3">
        <w:rPr>
          <w:rFonts w:ascii="Calibri" w:hAnsi="Calibri" w:cs="Calibri"/>
          <w:b/>
        </w:rPr>
        <w:t xml:space="preserve"> </w:t>
      </w:r>
      <w:r w:rsidRPr="00103A50">
        <w:rPr>
          <w:rFonts w:ascii="Calibri" w:hAnsi="Calibri" w:cs="Calibri"/>
          <w:b/>
        </w:rPr>
        <w:t>volgend</w:t>
      </w:r>
      <w:r w:rsidRPr="00103A50" w:rsidR="003674D3">
        <w:rPr>
          <w:rFonts w:ascii="Calibri" w:hAnsi="Calibri" w:cs="Calibri"/>
          <w:b/>
        </w:rPr>
        <w:t xml:space="preserve"> </w:t>
      </w:r>
      <w:r w:rsidRPr="00103A50">
        <w:rPr>
          <w:rFonts w:ascii="Calibri" w:hAnsi="Calibri" w:cs="Calibri"/>
          <w:b/>
        </w:rPr>
        <w:t>MFK</w:t>
      </w:r>
      <w:r w:rsidRPr="00103A50" w:rsidR="003674D3">
        <w:rPr>
          <w:rFonts w:ascii="Calibri" w:hAnsi="Calibri" w:cs="Calibri"/>
          <w:b/>
        </w:rPr>
        <w:t xml:space="preserve"> </w:t>
      </w:r>
      <w:r w:rsidRPr="00103A50">
        <w:rPr>
          <w:rFonts w:ascii="Calibri" w:hAnsi="Calibri" w:cs="Calibri"/>
          <w:b/>
        </w:rPr>
        <w:t>2028–2034</w:t>
      </w:r>
      <w:r w:rsidRPr="00103A50" w:rsidR="003674D3">
        <w:rPr>
          <w:rFonts w:ascii="Calibri" w:hAnsi="Calibri" w:cs="Calibri"/>
          <w:b/>
        </w:rPr>
        <w:t xml:space="preserve"> </w:t>
      </w:r>
      <w:r w:rsidRPr="00103A50">
        <w:rPr>
          <w:rFonts w:ascii="Calibri" w:hAnsi="Calibri" w:cs="Calibri"/>
          <w:b/>
        </w:rPr>
        <w:t>(in</w:t>
      </w:r>
      <w:r w:rsidRPr="00103A50" w:rsidR="003674D3">
        <w:rPr>
          <w:rFonts w:ascii="Calibri" w:hAnsi="Calibri" w:cs="Calibri"/>
          <w:b/>
        </w:rPr>
        <w:t xml:space="preserve"> </w:t>
      </w:r>
      <w:r w:rsidRPr="00103A50">
        <w:rPr>
          <w:rFonts w:ascii="Calibri" w:hAnsi="Calibri" w:cs="Calibri"/>
          <w:b/>
        </w:rPr>
        <w:t>miljarden</w:t>
      </w:r>
      <w:r w:rsidRPr="00103A50" w:rsidR="003674D3">
        <w:rPr>
          <w:rFonts w:ascii="Calibri" w:hAnsi="Calibri" w:cs="Calibri"/>
          <w:b/>
        </w:rPr>
        <w:t xml:space="preserve"> </w:t>
      </w:r>
      <w:r w:rsidRPr="00103A50">
        <w:rPr>
          <w:rFonts w:ascii="Calibri" w:hAnsi="Calibri" w:cs="Calibri"/>
          <w:b/>
        </w:rPr>
        <w:t>euro,</w:t>
      </w:r>
      <w:r w:rsidRPr="00103A50" w:rsidR="003674D3">
        <w:rPr>
          <w:rFonts w:ascii="Calibri" w:hAnsi="Calibri" w:cs="Calibri"/>
          <w:b/>
        </w:rPr>
        <w:t xml:space="preserve"> </w:t>
      </w:r>
      <w:r w:rsidRPr="00103A50">
        <w:rPr>
          <w:rFonts w:ascii="Calibri" w:hAnsi="Calibri" w:cs="Calibri"/>
          <w:b/>
        </w:rPr>
        <w:t>lopende</w:t>
      </w:r>
      <w:r w:rsidRPr="00103A50" w:rsidR="003674D3">
        <w:rPr>
          <w:rFonts w:ascii="Calibri" w:hAnsi="Calibri" w:cs="Calibri"/>
          <w:b/>
        </w:rPr>
        <w:t xml:space="preserve"> </w:t>
      </w:r>
      <w:r w:rsidRPr="00103A50">
        <w:rPr>
          <w:rFonts w:ascii="Calibri" w:hAnsi="Calibri" w:cs="Calibri"/>
          <w:b/>
        </w:rPr>
        <w:t>prijzen)</w:t>
      </w:r>
    </w:p>
    <w:tbl>
      <w:tblPr>
        <w:tblStyle w:val="Tabelraster"/>
        <w:tblW w:w="8541" w:type="dxa"/>
        <w:tblBorders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241"/>
        <w:gridCol w:w="1290"/>
        <w:gridCol w:w="1276"/>
        <w:gridCol w:w="1276"/>
        <w:gridCol w:w="1458"/>
      </w:tblGrid>
      <w:tr w:rsidRPr="00103A50" w:rsidR="00C83724" w:rsidTr="00FA4CB3" w14:paraId="066F54DB" w14:textId="77777777">
        <w:trPr>
          <w:trHeight w:val="440"/>
        </w:trPr>
        <w:tc>
          <w:tcPr>
            <w:tcW w:w="8541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1F3864"/>
          </w:tcPr>
          <w:p w:rsidRPr="00103A50" w:rsidR="00C83724" w:rsidP="00FA4CB3" w:rsidRDefault="00C83724" w14:paraId="77AB6C86" w14:textId="6956AE9D">
            <w:pPr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103A50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>Tabel</w:t>
            </w:r>
            <w:r w:rsidRPr="00103A50" w:rsidR="003674D3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>1:</w:t>
            </w:r>
            <w:r w:rsidRPr="00103A50" w:rsidR="003674D3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>Vastleggingenplafonds</w:t>
            </w:r>
            <w:r w:rsidRPr="00103A50" w:rsidR="003674D3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>in</w:t>
            </w:r>
            <w:r w:rsidRPr="00103A50" w:rsidR="003674D3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>huidige</w:t>
            </w:r>
            <w:r w:rsidRPr="00103A50" w:rsidR="003674D3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>MFK</w:t>
            </w:r>
            <w:r w:rsidRPr="00103A50" w:rsidR="003674D3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>en</w:t>
            </w:r>
            <w:r w:rsidRPr="00103A50" w:rsidR="003674D3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>Commissievoorstel</w:t>
            </w:r>
            <w:r w:rsidRPr="00103A50" w:rsidR="003674D3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>volgend</w:t>
            </w:r>
            <w:r w:rsidRPr="00103A50" w:rsidR="003674D3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>MFK</w:t>
            </w:r>
            <w:r w:rsidRPr="00103A50" w:rsidR="003674D3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>(in</w:t>
            </w:r>
            <w:r w:rsidRPr="00103A50" w:rsidR="003674D3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>miljarden</w:t>
            </w:r>
            <w:r w:rsidRPr="00103A50" w:rsidR="003674D3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>euro,</w:t>
            </w:r>
            <w:r w:rsidRPr="00103A50" w:rsidR="003674D3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>lopende</w:t>
            </w:r>
            <w:r w:rsidRPr="00103A50" w:rsidR="003674D3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>prijzen)</w:t>
            </w:r>
          </w:p>
        </w:tc>
      </w:tr>
      <w:tr w:rsidRPr="00103A50" w:rsidR="00C83724" w:rsidTr="00FA4CB3" w14:paraId="47529B81" w14:textId="77777777">
        <w:trPr>
          <w:trHeight w:val="64"/>
        </w:trPr>
        <w:tc>
          <w:tcPr>
            <w:tcW w:w="3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F3864"/>
          </w:tcPr>
          <w:p w:rsidRPr="00103A50" w:rsidR="00C83724" w:rsidP="00FA4CB3" w:rsidRDefault="00C83724" w14:paraId="781718EB" w14:textId="77777777">
            <w:pPr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F3864"/>
          </w:tcPr>
          <w:p w:rsidRPr="00103A50" w:rsidR="00C83724" w:rsidP="00FA4CB3" w:rsidRDefault="00C83724" w14:paraId="2923D487" w14:textId="3C498C0F">
            <w:pPr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103A50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>in</w:t>
            </w:r>
            <w:r w:rsidRPr="00103A50" w:rsidR="003674D3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>miljarden</w:t>
            </w:r>
            <w:r w:rsidRPr="00103A50" w:rsidR="003674D3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>euro</w:t>
            </w:r>
          </w:p>
        </w:tc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F3864"/>
          </w:tcPr>
          <w:p w:rsidRPr="00103A50" w:rsidR="00C83724" w:rsidP="00FA4CB3" w:rsidRDefault="00C83724" w14:paraId="5E9CFAE9" w14:textId="4C622AC0">
            <w:pPr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103A50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>in</w:t>
            </w:r>
            <w:r w:rsidRPr="00103A50" w:rsidR="003674D3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>%</w:t>
            </w:r>
            <w:r w:rsidRPr="00103A50" w:rsidR="003674D3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>van</w:t>
            </w:r>
            <w:r w:rsidRPr="00103A50" w:rsidR="003674D3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>de</w:t>
            </w:r>
            <w:r w:rsidRPr="00103A50" w:rsidR="003674D3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</w:rPr>
              <w:t>EU-begroting</w:t>
            </w:r>
          </w:p>
        </w:tc>
      </w:tr>
      <w:tr w:rsidRPr="00103A50" w:rsidR="00C83724" w:rsidTr="00FA4CB3" w14:paraId="72088484" w14:textId="77777777">
        <w:trPr>
          <w:trHeight w:val="219"/>
        </w:trPr>
        <w:tc>
          <w:tcPr>
            <w:tcW w:w="32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03A50" w:rsidR="00C83724" w:rsidP="00FA4CB3" w:rsidRDefault="00C83724" w14:paraId="47247C0E" w14:textId="77777777">
            <w:pPr>
              <w:rPr>
                <w:rFonts w:ascii="Calibri" w:hAnsi="Calibri" w:eastAsia="Times New Roman" w:cs="Calibri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103A50" w:rsidR="00C83724" w:rsidP="00FA4CB3" w:rsidRDefault="00C83724" w14:paraId="5DB7F6E8" w14:textId="708F1CE7">
            <w:pPr>
              <w:rPr>
                <w:rFonts w:ascii="Calibri" w:hAnsi="Calibri" w:eastAsia="Times New Roman" w:cs="Calibri"/>
                <w:sz w:val="22"/>
                <w:szCs w:val="22"/>
                <w:lang w:val="en-US"/>
              </w:rPr>
            </w:pPr>
            <w:r w:rsidRPr="00103A50">
              <w:rPr>
                <w:rFonts w:ascii="Calibri" w:hAnsi="Calibri" w:eastAsia="Times New Roman" w:cs="Calibri"/>
                <w:b/>
                <w:bCs/>
                <w:sz w:val="22"/>
                <w:szCs w:val="22"/>
                <w:lang w:val="en-US"/>
              </w:rPr>
              <w:t>2021-2027</w:t>
            </w:r>
            <w:r w:rsidRPr="00103A50" w:rsidR="003674D3">
              <w:rPr>
                <w:rFonts w:ascii="Calibri" w:hAnsi="Calibri" w:eastAsia="Times New Roman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03A50" w:rsidR="00C83724" w:rsidP="00FA4CB3" w:rsidRDefault="00C83724" w14:paraId="7588099B" w14:textId="761D7890">
            <w:pPr>
              <w:rPr>
                <w:rFonts w:ascii="Calibri" w:hAnsi="Calibri" w:eastAsia="Times New Roman" w:cs="Calibri"/>
                <w:sz w:val="22"/>
                <w:szCs w:val="22"/>
                <w:lang w:val="en-US"/>
              </w:rPr>
            </w:pPr>
            <w:r w:rsidRPr="00103A50">
              <w:rPr>
                <w:rFonts w:ascii="Calibri" w:hAnsi="Calibri" w:eastAsia="Times New Roman" w:cs="Calibri"/>
                <w:b/>
                <w:bCs/>
                <w:sz w:val="22"/>
                <w:szCs w:val="22"/>
                <w:lang w:val="en-US"/>
              </w:rPr>
              <w:t>2028-2034</w:t>
            </w:r>
            <w:r w:rsidRPr="00103A50" w:rsidR="003674D3">
              <w:rPr>
                <w:rFonts w:ascii="Calibri" w:hAnsi="Calibri" w:eastAsia="Times New Roman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03A50" w:rsidR="00C83724" w:rsidP="00FA4CB3" w:rsidRDefault="00C83724" w14:paraId="7EE56BA7" w14:textId="77777777">
            <w:pPr>
              <w:rPr>
                <w:rFonts w:ascii="Calibri" w:hAnsi="Calibri" w:eastAsia="Times New Roman" w:cs="Calibri"/>
                <w:b/>
                <w:bCs/>
                <w:sz w:val="22"/>
                <w:szCs w:val="22"/>
                <w:lang w:val="en-US"/>
              </w:rPr>
            </w:pPr>
            <w:r w:rsidRPr="00103A50">
              <w:rPr>
                <w:rFonts w:ascii="Calibri" w:hAnsi="Calibri" w:eastAsia="Times New Roman" w:cs="Calibri"/>
                <w:b/>
                <w:bCs/>
                <w:sz w:val="22"/>
                <w:szCs w:val="22"/>
                <w:lang w:val="en-US"/>
              </w:rPr>
              <w:t>2021-2027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03A50" w:rsidR="00C83724" w:rsidP="00FA4CB3" w:rsidRDefault="00C83724" w14:paraId="425FD8AF" w14:textId="77777777">
            <w:pPr>
              <w:rPr>
                <w:rFonts w:ascii="Calibri" w:hAnsi="Calibri" w:eastAsia="Times New Roman" w:cs="Calibri"/>
                <w:b/>
                <w:bCs/>
                <w:sz w:val="22"/>
                <w:szCs w:val="22"/>
                <w:lang w:val="en-US"/>
              </w:rPr>
            </w:pPr>
            <w:r w:rsidRPr="00103A50">
              <w:rPr>
                <w:rFonts w:ascii="Calibri" w:hAnsi="Calibri" w:eastAsia="Times New Roman" w:cs="Calibri"/>
                <w:b/>
                <w:bCs/>
                <w:sz w:val="22"/>
                <w:szCs w:val="22"/>
                <w:lang w:val="en-US"/>
              </w:rPr>
              <w:t>2028-2034</w:t>
            </w:r>
          </w:p>
        </w:tc>
      </w:tr>
      <w:tr w:rsidRPr="00103A50" w:rsidR="00C83724" w:rsidTr="00FA4CB3" w14:paraId="77D045FE" w14:textId="77777777">
        <w:trPr>
          <w:trHeight w:val="219"/>
        </w:trPr>
        <w:tc>
          <w:tcPr>
            <w:tcW w:w="3241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:rsidRPr="00103A50" w:rsidR="00C83724" w:rsidP="00FA4CB3" w:rsidRDefault="00C83724" w14:paraId="4BD0BF14" w14:textId="0B11BDB0">
            <w:pPr>
              <w:rPr>
                <w:rFonts w:ascii="Calibri" w:hAnsi="Calibri" w:eastAsia="Times New Roman" w:cs="Calibri"/>
                <w:i/>
                <w:iCs/>
                <w:sz w:val="22"/>
                <w:szCs w:val="22"/>
                <w:lang w:val="en-US"/>
              </w:rPr>
            </w:pPr>
            <w:r w:rsidRPr="00103A50">
              <w:rPr>
                <w:rFonts w:ascii="Calibri" w:hAnsi="Calibri" w:eastAsia="Times New Roman" w:cs="Calibri"/>
                <w:sz w:val="22"/>
                <w:szCs w:val="22"/>
                <w:lang w:val="en-US"/>
              </w:rPr>
              <w:t>Pijler</w:t>
            </w:r>
            <w:r w:rsidRPr="00103A50" w:rsidR="003674D3">
              <w:rPr>
                <w:rFonts w:ascii="Calibri" w:hAnsi="Calibri" w:eastAsia="Times New Roman" w:cs="Calibri"/>
                <w:sz w:val="22"/>
                <w:szCs w:val="22"/>
                <w:lang w:val="en-US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sz w:val="22"/>
                <w:szCs w:val="22"/>
                <w:lang w:val="en-US"/>
              </w:rPr>
              <w:t>1:</w:t>
            </w:r>
            <w:r w:rsidRPr="00103A50" w:rsidR="003674D3">
              <w:rPr>
                <w:rFonts w:ascii="Calibri" w:hAnsi="Calibri" w:eastAsia="Times New Roman" w:cs="Calibri"/>
                <w:sz w:val="22"/>
                <w:szCs w:val="22"/>
                <w:lang w:val="en-US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i/>
                <w:iCs/>
                <w:sz w:val="22"/>
                <w:szCs w:val="22"/>
                <w:lang w:val="en-US"/>
              </w:rPr>
              <w:t>NRPPs*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bottom"/>
          </w:tcPr>
          <w:p w:rsidRPr="00103A50" w:rsidR="00C83724" w:rsidP="00FA4CB3" w:rsidRDefault="00C83724" w14:paraId="223F3750" w14:textId="77777777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val="en-US"/>
              </w:rPr>
            </w:pPr>
            <w:r w:rsidRPr="00103A50">
              <w:rPr>
                <w:rFonts w:ascii="Calibri" w:hAnsi="Calibri" w:cs="Calibri"/>
                <w:sz w:val="22"/>
                <w:szCs w:val="22"/>
              </w:rPr>
              <w:t>806</w:t>
            </w:r>
          </w:p>
        </w:tc>
        <w:tc>
          <w:tcPr>
            <w:tcW w:w="1276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:rsidRPr="00103A50" w:rsidR="00C83724" w:rsidP="00FA4CB3" w:rsidRDefault="00C83724" w14:paraId="6E39B1C1" w14:textId="77777777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val="en-US"/>
              </w:rPr>
            </w:pPr>
            <w:r w:rsidRPr="00103A50">
              <w:rPr>
                <w:rFonts w:ascii="Calibri" w:hAnsi="Calibri" w:eastAsia="Times New Roman" w:cs="Calibri"/>
                <w:sz w:val="22"/>
                <w:szCs w:val="22"/>
                <w:lang w:val="en-US"/>
              </w:rPr>
              <w:t>894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:rsidRPr="00103A50" w:rsidR="00C83724" w:rsidP="00FA4CB3" w:rsidRDefault="00C83724" w14:paraId="36653412" w14:textId="77777777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val="en-US"/>
              </w:rPr>
            </w:pPr>
            <w:r w:rsidRPr="00103A50">
              <w:rPr>
                <w:rFonts w:ascii="Calibri" w:hAnsi="Calibri" w:cs="Calibri"/>
                <w:sz w:val="22"/>
                <w:szCs w:val="22"/>
              </w:rPr>
              <w:t>66%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:rsidRPr="00103A50" w:rsidR="00C83724" w:rsidP="00FA4CB3" w:rsidRDefault="00C83724" w14:paraId="638B7339" w14:textId="77777777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val="en-US"/>
              </w:rPr>
            </w:pPr>
            <w:r w:rsidRPr="00103A50">
              <w:rPr>
                <w:rFonts w:ascii="Calibri" w:hAnsi="Calibri" w:cs="Calibri"/>
                <w:sz w:val="22"/>
                <w:szCs w:val="22"/>
              </w:rPr>
              <w:t>45%</w:t>
            </w:r>
          </w:p>
        </w:tc>
      </w:tr>
      <w:tr w:rsidRPr="00103A50" w:rsidR="00C83724" w:rsidTr="00FA4CB3" w14:paraId="7082D6CF" w14:textId="77777777">
        <w:trPr>
          <w:trHeight w:val="219"/>
        </w:trPr>
        <w:tc>
          <w:tcPr>
            <w:tcW w:w="32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03A50" w:rsidR="00C83724" w:rsidP="00FA4CB3" w:rsidRDefault="00C83724" w14:paraId="0C1A1DE2" w14:textId="716DB3ED">
            <w:pPr>
              <w:rPr>
                <w:rFonts w:ascii="Calibri" w:hAnsi="Calibri" w:eastAsia="Times New Roman" w:cs="Calibri"/>
                <w:i/>
                <w:iCs/>
                <w:sz w:val="22"/>
                <w:szCs w:val="22"/>
                <w:lang w:val="en-US"/>
              </w:rPr>
            </w:pPr>
            <w:r w:rsidRPr="00103A50">
              <w:rPr>
                <w:rFonts w:ascii="Calibri" w:hAnsi="Calibri" w:eastAsia="Times New Roman" w:cs="Calibri"/>
                <w:sz w:val="22"/>
                <w:szCs w:val="22"/>
                <w:lang w:val="en-US"/>
              </w:rPr>
              <w:t>Pijler</w:t>
            </w:r>
            <w:r w:rsidRPr="00103A50" w:rsidR="003674D3">
              <w:rPr>
                <w:rFonts w:ascii="Calibri" w:hAnsi="Calibri" w:eastAsia="Times New Roman" w:cs="Calibri"/>
                <w:sz w:val="22"/>
                <w:szCs w:val="22"/>
                <w:lang w:val="en-US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sz w:val="22"/>
                <w:szCs w:val="22"/>
                <w:lang w:val="en-US"/>
              </w:rPr>
              <w:t>2:</w:t>
            </w:r>
            <w:r w:rsidRPr="00103A50" w:rsidR="003674D3">
              <w:rPr>
                <w:rFonts w:ascii="Calibri" w:hAnsi="Calibri" w:eastAsia="Times New Roman" w:cs="Calibri"/>
                <w:sz w:val="22"/>
                <w:szCs w:val="22"/>
                <w:lang w:val="en-US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i/>
                <w:iCs/>
                <w:sz w:val="22"/>
                <w:szCs w:val="22"/>
                <w:lang w:val="en-US"/>
              </w:rPr>
              <w:t>Competitiveness,</w:t>
            </w:r>
            <w:r w:rsidRPr="00103A50" w:rsidR="003674D3">
              <w:rPr>
                <w:rFonts w:ascii="Calibri" w:hAnsi="Calibri" w:eastAsia="Times New Roman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i/>
                <w:iCs/>
                <w:sz w:val="22"/>
                <w:szCs w:val="22"/>
                <w:lang w:val="en-US"/>
              </w:rPr>
              <w:t>prosperity</w:t>
            </w:r>
            <w:r w:rsidRPr="00103A50" w:rsidR="003674D3">
              <w:rPr>
                <w:rFonts w:ascii="Calibri" w:hAnsi="Calibri" w:eastAsia="Times New Roman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i/>
                <w:iCs/>
                <w:sz w:val="22"/>
                <w:szCs w:val="22"/>
                <w:lang w:val="en-US"/>
              </w:rPr>
              <w:t>and</w:t>
            </w:r>
            <w:r w:rsidRPr="00103A50" w:rsidR="003674D3">
              <w:rPr>
                <w:rFonts w:ascii="Calibri" w:hAnsi="Calibri" w:eastAsia="Times New Roman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i/>
                <w:iCs/>
                <w:sz w:val="22"/>
                <w:szCs w:val="22"/>
                <w:lang w:val="en-US"/>
              </w:rPr>
              <w:t>security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103A50" w:rsidR="00C83724" w:rsidP="00FA4CB3" w:rsidRDefault="00C83724" w14:paraId="60F91D46" w14:textId="77777777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val="en-US"/>
              </w:rPr>
            </w:pPr>
            <w:r w:rsidRPr="00103A50">
              <w:rPr>
                <w:rFonts w:ascii="Calibri" w:hAnsi="Calibri" w:cs="Calibri"/>
                <w:sz w:val="22"/>
                <w:szCs w:val="22"/>
              </w:rPr>
              <w:t>201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:rsidRPr="00103A50" w:rsidR="00C83724" w:rsidP="00FA4CB3" w:rsidRDefault="00C83724" w14:paraId="4FE4ECC8" w14:textId="77777777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val="en-US"/>
              </w:rPr>
            </w:pPr>
            <w:r w:rsidRPr="00103A50">
              <w:rPr>
                <w:rFonts w:ascii="Calibri" w:hAnsi="Calibri" w:cs="Calibri"/>
                <w:sz w:val="22"/>
                <w:szCs w:val="22"/>
              </w:rPr>
              <w:t>590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:rsidRPr="00103A50" w:rsidR="00C83724" w:rsidP="00FA4CB3" w:rsidRDefault="00C83724" w14:paraId="1C5C9325" w14:textId="77777777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val="en-US"/>
              </w:rPr>
            </w:pPr>
            <w:r w:rsidRPr="00103A50">
              <w:rPr>
                <w:rFonts w:ascii="Calibri" w:hAnsi="Calibri" w:cs="Calibri"/>
                <w:sz w:val="22"/>
                <w:szCs w:val="22"/>
              </w:rPr>
              <w:t>17%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:rsidRPr="00103A50" w:rsidR="00C83724" w:rsidP="00FA4CB3" w:rsidRDefault="00C83724" w14:paraId="2685A7CB" w14:textId="77777777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val="en-US"/>
              </w:rPr>
            </w:pPr>
            <w:r w:rsidRPr="00103A50">
              <w:rPr>
                <w:rFonts w:ascii="Calibri" w:hAnsi="Calibri" w:cs="Calibri"/>
                <w:sz w:val="22"/>
                <w:szCs w:val="22"/>
              </w:rPr>
              <w:t>30%</w:t>
            </w:r>
          </w:p>
        </w:tc>
      </w:tr>
      <w:tr w:rsidRPr="00103A50" w:rsidR="00C83724" w:rsidTr="00FA4CB3" w14:paraId="3B63E080" w14:textId="77777777">
        <w:trPr>
          <w:trHeight w:val="205"/>
        </w:trPr>
        <w:tc>
          <w:tcPr>
            <w:tcW w:w="32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03A50" w:rsidR="00C83724" w:rsidP="00FA4CB3" w:rsidRDefault="00C83724" w14:paraId="6677A8A6" w14:textId="79ED89B8">
            <w:pPr>
              <w:rPr>
                <w:rFonts w:ascii="Calibri" w:hAnsi="Calibri" w:eastAsia="Times New Roman" w:cs="Calibri"/>
                <w:i/>
                <w:iCs/>
                <w:sz w:val="22"/>
                <w:szCs w:val="22"/>
                <w:lang w:val="en-US"/>
              </w:rPr>
            </w:pPr>
            <w:r w:rsidRPr="00103A50">
              <w:rPr>
                <w:rFonts w:ascii="Calibri" w:hAnsi="Calibri" w:eastAsia="Times New Roman" w:cs="Calibri"/>
                <w:sz w:val="22"/>
                <w:szCs w:val="22"/>
                <w:lang w:val="en-US"/>
              </w:rPr>
              <w:t>Pijler</w:t>
            </w:r>
            <w:r w:rsidRPr="00103A50" w:rsidR="003674D3">
              <w:rPr>
                <w:rFonts w:ascii="Calibri" w:hAnsi="Calibri" w:eastAsia="Times New Roman" w:cs="Calibri"/>
                <w:sz w:val="22"/>
                <w:szCs w:val="22"/>
                <w:lang w:val="en-US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sz w:val="22"/>
                <w:szCs w:val="22"/>
                <w:lang w:val="en-US"/>
              </w:rPr>
              <w:t>3:</w:t>
            </w:r>
            <w:r w:rsidRPr="00103A50" w:rsidR="003674D3">
              <w:rPr>
                <w:rFonts w:ascii="Calibri" w:hAnsi="Calibri" w:eastAsia="Times New Roman" w:cs="Calibri"/>
                <w:sz w:val="22"/>
                <w:szCs w:val="22"/>
                <w:lang w:val="en-US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i/>
                <w:iCs/>
                <w:sz w:val="22"/>
                <w:szCs w:val="22"/>
                <w:lang w:val="en-US"/>
              </w:rPr>
              <w:t>Global</w:t>
            </w:r>
            <w:r w:rsidRPr="00103A50" w:rsidR="003674D3">
              <w:rPr>
                <w:rFonts w:ascii="Calibri" w:hAnsi="Calibri" w:eastAsia="Times New Roman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i/>
                <w:iCs/>
                <w:sz w:val="22"/>
                <w:szCs w:val="22"/>
                <w:lang w:val="en-US"/>
              </w:rPr>
              <w:t>Europe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103A50" w:rsidR="00C83724" w:rsidP="00FA4CB3" w:rsidRDefault="00C83724" w14:paraId="178DE669" w14:textId="77777777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val="en-US"/>
              </w:rPr>
            </w:pPr>
            <w:r w:rsidRPr="00103A50">
              <w:rPr>
                <w:rFonts w:ascii="Calibri" w:hAnsi="Calibri" w:cs="Calibri"/>
                <w:sz w:val="22"/>
                <w:szCs w:val="22"/>
              </w:rPr>
              <w:t>111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:rsidRPr="00103A50" w:rsidR="00C83724" w:rsidP="00FA4CB3" w:rsidRDefault="00C83724" w14:paraId="39CD1885" w14:textId="77777777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val="en-US"/>
              </w:rPr>
            </w:pPr>
            <w:r w:rsidRPr="00103A50">
              <w:rPr>
                <w:rFonts w:ascii="Calibri" w:hAnsi="Calibri" w:cs="Calibri"/>
                <w:sz w:val="22"/>
                <w:szCs w:val="22"/>
              </w:rPr>
              <w:t>215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:rsidRPr="00103A50" w:rsidR="00C83724" w:rsidP="00FA4CB3" w:rsidRDefault="00C83724" w14:paraId="0C328002" w14:textId="77777777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val="en-US"/>
              </w:rPr>
            </w:pPr>
            <w:r w:rsidRPr="00103A50">
              <w:rPr>
                <w:rFonts w:ascii="Calibri" w:hAnsi="Calibri" w:cs="Calibri"/>
                <w:sz w:val="22"/>
                <w:szCs w:val="22"/>
              </w:rPr>
              <w:t>9%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:rsidRPr="00103A50" w:rsidR="00C83724" w:rsidP="00FA4CB3" w:rsidRDefault="00C83724" w14:paraId="08659077" w14:textId="77777777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val="en-US"/>
              </w:rPr>
            </w:pPr>
            <w:r w:rsidRPr="00103A50">
              <w:rPr>
                <w:rFonts w:ascii="Calibri" w:hAnsi="Calibri" w:cs="Calibri"/>
                <w:sz w:val="22"/>
                <w:szCs w:val="22"/>
              </w:rPr>
              <w:t>11%</w:t>
            </w:r>
          </w:p>
        </w:tc>
      </w:tr>
      <w:tr w:rsidRPr="00103A50" w:rsidR="00C83724" w:rsidTr="00FA4CB3" w14:paraId="0A5A2003" w14:textId="77777777">
        <w:trPr>
          <w:trHeight w:val="113"/>
        </w:trPr>
        <w:tc>
          <w:tcPr>
            <w:tcW w:w="32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03A50" w:rsidR="00C83724" w:rsidP="00FA4CB3" w:rsidRDefault="00C83724" w14:paraId="01A85BFB" w14:textId="342F9D04">
            <w:pPr>
              <w:rPr>
                <w:rFonts w:ascii="Calibri" w:hAnsi="Calibri" w:eastAsia="Times New Roman" w:cs="Calibri"/>
                <w:i/>
                <w:iCs/>
                <w:sz w:val="22"/>
                <w:szCs w:val="22"/>
                <w:lang w:val="en-US"/>
              </w:rPr>
            </w:pPr>
            <w:r w:rsidRPr="00103A50">
              <w:rPr>
                <w:rFonts w:ascii="Calibri" w:hAnsi="Calibri" w:eastAsia="Times New Roman" w:cs="Calibri"/>
                <w:sz w:val="22"/>
                <w:szCs w:val="22"/>
                <w:lang w:val="en-US"/>
              </w:rPr>
              <w:t>Pijler</w:t>
            </w:r>
            <w:r w:rsidRPr="00103A50" w:rsidR="003674D3">
              <w:rPr>
                <w:rFonts w:ascii="Calibri" w:hAnsi="Calibri" w:eastAsia="Times New Roman" w:cs="Calibri"/>
                <w:sz w:val="22"/>
                <w:szCs w:val="22"/>
                <w:lang w:val="en-US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sz w:val="22"/>
                <w:szCs w:val="22"/>
                <w:lang w:val="en-US"/>
              </w:rPr>
              <w:t>4:</w:t>
            </w:r>
            <w:r w:rsidRPr="00103A50" w:rsidR="003674D3">
              <w:rPr>
                <w:rFonts w:ascii="Calibri" w:hAnsi="Calibri" w:eastAsia="Times New Roman" w:cs="Calibri"/>
                <w:sz w:val="22"/>
                <w:szCs w:val="22"/>
                <w:lang w:val="en-US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i/>
                <w:iCs/>
                <w:sz w:val="22"/>
                <w:szCs w:val="22"/>
                <w:lang w:val="en-US"/>
              </w:rPr>
              <w:t>Administration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103A50" w:rsidR="00C83724" w:rsidP="00FA4CB3" w:rsidRDefault="00C83724" w14:paraId="32DD589E" w14:textId="77777777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val="en-US"/>
              </w:rPr>
            </w:pPr>
            <w:r w:rsidRPr="00103A50">
              <w:rPr>
                <w:rFonts w:ascii="Calibri" w:hAnsi="Calibri" w:cs="Calibri"/>
                <w:sz w:val="22"/>
                <w:szCs w:val="22"/>
              </w:rPr>
              <w:t>82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:rsidRPr="00103A50" w:rsidR="00C83724" w:rsidP="00FA4CB3" w:rsidRDefault="00C83724" w14:paraId="709D7439" w14:textId="77777777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val="en-US"/>
              </w:rPr>
            </w:pPr>
            <w:r w:rsidRPr="00103A50">
              <w:rPr>
                <w:rFonts w:ascii="Calibri" w:hAnsi="Calibri" w:cs="Calibri"/>
                <w:sz w:val="22"/>
                <w:szCs w:val="22"/>
              </w:rPr>
              <w:t>118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:rsidRPr="00103A50" w:rsidR="00C83724" w:rsidP="00FA4CB3" w:rsidRDefault="00C83724" w14:paraId="63809758" w14:textId="77777777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val="en-US"/>
              </w:rPr>
            </w:pPr>
            <w:r w:rsidRPr="00103A50">
              <w:rPr>
                <w:rFonts w:ascii="Calibri" w:hAnsi="Calibri" w:cs="Calibri"/>
                <w:sz w:val="22"/>
                <w:szCs w:val="22"/>
              </w:rPr>
              <w:t>7%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:rsidRPr="00103A50" w:rsidR="00C83724" w:rsidP="00FA4CB3" w:rsidRDefault="00C83724" w14:paraId="573AEB1A" w14:textId="77777777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val="en-US"/>
              </w:rPr>
            </w:pPr>
            <w:r w:rsidRPr="00103A50">
              <w:rPr>
                <w:rFonts w:ascii="Calibri" w:hAnsi="Calibri" w:cs="Calibri"/>
                <w:sz w:val="22"/>
                <w:szCs w:val="22"/>
              </w:rPr>
              <w:t>6%</w:t>
            </w:r>
          </w:p>
        </w:tc>
      </w:tr>
      <w:tr w:rsidRPr="00103A50" w:rsidR="00C83724" w:rsidTr="00FA4CB3" w14:paraId="5495CA1F" w14:textId="77777777">
        <w:trPr>
          <w:trHeight w:val="113"/>
        </w:trPr>
        <w:tc>
          <w:tcPr>
            <w:tcW w:w="3241" w:type="dxa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</w:tcPr>
          <w:p w:rsidRPr="00103A50" w:rsidR="00C83724" w:rsidP="00FA4CB3" w:rsidRDefault="00C83724" w14:paraId="3E8AC538" w14:textId="0363B421">
            <w:pPr>
              <w:rPr>
                <w:rFonts w:ascii="Calibri" w:hAnsi="Calibri" w:eastAsia="Times New Roman" w:cs="Calibri"/>
                <w:b/>
                <w:bCs/>
                <w:sz w:val="22"/>
                <w:szCs w:val="22"/>
              </w:rPr>
            </w:pPr>
            <w:r w:rsidRPr="00103A50">
              <w:rPr>
                <w:rFonts w:ascii="Calibri" w:hAnsi="Calibri" w:eastAsia="Times New Roman" w:cs="Calibri"/>
                <w:b/>
                <w:bCs/>
                <w:sz w:val="22"/>
                <w:szCs w:val="22"/>
              </w:rPr>
              <w:t>[A]Totaal</w:t>
            </w:r>
            <w:r w:rsidRPr="00103A50" w:rsidR="003674D3">
              <w:rPr>
                <w:rFonts w:ascii="Calibri" w:hAnsi="Calibri" w:eastAsia="Times New Roman" w:cs="Calibri"/>
                <w:b/>
                <w:bCs/>
                <w:sz w:val="22"/>
                <w:szCs w:val="22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b/>
                <w:bCs/>
                <w:sz w:val="22"/>
                <w:szCs w:val="22"/>
              </w:rPr>
              <w:t>MFK-beleidsuitgaven</w:t>
            </w:r>
            <w:r w:rsidRPr="00103A50" w:rsidR="003674D3">
              <w:rPr>
                <w:rFonts w:ascii="Calibri" w:hAnsi="Calibri" w:eastAsia="Times New Roman" w:cs="Calibri"/>
                <w:b/>
                <w:bCs/>
                <w:sz w:val="22"/>
                <w:szCs w:val="22"/>
              </w:rPr>
              <w:t xml:space="preserve"> </w:t>
            </w:r>
          </w:p>
          <w:p w:rsidRPr="00103A50" w:rsidR="00C83724" w:rsidP="00FA4CB3" w:rsidRDefault="00C83724" w14:paraId="6CBCBCAC" w14:textId="3AA60717">
            <w:pPr>
              <w:rPr>
                <w:rFonts w:ascii="Calibri" w:hAnsi="Calibri" w:eastAsia="Times New Roman" w:cs="Calibri"/>
                <w:i/>
                <w:iCs/>
                <w:sz w:val="22"/>
                <w:szCs w:val="22"/>
              </w:rPr>
            </w:pPr>
            <w:r w:rsidRPr="00103A50">
              <w:rPr>
                <w:rFonts w:ascii="Calibri" w:hAnsi="Calibri" w:eastAsia="Times New Roman" w:cs="Calibri"/>
                <w:i/>
                <w:iCs/>
                <w:sz w:val="22"/>
                <w:szCs w:val="22"/>
              </w:rPr>
              <w:t>Als</w:t>
            </w:r>
            <w:r w:rsidRPr="00103A50" w:rsidR="003674D3">
              <w:rPr>
                <w:rFonts w:ascii="Calibri" w:hAnsi="Calibri" w:eastAsia="Times New Roman" w:cs="Calibri"/>
                <w:i/>
                <w:iCs/>
                <w:sz w:val="22"/>
                <w:szCs w:val="22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i/>
                <w:iCs/>
                <w:sz w:val="22"/>
                <w:szCs w:val="22"/>
              </w:rPr>
              <w:t>%</w:t>
            </w:r>
            <w:r w:rsidRPr="00103A50" w:rsidR="003674D3">
              <w:rPr>
                <w:rFonts w:ascii="Calibri" w:hAnsi="Calibri" w:eastAsia="Times New Roman" w:cs="Calibri"/>
                <w:i/>
                <w:iCs/>
                <w:sz w:val="22"/>
                <w:szCs w:val="22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i/>
                <w:iCs/>
                <w:sz w:val="22"/>
                <w:szCs w:val="22"/>
              </w:rPr>
              <w:t>van</w:t>
            </w:r>
            <w:r w:rsidRPr="00103A50" w:rsidR="003674D3">
              <w:rPr>
                <w:rFonts w:ascii="Calibri" w:hAnsi="Calibri" w:eastAsia="Times New Roman" w:cs="Calibri"/>
                <w:i/>
                <w:iCs/>
                <w:sz w:val="22"/>
                <w:szCs w:val="22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i/>
                <w:iCs/>
                <w:sz w:val="22"/>
                <w:szCs w:val="22"/>
              </w:rPr>
              <w:t>het</w:t>
            </w:r>
            <w:r w:rsidRPr="00103A50" w:rsidR="003674D3">
              <w:rPr>
                <w:rFonts w:ascii="Calibri" w:hAnsi="Calibri" w:eastAsia="Times New Roman" w:cs="Calibri"/>
                <w:i/>
                <w:iCs/>
                <w:sz w:val="22"/>
                <w:szCs w:val="22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i/>
                <w:iCs/>
                <w:sz w:val="22"/>
                <w:szCs w:val="22"/>
              </w:rPr>
              <w:t>EU-bni**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vAlign w:val="bottom"/>
          </w:tcPr>
          <w:p w:rsidRPr="00103A50" w:rsidR="00C83724" w:rsidP="00FA4CB3" w:rsidRDefault="00C83724" w14:paraId="1F9F0FB1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3A50">
              <w:rPr>
                <w:rFonts w:ascii="Calibri" w:hAnsi="Calibri" w:cs="Calibri"/>
                <w:b/>
                <w:bCs/>
                <w:sz w:val="22"/>
                <w:szCs w:val="22"/>
              </w:rPr>
              <w:t>1.200</w:t>
            </w:r>
          </w:p>
          <w:p w:rsidRPr="00103A50" w:rsidR="00C83724" w:rsidP="00FA4CB3" w:rsidRDefault="00C83724" w14:paraId="3429C0DC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3A50">
              <w:rPr>
                <w:rFonts w:ascii="Calibri" w:hAnsi="Calibri" w:cs="Calibri"/>
                <w:sz w:val="22"/>
                <w:szCs w:val="22"/>
              </w:rPr>
              <w:t>1,12%</w:t>
            </w:r>
          </w:p>
        </w:tc>
        <w:tc>
          <w:tcPr>
            <w:tcW w:w="1276" w:type="dxa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:rsidRPr="00103A50" w:rsidR="00C83724" w:rsidP="00FA4CB3" w:rsidRDefault="00C83724" w14:paraId="40D87D4E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3A50">
              <w:rPr>
                <w:rFonts w:ascii="Calibri" w:hAnsi="Calibri" w:cs="Calibri"/>
                <w:b/>
                <w:bCs/>
                <w:sz w:val="22"/>
                <w:szCs w:val="22"/>
              </w:rPr>
              <w:t>1.817</w:t>
            </w:r>
          </w:p>
          <w:p w:rsidRPr="00103A50" w:rsidR="00C83724" w:rsidP="00FA4CB3" w:rsidRDefault="00C83724" w14:paraId="4C4BFAD1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3A50">
              <w:rPr>
                <w:rFonts w:ascii="Calibri" w:hAnsi="Calibri" w:cs="Calibri"/>
                <w:sz w:val="22"/>
                <w:szCs w:val="22"/>
              </w:rPr>
              <w:t>1,15%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:rsidRPr="00103A50" w:rsidR="00C83724" w:rsidP="00FA4CB3" w:rsidRDefault="00C83724" w14:paraId="19E209D5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3A50">
              <w:rPr>
                <w:rFonts w:ascii="Calibri" w:hAnsi="Calibri" w:cs="Calibri"/>
                <w:b/>
                <w:bCs/>
                <w:sz w:val="22"/>
                <w:szCs w:val="22"/>
              </w:rPr>
              <w:t>99%</w:t>
            </w:r>
          </w:p>
          <w:p w:rsidRPr="00103A50" w:rsidR="00C83724" w:rsidP="00FA4CB3" w:rsidRDefault="00C83724" w14:paraId="0F9FE50F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:rsidRPr="00103A50" w:rsidR="00C83724" w:rsidP="00FA4CB3" w:rsidRDefault="00C83724" w14:paraId="0423182A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3A50">
              <w:rPr>
                <w:rFonts w:ascii="Calibri" w:hAnsi="Calibri" w:cs="Calibri"/>
                <w:b/>
                <w:bCs/>
                <w:sz w:val="22"/>
                <w:szCs w:val="22"/>
              </w:rPr>
              <w:t>92%</w:t>
            </w:r>
          </w:p>
          <w:p w:rsidRPr="00103A50" w:rsidR="00C83724" w:rsidP="00FA4CB3" w:rsidRDefault="00C83724" w14:paraId="5162C113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103A50" w:rsidR="00C83724" w:rsidTr="00FA4CB3" w14:paraId="6DE06637" w14:textId="77777777">
        <w:trPr>
          <w:trHeight w:val="55"/>
        </w:trPr>
        <w:tc>
          <w:tcPr>
            <w:tcW w:w="3241" w:type="dxa"/>
            <w:tcBorders>
              <w:top w:val="double" w:color="auto" w:sz="4" w:space="0"/>
              <w:bottom w:val="nil"/>
              <w:right w:val="single" w:color="auto" w:sz="4" w:space="0"/>
            </w:tcBorders>
          </w:tcPr>
          <w:p w:rsidRPr="00103A50" w:rsidR="00C83724" w:rsidP="00FA4CB3" w:rsidRDefault="00C83724" w14:paraId="1177E766" w14:textId="25922C84">
            <w:pPr>
              <w:rPr>
                <w:rFonts w:ascii="Calibri" w:hAnsi="Calibri" w:eastAsia="Times New Roman" w:cs="Calibri"/>
                <w:b/>
                <w:bCs/>
                <w:sz w:val="22"/>
                <w:szCs w:val="22"/>
              </w:rPr>
            </w:pPr>
            <w:r w:rsidRPr="00103A50">
              <w:rPr>
                <w:rFonts w:ascii="Calibri" w:hAnsi="Calibri" w:eastAsia="Times New Roman" w:cs="Calibri"/>
                <w:sz w:val="22"/>
                <w:szCs w:val="22"/>
                <w:lang w:val="en-US"/>
              </w:rPr>
              <w:t>NGEU</w:t>
            </w:r>
            <w:r w:rsidRPr="00103A50" w:rsidR="003674D3">
              <w:rPr>
                <w:rFonts w:ascii="Calibri" w:hAnsi="Calibri" w:eastAsia="Times New Roman" w:cs="Calibri"/>
                <w:sz w:val="22"/>
                <w:szCs w:val="22"/>
                <w:lang w:val="en-US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sz w:val="22"/>
                <w:szCs w:val="22"/>
                <w:lang w:val="en-US"/>
              </w:rPr>
              <w:t>terug-</w:t>
            </w:r>
            <w:r w:rsidRPr="00103A50" w:rsidR="003674D3">
              <w:rPr>
                <w:rFonts w:ascii="Calibri" w:hAnsi="Calibri" w:eastAsia="Times New Roman" w:cs="Calibri"/>
                <w:sz w:val="22"/>
                <w:szCs w:val="22"/>
                <w:lang w:val="en-US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sz w:val="22"/>
                <w:szCs w:val="22"/>
                <w:lang w:val="en-US"/>
              </w:rPr>
              <w:t>en</w:t>
            </w:r>
            <w:r w:rsidRPr="00103A50" w:rsidR="003674D3">
              <w:rPr>
                <w:rFonts w:ascii="Calibri" w:hAnsi="Calibri" w:eastAsia="Times New Roman" w:cs="Calibri"/>
                <w:sz w:val="22"/>
                <w:szCs w:val="22"/>
                <w:lang w:val="en-US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sz w:val="22"/>
                <w:szCs w:val="22"/>
                <w:lang w:val="en-US"/>
              </w:rPr>
              <w:t>rentebetalingen</w:t>
            </w:r>
          </w:p>
        </w:tc>
        <w:tc>
          <w:tcPr>
            <w:tcW w:w="1290" w:type="dxa"/>
            <w:tcBorders>
              <w:top w:val="double" w:color="auto" w:sz="4" w:space="0"/>
              <w:left w:val="single" w:color="auto" w:sz="4" w:space="0"/>
              <w:bottom w:val="nil"/>
            </w:tcBorders>
            <w:vAlign w:val="bottom"/>
          </w:tcPr>
          <w:p w:rsidRPr="00103A50" w:rsidR="00C83724" w:rsidP="00FA4CB3" w:rsidRDefault="00C83724" w14:paraId="3FF4E941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3A50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double" w:color="auto" w:sz="4" w:space="0"/>
              <w:bottom w:val="nil"/>
              <w:right w:val="single" w:color="auto" w:sz="4" w:space="0"/>
            </w:tcBorders>
            <w:vAlign w:val="bottom"/>
          </w:tcPr>
          <w:p w:rsidRPr="00103A50" w:rsidR="00C83724" w:rsidP="00FA4CB3" w:rsidRDefault="00C83724" w14:paraId="31A53B1B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3A50">
              <w:rPr>
                <w:rFonts w:ascii="Calibri" w:hAnsi="Calibri" w:cs="Calibri"/>
                <w:sz w:val="22"/>
                <w:szCs w:val="22"/>
              </w:rPr>
              <w:t>168</w:t>
            </w: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Pr="00103A50" w:rsidR="00C83724" w:rsidP="00FA4CB3" w:rsidRDefault="00C83724" w14:paraId="2AD94224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3A50">
              <w:rPr>
                <w:rFonts w:ascii="Calibri" w:hAnsi="Calibri" w:cs="Calibri"/>
                <w:sz w:val="22"/>
                <w:szCs w:val="22"/>
              </w:rPr>
              <w:t>1%</w:t>
            </w:r>
          </w:p>
        </w:tc>
        <w:tc>
          <w:tcPr>
            <w:tcW w:w="1458" w:type="dxa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Pr="00103A50" w:rsidR="00C83724" w:rsidP="00FA4CB3" w:rsidRDefault="00C83724" w14:paraId="6BCB35EB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3A50">
              <w:rPr>
                <w:rFonts w:ascii="Calibri" w:hAnsi="Calibri" w:cs="Calibri"/>
                <w:sz w:val="22"/>
                <w:szCs w:val="22"/>
              </w:rPr>
              <w:t>8%</w:t>
            </w:r>
          </w:p>
        </w:tc>
      </w:tr>
      <w:tr w:rsidRPr="00103A50" w:rsidR="00C83724" w:rsidTr="00FA4CB3" w14:paraId="5DA6B5F0" w14:textId="77777777">
        <w:trPr>
          <w:trHeight w:val="55"/>
        </w:trPr>
        <w:tc>
          <w:tcPr>
            <w:tcW w:w="3241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:rsidRPr="00103A50" w:rsidR="00C83724" w:rsidP="00FA4CB3" w:rsidRDefault="00C83724" w14:paraId="54BE30E8" w14:textId="2433AFD4">
            <w:pPr>
              <w:rPr>
                <w:rFonts w:ascii="Calibri" w:hAnsi="Calibri" w:eastAsia="Times New Roman" w:cs="Calibri"/>
                <w:b/>
                <w:bCs/>
                <w:sz w:val="22"/>
                <w:szCs w:val="22"/>
              </w:rPr>
            </w:pPr>
            <w:r w:rsidRPr="00103A50">
              <w:rPr>
                <w:rFonts w:ascii="Calibri" w:hAnsi="Calibri" w:eastAsia="Times New Roman" w:cs="Calibri"/>
                <w:b/>
                <w:bCs/>
                <w:sz w:val="22"/>
                <w:szCs w:val="22"/>
              </w:rPr>
              <w:t>[B]Totaal</w:t>
            </w:r>
            <w:r w:rsidRPr="00103A50" w:rsidR="003674D3">
              <w:rPr>
                <w:rFonts w:ascii="Calibri" w:hAnsi="Calibri" w:eastAsia="Times New Roman" w:cs="Calibri"/>
                <w:b/>
                <w:bCs/>
                <w:sz w:val="22"/>
                <w:szCs w:val="22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b/>
                <w:bCs/>
                <w:sz w:val="22"/>
                <w:szCs w:val="22"/>
              </w:rPr>
              <w:t>MFK-plafond</w:t>
            </w:r>
            <w:r w:rsidRPr="00103A50" w:rsidR="003674D3">
              <w:rPr>
                <w:rFonts w:ascii="Calibri" w:hAnsi="Calibri" w:eastAsia="Times New Roman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bottom"/>
          </w:tcPr>
          <w:p w:rsidRPr="00103A50" w:rsidR="00C83724" w:rsidP="00FA4CB3" w:rsidRDefault="00C83724" w14:paraId="1F6727E6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3A50">
              <w:rPr>
                <w:rFonts w:ascii="Calibri" w:hAnsi="Calibri" w:cs="Calibri"/>
                <w:b/>
                <w:bCs/>
                <w:sz w:val="22"/>
                <w:szCs w:val="22"/>
              </w:rPr>
              <w:t>1.215</w:t>
            </w:r>
          </w:p>
        </w:tc>
        <w:tc>
          <w:tcPr>
            <w:tcW w:w="1276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bottom"/>
          </w:tcPr>
          <w:p w:rsidRPr="00103A50" w:rsidR="00C83724" w:rsidP="00FA4CB3" w:rsidRDefault="00C83724" w14:paraId="53726072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3A50">
              <w:rPr>
                <w:rFonts w:ascii="Calibri" w:hAnsi="Calibri" w:cs="Calibri"/>
                <w:b/>
                <w:bCs/>
                <w:sz w:val="22"/>
                <w:szCs w:val="22"/>
              </w:rPr>
              <w:t>1.985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Pr="00103A50" w:rsidR="00C83724" w:rsidP="00FA4CB3" w:rsidRDefault="00C83724" w14:paraId="65EAD09A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3A50">
              <w:rPr>
                <w:rFonts w:ascii="Calibri" w:hAnsi="Calibri" w:cs="Calibri"/>
                <w:b/>
                <w:bCs/>
                <w:sz w:val="22"/>
                <w:szCs w:val="22"/>
              </w:rPr>
              <w:t>100%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Pr="00103A50" w:rsidR="00C83724" w:rsidP="00FA4CB3" w:rsidRDefault="00C83724" w14:paraId="7C517FF4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3A50">
              <w:rPr>
                <w:rFonts w:ascii="Calibri" w:hAnsi="Calibri" w:cs="Calibri"/>
                <w:b/>
                <w:bCs/>
                <w:sz w:val="22"/>
                <w:szCs w:val="22"/>
              </w:rPr>
              <w:t>100%</w:t>
            </w:r>
          </w:p>
        </w:tc>
      </w:tr>
      <w:tr w:rsidRPr="00103A50" w:rsidR="00C83724" w:rsidTr="00FA4CB3" w14:paraId="111D5F93" w14:textId="77777777">
        <w:trPr>
          <w:trHeight w:val="64"/>
        </w:trPr>
        <w:tc>
          <w:tcPr>
            <w:tcW w:w="3241" w:type="dxa"/>
            <w:tcBorders>
              <w:top w:val="nil"/>
              <w:bottom w:val="double" w:color="auto" w:sz="4" w:space="0"/>
              <w:right w:val="single" w:color="auto" w:sz="4" w:space="0"/>
            </w:tcBorders>
          </w:tcPr>
          <w:p w:rsidRPr="00103A50" w:rsidR="00C83724" w:rsidP="00FA4CB3" w:rsidRDefault="00C83724" w14:paraId="5F9EB398" w14:textId="5A03C20F">
            <w:pPr>
              <w:rPr>
                <w:rFonts w:ascii="Calibri" w:hAnsi="Calibri" w:eastAsia="Times New Roman" w:cs="Calibri"/>
                <w:i/>
                <w:iCs/>
                <w:sz w:val="22"/>
                <w:szCs w:val="22"/>
              </w:rPr>
            </w:pPr>
            <w:r w:rsidRPr="00103A50">
              <w:rPr>
                <w:rFonts w:ascii="Calibri" w:hAnsi="Calibri" w:eastAsia="Times New Roman" w:cs="Calibri"/>
                <w:i/>
                <w:iCs/>
                <w:sz w:val="22"/>
                <w:szCs w:val="22"/>
              </w:rPr>
              <w:t>Als</w:t>
            </w:r>
            <w:r w:rsidRPr="00103A50" w:rsidR="003674D3">
              <w:rPr>
                <w:rFonts w:ascii="Calibri" w:hAnsi="Calibri" w:eastAsia="Times New Roman" w:cs="Calibri"/>
                <w:i/>
                <w:iCs/>
                <w:sz w:val="22"/>
                <w:szCs w:val="22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i/>
                <w:iCs/>
                <w:sz w:val="22"/>
                <w:szCs w:val="22"/>
              </w:rPr>
              <w:t>%</w:t>
            </w:r>
            <w:r w:rsidRPr="00103A50" w:rsidR="003674D3">
              <w:rPr>
                <w:rFonts w:ascii="Calibri" w:hAnsi="Calibri" w:eastAsia="Times New Roman" w:cs="Calibri"/>
                <w:i/>
                <w:iCs/>
                <w:sz w:val="22"/>
                <w:szCs w:val="22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i/>
                <w:iCs/>
                <w:sz w:val="22"/>
                <w:szCs w:val="22"/>
              </w:rPr>
              <w:t>van</w:t>
            </w:r>
            <w:r w:rsidRPr="00103A50" w:rsidR="003674D3">
              <w:rPr>
                <w:rFonts w:ascii="Calibri" w:hAnsi="Calibri" w:eastAsia="Times New Roman" w:cs="Calibri"/>
                <w:i/>
                <w:iCs/>
                <w:sz w:val="22"/>
                <w:szCs w:val="22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i/>
                <w:iCs/>
                <w:sz w:val="22"/>
                <w:szCs w:val="22"/>
              </w:rPr>
              <w:t>het</w:t>
            </w:r>
            <w:r w:rsidRPr="00103A50" w:rsidR="003674D3">
              <w:rPr>
                <w:rFonts w:ascii="Calibri" w:hAnsi="Calibri" w:eastAsia="Times New Roman" w:cs="Calibri"/>
                <w:i/>
                <w:iCs/>
                <w:sz w:val="22"/>
                <w:szCs w:val="22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i/>
                <w:iCs/>
                <w:sz w:val="22"/>
                <w:szCs w:val="22"/>
              </w:rPr>
              <w:t>EU-bni**</w:t>
            </w:r>
          </w:p>
        </w:tc>
        <w:tc>
          <w:tcPr>
            <w:tcW w:w="1290" w:type="dxa"/>
            <w:tcBorders>
              <w:top w:val="nil"/>
              <w:left w:val="single" w:color="auto" w:sz="4" w:space="0"/>
              <w:bottom w:val="double" w:color="auto" w:sz="4" w:space="0"/>
            </w:tcBorders>
            <w:vAlign w:val="bottom"/>
          </w:tcPr>
          <w:p w:rsidRPr="00103A50" w:rsidR="00C83724" w:rsidP="00FA4CB3" w:rsidRDefault="00C83724" w14:paraId="665CAE46" w14:textId="77777777">
            <w:pPr>
              <w:jc w:val="center"/>
              <w:rPr>
                <w:rFonts w:ascii="Calibri" w:hAnsi="Calibri" w:eastAsia="Times New Roman" w:cs="Calibri"/>
                <w:sz w:val="22"/>
                <w:szCs w:val="22"/>
              </w:rPr>
            </w:pPr>
            <w:r w:rsidRPr="00103A50">
              <w:rPr>
                <w:rFonts w:ascii="Calibri" w:hAnsi="Calibri" w:eastAsia="Times New Roman" w:cs="Calibri"/>
                <w:sz w:val="22"/>
                <w:szCs w:val="22"/>
              </w:rPr>
              <w:t>1,13%</w:t>
            </w:r>
          </w:p>
        </w:tc>
        <w:tc>
          <w:tcPr>
            <w:tcW w:w="1276" w:type="dxa"/>
            <w:tcBorders>
              <w:top w:val="nil"/>
              <w:bottom w:val="double" w:color="auto" w:sz="4" w:space="0"/>
              <w:right w:val="single" w:color="auto" w:sz="4" w:space="0"/>
            </w:tcBorders>
            <w:vAlign w:val="bottom"/>
          </w:tcPr>
          <w:p w:rsidRPr="00103A50" w:rsidR="00C83724" w:rsidP="00FA4CB3" w:rsidRDefault="00C83724" w14:paraId="0C96AE64" w14:textId="77777777">
            <w:pPr>
              <w:jc w:val="center"/>
              <w:rPr>
                <w:rFonts w:ascii="Calibri" w:hAnsi="Calibri" w:eastAsia="Times New Roman" w:cs="Calibri"/>
                <w:sz w:val="22"/>
                <w:szCs w:val="22"/>
              </w:rPr>
            </w:pPr>
            <w:r w:rsidRPr="00103A50">
              <w:rPr>
                <w:rFonts w:ascii="Calibri" w:hAnsi="Calibri" w:eastAsia="Times New Roman" w:cs="Calibri"/>
                <w:sz w:val="22"/>
                <w:szCs w:val="22"/>
              </w:rPr>
              <w:t>1,26%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bottom"/>
          </w:tcPr>
          <w:p w:rsidRPr="00103A50" w:rsidR="00C83724" w:rsidP="00FA4CB3" w:rsidRDefault="00C83724" w14:paraId="0BACE894" w14:textId="77777777">
            <w:pPr>
              <w:jc w:val="center"/>
              <w:rPr>
                <w:rFonts w:ascii="Calibri" w:hAnsi="Calibri" w:eastAsia="Times New Roman" w:cs="Calibri"/>
                <w:b/>
                <w:b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bottom"/>
          </w:tcPr>
          <w:p w:rsidRPr="00103A50" w:rsidR="00C83724" w:rsidP="00FA4CB3" w:rsidRDefault="00C83724" w14:paraId="03633CBA" w14:textId="77777777">
            <w:pPr>
              <w:jc w:val="center"/>
              <w:rPr>
                <w:rFonts w:ascii="Calibri" w:hAnsi="Calibri" w:eastAsia="Times New Roman" w:cs="Calibri"/>
                <w:b/>
                <w:bCs/>
                <w:sz w:val="22"/>
                <w:szCs w:val="22"/>
              </w:rPr>
            </w:pPr>
          </w:p>
        </w:tc>
      </w:tr>
      <w:tr w:rsidRPr="00103A50" w:rsidR="00C83724" w:rsidTr="00FA4CB3" w14:paraId="03B85181" w14:textId="77777777">
        <w:trPr>
          <w:trHeight w:val="219"/>
        </w:trPr>
        <w:tc>
          <w:tcPr>
            <w:tcW w:w="3241" w:type="dxa"/>
            <w:tcBorders>
              <w:top w:val="double" w:color="auto" w:sz="4" w:space="0"/>
              <w:bottom w:val="nil"/>
              <w:right w:val="single" w:color="auto" w:sz="4" w:space="0"/>
            </w:tcBorders>
          </w:tcPr>
          <w:p w:rsidRPr="00103A50" w:rsidR="00C83724" w:rsidP="00FA4CB3" w:rsidRDefault="00C83724" w14:paraId="2EE84021" w14:textId="6AD09F16">
            <w:pPr>
              <w:rPr>
                <w:rFonts w:ascii="Calibri" w:hAnsi="Calibri" w:eastAsia="Times New Roman" w:cs="Calibri"/>
                <w:b/>
                <w:bCs/>
                <w:sz w:val="22"/>
                <w:szCs w:val="22"/>
              </w:rPr>
            </w:pPr>
            <w:r w:rsidRPr="00103A50">
              <w:rPr>
                <w:rFonts w:ascii="Calibri" w:hAnsi="Calibri" w:eastAsia="Times New Roman" w:cs="Calibri"/>
                <w:b/>
                <w:bCs/>
                <w:sz w:val="22"/>
                <w:szCs w:val="22"/>
              </w:rPr>
              <w:t>[C]</w:t>
            </w:r>
            <w:r w:rsidRPr="00103A50" w:rsidR="003674D3">
              <w:rPr>
                <w:rFonts w:ascii="Calibri" w:hAnsi="Calibri" w:eastAsia="Times New Roman" w:cs="Calibri"/>
                <w:b/>
                <w:bCs/>
                <w:sz w:val="22"/>
                <w:szCs w:val="22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b/>
                <w:bCs/>
                <w:sz w:val="22"/>
                <w:szCs w:val="22"/>
              </w:rPr>
              <w:t>NGEU</w:t>
            </w:r>
            <w:r w:rsidRPr="00103A50" w:rsidR="003674D3">
              <w:rPr>
                <w:rFonts w:ascii="Calibri" w:hAnsi="Calibri" w:eastAsia="Times New Roman" w:cs="Calibri"/>
                <w:b/>
                <w:bCs/>
                <w:sz w:val="22"/>
                <w:szCs w:val="22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b/>
                <w:bCs/>
                <w:sz w:val="22"/>
                <w:szCs w:val="22"/>
              </w:rPr>
              <w:t>(uitgaven)***</w:t>
            </w:r>
          </w:p>
        </w:tc>
        <w:tc>
          <w:tcPr>
            <w:tcW w:w="1290" w:type="dxa"/>
            <w:tcBorders>
              <w:top w:val="double" w:color="auto" w:sz="4" w:space="0"/>
              <w:left w:val="single" w:color="auto" w:sz="4" w:space="0"/>
              <w:bottom w:val="nil"/>
            </w:tcBorders>
            <w:vAlign w:val="bottom"/>
          </w:tcPr>
          <w:p w:rsidRPr="00103A50" w:rsidR="00C83724" w:rsidP="00FA4CB3" w:rsidRDefault="00C83724" w14:paraId="1EF0EE88" w14:textId="77777777">
            <w:pPr>
              <w:jc w:val="center"/>
              <w:rPr>
                <w:rFonts w:ascii="Calibri" w:hAnsi="Calibri" w:eastAsia="Times New Roman" w:cs="Calibri"/>
                <w:b/>
                <w:bCs/>
                <w:sz w:val="22"/>
                <w:szCs w:val="22"/>
              </w:rPr>
            </w:pPr>
            <w:r w:rsidRPr="00103A50">
              <w:rPr>
                <w:rFonts w:ascii="Calibri" w:hAnsi="Calibri" w:eastAsia="Times New Roman" w:cs="Calibri"/>
                <w:b/>
                <w:bCs/>
                <w:sz w:val="22"/>
                <w:szCs w:val="22"/>
              </w:rPr>
              <w:t>421</w:t>
            </w:r>
          </w:p>
        </w:tc>
        <w:tc>
          <w:tcPr>
            <w:tcW w:w="1276" w:type="dxa"/>
            <w:tcBorders>
              <w:top w:val="double" w:color="auto" w:sz="4" w:space="0"/>
              <w:bottom w:val="nil"/>
              <w:right w:val="single" w:color="auto" w:sz="4" w:space="0"/>
            </w:tcBorders>
            <w:vAlign w:val="bottom"/>
          </w:tcPr>
          <w:p w:rsidRPr="00103A50" w:rsidR="00C83724" w:rsidP="00FA4CB3" w:rsidRDefault="00C83724" w14:paraId="1BFBA842" w14:textId="77777777">
            <w:pPr>
              <w:jc w:val="center"/>
              <w:rPr>
                <w:rFonts w:ascii="Calibri" w:hAnsi="Calibri" w:eastAsia="Times New Roman" w:cs="Calibri"/>
                <w:b/>
                <w:bCs/>
                <w:sz w:val="22"/>
                <w:szCs w:val="22"/>
              </w:rPr>
            </w:pPr>
            <w:r w:rsidRPr="00103A50">
              <w:rPr>
                <w:rFonts w:ascii="Calibri" w:hAnsi="Calibri" w:eastAsia="Times New Roman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bottom w:val="nil"/>
            </w:tcBorders>
            <w:vAlign w:val="bottom"/>
          </w:tcPr>
          <w:p w:rsidRPr="00103A50" w:rsidR="00C83724" w:rsidP="00FA4CB3" w:rsidRDefault="00C83724" w14:paraId="20729F14" w14:textId="77777777">
            <w:pPr>
              <w:jc w:val="center"/>
              <w:rPr>
                <w:rFonts w:ascii="Calibri" w:hAnsi="Calibri" w:eastAsia="Times New Roman" w:cs="Calibri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double" w:color="auto" w:sz="4" w:space="0"/>
              <w:bottom w:val="nil"/>
              <w:right w:val="nil"/>
            </w:tcBorders>
            <w:vAlign w:val="bottom"/>
          </w:tcPr>
          <w:p w:rsidRPr="00103A50" w:rsidR="00C83724" w:rsidP="00FA4CB3" w:rsidRDefault="00C83724" w14:paraId="684D9775" w14:textId="77777777">
            <w:pPr>
              <w:jc w:val="center"/>
              <w:rPr>
                <w:rFonts w:ascii="Calibri" w:hAnsi="Calibri" w:eastAsia="Times New Roman" w:cs="Calibri"/>
                <w:b/>
                <w:bCs/>
                <w:sz w:val="22"/>
                <w:szCs w:val="22"/>
              </w:rPr>
            </w:pPr>
          </w:p>
        </w:tc>
      </w:tr>
      <w:tr w:rsidRPr="00103A50" w:rsidR="00C83724" w:rsidTr="00FA4CB3" w14:paraId="0E2E6F64" w14:textId="77777777">
        <w:trPr>
          <w:trHeight w:val="219"/>
        </w:trPr>
        <w:tc>
          <w:tcPr>
            <w:tcW w:w="3241" w:type="dxa"/>
            <w:tcBorders>
              <w:top w:val="nil"/>
              <w:bottom w:val="single" w:color="auto" w:sz="4" w:space="0"/>
              <w:right w:val="single" w:color="auto" w:sz="4" w:space="0"/>
            </w:tcBorders>
          </w:tcPr>
          <w:p w:rsidRPr="00103A50" w:rsidR="00C83724" w:rsidP="00FA4CB3" w:rsidRDefault="00C83724" w14:paraId="511B67DA" w14:textId="72474F50">
            <w:pPr>
              <w:rPr>
                <w:rFonts w:ascii="Calibri" w:hAnsi="Calibri" w:eastAsia="Times New Roman" w:cs="Calibri"/>
                <w:i/>
                <w:iCs/>
                <w:sz w:val="22"/>
                <w:szCs w:val="22"/>
              </w:rPr>
            </w:pPr>
            <w:r w:rsidRPr="00103A50">
              <w:rPr>
                <w:rFonts w:ascii="Calibri" w:hAnsi="Calibri" w:eastAsia="Times New Roman" w:cs="Calibri"/>
                <w:i/>
                <w:iCs/>
                <w:sz w:val="22"/>
                <w:szCs w:val="22"/>
              </w:rPr>
              <w:t>Als</w:t>
            </w:r>
            <w:r w:rsidRPr="00103A50" w:rsidR="003674D3">
              <w:rPr>
                <w:rFonts w:ascii="Calibri" w:hAnsi="Calibri" w:eastAsia="Times New Roman" w:cs="Calibri"/>
                <w:i/>
                <w:iCs/>
                <w:sz w:val="22"/>
                <w:szCs w:val="22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i/>
                <w:iCs/>
                <w:sz w:val="22"/>
                <w:szCs w:val="22"/>
              </w:rPr>
              <w:t>%</w:t>
            </w:r>
            <w:r w:rsidRPr="00103A50" w:rsidR="003674D3">
              <w:rPr>
                <w:rFonts w:ascii="Calibri" w:hAnsi="Calibri" w:eastAsia="Times New Roman" w:cs="Calibri"/>
                <w:i/>
                <w:iCs/>
                <w:sz w:val="22"/>
                <w:szCs w:val="22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i/>
                <w:iCs/>
                <w:sz w:val="22"/>
                <w:szCs w:val="22"/>
              </w:rPr>
              <w:t>van</w:t>
            </w:r>
            <w:r w:rsidRPr="00103A50" w:rsidR="003674D3">
              <w:rPr>
                <w:rFonts w:ascii="Calibri" w:hAnsi="Calibri" w:eastAsia="Times New Roman" w:cs="Calibri"/>
                <w:i/>
                <w:iCs/>
                <w:sz w:val="22"/>
                <w:szCs w:val="22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i/>
                <w:iCs/>
                <w:sz w:val="22"/>
                <w:szCs w:val="22"/>
              </w:rPr>
              <w:t>het</w:t>
            </w:r>
            <w:r w:rsidRPr="00103A50" w:rsidR="003674D3">
              <w:rPr>
                <w:rFonts w:ascii="Calibri" w:hAnsi="Calibri" w:eastAsia="Times New Roman" w:cs="Calibri"/>
                <w:i/>
                <w:iCs/>
                <w:sz w:val="22"/>
                <w:szCs w:val="22"/>
              </w:rPr>
              <w:t xml:space="preserve"> </w:t>
            </w:r>
            <w:r w:rsidRPr="00103A50">
              <w:rPr>
                <w:rFonts w:ascii="Calibri" w:hAnsi="Calibri" w:eastAsia="Times New Roman" w:cs="Calibri"/>
                <w:i/>
                <w:iCs/>
                <w:sz w:val="22"/>
                <w:szCs w:val="22"/>
              </w:rPr>
              <w:t>EU-bni**</w:t>
            </w:r>
          </w:p>
        </w:tc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bottom"/>
          </w:tcPr>
          <w:p w:rsidRPr="00103A50" w:rsidR="00C83724" w:rsidP="00FA4CB3" w:rsidRDefault="00C83724" w14:paraId="236BF38F" w14:textId="77777777">
            <w:pPr>
              <w:jc w:val="center"/>
              <w:rPr>
                <w:rFonts w:ascii="Calibri" w:hAnsi="Calibri" w:eastAsia="Times New Roman" w:cs="Calibri"/>
                <w:i/>
                <w:iCs/>
                <w:sz w:val="22"/>
                <w:szCs w:val="22"/>
              </w:rPr>
            </w:pPr>
            <w:r w:rsidRPr="00103A50">
              <w:rPr>
                <w:rFonts w:ascii="Calibri" w:hAnsi="Calibri" w:eastAsia="Times New Roman" w:cs="Calibri"/>
                <w:i/>
                <w:iCs/>
                <w:sz w:val="22"/>
                <w:szCs w:val="22"/>
              </w:rPr>
              <w:t>0,39%</w:t>
            </w:r>
          </w:p>
        </w:tc>
        <w:tc>
          <w:tcPr>
            <w:tcW w:w="1276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103A50" w:rsidR="00C83724" w:rsidP="00FA4CB3" w:rsidRDefault="00C83724" w14:paraId="7F6B74DC" w14:textId="77777777">
            <w:pPr>
              <w:jc w:val="center"/>
              <w:rPr>
                <w:rFonts w:ascii="Calibri" w:hAnsi="Calibri" w:eastAsia="Times New Roman" w:cs="Calibri"/>
                <w:i/>
                <w:iCs/>
                <w:sz w:val="22"/>
                <w:szCs w:val="22"/>
              </w:rPr>
            </w:pPr>
            <w:r w:rsidRPr="00103A50">
              <w:rPr>
                <w:rFonts w:ascii="Calibri" w:hAnsi="Calibri" w:eastAsia="Times New Roman" w:cs="Calibri"/>
                <w:i/>
                <w:iCs/>
                <w:sz w:val="22"/>
                <w:szCs w:val="22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nil"/>
            </w:tcBorders>
            <w:vAlign w:val="bottom"/>
          </w:tcPr>
          <w:p w:rsidRPr="00103A50" w:rsidR="00C83724" w:rsidP="00FA4CB3" w:rsidRDefault="00C83724" w14:paraId="586F19CD" w14:textId="77777777">
            <w:pPr>
              <w:jc w:val="center"/>
              <w:rPr>
                <w:rFonts w:ascii="Calibri" w:hAnsi="Calibri" w:eastAsia="Times New Roman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bottom w:val="nil"/>
              <w:right w:val="nil"/>
            </w:tcBorders>
            <w:vAlign w:val="bottom"/>
          </w:tcPr>
          <w:p w:rsidRPr="00103A50" w:rsidR="00C83724" w:rsidP="00FA4CB3" w:rsidRDefault="00C83724" w14:paraId="393DAD4F" w14:textId="77777777">
            <w:pPr>
              <w:jc w:val="center"/>
              <w:rPr>
                <w:rFonts w:ascii="Calibri" w:hAnsi="Calibri" w:eastAsia="Times New Roman" w:cs="Calibri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Pr="00103A50" w:rsidR="00C83724" w:rsidP="00C83724" w:rsidRDefault="00C83724" w14:paraId="267411F1" w14:textId="71360099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*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Pijler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exclusief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NGEU-betalingen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gerekend,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apart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tabel.</w:t>
      </w:r>
    </w:p>
    <w:p w:rsidRPr="00103A50" w:rsidR="00C83724" w:rsidP="00C83724" w:rsidRDefault="00C83724" w14:paraId="4DE11062" w14:textId="5C432DEC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**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gerekend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verwachte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EU-bni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tijde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akkoord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2020.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gerekend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geraamde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omvang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EU-bni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2028-2034.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4E3E6488" w14:textId="16E92FEF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***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NGEU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gebruikt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verhogen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bepaalde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programma’s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EU-begroting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subsidiegedeelte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Herstel-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Veerkrachtfaciliteit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(HVF).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terug-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rentebetalingen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NGEU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formeel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pijler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NGEU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eenmalig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instrument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staat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vanaf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2028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0.</w:t>
      </w:r>
    </w:p>
    <w:p w:rsidRPr="00103A50" w:rsidR="00C83724" w:rsidP="00C83724" w:rsidRDefault="00C83724" w14:paraId="4AA38295" w14:textId="77777777">
      <w:pPr>
        <w:rPr>
          <w:rFonts w:ascii="Calibri" w:hAnsi="Calibri" w:cs="Calibri"/>
        </w:rPr>
      </w:pPr>
    </w:p>
    <w:p w:rsidRPr="00103A50" w:rsidR="00C83724" w:rsidP="00C83724" w:rsidRDefault="00C83724" w14:paraId="7DD56B69" w14:textId="13652C1C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lastRenderedPageBreak/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speciale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instrumenten,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Oekraïne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Reserve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(100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miljard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Flexibiliteitsinstrument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(15,8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miljard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euro),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buiten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MFK-uitgavenplafonds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gerekend.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Verderop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brief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ingegaan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speciale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instrumenten.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7F86A0D0" w14:textId="77777777">
      <w:pPr>
        <w:rPr>
          <w:rFonts w:ascii="Calibri" w:hAnsi="Calibri" w:cs="Calibri"/>
        </w:rPr>
      </w:pPr>
    </w:p>
    <w:p w:rsidRPr="00103A50" w:rsidR="00C83724" w:rsidP="00C83724" w:rsidRDefault="00C83724" w14:paraId="6AD44D90" w14:textId="3B1C322B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Naast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hierboven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beschreven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aanvullende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beschikking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landen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verstrekken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leningen,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Unie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eerst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zelf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kapitaalmarkt.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gaat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pijler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landen,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Oekraïne,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pijler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3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uitzonderlijke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situaties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crisisinstrument.</w:t>
      </w:r>
    </w:p>
    <w:p w:rsidRPr="00103A50" w:rsidR="00C83724" w:rsidP="00C83724" w:rsidRDefault="00C83724" w14:paraId="6DB06CD8" w14:textId="77777777">
      <w:pPr>
        <w:rPr>
          <w:rFonts w:ascii="Calibri" w:hAnsi="Calibri" w:cs="Calibri"/>
        </w:rPr>
      </w:pPr>
    </w:p>
    <w:p w:rsidRPr="00103A50" w:rsidR="00C83724" w:rsidP="00C83724" w:rsidRDefault="00C83724" w14:paraId="244C8B17" w14:textId="7350B520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Innovatiefonds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(circa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35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miljard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Sociaal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Klimaatfonds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(45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miljard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euro),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ondergebracht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structuur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financiering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fondsen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blijft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ETS-inkomsten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komen.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Moderniseringsfonds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Vredesfaciliteit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(30,5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miljard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buiten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gefinancierd.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2780A522" w14:textId="77777777">
      <w:pPr>
        <w:rPr>
          <w:rFonts w:ascii="Calibri" w:hAnsi="Calibri" w:cs="Calibri"/>
        </w:rPr>
      </w:pPr>
    </w:p>
    <w:p w:rsidRPr="00103A50" w:rsidR="00C83724" w:rsidP="00C83724" w:rsidRDefault="00C83724" w14:paraId="0D4BD089" w14:textId="47A6376F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beoogt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modernisering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uitgavenkant,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inkomstenkant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begroting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passen.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vijf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basis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van: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inkomsten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EU-emissiehandelssysteem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</w:t>
      </w:r>
      <w:r w:rsidRPr="00103A50">
        <w:rPr>
          <w:rFonts w:ascii="Calibri" w:hAnsi="Calibri" w:cs="Calibri"/>
          <w:i/>
        </w:rPr>
        <w:t>Emission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Trading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System</w:t>
      </w:r>
      <w:r w:rsidRPr="00103A50">
        <w:rPr>
          <w:rFonts w:ascii="Calibri" w:hAnsi="Calibri" w:cs="Calibri"/>
        </w:rPr>
        <w:t>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ETS-1),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opbrengsten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mechanisme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koolstofcorrectie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</w:t>
      </w:r>
      <w:r w:rsidRPr="00103A50">
        <w:rPr>
          <w:rFonts w:ascii="Calibri" w:hAnsi="Calibri" w:cs="Calibri"/>
          <w:i/>
        </w:rPr>
        <w:t>Carbon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Border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Adjustment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Mechanism,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</w:rPr>
        <w:t>CBAM),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3)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niet-ingezameld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elektrisch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elektronisch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afval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(‘</w:t>
      </w:r>
      <w:r w:rsidRPr="00103A50">
        <w:rPr>
          <w:rFonts w:ascii="Calibri" w:hAnsi="Calibri" w:cs="Calibri"/>
          <w:i/>
          <w:iCs/>
        </w:rPr>
        <w:t>e-waste’</w:t>
      </w:r>
      <w:r w:rsidRPr="00103A50">
        <w:rPr>
          <w:rFonts w:ascii="Calibri" w:hAnsi="Calibri" w:cs="Calibri"/>
        </w:rPr>
        <w:t>),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4)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markt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gebrachte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tabaksfabricaten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tabak-gerelateerde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producten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</w:t>
      </w:r>
      <w:r w:rsidRPr="00103A50">
        <w:rPr>
          <w:rFonts w:ascii="Calibri" w:hAnsi="Calibri" w:cs="Calibri"/>
          <w:i/>
        </w:rPr>
        <w:t>Tobacco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Excise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Duty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Down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Resource,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TEDOR)</w:t>
      </w:r>
      <w:r w:rsidRPr="00103A50">
        <w:rPr>
          <w:rFonts w:ascii="Calibri" w:hAnsi="Calibri" w:cs="Calibri"/>
        </w:rPr>
        <w:t>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5)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omzetbijdrage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ondernemingen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</w:t>
      </w:r>
      <w:r w:rsidRPr="00103A50">
        <w:rPr>
          <w:rFonts w:ascii="Calibri" w:hAnsi="Calibri" w:cs="Calibri"/>
          <w:i/>
        </w:rPr>
        <w:t>Corporate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Own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Resource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for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Europe,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</w:rPr>
        <w:t>CORE).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308BE0AD" w14:textId="77777777">
      <w:pPr>
        <w:rPr>
          <w:rFonts w:ascii="Calibri" w:hAnsi="Calibri" w:cs="Calibri"/>
        </w:rPr>
      </w:pPr>
    </w:p>
    <w:p w:rsidRPr="00103A50" w:rsidR="00C83724" w:rsidP="00C83724" w:rsidRDefault="00C83724" w14:paraId="01371C93" w14:textId="611EDC31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correctiemechanismes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schaffen,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systeem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transparanter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eenvoudiger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maken.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betekent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korting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bni-afdracht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aantal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2027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ontvangen,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gecontinueerd.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plafond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berekening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btw-grondslag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korting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sommige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plastic-afdracht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afgeschaft.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tevens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vergoeding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inningskosten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douanerechten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perceptiekostenvergoeding)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verlagen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25%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10%.</w:t>
      </w:r>
      <w:r w:rsidRPr="00103A50" w:rsidR="003674D3">
        <w:rPr>
          <w:rFonts w:ascii="Calibri" w:hAnsi="Calibri" w:cs="Calibri"/>
        </w:rPr>
        <w:t xml:space="preserve">   </w:t>
      </w:r>
    </w:p>
    <w:p w:rsidRPr="00103A50" w:rsidR="00C83724" w:rsidP="00C83724" w:rsidRDefault="00C83724" w14:paraId="3A4FF112" w14:textId="77777777">
      <w:pPr>
        <w:rPr>
          <w:rFonts w:ascii="Calibri" w:hAnsi="Calibri" w:cs="Calibri"/>
        </w:rPr>
      </w:pPr>
    </w:p>
    <w:p w:rsidRPr="00103A50" w:rsidR="00C83724" w:rsidP="00C83724" w:rsidRDefault="00C83724" w14:paraId="27E005D3" w14:textId="6FEE5989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lastRenderedPageBreak/>
        <w:t>Verder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verhoging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eigenmiddelenplafond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eigenmiddelenplafond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bedraagt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1,46%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bni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vastleggingen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1,40%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betalingen.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verhogen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1,81%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bni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vastleggingen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1,75%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betalingen.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Daarnaast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buitengewone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tijdelijke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verhoging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plafonds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0,25%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EU-bni,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garantie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Unie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crisis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mobiliseren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vervolgens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NGEU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buitengewone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tijdelijke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verhoging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EMB-plafond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opgenomen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0,6%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EU-bni.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blijft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bestaan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garantie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uitstaande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NGEU-leningen.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afspraak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Unie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kapitaalmarkt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gebruikt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financiering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beleidsuitgaven,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opgenomen,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blijft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behouden.</w:t>
      </w:r>
      <w:r w:rsidRPr="00103A50" w:rsidR="003674D3">
        <w:rPr>
          <w:rFonts w:ascii="Calibri" w:hAnsi="Calibri" w:cs="Calibri"/>
        </w:rPr>
        <w:t xml:space="preserve">  </w:t>
      </w:r>
    </w:p>
    <w:p w:rsidRPr="00103A50" w:rsidR="00C83724" w:rsidP="00C83724" w:rsidRDefault="00C83724" w14:paraId="584C3D21" w14:textId="649719FC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toelichting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zowel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uitgaven-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inkomstenkant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volgt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verderop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brief.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br/>
      </w:r>
    </w:p>
    <w:p w:rsidRPr="00103A50" w:rsidR="00C83724" w:rsidP="00C83724" w:rsidRDefault="00C83724" w14:paraId="7FD1EDC8" w14:textId="23396D98">
      <w:pPr>
        <w:rPr>
          <w:rFonts w:ascii="Calibri" w:hAnsi="Calibri" w:cs="Calibri"/>
          <w:b/>
        </w:rPr>
      </w:pPr>
      <w:r w:rsidRPr="00103A50">
        <w:rPr>
          <w:rFonts w:ascii="Calibri" w:hAnsi="Calibri" w:cs="Calibri"/>
          <w:b/>
        </w:rPr>
        <w:t>Algemene</w:t>
      </w:r>
      <w:r w:rsidRPr="00103A50" w:rsidR="003674D3">
        <w:rPr>
          <w:rFonts w:ascii="Calibri" w:hAnsi="Calibri" w:cs="Calibri"/>
          <w:b/>
        </w:rPr>
        <w:t xml:space="preserve"> </w:t>
      </w:r>
      <w:r w:rsidRPr="00103A50">
        <w:rPr>
          <w:rFonts w:ascii="Calibri" w:hAnsi="Calibri" w:cs="Calibri"/>
          <w:b/>
        </w:rPr>
        <w:t>appreciatie</w:t>
      </w:r>
      <w:r w:rsidRPr="00103A50" w:rsidR="003674D3">
        <w:rPr>
          <w:rFonts w:ascii="Calibri" w:hAnsi="Calibri" w:cs="Calibri"/>
          <w:b/>
        </w:rPr>
        <w:t xml:space="preserve"> </w:t>
      </w:r>
      <w:r w:rsidRPr="00103A50">
        <w:rPr>
          <w:rFonts w:ascii="Calibri" w:hAnsi="Calibri" w:cs="Calibri"/>
          <w:b/>
        </w:rPr>
        <w:t>kabinet</w:t>
      </w:r>
      <w:r w:rsidRPr="00103A50" w:rsidR="003674D3">
        <w:rPr>
          <w:rFonts w:ascii="Calibri" w:hAnsi="Calibri" w:cs="Calibri"/>
          <w:b/>
        </w:rPr>
        <w:t xml:space="preserve"> </w:t>
      </w:r>
      <w:r w:rsidRPr="00103A50">
        <w:rPr>
          <w:rFonts w:ascii="Calibri" w:hAnsi="Calibri" w:cs="Calibri"/>
          <w:b/>
        </w:rPr>
        <w:t>van</w:t>
      </w:r>
      <w:r w:rsidRPr="00103A50" w:rsidR="003674D3">
        <w:rPr>
          <w:rFonts w:ascii="Calibri" w:hAnsi="Calibri" w:cs="Calibri"/>
          <w:b/>
        </w:rPr>
        <w:t xml:space="preserve"> </w:t>
      </w:r>
      <w:r w:rsidRPr="00103A50">
        <w:rPr>
          <w:rFonts w:ascii="Calibri" w:hAnsi="Calibri" w:cs="Calibri"/>
          <w:b/>
        </w:rPr>
        <w:t>het</w:t>
      </w:r>
      <w:r w:rsidRPr="00103A50" w:rsidR="003674D3">
        <w:rPr>
          <w:rFonts w:ascii="Calibri" w:hAnsi="Calibri" w:cs="Calibri"/>
          <w:b/>
        </w:rPr>
        <w:t xml:space="preserve"> </w:t>
      </w:r>
      <w:r w:rsidRPr="00103A50">
        <w:rPr>
          <w:rFonts w:ascii="Calibri" w:hAnsi="Calibri" w:cs="Calibri"/>
          <w:b/>
        </w:rPr>
        <w:t>MFK-</w:t>
      </w:r>
      <w:r w:rsidRPr="00103A50" w:rsidR="003674D3">
        <w:rPr>
          <w:rFonts w:ascii="Calibri" w:hAnsi="Calibri" w:cs="Calibri"/>
          <w:b/>
        </w:rPr>
        <w:t xml:space="preserve"> </w:t>
      </w:r>
      <w:r w:rsidRPr="00103A50">
        <w:rPr>
          <w:rFonts w:ascii="Calibri" w:hAnsi="Calibri" w:cs="Calibri"/>
          <w:b/>
        </w:rPr>
        <w:t>en</w:t>
      </w:r>
      <w:r w:rsidRPr="00103A50" w:rsidR="003674D3">
        <w:rPr>
          <w:rFonts w:ascii="Calibri" w:hAnsi="Calibri" w:cs="Calibri"/>
          <w:b/>
        </w:rPr>
        <w:t xml:space="preserve"> </w:t>
      </w:r>
      <w:r w:rsidRPr="00103A50">
        <w:rPr>
          <w:rFonts w:ascii="Calibri" w:hAnsi="Calibri" w:cs="Calibri"/>
          <w:b/>
        </w:rPr>
        <w:t>EMB</w:t>
      </w:r>
      <w:r w:rsidRPr="00103A50" w:rsidR="003674D3">
        <w:rPr>
          <w:rFonts w:ascii="Calibri" w:hAnsi="Calibri" w:cs="Calibri"/>
          <w:b/>
        </w:rPr>
        <w:t xml:space="preserve"> </w:t>
      </w:r>
      <w:r w:rsidRPr="00103A50">
        <w:rPr>
          <w:rFonts w:ascii="Calibri" w:hAnsi="Calibri" w:cs="Calibri"/>
          <w:b/>
        </w:rPr>
        <w:t>voorstel</w:t>
      </w:r>
    </w:p>
    <w:p w:rsidRPr="00103A50" w:rsidR="00C83724" w:rsidP="00C83724" w:rsidRDefault="00C83724" w14:paraId="339C06D8" w14:textId="4FF08102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aantal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elementen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goed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verenigbaar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positie,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gevolgen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nationale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afdrachten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leeninstrumenten.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Anderzijds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volgende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positieve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elementen.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Beide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toegelicht.</w:t>
      </w:r>
    </w:p>
    <w:p w:rsidRPr="00103A50" w:rsidR="00C83724" w:rsidP="00C83724" w:rsidRDefault="00C83724" w14:paraId="03BF699C" w14:textId="77777777">
      <w:pPr>
        <w:rPr>
          <w:rFonts w:ascii="Calibri" w:hAnsi="Calibri" w:cs="Calibri"/>
        </w:rPr>
      </w:pPr>
    </w:p>
    <w:p w:rsidRPr="00103A50" w:rsidR="00C83724" w:rsidP="00C83724" w:rsidRDefault="00C83724" w14:paraId="614330AE" w14:textId="44BDDA79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verwelkomt</w:t>
      </w:r>
      <w:r w:rsidRPr="00103A50" w:rsidR="003674D3">
        <w:rPr>
          <w:rFonts w:ascii="Calibri" w:hAnsi="Calibri" w:cs="Calibri"/>
        </w:rPr>
        <w:t xml:space="preserve"> </w:t>
      </w:r>
      <w:r w:rsidRPr="00103A50" w:rsidDel="005C5652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modernisering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focus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legt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strategische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prioriteiten</w:t>
      </w:r>
      <w:r w:rsidRPr="00103A50" w:rsidR="003674D3">
        <w:rPr>
          <w:rFonts w:ascii="Calibri" w:hAnsi="Calibri" w:cs="Calibri"/>
        </w:rPr>
        <w:t xml:space="preserve"> </w:t>
      </w:r>
      <w:r w:rsidRPr="00103A50" w:rsidDel="002D3D7A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 w:rsidDel="002D3D7A">
        <w:rPr>
          <w:rFonts w:ascii="Calibri" w:hAnsi="Calibri" w:cs="Calibri"/>
        </w:rPr>
        <w:t>hier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 w:rsidDel="002D3D7A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 w:rsidDel="002D3D7A">
        <w:rPr>
          <w:rFonts w:ascii="Calibri" w:hAnsi="Calibri" w:cs="Calibri"/>
        </w:rPr>
        <w:t>groter</w:t>
      </w:r>
      <w:r w:rsidRPr="00103A50" w:rsidR="003674D3">
        <w:rPr>
          <w:rFonts w:ascii="Calibri" w:hAnsi="Calibri" w:cs="Calibri"/>
        </w:rPr>
        <w:t xml:space="preserve"> </w:t>
      </w:r>
      <w:r w:rsidRPr="00103A50" w:rsidDel="002D3D7A">
        <w:rPr>
          <w:rFonts w:ascii="Calibri" w:hAnsi="Calibri" w:cs="Calibri"/>
        </w:rPr>
        <w:t>deel</w:t>
      </w:r>
      <w:r w:rsidRPr="00103A50" w:rsidR="003674D3">
        <w:rPr>
          <w:rFonts w:ascii="Calibri" w:hAnsi="Calibri" w:cs="Calibri"/>
        </w:rPr>
        <w:t xml:space="preserve"> </w:t>
      </w:r>
      <w:r w:rsidRPr="00103A50" w:rsidDel="002D3D7A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 w:rsidDel="002D3D7A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 w:rsidDel="002D3D7A">
        <w:rPr>
          <w:rFonts w:ascii="Calibri" w:hAnsi="Calibri" w:cs="Calibri"/>
        </w:rPr>
        <w:t>EU-begroting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uittrekt.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manier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sluiten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Commissievoorstellen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beter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uitdagingen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tijd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prioriteiten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volgend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reeds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benoemd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inleiding.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Daarnaast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staat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positief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tegenover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voortgezette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steun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Oekraïne.</w:t>
      </w:r>
      <w:r w:rsidRPr="00103A50" w:rsidR="003674D3">
        <w:rPr>
          <w:rFonts w:ascii="Calibri" w:hAnsi="Calibri" w:cs="Calibri"/>
        </w:rPr>
        <w:t xml:space="preserve"> </w:t>
      </w:r>
      <w:r w:rsidRPr="00103A50" w:rsidDel="002D3D7A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 w:rsidDel="002D3D7A">
        <w:rPr>
          <w:rFonts w:ascii="Calibri" w:hAnsi="Calibri" w:cs="Calibri"/>
        </w:rPr>
        <w:t>verwelkomt</w:t>
      </w:r>
      <w:r w:rsidRPr="00103A50" w:rsidR="003674D3">
        <w:rPr>
          <w:rFonts w:ascii="Calibri" w:hAnsi="Calibri" w:cs="Calibri"/>
        </w:rPr>
        <w:t xml:space="preserve"> </w:t>
      </w:r>
      <w:r w:rsidRPr="00103A50" w:rsidDel="002D3D7A">
        <w:rPr>
          <w:rFonts w:ascii="Calibri" w:hAnsi="Calibri" w:cs="Calibri"/>
        </w:rPr>
        <w:t>h</w:t>
      </w:r>
      <w:r w:rsidRPr="00103A50" w:rsidDel="0070333F">
        <w:rPr>
          <w:rFonts w:ascii="Calibri" w:hAnsi="Calibri" w:cs="Calibri"/>
        </w:rPr>
        <w:t>et</w:t>
      </w:r>
      <w:r w:rsidRPr="00103A50" w:rsidR="003674D3">
        <w:rPr>
          <w:rFonts w:ascii="Calibri" w:hAnsi="Calibri" w:cs="Calibri"/>
        </w:rPr>
        <w:t xml:space="preserve"> </w:t>
      </w:r>
      <w:r w:rsidRPr="00103A50" w:rsidDel="0070333F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 w:rsidDel="0070333F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 w:rsidDel="0070333F">
        <w:rPr>
          <w:rFonts w:ascii="Calibri" w:hAnsi="Calibri" w:cs="Calibri"/>
        </w:rPr>
        <w:t>mogelijkheid</w:t>
      </w:r>
      <w:r w:rsidRPr="00103A50" w:rsidR="003674D3">
        <w:rPr>
          <w:rFonts w:ascii="Calibri" w:hAnsi="Calibri" w:cs="Calibri"/>
        </w:rPr>
        <w:t xml:space="preserve"> </w:t>
      </w:r>
      <w:r w:rsidRPr="00103A50" w:rsidDel="0070333F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 w:rsidDel="0070333F">
        <w:rPr>
          <w:rFonts w:ascii="Calibri" w:hAnsi="Calibri" w:cs="Calibri"/>
        </w:rPr>
        <w:t>bestaande</w:t>
      </w:r>
      <w:r w:rsidRPr="00103A50" w:rsidR="003674D3">
        <w:rPr>
          <w:rFonts w:ascii="Calibri" w:hAnsi="Calibri" w:cs="Calibri"/>
        </w:rPr>
        <w:t xml:space="preserve"> </w:t>
      </w:r>
      <w:r w:rsidRPr="00103A50" w:rsidDel="0070333F">
        <w:rPr>
          <w:rFonts w:ascii="Calibri" w:hAnsi="Calibri" w:cs="Calibri"/>
        </w:rPr>
        <w:t>fondsen,</w:t>
      </w:r>
      <w:r w:rsidRPr="00103A50" w:rsidR="003674D3">
        <w:rPr>
          <w:rFonts w:ascii="Calibri" w:hAnsi="Calibri" w:cs="Calibri"/>
        </w:rPr>
        <w:t xml:space="preserve"> </w:t>
      </w:r>
      <w:r w:rsidRPr="00103A50" w:rsidDel="0070333F">
        <w:rPr>
          <w:rFonts w:ascii="Calibri" w:hAnsi="Calibri" w:cs="Calibri"/>
        </w:rPr>
        <w:t>of</w:t>
      </w:r>
      <w:r w:rsidRPr="00103A50" w:rsidR="003674D3">
        <w:rPr>
          <w:rFonts w:ascii="Calibri" w:hAnsi="Calibri" w:cs="Calibri"/>
        </w:rPr>
        <w:t xml:space="preserve"> </w:t>
      </w:r>
      <w:r w:rsidRPr="00103A50" w:rsidDel="0070333F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 w:rsidDel="0070333F">
        <w:rPr>
          <w:rFonts w:ascii="Calibri" w:hAnsi="Calibri" w:cs="Calibri"/>
        </w:rPr>
        <w:t>instrumenten</w:t>
      </w:r>
      <w:r w:rsidRPr="00103A50" w:rsidR="003674D3">
        <w:rPr>
          <w:rFonts w:ascii="Calibri" w:hAnsi="Calibri" w:cs="Calibri"/>
        </w:rPr>
        <w:t xml:space="preserve"> </w:t>
      </w:r>
      <w:r w:rsidRPr="00103A50" w:rsidDel="0070333F">
        <w:rPr>
          <w:rFonts w:ascii="Calibri" w:hAnsi="Calibri" w:cs="Calibri"/>
        </w:rPr>
        <w:t>waar</w:t>
      </w:r>
      <w:r w:rsidRPr="00103A50" w:rsidR="003674D3">
        <w:rPr>
          <w:rFonts w:ascii="Calibri" w:hAnsi="Calibri" w:cs="Calibri"/>
        </w:rPr>
        <w:t xml:space="preserve"> </w:t>
      </w:r>
      <w:r w:rsidRPr="00103A50" w:rsidDel="0070333F">
        <w:rPr>
          <w:rFonts w:ascii="Calibri" w:hAnsi="Calibri" w:cs="Calibri"/>
        </w:rPr>
        <w:t>bestaande</w:t>
      </w:r>
      <w:r w:rsidRPr="00103A50" w:rsidR="003674D3">
        <w:rPr>
          <w:rFonts w:ascii="Calibri" w:hAnsi="Calibri" w:cs="Calibri"/>
        </w:rPr>
        <w:t xml:space="preserve"> </w:t>
      </w:r>
      <w:r w:rsidRPr="00103A50" w:rsidDel="0070333F">
        <w:rPr>
          <w:rFonts w:ascii="Calibri" w:hAnsi="Calibri" w:cs="Calibri"/>
        </w:rPr>
        <w:t>fondsen</w:t>
      </w:r>
      <w:r w:rsidRPr="00103A50" w:rsidR="003674D3">
        <w:rPr>
          <w:rFonts w:ascii="Calibri" w:hAnsi="Calibri" w:cs="Calibri"/>
        </w:rPr>
        <w:t xml:space="preserve"> </w:t>
      </w:r>
      <w:r w:rsidRPr="00103A50" w:rsidDel="0070333F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 w:rsidDel="0070333F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 w:rsidDel="0070333F">
        <w:rPr>
          <w:rFonts w:ascii="Calibri" w:hAnsi="Calibri" w:cs="Calibri"/>
        </w:rPr>
        <w:t>samengevoegd</w:t>
      </w:r>
      <w:r w:rsidRPr="00103A50">
        <w:rPr>
          <w:rFonts w:ascii="Calibri" w:hAnsi="Calibri" w:cs="Calibri"/>
        </w:rPr>
        <w:t>,</w:t>
      </w:r>
      <w:r w:rsidRPr="00103A50" w:rsidR="003674D3">
        <w:rPr>
          <w:rFonts w:ascii="Calibri" w:hAnsi="Calibri" w:cs="Calibri"/>
        </w:rPr>
        <w:t xml:space="preserve"> </w:t>
      </w:r>
      <w:r w:rsidRPr="00103A50" w:rsidDel="0070333F">
        <w:rPr>
          <w:rFonts w:ascii="Calibri" w:hAnsi="Calibri" w:cs="Calibri"/>
        </w:rPr>
        <w:t>zoals</w:t>
      </w:r>
      <w:r w:rsidRPr="00103A50" w:rsidR="003674D3">
        <w:rPr>
          <w:rFonts w:ascii="Calibri" w:hAnsi="Calibri" w:cs="Calibri"/>
        </w:rPr>
        <w:t xml:space="preserve"> </w:t>
      </w:r>
      <w:r w:rsidRPr="00103A50" w:rsidDel="0070333F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 w:rsidDel="0070333F">
        <w:rPr>
          <w:rFonts w:ascii="Calibri" w:hAnsi="Calibri" w:cs="Calibri"/>
        </w:rPr>
        <w:t>nationaal</w:t>
      </w:r>
      <w:r w:rsidRPr="00103A50" w:rsidR="003674D3">
        <w:rPr>
          <w:rFonts w:ascii="Calibri" w:hAnsi="Calibri" w:cs="Calibri"/>
        </w:rPr>
        <w:t xml:space="preserve"> </w:t>
      </w:r>
      <w:r w:rsidRPr="00103A50" w:rsidDel="0070333F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 w:rsidDel="0070333F">
        <w:rPr>
          <w:rFonts w:ascii="Calibri" w:hAnsi="Calibri" w:cs="Calibri"/>
        </w:rPr>
        <w:t>regionaal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partnerschap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plan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(NRPP),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richten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eerdergenoemde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prioriteiten.</w:t>
      </w:r>
    </w:p>
    <w:p w:rsidRPr="00103A50" w:rsidR="00C83724" w:rsidP="00C83724" w:rsidRDefault="00C83724" w14:paraId="69AF6717" w14:textId="77777777">
      <w:pPr>
        <w:rPr>
          <w:rFonts w:ascii="Calibri" w:hAnsi="Calibri" w:cs="Calibri"/>
        </w:rPr>
      </w:pPr>
    </w:p>
    <w:p w:rsidRPr="00103A50" w:rsidR="00C83724" w:rsidP="00C83724" w:rsidRDefault="00C83724" w14:paraId="0912BC12" w14:textId="31B0E673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positief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principe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hanteren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vooraf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vastgestelde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voorwaarden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prestaties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behaald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EU-fondsen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uitgekeerd.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vragen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bijvoorbeeld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administratieve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systematiek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praktijk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pakken.</w:t>
      </w:r>
      <w:r w:rsidRPr="00103A50" w:rsidR="003674D3">
        <w:rPr>
          <w:rFonts w:ascii="Calibri" w:hAnsi="Calibri" w:cs="Calibri"/>
        </w:rPr>
        <w:t xml:space="preserve"> </w:t>
      </w:r>
      <w:r w:rsidRPr="00103A50" w:rsidDel="0059424A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positief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voornemen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lastRenderedPageBreak/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om’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verschillende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fondsen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programma’s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samen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voegen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één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concurrentievermogen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fonds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(hierna: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ECF),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aanbevolen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Mario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Draghi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rapport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toekomst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concurrentievermogen</w:t>
      </w:r>
      <w:r w:rsidRPr="00103A50">
        <w:rPr>
          <w:rStyle w:val="Voetnootmarkering"/>
          <w:rFonts w:ascii="Calibri" w:hAnsi="Calibri" w:cs="Calibri"/>
        </w:rPr>
        <w:footnoteReference w:id="7"/>
      </w:r>
      <w:r w:rsidRPr="00103A50">
        <w:rPr>
          <w:rFonts w:ascii="Calibri" w:hAnsi="Calibri" w:cs="Calibri"/>
        </w:rPr>
        <w:t>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Tevens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verwelkomt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versterking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rechtsstaatconditionaliteit.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2EC5A26E" w14:textId="77777777">
      <w:pPr>
        <w:rPr>
          <w:rFonts w:ascii="Calibri" w:hAnsi="Calibri" w:cs="Calibri"/>
        </w:rPr>
      </w:pPr>
    </w:p>
    <w:p w:rsidRPr="00103A50" w:rsidR="00C83724" w:rsidP="00C83724" w:rsidRDefault="00C83724" w14:paraId="6EF53006" w14:textId="654D71CC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verwelkomt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slot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rentebetalingen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aflossing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NGEU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MFK-plafonds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vanaf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2028.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voorziene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stijging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EU-afdrachten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gevolg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sluit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budgettaire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kaders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overeengekomen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Hoofdlijnenakkoord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(HLA)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opgenomen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begroting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ministerie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Buitenlandse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Zaken.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gevolg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pakket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voorstellen,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zowel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aanzien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uitgaven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(MFK)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inkomsten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(EMB).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ontbreekt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volgens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afdoende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scherpe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financiële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keuzes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inzetten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verlaging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modernisering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overeind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blijven.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wil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zeggen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EU-begroting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gericht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concurrentievermogen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sterke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interne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markt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inzet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onderzoek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innovatie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fundament,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asiel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migratie,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veiligheid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defensie.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4F403CC2" w14:textId="77777777">
      <w:pPr>
        <w:rPr>
          <w:rFonts w:ascii="Calibri" w:hAnsi="Calibri" w:cs="Calibri"/>
        </w:rPr>
      </w:pPr>
    </w:p>
    <w:p w:rsidRPr="00103A50" w:rsidR="00C83724" w:rsidP="00C83724" w:rsidRDefault="00C83724" w14:paraId="6E67AB93" w14:textId="02DA25A0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Hoewel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precieze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inschatting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verdeling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nationale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bijdragen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vindt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basis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eerste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schattingen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teveel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bijdraagt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vergelijking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andere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ondanks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groter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aandeel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gaat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pijler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daarmee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fondsen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historisch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relatief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ontvangt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(zoals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  <w:i/>
          <w:iCs/>
        </w:rPr>
        <w:t>Horizon</w:t>
      </w:r>
      <w:r w:rsidRPr="00103A50" w:rsidR="003674D3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Europe</w:t>
      </w:r>
      <w:r w:rsidRPr="00103A50">
        <w:rPr>
          <w:rFonts w:ascii="Calibri" w:hAnsi="Calibri" w:cs="Calibri"/>
        </w:rPr>
        <w:t>).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daarmee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sprake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acceptabel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aandeel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nationale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bijdragen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inzet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aangepast.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verwacht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korting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bni-afdracht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noodzakelijk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bereiken.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inzetten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behoud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perceptiekostenvergoeding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niveau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25%.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aanzien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Kamerbrief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28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maart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jl.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aangegeven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voorbaat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omarmen.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informatie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beschikbaar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komt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verdelingseffecten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duiding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geven.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1A2E2316" w14:textId="77777777">
      <w:pPr>
        <w:rPr>
          <w:rFonts w:ascii="Calibri" w:hAnsi="Calibri" w:cs="Calibri"/>
        </w:rPr>
      </w:pPr>
    </w:p>
    <w:p w:rsidRPr="00103A50" w:rsidR="00C83724" w:rsidP="00C83724" w:rsidRDefault="00C83724" w14:paraId="7704C00E" w14:textId="00BA7F64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algemene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voorstander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aangaan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gemeenschappelijke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schuld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instrumenten,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conform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lastRenderedPageBreak/>
        <w:t>Regeerprogramma.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merkt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gezamenlijke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schulduitgifte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vaker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toegepast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kunnen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reageren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onvoorziene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omstandigheden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nodig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beschikbaar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echter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generieke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instrument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gemeenschappelijke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crisissituaties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(hierna: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“het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crisisinstrument”)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leenfaciliteit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ophogen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NRPPs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(“</w:t>
      </w:r>
      <w:r w:rsidRPr="00103A50">
        <w:rPr>
          <w:rFonts w:ascii="Calibri" w:hAnsi="Calibri" w:cs="Calibri"/>
          <w:i/>
          <w:iCs/>
        </w:rPr>
        <w:t>Catalyst</w:t>
      </w:r>
      <w:r w:rsidRPr="00103A50" w:rsidR="003674D3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Europe</w:t>
      </w:r>
      <w:r w:rsidRPr="00103A50">
        <w:rPr>
          <w:rFonts w:ascii="Calibri" w:hAnsi="Calibri" w:cs="Calibri"/>
        </w:rPr>
        <w:t>”),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gefinancierd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schulduitgifte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Unie.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crisisinstrument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bijbehorende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verhoging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eigenmiddelenplafond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volgens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nodig,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gelet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reeds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bestaande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rechtsbases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EU-verdragen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moeilijkheden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ernstige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dreiging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moeilijkheden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lidstaat,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financiële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bijstand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verlenen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desbetreffende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leenfaciliteit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NRPPs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sprake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crisissituatie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financiering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gemeenschappelijke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schuld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volgens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gepast.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0C48DAB7" w14:textId="77777777">
      <w:pPr>
        <w:rPr>
          <w:rFonts w:ascii="Calibri" w:hAnsi="Calibri" w:cs="Calibri"/>
        </w:rPr>
      </w:pPr>
    </w:p>
    <w:p w:rsidRPr="00103A50" w:rsidR="00C83724" w:rsidP="00C83724" w:rsidRDefault="00C83724" w14:paraId="61FB5B3F" w14:textId="32FB3AA6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Mogelijke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Oekraïne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gefinancierd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schulduitgifte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Unie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beschouwt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facto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voortzetting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bestaande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EU-beleid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aanzien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Oekraïne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sinds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start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grootschalige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Russische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invasie.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verlenen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macro-economische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bijstand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landen,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Unie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verstrekt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gefinancierd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schulduitgifte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lange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historie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inzet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instrument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altijd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gesteund.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02E865A5" w14:textId="3819BFEA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buiten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macro-financiële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bijstand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landen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verstrekken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(zogenaamde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“beleidsleningen”)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Unie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kapitaalmarkt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leent,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eerder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gedaan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Westelijke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Balkan-faciliteit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faciliteit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Moldavië.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Unie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aangaat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financieren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landen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macro-financiële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bijstand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beleidsleningen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gegarandeerd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gemeenschappelijk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voorziening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fonds,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gevoed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budgetten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beschikbaar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Global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Daarmee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ontstaat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risico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hogere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EU-afdrachten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garantie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opgenomen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begroting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ministerie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Financiën,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gemeenschappelijke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schuld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  <w:i/>
          <w:iCs/>
        </w:rPr>
        <w:t>headroom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gegarandeerd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mogelijkheden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verstrekken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dergelijke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landen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type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faciliteiten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kritisch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kijken.</w:t>
      </w:r>
    </w:p>
    <w:p w:rsidRPr="00103A50" w:rsidR="00C83724" w:rsidP="00C83724" w:rsidRDefault="00C83724" w14:paraId="289011AE" w14:textId="77777777">
      <w:pPr>
        <w:rPr>
          <w:rFonts w:ascii="Calibri" w:hAnsi="Calibri" w:cs="Calibri"/>
        </w:rPr>
      </w:pPr>
    </w:p>
    <w:p w:rsidRPr="00103A50" w:rsidR="00C83724" w:rsidP="00C83724" w:rsidRDefault="00C83724" w14:paraId="3A031688" w14:textId="58FA2020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vereenvoudiging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fondsenstructuur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draagt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volgens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beter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uitvoerbaar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belangrijk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administratieve-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uitvoeringslasten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beperkt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eerste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belangrijk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gebruikers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MFK-programma’s,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makkelijker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administratieve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toegang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moeten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kunnen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krijgen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MFK-fondsen.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bijdragen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beperken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administratieve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uitvoeren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beleid.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Tevens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lastRenderedPageBreak/>
        <w:t>verbeterde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begrotings-architectuur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ertoe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leiden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financiële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belangen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Unie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beter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gewaarborgd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blijven.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versnippering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financiering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voorkomen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zeker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beleidsdoelstellingen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integrale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gecoördineerde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manier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opgepakt.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Gelet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geleerde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lessen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Herstel-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Veerkrachtfaciliteit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andere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EU-instrumenten,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vragen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vereenvoudiging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uitpakken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begunstigden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uitvoering.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relevante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rapporten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Rekenkamer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oordeel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meewegen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relevante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stakeholders,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medeoverheden,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raadplegen.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2384337A" w14:textId="77777777">
      <w:pPr>
        <w:rPr>
          <w:rFonts w:ascii="Calibri" w:hAnsi="Calibri" w:cs="Calibri"/>
        </w:rPr>
      </w:pPr>
    </w:p>
    <w:p w:rsidRPr="00103A50" w:rsidR="00C83724" w:rsidP="00C83724" w:rsidRDefault="00C83724" w14:paraId="21B7A185" w14:textId="07DB3924">
      <w:pPr>
        <w:rPr>
          <w:rFonts w:ascii="Calibri" w:hAnsi="Calibri" w:cs="Calibri"/>
          <w:b/>
        </w:rPr>
      </w:pPr>
      <w:r w:rsidRPr="00103A50">
        <w:rPr>
          <w:rFonts w:ascii="Calibri" w:hAnsi="Calibri" w:cs="Calibri"/>
          <w:b/>
        </w:rPr>
        <w:t>Meerjarig</w:t>
      </w:r>
      <w:r w:rsidRPr="00103A50" w:rsidR="003674D3">
        <w:rPr>
          <w:rFonts w:ascii="Calibri" w:hAnsi="Calibri" w:cs="Calibri"/>
          <w:b/>
        </w:rPr>
        <w:t xml:space="preserve"> </w:t>
      </w:r>
      <w:r w:rsidRPr="00103A50">
        <w:rPr>
          <w:rFonts w:ascii="Calibri" w:hAnsi="Calibri" w:cs="Calibri"/>
          <w:b/>
        </w:rPr>
        <w:t>Financieel</w:t>
      </w:r>
      <w:r w:rsidRPr="00103A50" w:rsidR="003674D3">
        <w:rPr>
          <w:rFonts w:ascii="Calibri" w:hAnsi="Calibri" w:cs="Calibri"/>
          <w:b/>
        </w:rPr>
        <w:t xml:space="preserve"> </w:t>
      </w:r>
      <w:r w:rsidRPr="00103A50">
        <w:rPr>
          <w:rFonts w:ascii="Calibri" w:hAnsi="Calibri" w:cs="Calibri"/>
          <w:b/>
        </w:rPr>
        <w:t>Kader</w:t>
      </w:r>
    </w:p>
    <w:p w:rsidRPr="00103A50" w:rsidR="00C83724" w:rsidP="00C83724" w:rsidRDefault="00C83724" w14:paraId="1CBC28C3" w14:textId="417D3591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Onderstaand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treft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beknopte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samenvatting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verschillende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pijlers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Tevens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ingegaan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aantal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specifieke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onderwerpen.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79747237" w14:textId="77777777">
      <w:pPr>
        <w:rPr>
          <w:rFonts w:ascii="Calibri" w:hAnsi="Calibri" w:cs="Calibri"/>
        </w:rPr>
      </w:pPr>
      <w:bookmarkStart w:name="_heading=h.gimnqdmwzetf" w:colFirst="0" w:colLast="0" w:id="0"/>
      <w:bookmarkEnd w:id="0"/>
    </w:p>
    <w:p w:rsidRPr="00103A50" w:rsidR="00C83724" w:rsidP="00C83724" w:rsidRDefault="00C83724" w14:paraId="034E9CB9" w14:textId="591C76D2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i/>
        </w:rPr>
      </w:pP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komende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periode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technische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besprekingen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gebruiken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inzicht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krijgen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werking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bijvoorbeeld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vragen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nationale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allocaties,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bijzonder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aandeel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ontvangt.</w:t>
      </w:r>
      <w:r w:rsidRPr="00103A50" w:rsidR="003674D3">
        <w:rPr>
          <w:rFonts w:ascii="Calibri" w:hAnsi="Calibri" w:eastAsia="Times New Roman" w:cs="Calibri"/>
          <w:color w:val="0078D4"/>
        </w:rPr>
        <w:t xml:space="preserve"> </w:t>
      </w:r>
      <w:r w:rsidRPr="00103A50" w:rsidDel="00BE7D4F">
        <w:rPr>
          <w:rFonts w:ascii="Calibri" w:hAnsi="Calibri" w:cs="Calibri"/>
        </w:rPr>
        <w:t>Verder</w:t>
      </w:r>
      <w:r w:rsidRPr="00103A50" w:rsidR="003674D3">
        <w:rPr>
          <w:rFonts w:ascii="Calibri" w:hAnsi="Calibri" w:cs="Calibri"/>
        </w:rPr>
        <w:t xml:space="preserve"> </w:t>
      </w:r>
      <w:r w:rsidRPr="00103A50" w:rsidDel="00BE7D4F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 w:rsidDel="00BE7D4F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 w:rsidDel="00BE7D4F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 w:rsidDel="00BE7D4F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mogelijke</w:t>
      </w:r>
      <w:r w:rsidRPr="00103A50" w:rsidR="003674D3">
        <w:rPr>
          <w:rFonts w:ascii="Calibri" w:hAnsi="Calibri" w:cs="Calibri"/>
        </w:rPr>
        <w:t xml:space="preserve"> </w:t>
      </w:r>
      <w:r w:rsidRPr="00103A50" w:rsidDel="00BE7D4F">
        <w:rPr>
          <w:rFonts w:ascii="Calibri" w:hAnsi="Calibri" w:cs="Calibri"/>
        </w:rPr>
        <w:t>nationale</w:t>
      </w:r>
      <w:r w:rsidRPr="00103A50" w:rsidR="003674D3">
        <w:rPr>
          <w:rFonts w:ascii="Calibri" w:hAnsi="Calibri" w:cs="Calibri"/>
        </w:rPr>
        <w:t xml:space="preserve"> </w:t>
      </w:r>
      <w:r w:rsidRPr="00103A50" w:rsidDel="00BE7D4F">
        <w:rPr>
          <w:rFonts w:ascii="Calibri" w:hAnsi="Calibri" w:cs="Calibri"/>
        </w:rPr>
        <w:t>consequenties</w:t>
      </w:r>
      <w:r w:rsidRPr="00103A50" w:rsidR="003674D3">
        <w:rPr>
          <w:rFonts w:ascii="Calibri" w:hAnsi="Calibri" w:cs="Calibri"/>
        </w:rPr>
        <w:t xml:space="preserve"> </w:t>
      </w:r>
      <w:r w:rsidRPr="00103A50" w:rsidDel="00BE7D4F">
        <w:rPr>
          <w:rFonts w:ascii="Calibri" w:hAnsi="Calibri" w:cs="Calibri"/>
        </w:rPr>
        <w:t>verder</w:t>
      </w:r>
      <w:r w:rsidRPr="00103A50" w:rsidR="003674D3">
        <w:rPr>
          <w:rFonts w:ascii="Calibri" w:hAnsi="Calibri" w:cs="Calibri"/>
        </w:rPr>
        <w:t xml:space="preserve"> </w:t>
      </w:r>
      <w:r w:rsidRPr="00103A50" w:rsidDel="00BE7D4F">
        <w:rPr>
          <w:rFonts w:ascii="Calibri" w:hAnsi="Calibri" w:cs="Calibri"/>
        </w:rPr>
        <w:t>uitwerken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mogelijk</w:t>
      </w:r>
      <w:r w:rsidRPr="00103A50" w:rsidDel="00BE7D4F">
        <w:rPr>
          <w:rFonts w:ascii="Calibri" w:hAnsi="Calibri" w:cs="Calibri"/>
        </w:rPr>
        <w:t>.</w:t>
      </w:r>
    </w:p>
    <w:p w:rsidRPr="00103A50" w:rsidR="00C83724" w:rsidP="00C83724" w:rsidRDefault="00C83724" w14:paraId="79DF18AE" w14:textId="7777777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hAnsi="Calibri" w:cs="Calibri"/>
          <w:i/>
        </w:rPr>
      </w:pPr>
    </w:p>
    <w:p w:rsidRPr="00103A50" w:rsidR="00C83724" w:rsidP="00C83724" w:rsidRDefault="00C83724" w14:paraId="7EC2C33F" w14:textId="53CC688C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hAnsi="Calibri" w:cs="Calibri"/>
          <w:i/>
          <w:lang w:val="en-US"/>
        </w:rPr>
      </w:pPr>
      <w:r w:rsidRPr="00103A50">
        <w:rPr>
          <w:rFonts w:ascii="Calibri" w:hAnsi="Calibri" w:cs="Calibri"/>
          <w:i/>
          <w:lang w:val="en-US"/>
        </w:rPr>
        <w:t>Pijler</w:t>
      </w:r>
      <w:r w:rsidRPr="00103A50" w:rsidR="003674D3">
        <w:rPr>
          <w:rFonts w:ascii="Calibri" w:hAnsi="Calibri" w:cs="Calibri"/>
          <w:i/>
          <w:lang w:val="en-US"/>
        </w:rPr>
        <w:t xml:space="preserve"> </w:t>
      </w:r>
      <w:r w:rsidRPr="00103A50">
        <w:rPr>
          <w:rFonts w:ascii="Calibri" w:hAnsi="Calibri" w:cs="Calibri"/>
          <w:i/>
          <w:lang w:val="en-US"/>
        </w:rPr>
        <w:t>1:</w:t>
      </w:r>
      <w:r w:rsidRPr="00103A50" w:rsidR="003674D3">
        <w:rPr>
          <w:rFonts w:ascii="Calibri" w:hAnsi="Calibri" w:cs="Calibri"/>
          <w:i/>
          <w:lang w:val="en-US"/>
        </w:rPr>
        <w:t xml:space="preserve"> </w:t>
      </w:r>
      <w:r w:rsidRPr="00103A50">
        <w:rPr>
          <w:rFonts w:ascii="Calibri" w:hAnsi="Calibri" w:cs="Calibri"/>
          <w:i/>
          <w:lang w:val="en-US"/>
        </w:rPr>
        <w:t>Economic,</w:t>
      </w:r>
      <w:r w:rsidRPr="00103A50" w:rsidR="003674D3">
        <w:rPr>
          <w:rFonts w:ascii="Calibri" w:hAnsi="Calibri" w:cs="Calibri"/>
          <w:i/>
          <w:lang w:val="en-US"/>
        </w:rPr>
        <w:t xml:space="preserve"> </w:t>
      </w:r>
      <w:r w:rsidRPr="00103A50">
        <w:rPr>
          <w:rFonts w:ascii="Calibri" w:hAnsi="Calibri" w:cs="Calibri"/>
          <w:i/>
          <w:lang w:val="en-US"/>
        </w:rPr>
        <w:t>social</w:t>
      </w:r>
      <w:r w:rsidRPr="00103A50" w:rsidR="003674D3">
        <w:rPr>
          <w:rFonts w:ascii="Calibri" w:hAnsi="Calibri" w:cs="Calibri"/>
          <w:i/>
          <w:lang w:val="en-US"/>
        </w:rPr>
        <w:t xml:space="preserve"> </w:t>
      </w:r>
      <w:r w:rsidRPr="00103A50">
        <w:rPr>
          <w:rFonts w:ascii="Calibri" w:hAnsi="Calibri" w:cs="Calibri"/>
          <w:i/>
          <w:lang w:val="en-US"/>
        </w:rPr>
        <w:t>and</w:t>
      </w:r>
      <w:r w:rsidRPr="00103A50" w:rsidR="003674D3">
        <w:rPr>
          <w:rFonts w:ascii="Calibri" w:hAnsi="Calibri" w:cs="Calibri"/>
          <w:i/>
          <w:lang w:val="en-US"/>
        </w:rPr>
        <w:t xml:space="preserve"> </w:t>
      </w:r>
      <w:r w:rsidRPr="00103A50">
        <w:rPr>
          <w:rFonts w:ascii="Calibri" w:hAnsi="Calibri" w:cs="Calibri"/>
          <w:i/>
          <w:lang w:val="en-US"/>
        </w:rPr>
        <w:t>territorial</w:t>
      </w:r>
      <w:r w:rsidRPr="00103A50" w:rsidR="003674D3">
        <w:rPr>
          <w:rFonts w:ascii="Calibri" w:hAnsi="Calibri" w:cs="Calibri"/>
          <w:i/>
          <w:lang w:val="en-US"/>
        </w:rPr>
        <w:t xml:space="preserve"> </w:t>
      </w:r>
      <w:r w:rsidRPr="00103A50">
        <w:rPr>
          <w:rFonts w:ascii="Calibri" w:hAnsi="Calibri" w:cs="Calibri"/>
          <w:i/>
          <w:lang w:val="en-US"/>
        </w:rPr>
        <w:t>cohesion,</w:t>
      </w:r>
      <w:r w:rsidRPr="00103A50" w:rsidR="003674D3">
        <w:rPr>
          <w:rFonts w:ascii="Calibri" w:hAnsi="Calibri" w:cs="Calibri"/>
          <w:i/>
          <w:lang w:val="en-US"/>
        </w:rPr>
        <w:t xml:space="preserve"> </w:t>
      </w:r>
      <w:r w:rsidRPr="00103A50">
        <w:rPr>
          <w:rFonts w:ascii="Calibri" w:hAnsi="Calibri" w:cs="Calibri"/>
          <w:i/>
          <w:lang w:val="en-US"/>
        </w:rPr>
        <w:t>agriculture,</w:t>
      </w:r>
      <w:r w:rsidRPr="00103A50" w:rsidR="003674D3">
        <w:rPr>
          <w:rFonts w:ascii="Calibri" w:hAnsi="Calibri" w:cs="Calibri"/>
          <w:i/>
          <w:lang w:val="en-US"/>
        </w:rPr>
        <w:t xml:space="preserve"> </w:t>
      </w:r>
      <w:r w:rsidRPr="00103A50">
        <w:rPr>
          <w:rFonts w:ascii="Calibri" w:hAnsi="Calibri" w:cs="Calibri"/>
          <w:i/>
          <w:lang w:val="en-US"/>
        </w:rPr>
        <w:t>rural</w:t>
      </w:r>
      <w:r w:rsidRPr="00103A50" w:rsidR="003674D3">
        <w:rPr>
          <w:rFonts w:ascii="Calibri" w:hAnsi="Calibri" w:cs="Calibri"/>
          <w:i/>
          <w:lang w:val="en-US"/>
        </w:rPr>
        <w:t xml:space="preserve"> </w:t>
      </w:r>
      <w:r w:rsidRPr="00103A50">
        <w:rPr>
          <w:rFonts w:ascii="Calibri" w:hAnsi="Calibri" w:cs="Calibri"/>
          <w:i/>
          <w:lang w:val="en-US"/>
        </w:rPr>
        <w:t>and</w:t>
      </w:r>
      <w:r w:rsidRPr="00103A50" w:rsidR="003674D3">
        <w:rPr>
          <w:rFonts w:ascii="Calibri" w:hAnsi="Calibri" w:cs="Calibri"/>
          <w:i/>
          <w:lang w:val="en-US"/>
        </w:rPr>
        <w:t xml:space="preserve"> </w:t>
      </w:r>
      <w:r w:rsidRPr="00103A50">
        <w:rPr>
          <w:rFonts w:ascii="Calibri" w:hAnsi="Calibri" w:cs="Calibri"/>
          <w:i/>
          <w:lang w:val="en-US"/>
        </w:rPr>
        <w:t>maritime</w:t>
      </w:r>
      <w:r w:rsidRPr="00103A50" w:rsidR="003674D3">
        <w:rPr>
          <w:rFonts w:ascii="Calibri" w:hAnsi="Calibri" w:cs="Calibri"/>
          <w:i/>
          <w:lang w:val="en-US"/>
        </w:rPr>
        <w:t xml:space="preserve"> </w:t>
      </w:r>
      <w:r w:rsidRPr="00103A50">
        <w:rPr>
          <w:rFonts w:ascii="Calibri" w:hAnsi="Calibri" w:cs="Calibri"/>
          <w:i/>
          <w:lang w:val="en-US"/>
        </w:rPr>
        <w:t>prosperity</w:t>
      </w:r>
      <w:r w:rsidRPr="00103A50" w:rsidR="003674D3">
        <w:rPr>
          <w:rFonts w:ascii="Calibri" w:hAnsi="Calibri" w:cs="Calibri"/>
          <w:i/>
          <w:lang w:val="en-US"/>
        </w:rPr>
        <w:t xml:space="preserve"> </w:t>
      </w:r>
      <w:r w:rsidRPr="00103A50">
        <w:rPr>
          <w:rFonts w:ascii="Calibri" w:hAnsi="Calibri" w:cs="Calibri"/>
          <w:i/>
          <w:lang w:val="en-US"/>
        </w:rPr>
        <w:t>and</w:t>
      </w:r>
      <w:r w:rsidRPr="00103A50" w:rsidR="003674D3">
        <w:rPr>
          <w:rFonts w:ascii="Calibri" w:hAnsi="Calibri" w:cs="Calibri"/>
          <w:i/>
          <w:lang w:val="en-US"/>
        </w:rPr>
        <w:t xml:space="preserve"> </w:t>
      </w:r>
      <w:r w:rsidRPr="00103A50">
        <w:rPr>
          <w:rFonts w:ascii="Calibri" w:hAnsi="Calibri" w:cs="Calibri"/>
          <w:i/>
          <w:lang w:val="en-US"/>
        </w:rPr>
        <w:t>security.</w:t>
      </w:r>
      <w:r w:rsidRPr="00103A50" w:rsidR="003674D3">
        <w:rPr>
          <w:rFonts w:ascii="Calibri" w:hAnsi="Calibri" w:cs="Calibri"/>
          <w:i/>
          <w:lang w:val="en-US"/>
        </w:rPr>
        <w:t xml:space="preserve">  </w:t>
      </w:r>
    </w:p>
    <w:p w:rsidRPr="00103A50" w:rsidR="00C83724" w:rsidP="00C83724" w:rsidRDefault="00C83724" w14:paraId="10C9385B" w14:textId="7777777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hAnsi="Calibri" w:cs="Calibri"/>
          <w:i/>
          <w:lang w:val="en-US"/>
        </w:rPr>
      </w:pPr>
    </w:p>
    <w:p w:rsidRPr="00103A50" w:rsidR="00C83724" w:rsidP="00C83724" w:rsidRDefault="00C83724" w14:paraId="1283C744" w14:textId="1ABF1533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hAnsi="Calibri" w:cs="Calibri"/>
          <w:i/>
          <w:lang w:val="en-US"/>
        </w:rPr>
      </w:pPr>
      <w:r w:rsidRPr="00103A50">
        <w:rPr>
          <w:rFonts w:ascii="Calibri" w:hAnsi="Calibri" w:cs="Calibri"/>
          <w:i/>
          <w:lang w:val="en-US"/>
        </w:rPr>
        <w:t>National</w:t>
      </w:r>
      <w:r w:rsidRPr="00103A50" w:rsidR="003674D3">
        <w:rPr>
          <w:rFonts w:ascii="Calibri" w:hAnsi="Calibri" w:cs="Calibri"/>
          <w:i/>
          <w:lang w:val="en-US"/>
        </w:rPr>
        <w:t xml:space="preserve"> </w:t>
      </w:r>
      <w:r w:rsidRPr="00103A50">
        <w:rPr>
          <w:rFonts w:ascii="Calibri" w:hAnsi="Calibri" w:cs="Calibri"/>
          <w:i/>
          <w:lang w:val="en-US"/>
        </w:rPr>
        <w:t>and</w:t>
      </w:r>
      <w:r w:rsidRPr="00103A50" w:rsidR="003674D3">
        <w:rPr>
          <w:rFonts w:ascii="Calibri" w:hAnsi="Calibri" w:cs="Calibri"/>
          <w:i/>
          <w:lang w:val="en-US"/>
        </w:rPr>
        <w:t xml:space="preserve"> </w:t>
      </w:r>
      <w:r w:rsidRPr="00103A50">
        <w:rPr>
          <w:rFonts w:ascii="Calibri" w:hAnsi="Calibri" w:cs="Calibri"/>
          <w:i/>
          <w:lang w:val="en-US"/>
        </w:rPr>
        <w:t>Regional</w:t>
      </w:r>
      <w:r w:rsidRPr="00103A50" w:rsidR="003674D3">
        <w:rPr>
          <w:rFonts w:ascii="Calibri" w:hAnsi="Calibri" w:cs="Calibri"/>
          <w:i/>
          <w:lang w:val="en-US"/>
        </w:rPr>
        <w:t xml:space="preserve"> </w:t>
      </w:r>
      <w:r w:rsidRPr="00103A50">
        <w:rPr>
          <w:rFonts w:ascii="Calibri" w:hAnsi="Calibri" w:cs="Calibri"/>
          <w:i/>
          <w:lang w:val="en-US"/>
        </w:rPr>
        <w:t>Partnership</w:t>
      </w:r>
      <w:r w:rsidRPr="00103A50" w:rsidR="003674D3">
        <w:rPr>
          <w:rFonts w:ascii="Calibri" w:hAnsi="Calibri" w:cs="Calibri"/>
          <w:i/>
          <w:lang w:val="en-US"/>
        </w:rPr>
        <w:t xml:space="preserve"> </w:t>
      </w:r>
      <w:r w:rsidRPr="00103A50">
        <w:rPr>
          <w:rFonts w:ascii="Calibri" w:hAnsi="Calibri" w:cs="Calibri"/>
          <w:i/>
          <w:lang w:val="en-US"/>
        </w:rPr>
        <w:t>Plans</w:t>
      </w:r>
      <w:r w:rsidRPr="00103A50" w:rsidR="003674D3">
        <w:rPr>
          <w:rFonts w:ascii="Calibri" w:hAnsi="Calibri" w:cs="Calibri"/>
          <w:i/>
          <w:lang w:val="en-US"/>
        </w:rPr>
        <w:t xml:space="preserve"> </w:t>
      </w:r>
      <w:r w:rsidRPr="00103A50">
        <w:rPr>
          <w:rFonts w:ascii="Calibri" w:hAnsi="Calibri" w:cs="Calibri"/>
          <w:i/>
          <w:lang w:val="en-US"/>
        </w:rPr>
        <w:t>(NRPP)</w:t>
      </w:r>
    </w:p>
    <w:p w:rsidRPr="00103A50" w:rsidR="00C83724" w:rsidP="00C83724" w:rsidRDefault="00C83724" w14:paraId="648024C3" w14:textId="07374C41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Nationale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Regionale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Partnerschap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Plannen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(hierna: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NRPP)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beoogt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veertien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bestaande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fondsen,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cohesie-,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landbouw-,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plattelandsontwikkeling,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visserij-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veiligheids-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migratiefondsen,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samen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brengen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één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overkoepelend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kader.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Hiermee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beoogt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EU-investeringsfondsen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vereenvoudigen,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uitvoering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versterken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ruimte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creëren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strategische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herprioritering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eastAsia="Verdana" w:cs="Calibri"/>
        </w:rPr>
        <w:t>Het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overkoepelende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inhoudelijke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doel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van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het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voorstel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is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het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bevorderen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van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economische,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sociale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en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territoriale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samenhang,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duurzame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ontwikkeling,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concurrentievermogen,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waaronder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onderzoek,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innovatie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en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vaardigheden,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veiligheid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en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paraatheid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van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de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Unie.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benadrukt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partnerschapsbeginsel,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nationale,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regionale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lokale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actoren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actief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betrokken,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centraal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blijft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programmering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uitvoering.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Uitbetaling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fondsen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vindt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plaats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behalen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mijlpalen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doelstellingen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voorwaarde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rechtsstaat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respecteren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EU-Handvest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Grondrechten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(hierna: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lastRenderedPageBreak/>
        <w:t>Handvest)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naleven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financiële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belangen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Unie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waarborgen.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ruimte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maximaal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150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miljard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</w:t>
      </w:r>
      <w:r w:rsidRPr="00103A50">
        <w:rPr>
          <w:rFonts w:ascii="Calibri" w:hAnsi="Calibri" w:cs="Calibri"/>
          <w:i/>
        </w:rPr>
        <w:t>Catalyst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Europe</w:t>
      </w:r>
      <w:r w:rsidRPr="00103A50">
        <w:rPr>
          <w:rFonts w:ascii="Calibri" w:hAnsi="Calibri" w:cs="Calibri"/>
        </w:rPr>
        <w:t>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uitvoering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plannen.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mogelijkheid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later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brief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“leenfaciliteiten”)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geapprecieerd.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230F3B5C" w14:textId="77777777">
      <w:pPr>
        <w:rPr>
          <w:rFonts w:ascii="Calibri" w:hAnsi="Calibri" w:cs="Calibri"/>
        </w:rPr>
      </w:pPr>
    </w:p>
    <w:p w:rsidRPr="00103A50" w:rsidR="00C83724" w:rsidP="00C83724" w:rsidRDefault="00C83724" w14:paraId="1A650F31" w14:textId="5B509C16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verwelkomt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beginsel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inhoud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nationale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enveloppe,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NRPP.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vindt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positief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zekere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hoogte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prioritering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kunnen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brengen.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vergroot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flexibiliteit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begroting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bijdragen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verhogen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toegevoegde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EU-middelen.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positief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NRPP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kunnen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ingezet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behoeve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opbouw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defensie-industrie,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militaire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mobiliteit,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civiele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militaire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weerbaarheid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migratie-gerelateerde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uitgaven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landen.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vraagt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toelichting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werking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ingebouwde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flexibiliteit.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steunt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basisprincipe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NRPP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gericht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partnerschapsbeginsel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wil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</w:t>
      </w:r>
      <w:r w:rsidRPr="00103A50" w:rsidR="003674D3">
        <w:rPr>
          <w:rFonts w:ascii="Calibri" w:hAnsi="Calibri" w:cs="Calibri"/>
        </w:rPr>
        <w:t xml:space="preserve">  </w:t>
      </w:r>
      <w:r w:rsidRPr="00103A50">
        <w:rPr>
          <w:rFonts w:ascii="Calibri" w:hAnsi="Calibri" w:cs="Calibri"/>
        </w:rPr>
        <w:t>actief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vorm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betrokkenheid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medeoverheden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andere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(maatschappelijke)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partners,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Paternotte.</w:t>
      </w:r>
      <w:r w:rsidRPr="00103A50">
        <w:rPr>
          <w:rFonts w:ascii="Calibri" w:hAnsi="Calibri" w:cs="Calibri"/>
          <w:vertAlign w:val="superscript"/>
        </w:rPr>
        <w:footnoteReference w:id="8"/>
      </w:r>
      <w:r w:rsidRPr="00103A50">
        <w:rPr>
          <w:rFonts w:ascii="Calibri" w:hAnsi="Calibri" w:cs="Calibri"/>
        </w:rPr>
        <w:t>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NRPP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bijdragen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eerder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genoemde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vereenvoudiging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begrotingsstructuur.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nadrukkelijk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aandachtspunt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daadwerkelijk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moeten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leiden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lagere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uitvoeringslasten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aandacht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speelveld.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32048B51" w14:textId="72FD96AF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cohesiebeleid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blijft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aandacht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convergentie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concurrentiekracht,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betreft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aandacht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moeten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gefocuste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modernisering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stimuleren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innovatie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NRPP,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kabinetsprioriteiten</w:t>
      </w:r>
      <w:r w:rsidRPr="00103A50">
        <w:rPr>
          <w:rStyle w:val="Voetnootmarkering"/>
          <w:rFonts w:ascii="Calibri" w:hAnsi="Calibri" w:cs="Calibri"/>
        </w:rPr>
        <w:footnoteReference w:id="9"/>
      </w:r>
      <w:r w:rsidRPr="00103A50">
        <w:rPr>
          <w:rFonts w:ascii="Calibri" w:hAnsi="Calibri" w:cs="Calibri"/>
        </w:rPr>
        <w:t>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heeft,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aandacht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voedselzekerheid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weerbaarheid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toedeling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budget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NRPP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(waarin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GLB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Gemeenschappelijk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visserijbeleid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(GVB)worden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ondergebracht),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inclusief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berekeningsmethode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ligt,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ertoe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leidt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verhouding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andere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relatief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weinig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ontvangt.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lijkt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berekening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nationale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toedeling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nadelig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pakken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specifieke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kenmerken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landbouw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visserij.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arbeid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bijvoorbeeld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aanzienlijk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hoger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sommige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andere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Tevens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uitdagingen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visserij-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landbouwsector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gebied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stikstof,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klimaat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milieu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onvoldoende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meegewogen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berekening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lidstaattoedeling.</w:t>
      </w:r>
      <w:r w:rsidRPr="00103A50" w:rsidR="003674D3">
        <w:rPr>
          <w:rFonts w:ascii="Calibri" w:hAnsi="Calibri" w:cs="Calibri"/>
        </w:rPr>
        <w:t xml:space="preserve"> </w:t>
      </w:r>
      <w:bookmarkStart w:name="_Hlk208226409" w:id="1"/>
      <w:r w:rsidRPr="00103A50">
        <w:rPr>
          <w:rFonts w:ascii="Calibri" w:hAnsi="Calibri" w:cs="Calibri"/>
        </w:rPr>
        <w:t>Daarnaast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tijdens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MFK-onderhandelingen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nadrukkelijk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hebben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lastRenderedPageBreak/>
        <w:t>netto-betalingspositie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brede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effecten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inkomenspositie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boeren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ogenschouw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nemen.</w:t>
      </w:r>
      <w:bookmarkStart w:name="_Hlk204952284" w:id="2"/>
      <w:bookmarkEnd w:id="1"/>
    </w:p>
    <w:p w:rsidRPr="00103A50" w:rsidR="00C83724" w:rsidP="00C83724" w:rsidRDefault="00C83724" w14:paraId="736164F6" w14:textId="4F446426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slot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verwelkomt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koppeling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NRPP-voorstel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tussen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hervormingen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uitkering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EU-middelen.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extra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prikkel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hervormingen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voeren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bijdragen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EU-doelstellingen.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graag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proportionele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verhouding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tussen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ambitieniveau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beoogde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hervormingen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ontvangsten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signaleert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opgenomen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indien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betaling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Unie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opgeschort,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bijvoorbeeld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behalen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doelstellingen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bescherming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financiële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belangen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Unie,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verplichting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betalingen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eindbegunstigden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zetten.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Hiermee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ligt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prikkel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hervormingen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juiste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plek,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namelijk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niveau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merkt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behalen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doelstelling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leiden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budgettair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risico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Rijksbegroting.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meenemen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geleerde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lessen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Herstel-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Veerkrachtfaciliteit</w:t>
      </w:r>
      <w:r w:rsidRPr="00103A50" w:rsidR="003674D3">
        <w:rPr>
          <w:rFonts w:ascii="Calibri" w:hAnsi="Calibri" w:cs="Calibri"/>
        </w:rPr>
        <w:t xml:space="preserve"> </w:t>
      </w:r>
      <w:r w:rsidRPr="00103A50" w:rsidDel="00BE7D4F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andere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EU-instrumenten,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andere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omtrent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regeldruk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administratieve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lasten.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merkt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aansluiting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bestaande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monitoringspraktijken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bijdragen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beperken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administratieve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lasten.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7A6B1698" w14:textId="77777777">
      <w:pPr>
        <w:rPr>
          <w:rFonts w:ascii="Calibri" w:hAnsi="Calibri" w:cs="Calibri"/>
        </w:rPr>
      </w:pPr>
    </w:p>
    <w:p w:rsidRPr="00103A50" w:rsidR="00C83724" w:rsidP="00C83724" w:rsidRDefault="00C83724" w14:paraId="794EAE57" w14:textId="69769EC6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kijkt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kritisch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toevoegen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doelstellingen,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minimum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percentages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geoormerkte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bedragen.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komt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flexibiliteit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modernisering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EU-begroting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goede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terwijl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juist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kernpunten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kabinetsinzet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sprake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dergelijke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doelstellingen,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percentages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geoormerkte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bedragen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voldoende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dragen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flexibilisering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modernisering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EU-begroting.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appreciatie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NRPP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desbetreffende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BNC-fiche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vinden.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sectorspecifieke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beleidsdomein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daarnaast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uitgewerkt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separate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BNC-fiches.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5A8339D0" w14:textId="7777777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hAnsi="Calibri" w:cs="Calibri"/>
          <w:i/>
        </w:rPr>
      </w:pPr>
    </w:p>
    <w:p w:rsidRPr="00103A50" w:rsidR="00C83724" w:rsidP="00C83724" w:rsidRDefault="00C83724" w14:paraId="774DC44A" w14:textId="522A453C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hAnsi="Calibri" w:cs="Calibri"/>
          <w:i/>
          <w:lang w:val="en-US"/>
        </w:rPr>
      </w:pPr>
      <w:r w:rsidRPr="00103A50">
        <w:rPr>
          <w:rFonts w:ascii="Calibri" w:hAnsi="Calibri" w:cs="Calibri"/>
          <w:i/>
          <w:lang w:val="en-US"/>
        </w:rPr>
        <w:t>Pijler</w:t>
      </w:r>
      <w:r w:rsidRPr="00103A50" w:rsidR="003674D3">
        <w:rPr>
          <w:rFonts w:ascii="Calibri" w:hAnsi="Calibri" w:cs="Calibri"/>
          <w:i/>
          <w:lang w:val="en-US"/>
        </w:rPr>
        <w:t xml:space="preserve"> </w:t>
      </w:r>
      <w:r w:rsidRPr="00103A50">
        <w:rPr>
          <w:rFonts w:ascii="Calibri" w:hAnsi="Calibri" w:cs="Calibri"/>
          <w:i/>
          <w:lang w:val="en-US"/>
        </w:rPr>
        <w:t>II:</w:t>
      </w:r>
      <w:r w:rsidRPr="00103A50" w:rsidR="003674D3">
        <w:rPr>
          <w:rFonts w:ascii="Calibri" w:hAnsi="Calibri" w:cs="Calibri"/>
          <w:i/>
          <w:lang w:val="en-US"/>
        </w:rPr>
        <w:t xml:space="preserve"> </w:t>
      </w:r>
      <w:r w:rsidRPr="00103A50">
        <w:rPr>
          <w:rFonts w:ascii="Calibri" w:hAnsi="Calibri" w:cs="Calibri"/>
          <w:i/>
          <w:lang w:val="en-US"/>
        </w:rPr>
        <w:t>Competitiveness,</w:t>
      </w:r>
      <w:r w:rsidRPr="00103A50" w:rsidR="003674D3">
        <w:rPr>
          <w:rFonts w:ascii="Calibri" w:hAnsi="Calibri" w:cs="Calibri"/>
          <w:i/>
          <w:lang w:val="en-US"/>
        </w:rPr>
        <w:t xml:space="preserve"> </w:t>
      </w:r>
      <w:r w:rsidRPr="00103A50">
        <w:rPr>
          <w:rFonts w:ascii="Calibri" w:hAnsi="Calibri" w:cs="Calibri"/>
          <w:i/>
          <w:lang w:val="en-US"/>
        </w:rPr>
        <w:t>prosperity</w:t>
      </w:r>
      <w:r w:rsidRPr="00103A50" w:rsidR="003674D3">
        <w:rPr>
          <w:rFonts w:ascii="Calibri" w:hAnsi="Calibri" w:cs="Calibri"/>
          <w:i/>
          <w:lang w:val="en-US"/>
        </w:rPr>
        <w:t xml:space="preserve"> </w:t>
      </w:r>
      <w:r w:rsidRPr="00103A50">
        <w:rPr>
          <w:rFonts w:ascii="Calibri" w:hAnsi="Calibri" w:cs="Calibri"/>
          <w:i/>
          <w:lang w:val="en-US"/>
        </w:rPr>
        <w:t>and</w:t>
      </w:r>
      <w:r w:rsidRPr="00103A50" w:rsidR="003674D3">
        <w:rPr>
          <w:rFonts w:ascii="Calibri" w:hAnsi="Calibri" w:cs="Calibri"/>
          <w:i/>
          <w:lang w:val="en-US"/>
        </w:rPr>
        <w:t xml:space="preserve"> </w:t>
      </w:r>
      <w:r w:rsidRPr="00103A50">
        <w:rPr>
          <w:rFonts w:ascii="Calibri" w:hAnsi="Calibri" w:cs="Calibri"/>
          <w:i/>
          <w:lang w:val="en-US"/>
        </w:rPr>
        <w:t>security</w:t>
      </w:r>
    </w:p>
    <w:p w:rsidRPr="00103A50" w:rsidR="00C83724" w:rsidP="00C83724" w:rsidRDefault="00C83724" w14:paraId="7D704204" w14:textId="078B71A3">
      <w:pPr>
        <w:rPr>
          <w:rFonts w:ascii="Calibri" w:hAnsi="Calibri" w:cs="Calibri"/>
        </w:rPr>
      </w:pPr>
      <w:bookmarkStart w:name="_heading=h.tlokyt9ijpsh" w:colFirst="0" w:colLast="0" w:id="3"/>
      <w:bookmarkEnd w:id="2"/>
      <w:bookmarkEnd w:id="3"/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tweede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pijler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richt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zich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versterken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concurrentievermogen,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welvaart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veiligheid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Unie.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pijler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fungeert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overkoepelend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waarbinnen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ECF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centrale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plaats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inneemt.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Daarnaast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omvat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pijler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andere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programma’s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waaronder;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eigenstandige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10e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kaderprogramma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onderzoek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innovatie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(Horizon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Europe),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  <w:i/>
          <w:iCs/>
        </w:rPr>
        <w:t>Connecting</w:t>
      </w:r>
      <w:r w:rsidRPr="00103A50" w:rsidR="003674D3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Europe</w:t>
      </w:r>
      <w:r w:rsidRPr="00103A50" w:rsidR="003674D3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Facility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(transport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energie,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hierna: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CEF),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  <w:i/>
          <w:iCs/>
        </w:rPr>
        <w:t>Union</w:t>
      </w:r>
      <w:r w:rsidRPr="00103A50" w:rsidR="003674D3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Civil</w:t>
      </w:r>
      <w:r w:rsidRPr="00103A50" w:rsidR="003674D3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Protection</w:t>
      </w:r>
      <w:r w:rsidRPr="00103A50" w:rsidR="003674D3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Mechanism</w:t>
      </w:r>
      <w:r w:rsidRPr="00103A50" w:rsidR="003674D3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and</w:t>
      </w:r>
      <w:r w:rsidRPr="00103A50" w:rsidR="003674D3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Union</w:t>
      </w:r>
      <w:r w:rsidRPr="00103A50" w:rsidR="003674D3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support</w:t>
      </w:r>
      <w:r w:rsidRPr="00103A50" w:rsidR="003674D3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for</w:t>
      </w:r>
      <w:r w:rsidRPr="00103A50" w:rsidR="003674D3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health</w:t>
      </w:r>
      <w:r w:rsidRPr="00103A50" w:rsidR="003674D3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emergency</w:t>
      </w:r>
      <w:r w:rsidRPr="00103A50" w:rsidR="003674D3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preparedness</w:t>
      </w:r>
      <w:r w:rsidRPr="00103A50" w:rsidR="003674D3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and</w:t>
      </w:r>
      <w:r w:rsidRPr="00103A50" w:rsidR="003674D3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response,</w:t>
      </w:r>
      <w:r w:rsidRPr="00103A50" w:rsidR="003674D3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Erasmus+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  <w:i/>
          <w:iCs/>
        </w:rPr>
        <w:t>Agora</w:t>
      </w:r>
      <w:r w:rsidRPr="00103A50" w:rsidR="003674D3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EU</w:t>
      </w:r>
      <w:r w:rsidRPr="00103A50">
        <w:rPr>
          <w:rStyle w:val="Voetnootmarkering"/>
          <w:rFonts w:ascii="Calibri" w:hAnsi="Calibri" w:cs="Calibri"/>
          <w:i/>
          <w:iCs/>
        </w:rPr>
        <w:footnoteReference w:id="10"/>
      </w:r>
      <w:r w:rsidRPr="00103A50">
        <w:rPr>
          <w:rFonts w:ascii="Calibri" w:hAnsi="Calibri" w:cs="Calibri"/>
        </w:rPr>
        <w:t>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ECF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lastRenderedPageBreak/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samenvoeging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twaalf</w:t>
      </w:r>
      <w:r w:rsidRPr="00103A50">
        <w:rPr>
          <w:rFonts w:ascii="Calibri" w:hAnsi="Calibri" w:cs="Calibri"/>
          <w:vertAlign w:val="superscript"/>
        </w:rPr>
        <w:footnoteReference w:id="11"/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verschillende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programma’s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bestaat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thematische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vensters,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elk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apart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budget: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(i)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schone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transitie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industriële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decarbonisatie;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(ii)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gezondheid,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biotechnologie,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landbouw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bio-economie;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(iii)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digitaal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leiderschap;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(iv)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weerbaarheid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veiligheid,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defensie-industrie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ruimtevaart.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vensters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mogelijk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gefocust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strategische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technologieën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sectoren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criteria: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(i)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impact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economische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veiligheid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EU;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(ii)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bijdrage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economie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groeipotentieel;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(iii)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bijdrage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dringende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maatschappelijke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uitdagingen;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(iv)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positie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Europa,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marktaandeel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technologisch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gereedheidsniveau</w:t>
      </w:r>
      <w:r w:rsidRPr="00103A50">
        <w:rPr>
          <w:rFonts w:ascii="Calibri" w:hAnsi="Calibri" w:cs="Calibri"/>
          <w:vertAlign w:val="superscript"/>
        </w:rPr>
        <w:footnoteReference w:id="12"/>
      </w:r>
      <w:r w:rsidRPr="00103A50">
        <w:rPr>
          <w:rFonts w:ascii="Calibri" w:hAnsi="Calibri" w:cs="Calibri"/>
        </w:rPr>
        <w:t>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thematische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vensters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bevat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overkoepelend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instrument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voortbouwt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InvestEU-programma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één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regels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toepassing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gehele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reikwijdte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ECF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toegang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gebruik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vereenvoudigen.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ECF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nauw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gelinkt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Horizon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waarmee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naadloos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investeringstraject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fundamenteel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onderzoek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start-up,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scale-up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wereldwijde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productie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gegarandeerd.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sterke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link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voorzien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tussen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ECF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CEF,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vanwege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synergiën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tussen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trans-Europese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netwerken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energie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transport.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samenhang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Global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gezien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complementariteit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tussen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intern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extern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versterking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concurrentievermogen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weerbaarheid.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56A18C76" w14:textId="77777777">
      <w:pPr>
        <w:rPr>
          <w:rFonts w:ascii="Calibri" w:hAnsi="Calibri" w:cs="Calibri"/>
        </w:rPr>
      </w:pPr>
    </w:p>
    <w:p w:rsidRPr="00103A50" w:rsidR="00C83724" w:rsidP="00C83724" w:rsidRDefault="00C83724" w14:paraId="0E967232" w14:textId="45D27293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steunt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prioriteit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pijler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gegeven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versterken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concurrentievermogen,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sterke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interne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markt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inzet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onderzoek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innovatie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fundament,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vaardigheden,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verduurzaming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(economische)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veiligheid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defensie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rapporten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Draghi</w:t>
      </w:r>
      <w:r w:rsidRPr="00103A50">
        <w:rPr>
          <w:rFonts w:ascii="Calibri" w:hAnsi="Calibri" w:cs="Calibri"/>
          <w:vertAlign w:val="superscript"/>
        </w:rPr>
        <w:footnoteReference w:id="13"/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Letta</w:t>
      </w:r>
      <w:r w:rsidRPr="00103A50">
        <w:rPr>
          <w:rFonts w:ascii="Calibri" w:hAnsi="Calibri" w:cs="Calibri"/>
          <w:vertAlign w:val="superscript"/>
        </w:rPr>
        <w:footnoteReference w:id="14"/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blijkt,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versterken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concurrentiepositie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essentieel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toekomst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onderschrijft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verminderen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risicovolle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strategische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afhankelijkheden,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geneesmiddelen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medische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producten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landen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buiten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EU.</w:t>
      </w:r>
      <w:r w:rsidRPr="00103A50">
        <w:rPr>
          <w:rStyle w:val="Voetnootmarkering"/>
          <w:rFonts w:ascii="Calibri" w:hAnsi="Calibri" w:cs="Calibri"/>
        </w:rPr>
        <w:footnoteReference w:id="15"/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brede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verduurzaming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economie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cruciaal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element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toekomstbestendige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schone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economie.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rapport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Niinistö</w:t>
      </w:r>
      <w:r w:rsidRPr="00103A50">
        <w:rPr>
          <w:rStyle w:val="Voetnootmarkering"/>
          <w:rFonts w:ascii="Calibri" w:hAnsi="Calibri" w:cs="Calibri"/>
        </w:rPr>
        <w:footnoteReference w:id="16"/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onderstreept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investeren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weerbare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samenleving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concurrentiepositie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versterken.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weerbaarheid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lastRenderedPageBreak/>
        <w:t>concurrentievermogen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aandacht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klimaat-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energietransitie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belang,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verbetering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grensoverschrijdende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infrastructuur.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verwelkomt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Horizon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zowel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korte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lange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termijn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concurrentievermogen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bijdraagt,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inzet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pijler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aantrekken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private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investeringen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stimuleren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verstrekken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Investeringsbank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(EIB)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andere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uitvoerende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partners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InvestNL.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draagt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sterke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basis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kennis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breed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onderzoek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innovatie.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technologieën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zowel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civiele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militaire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toepassingen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randvoorwaarde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vormen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–concurrentievermogen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ECF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InvestEU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belangrijke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rol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spelen.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onderstreept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inzet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ECF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zoveel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mogelijk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gebaseerd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excellentie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impact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Horizon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</w:t>
      </w:r>
      <w:r w:rsidRPr="00103A50" w:rsidR="003674D3">
        <w:rPr>
          <w:rFonts w:ascii="Calibri" w:hAnsi="Calibri" w:cs="Calibri"/>
        </w:rPr>
        <w:t xml:space="preserve"> </w:t>
      </w:r>
      <w:r w:rsidRPr="00103A50" w:rsidDel="00C42897">
        <w:rPr>
          <w:rFonts w:ascii="Calibri" w:hAnsi="Calibri" w:cs="Calibri"/>
        </w:rPr>
        <w:t>vrijwel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volledig).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Daarnaast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steunt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diverse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bestaande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programma’s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brengen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één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raamwerk,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aangezien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bijdragen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vereenvoudiging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verlaging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administratieve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lasten.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slot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erkent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context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ECF,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volksgezondheid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weerbaarheid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concurrentievermogen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Unie.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3CA7AE26" w14:textId="77777777">
      <w:pPr>
        <w:rPr>
          <w:rFonts w:ascii="Calibri" w:hAnsi="Calibri" w:cs="Calibri"/>
        </w:rPr>
      </w:pPr>
    </w:p>
    <w:p w:rsidRPr="00103A50" w:rsidR="00C83724" w:rsidP="00C83724" w:rsidRDefault="00C83724" w14:paraId="07D0B44F" w14:textId="1924F89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hAnsi="Calibri" w:cs="Calibri"/>
          <w:i/>
          <w:lang w:val="es-ES"/>
        </w:rPr>
      </w:pPr>
      <w:r w:rsidRPr="00103A50">
        <w:rPr>
          <w:rFonts w:ascii="Calibri" w:hAnsi="Calibri" w:cs="Calibri"/>
          <w:i/>
          <w:lang w:val="es-ES"/>
        </w:rPr>
        <w:t>Pijler</w:t>
      </w:r>
      <w:r w:rsidRPr="00103A50" w:rsidR="003674D3">
        <w:rPr>
          <w:rFonts w:ascii="Calibri" w:hAnsi="Calibri" w:cs="Calibri"/>
          <w:i/>
          <w:lang w:val="es-ES"/>
        </w:rPr>
        <w:t xml:space="preserve"> </w:t>
      </w:r>
      <w:r w:rsidRPr="00103A50">
        <w:rPr>
          <w:rFonts w:ascii="Calibri" w:hAnsi="Calibri" w:cs="Calibri"/>
          <w:i/>
          <w:lang w:val="es-ES"/>
        </w:rPr>
        <w:t>III:</w:t>
      </w:r>
      <w:r w:rsidRPr="00103A50" w:rsidR="003674D3">
        <w:rPr>
          <w:rFonts w:ascii="Calibri" w:hAnsi="Calibri" w:cs="Calibri"/>
          <w:i/>
          <w:lang w:val="es-ES"/>
        </w:rPr>
        <w:t xml:space="preserve"> </w:t>
      </w:r>
      <w:r w:rsidRPr="00103A50">
        <w:rPr>
          <w:rFonts w:ascii="Calibri" w:hAnsi="Calibri" w:cs="Calibri"/>
          <w:i/>
          <w:lang w:val="es-ES"/>
        </w:rPr>
        <w:t>Global</w:t>
      </w:r>
      <w:r w:rsidRPr="00103A50" w:rsidR="003674D3">
        <w:rPr>
          <w:rFonts w:ascii="Calibri" w:hAnsi="Calibri" w:cs="Calibri"/>
          <w:i/>
          <w:lang w:val="es-ES"/>
        </w:rPr>
        <w:t xml:space="preserve"> </w:t>
      </w:r>
      <w:r w:rsidRPr="00103A50">
        <w:rPr>
          <w:rFonts w:ascii="Calibri" w:hAnsi="Calibri" w:cs="Calibri"/>
          <w:i/>
          <w:lang w:val="es-ES"/>
        </w:rPr>
        <w:t>Europe,</w:t>
      </w:r>
      <w:r w:rsidRPr="00103A50" w:rsidR="003674D3">
        <w:rPr>
          <w:rFonts w:ascii="Calibri" w:hAnsi="Calibri" w:cs="Calibri"/>
          <w:i/>
          <w:lang w:val="es-ES"/>
        </w:rPr>
        <w:t xml:space="preserve"> </w:t>
      </w:r>
      <w:r w:rsidRPr="00103A50">
        <w:rPr>
          <w:rFonts w:ascii="Calibri" w:hAnsi="Calibri" w:cs="Calibri"/>
          <w:i/>
          <w:lang w:val="es-ES"/>
        </w:rPr>
        <w:t>inclusief</w:t>
      </w:r>
      <w:r w:rsidRPr="00103A50" w:rsidR="003674D3">
        <w:rPr>
          <w:rFonts w:ascii="Calibri" w:hAnsi="Calibri" w:cs="Calibri"/>
          <w:i/>
          <w:lang w:val="es-ES"/>
        </w:rPr>
        <w:t xml:space="preserve"> </w:t>
      </w:r>
      <w:r w:rsidRPr="00103A50">
        <w:rPr>
          <w:rFonts w:ascii="Calibri" w:hAnsi="Calibri" w:cs="Calibri"/>
          <w:i/>
          <w:lang w:val="es-ES"/>
        </w:rPr>
        <w:t>Oekraïne</w:t>
      </w:r>
    </w:p>
    <w:p w:rsidRPr="00103A50" w:rsidR="00C83724" w:rsidP="00C83724" w:rsidRDefault="00C83724" w14:paraId="6CA1FFA1" w14:textId="426D6D27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Global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kern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EU-externe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optreden,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samenvoegen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bestaande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financiering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uitbreiding,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nabuurschap,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ontwikkelingssamenwerking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humanitaire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hulp.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enkele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elementen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gebied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concurrentievermogen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weerbaarheid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onderdeel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instrument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verdeeld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vijf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geografische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pijlers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(Europa;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Midden-Oosten,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Noord-Afrika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Golf;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Sub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Sahara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Afrika;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Amerika’s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Caraïbisch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gebied;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Azië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Pacific)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mondiale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pijler.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Daarnaast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niet-militaire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steun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Oekraïne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Global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vormgegeven,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vorm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leningen,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budgettaire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garanties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niet-terugbetaalbare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steun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(giften)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herstel,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wederopbouw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hervormingen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EU-toetredingsproces.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financiering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niet-terugbetaalbare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steun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budgettaire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garanties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gaat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Oekraïne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reserve.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speciaal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thematisch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instrument,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boven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MFK-uitgavenplafonds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uitgegeven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1DD8C7E4" w14:textId="77777777">
      <w:pPr>
        <w:rPr>
          <w:rFonts w:ascii="Calibri" w:hAnsi="Calibri" w:cs="Calibri"/>
        </w:rPr>
      </w:pPr>
    </w:p>
    <w:p w:rsidRPr="00103A50" w:rsidR="00C83724" w:rsidP="00C83724" w:rsidRDefault="00C83724" w14:paraId="207927CF" w14:textId="21321FA6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erkent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faciliteren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maatschappelijke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organisaties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implementatie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projecten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Global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Ceder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rol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maatschappelijke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organisaties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waarborgen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externe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instrumenten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EU.</w:t>
      </w:r>
      <w:r w:rsidRPr="00103A50">
        <w:rPr>
          <w:rFonts w:ascii="Calibri" w:hAnsi="Calibri" w:cs="Calibri"/>
          <w:vertAlign w:val="superscript"/>
        </w:rPr>
        <w:footnoteReference w:id="17"/>
      </w:r>
    </w:p>
    <w:p w:rsidRPr="00103A50" w:rsidR="00C83724" w:rsidP="00C83724" w:rsidRDefault="00C83724" w14:paraId="62F8E998" w14:textId="77777777">
      <w:pPr>
        <w:rPr>
          <w:rFonts w:ascii="Calibri" w:hAnsi="Calibri" w:cs="Calibri"/>
        </w:rPr>
      </w:pPr>
    </w:p>
    <w:p w:rsidRPr="00103A50" w:rsidR="00C83724" w:rsidP="00C83724" w:rsidRDefault="00C83724" w14:paraId="02264B4F" w14:textId="754DD018">
      <w:pPr>
        <w:tabs>
          <w:tab w:val="num" w:pos="720"/>
        </w:tabs>
        <w:rPr>
          <w:rFonts w:ascii="Calibri" w:hAnsi="Calibri" w:cs="Calibri"/>
        </w:rPr>
      </w:pPr>
      <w:r w:rsidRPr="00103A50">
        <w:rPr>
          <w:rFonts w:ascii="Calibri" w:hAnsi="Calibri" w:cs="Calibri"/>
        </w:rPr>
        <w:lastRenderedPageBreak/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voorstander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stevig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instrument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extern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optreden,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belangen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andere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concurrentievermogen,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strategische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autonomie,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veiligheid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migratie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(inclusief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terugkeer)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klimaat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dient.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Caribische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Koninkrijk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strategisch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partner.</w:t>
      </w:r>
      <w:r w:rsidRPr="00103A50">
        <w:rPr>
          <w:rStyle w:val="Voetnootmarkering"/>
          <w:rFonts w:ascii="Calibri" w:hAnsi="Calibri" w:cs="Calibri"/>
        </w:rPr>
        <w:footnoteReference w:id="18"/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krijgt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toegang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Caribische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Koninkrijk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EU-financiering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aangekondigde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instrument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Landen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Gebieden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Overzee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nadrukkelijke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aandacht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1223B612" w14:textId="1DF11B89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verwelkomt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tevens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steun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Oekraïne.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Oekraïne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politiek,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militair,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moreel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actief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onverminderd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steunen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tijd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oorlog,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wederopbouw,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zolang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nodig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Voorts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coördinatie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coherentie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blijft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bestaan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andere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thematische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fondsen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interne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externe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dimensie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elkaar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aangesloten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blijven.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integrale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aanpak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los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elkaar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gezien.</w:t>
      </w:r>
    </w:p>
    <w:p w:rsidRPr="00103A50" w:rsidR="00C83724" w:rsidP="00C83724" w:rsidRDefault="00C83724" w14:paraId="7F0C95FF" w14:textId="77777777">
      <w:pPr>
        <w:rPr>
          <w:rFonts w:ascii="Calibri" w:hAnsi="Calibri" w:cs="Calibri"/>
        </w:rPr>
      </w:pPr>
    </w:p>
    <w:p w:rsidRPr="00103A50" w:rsidR="00C83724" w:rsidP="00C83724" w:rsidRDefault="00C83724" w14:paraId="20E35718" w14:textId="57BD4E31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hAnsi="Calibri" w:cs="Calibri"/>
          <w:i/>
        </w:rPr>
      </w:pPr>
      <w:r w:rsidRPr="00103A50">
        <w:rPr>
          <w:rFonts w:ascii="Calibri" w:hAnsi="Calibri" w:cs="Calibri"/>
          <w:i/>
        </w:rPr>
        <w:t>Pijler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IV: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European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Public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Administration</w:t>
      </w:r>
    </w:p>
    <w:p w:rsidRPr="00103A50" w:rsidR="00C83724" w:rsidP="00C83724" w:rsidRDefault="00C83724" w14:paraId="4C90E625" w14:textId="6E5DCD9D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versimpeling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gevolgen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hebben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ambtelijke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apparaat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tijdens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meermaals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sprake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geweest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overschrijdingen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budget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administratiekosten.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tussentijds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aangevuld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speciale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instrumenten.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volgens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beter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ingekaderd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Speciale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instrumenten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zouden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gebruikt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moeten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niet-beleidsuitgaven.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stijgen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administratiekosten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absolute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termen,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hoewel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percentage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budget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7%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6%.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Hoewel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erkent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Unie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afgelopen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jaren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wetgeving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extra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taken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gegeven,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goed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kijken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oorzaken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kostenstijging.</w:t>
      </w:r>
    </w:p>
    <w:p w:rsidRPr="00103A50" w:rsidR="00C83724" w:rsidP="00C83724" w:rsidRDefault="00C83724" w14:paraId="6DD9FCA5" w14:textId="77777777">
      <w:pPr>
        <w:rPr>
          <w:rFonts w:ascii="Calibri" w:hAnsi="Calibri" w:cs="Calibri"/>
        </w:rPr>
      </w:pPr>
    </w:p>
    <w:p w:rsidRPr="00103A50" w:rsidR="00C83724" w:rsidP="00C83724" w:rsidRDefault="00C83724" w14:paraId="5EBE32A9" w14:textId="0DF945F7">
      <w:pPr>
        <w:rPr>
          <w:rFonts w:ascii="Calibri" w:hAnsi="Calibri" w:cs="Calibri"/>
          <w:b/>
        </w:rPr>
      </w:pPr>
      <w:r w:rsidRPr="00103A50">
        <w:rPr>
          <w:rFonts w:ascii="Calibri" w:hAnsi="Calibri" w:cs="Calibri"/>
          <w:b/>
        </w:rPr>
        <w:t>Specifieke</w:t>
      </w:r>
      <w:r w:rsidRPr="00103A50" w:rsidR="003674D3">
        <w:rPr>
          <w:rFonts w:ascii="Calibri" w:hAnsi="Calibri" w:cs="Calibri"/>
          <w:b/>
        </w:rPr>
        <w:t xml:space="preserve"> </w:t>
      </w:r>
      <w:r w:rsidRPr="00103A50">
        <w:rPr>
          <w:rFonts w:ascii="Calibri" w:hAnsi="Calibri" w:cs="Calibri"/>
          <w:b/>
        </w:rPr>
        <w:t>onderwerpen</w:t>
      </w:r>
      <w:r w:rsidRPr="00103A50" w:rsidR="003674D3">
        <w:rPr>
          <w:rFonts w:ascii="Calibri" w:hAnsi="Calibri" w:cs="Calibri"/>
          <w:b/>
        </w:rPr>
        <w:t xml:space="preserve"> </w:t>
      </w:r>
      <w:r w:rsidRPr="00103A50">
        <w:rPr>
          <w:rFonts w:ascii="Calibri" w:hAnsi="Calibri" w:cs="Calibri"/>
          <w:b/>
        </w:rPr>
        <w:t>Meerjarig</w:t>
      </w:r>
      <w:r w:rsidRPr="00103A50" w:rsidR="003674D3">
        <w:rPr>
          <w:rFonts w:ascii="Calibri" w:hAnsi="Calibri" w:cs="Calibri"/>
          <w:b/>
        </w:rPr>
        <w:t xml:space="preserve"> </w:t>
      </w:r>
      <w:r w:rsidRPr="00103A50">
        <w:rPr>
          <w:rFonts w:ascii="Calibri" w:hAnsi="Calibri" w:cs="Calibri"/>
          <w:b/>
        </w:rPr>
        <w:t>Financieel</w:t>
      </w:r>
      <w:r w:rsidRPr="00103A50" w:rsidR="003674D3">
        <w:rPr>
          <w:rFonts w:ascii="Calibri" w:hAnsi="Calibri" w:cs="Calibri"/>
          <w:b/>
        </w:rPr>
        <w:t xml:space="preserve"> </w:t>
      </w:r>
      <w:r w:rsidRPr="00103A50">
        <w:rPr>
          <w:rFonts w:ascii="Calibri" w:hAnsi="Calibri" w:cs="Calibri"/>
          <w:b/>
        </w:rPr>
        <w:t>Kader</w:t>
      </w:r>
    </w:p>
    <w:p w:rsidRPr="00103A50" w:rsidR="00C83724" w:rsidP="00C83724" w:rsidRDefault="00C83724" w14:paraId="41AA6CD0" w14:textId="77777777">
      <w:pPr>
        <w:rPr>
          <w:rFonts w:ascii="Calibri" w:hAnsi="Calibri" w:cs="Calibri"/>
          <w:b/>
        </w:rPr>
      </w:pPr>
    </w:p>
    <w:p w:rsidRPr="00103A50" w:rsidR="00C83724" w:rsidP="00C83724" w:rsidRDefault="00C83724" w14:paraId="421D4539" w14:textId="50BD88D1">
      <w:pPr>
        <w:rPr>
          <w:rFonts w:ascii="Calibri" w:hAnsi="Calibri" w:cs="Calibri"/>
          <w:i/>
        </w:rPr>
      </w:pPr>
      <w:r w:rsidRPr="00103A50">
        <w:rPr>
          <w:rFonts w:ascii="Calibri" w:hAnsi="Calibri" w:cs="Calibri"/>
          <w:i/>
        </w:rPr>
        <w:t>Modernisering</w:t>
      </w:r>
    </w:p>
    <w:p w:rsidRPr="00103A50" w:rsidR="00C83724" w:rsidP="00C83724" w:rsidRDefault="00C83724" w14:paraId="77F5777E" w14:textId="2124E19A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bevat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vorm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52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verschillende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programma’s.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teruggebracht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16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programma’s.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algemeen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positief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vereenvoudiging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fondsenstructuur,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aangezien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aansluit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kabinetsinzet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efficiëntere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besteding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publieke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kiest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focus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leggen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lastRenderedPageBreak/>
        <w:t>grensoverschrijdende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beleidsterreinen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meeste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toegevoegde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waarde.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steunt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moderniseringsinzet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nadruk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gelegd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strategische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prioriteiten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1EF60A2C" w14:textId="77777777">
      <w:pPr>
        <w:rPr>
          <w:rFonts w:ascii="Calibri" w:hAnsi="Calibri" w:cs="Calibri"/>
        </w:rPr>
      </w:pPr>
    </w:p>
    <w:p w:rsidRPr="00103A50" w:rsidR="00C83724" w:rsidP="00C83724" w:rsidRDefault="00C83724" w14:paraId="5FF0F4F4" w14:textId="699A8828">
      <w:pPr>
        <w:rPr>
          <w:rFonts w:ascii="Calibri" w:hAnsi="Calibri" w:cs="Calibri"/>
          <w:i/>
        </w:rPr>
      </w:pPr>
      <w:r w:rsidRPr="00103A50">
        <w:rPr>
          <w:rFonts w:ascii="Calibri" w:hAnsi="Calibri" w:cs="Calibri"/>
          <w:i/>
        </w:rPr>
        <w:t>Performance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Framework</w:t>
      </w:r>
    </w:p>
    <w:p w:rsidRPr="00103A50" w:rsidR="00C83724" w:rsidP="00C83724" w:rsidRDefault="00C83724" w14:paraId="39F20C9B" w14:textId="16E74614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geharmoniseerd,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vereenvoudigd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transparanter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systeem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creëren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monitoren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uitgaven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prestaties.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advies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volledige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traceerbaarheid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heldere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controle-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toezichtstructuren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benadrukt.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wil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andere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bereiken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horizontale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principes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  <w:i/>
          <w:iCs/>
        </w:rPr>
        <w:t>Do</w:t>
      </w:r>
      <w:r w:rsidRPr="00103A50" w:rsidR="003674D3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No</w:t>
      </w:r>
      <w:r w:rsidRPr="00103A50" w:rsidR="003674D3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Significant</w:t>
      </w:r>
      <w:r w:rsidRPr="00103A50" w:rsidR="003674D3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Harm</w:t>
      </w:r>
      <w:r w:rsidRPr="00103A50" w:rsidR="003674D3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</w:rPr>
        <w:t>(hierna: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DNSH)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gendergelijkheid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uniforme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wijze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passen</w:t>
      </w:r>
      <w:r w:rsidRPr="00103A50">
        <w:rPr>
          <w:rStyle w:val="Voetnootmarkering"/>
          <w:rFonts w:ascii="Calibri" w:hAnsi="Calibri" w:cs="Calibri"/>
        </w:rPr>
        <w:footnoteReference w:id="19"/>
      </w:r>
      <w:r w:rsidRPr="00103A50">
        <w:rPr>
          <w:rFonts w:ascii="Calibri" w:hAnsi="Calibri" w:cs="Calibri"/>
        </w:rPr>
        <w:t>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monitorings-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rapportagesysteem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stellen,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rapportages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harmoniseren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voortgang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rapporteren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basis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gestandaardiseerde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lijsten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interventiegebieden,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output-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resultaatindicatoren.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aanzienlijk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bijdragen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resultaten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behalen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gezamenlijke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beleidsprioriteiten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administratieve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25%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kunnen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afnemen.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staat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positief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opzichte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ambitie.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15DA7997" w14:textId="77777777">
      <w:pPr>
        <w:rPr>
          <w:rFonts w:ascii="Calibri" w:hAnsi="Calibri" w:cs="Calibri"/>
        </w:rPr>
      </w:pPr>
    </w:p>
    <w:p w:rsidRPr="00103A50" w:rsidR="00C83724" w:rsidP="00C83724" w:rsidRDefault="00C83724" w14:paraId="7977632E" w14:textId="4EDD89B7">
      <w:pPr>
        <w:rPr>
          <w:rFonts w:ascii="Calibri" w:hAnsi="Calibri" w:cs="Calibri"/>
        </w:rPr>
      </w:pPr>
      <w:bookmarkStart w:name="_Hlk205975942" w:id="4"/>
      <w:r w:rsidRPr="00103A50">
        <w:rPr>
          <w:rFonts w:ascii="Calibri" w:hAnsi="Calibri" w:eastAsia="Verdana" w:cs="Calibri"/>
        </w:rPr>
        <w:t>Er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wordt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een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minimaal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bestedingspercentage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voorgesteld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van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35%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voor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klimaat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en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milieu.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Het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kabinet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onderstreept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het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belang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van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investeringen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in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de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groene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transitie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en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ziet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dit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percentage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voor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klimaat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en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milieu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als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continuering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van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het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huidige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beleid.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Daarbij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benadrukt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het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kabinet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het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belang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dat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er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hierbij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voldoende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aandacht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moet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zijn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voor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biodiversiteit.</w:t>
      </w:r>
      <w:r w:rsidRPr="00103A50" w:rsidR="003674D3">
        <w:rPr>
          <w:rFonts w:ascii="Calibri" w:hAnsi="Calibri" w:eastAsia="Verdana" w:cs="Calibri"/>
        </w:rPr>
        <w:t xml:space="preserve"> </w:t>
      </w:r>
      <w:bookmarkEnd w:id="4"/>
      <w:r w:rsidRPr="00103A50">
        <w:rPr>
          <w:rFonts w:ascii="Calibri" w:hAnsi="Calibri" w:eastAsia="Verdana" w:cs="Calibri"/>
        </w:rPr>
        <w:t>Verdere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uitwerking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van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dit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percentage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en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de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wijze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waarop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dit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percentage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binnen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het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Commissievoorstel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kan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worden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bereikt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is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hierbij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noodzakelijk,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waarbij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de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doelstellingen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effectiever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en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gerichter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moeten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worden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bereikt.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Uit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het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rapport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van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de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ERK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bleek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eerder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dat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de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verslaglegging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over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klimaatuitgaven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in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het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vorige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MFK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heeft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geleid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tot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een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overschatting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van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de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bereikte</w:t>
      </w:r>
      <w:r w:rsidRPr="00103A50" w:rsidR="003674D3">
        <w:rPr>
          <w:rFonts w:ascii="Calibri" w:hAnsi="Calibri" w:eastAsia="Verdana" w:cs="Calibri"/>
        </w:rPr>
        <w:t xml:space="preserve"> </w:t>
      </w:r>
      <w:r w:rsidRPr="00103A50">
        <w:rPr>
          <w:rFonts w:ascii="Calibri" w:hAnsi="Calibri" w:eastAsia="Verdana" w:cs="Calibri"/>
        </w:rPr>
        <w:t>doelen.</w:t>
      </w:r>
      <w:r w:rsidRPr="00103A50">
        <w:rPr>
          <w:rStyle w:val="Voetnootmarkering"/>
          <w:rFonts w:ascii="Calibri" w:hAnsi="Calibri" w:eastAsia="Verdana" w:cs="Calibri"/>
        </w:rPr>
        <w:footnoteReference w:id="20"/>
      </w:r>
    </w:p>
    <w:p w:rsidRPr="00103A50" w:rsidR="00C83724" w:rsidP="00C83724" w:rsidRDefault="00C83724" w14:paraId="7424C6EE" w14:textId="77777777">
      <w:pPr>
        <w:rPr>
          <w:rFonts w:ascii="Calibri" w:hAnsi="Calibri" w:cs="Calibri"/>
        </w:rPr>
      </w:pPr>
    </w:p>
    <w:p w:rsidRPr="00103A50" w:rsidR="00C83724" w:rsidP="00C83724" w:rsidRDefault="00C83724" w14:paraId="41F095F7" w14:textId="236AE8CA">
      <w:pPr>
        <w:rPr>
          <w:rFonts w:ascii="Calibri" w:hAnsi="Calibri" w:cs="Calibri"/>
          <w:u w:val="single"/>
        </w:rPr>
      </w:pP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DNSH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volgt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richtlijn.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erkent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duurzaamheidskaders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principe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continuering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wil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zich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inzetten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duidelijke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kaders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implementatie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DNSH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volgend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start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gaat,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rekening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gehouden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lastRenderedPageBreak/>
        <w:t>kenmerken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uitdagingen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sectoren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kaders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toepassing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evenals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administratieve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lasten</w:t>
      </w:r>
      <w:r w:rsidRPr="00103A50">
        <w:rPr>
          <w:rFonts w:ascii="Calibri" w:hAnsi="Calibri" w:cs="Calibri"/>
          <w:u w:val="single"/>
        </w:rPr>
        <w:t>.</w:t>
      </w:r>
    </w:p>
    <w:p w:rsidRPr="00103A50" w:rsidR="00C83724" w:rsidP="00C83724" w:rsidRDefault="00C83724" w14:paraId="45B60829" w14:textId="77777777">
      <w:pPr>
        <w:rPr>
          <w:rFonts w:ascii="Calibri" w:hAnsi="Calibri" w:cs="Calibri"/>
        </w:rPr>
      </w:pPr>
    </w:p>
    <w:p w:rsidRPr="00103A50" w:rsidR="00C83724" w:rsidP="00C83724" w:rsidRDefault="00C83724" w14:paraId="7363E828" w14:textId="01288B03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vindt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ingezet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grootste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meerwaarde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behaald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begrotingssystematiek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inzicht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biedt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behaalde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resultaten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ondersteunend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voorstander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harmonisatie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resultaatgerichte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financieringswijze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steunt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doelstelling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terugdringen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administratieve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kosten.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Tegelijkertijd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risico’s,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bijvoorbeeld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gaat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rapportageverplichtingen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administratieve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lasten,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meenemen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eigenschappen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uitdagingen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diverse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sectoren,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gevolgen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uitvoeringsorganisaties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-kosten,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relatie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trendmatig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begrotingsbeleid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beschikbaarheid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benodigde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data.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Daarbovenop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komt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vraag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indicatoren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daadwerkelijk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inzicht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bereiken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prioritaire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EU-doelstellingen.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BNC-fiche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  <w:i/>
          <w:iCs/>
        </w:rPr>
        <w:t>Performance</w:t>
      </w:r>
      <w:r w:rsidRPr="00103A50" w:rsidR="003674D3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Framework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identificeert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uitdagingen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gaat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dieper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BNC-fiche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NRPP-voorstel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ingegaan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uitdagingen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resultaatgericht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financieren.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aandachtspunten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meenemen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onderhandelingen,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kabinetsinzet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verantwoordingslast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houden,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rechtmatige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doelmatige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besteding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geding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komt.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omsloten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tijdlijn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voorbereiding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evenals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implementatie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verschillende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MFK-voorstellen.</w:t>
      </w:r>
    </w:p>
    <w:p w:rsidRPr="00103A50" w:rsidR="00C83724" w:rsidP="00C83724" w:rsidRDefault="00C83724" w14:paraId="5ACE2983" w14:textId="77777777">
      <w:pPr>
        <w:rPr>
          <w:rFonts w:ascii="Calibri" w:hAnsi="Calibri" w:cs="Calibri"/>
        </w:rPr>
      </w:pPr>
    </w:p>
    <w:p w:rsidRPr="00103A50" w:rsidR="00C83724" w:rsidP="00C83724" w:rsidRDefault="00C83724" w14:paraId="5F0470FE" w14:textId="77777777">
      <w:pPr>
        <w:rPr>
          <w:rFonts w:ascii="Calibri" w:hAnsi="Calibri" w:cs="Calibri"/>
          <w:i/>
        </w:rPr>
      </w:pPr>
      <w:r w:rsidRPr="00103A50">
        <w:rPr>
          <w:rFonts w:ascii="Calibri" w:hAnsi="Calibri" w:cs="Calibri"/>
          <w:i/>
        </w:rPr>
        <w:t>Rechtsstatelijkheid</w:t>
      </w:r>
    </w:p>
    <w:p w:rsidRPr="00103A50" w:rsidR="00C83724" w:rsidP="00C83724" w:rsidRDefault="00C83724" w14:paraId="486FB815" w14:textId="5704D0F3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voorziet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versterking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bestaande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financiële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rechtsstaatinstrumentarium,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name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NRPP.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NRPP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bevat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versterkte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waarborgen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naleving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beginselen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rechtsstaat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EU-Handvest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Grondrechten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(hierna: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Handvest)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verzekeren.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naleving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beginselen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rechtsstaat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Handvest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horizontale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voorwaarden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voortdurend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moeten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voldoen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implementatie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NRPP.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betekent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moeten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voldoen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rechtsstaatbeginselen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Handvest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uitbetaald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krijgen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NRPP.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Indien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(langer)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voorwaarden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voldaan,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kunnen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betalingen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ieder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opgeschort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Daarnaast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moeten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NRPP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opvolging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specifieke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aanbevelingen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jaarlijkse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rechtsstaatrapport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Semester.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MFK-rechtsstaatverordening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blijft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toepassing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gehele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EU-begroting.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verordening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tijdens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MFK-onderhandelingen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herzien.</w:t>
      </w:r>
    </w:p>
    <w:p w:rsidRPr="00103A50" w:rsidR="00C83724" w:rsidP="00C83724" w:rsidRDefault="00C83724" w14:paraId="00F5E87B" w14:textId="77777777">
      <w:pPr>
        <w:rPr>
          <w:rFonts w:ascii="Calibri" w:hAnsi="Calibri" w:cs="Calibri"/>
        </w:rPr>
      </w:pPr>
    </w:p>
    <w:p w:rsidRPr="00103A50" w:rsidR="00C83724" w:rsidP="00C83724" w:rsidRDefault="00C83724" w14:paraId="74E46AE8" w14:textId="6C3B0883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lastRenderedPageBreak/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verwelkomt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inzet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Respect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rechtsstaat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fundamentele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rechten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essentieel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goed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functionerende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cruciale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randvoorwaarde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goed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bestuur,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vertrouwen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burgers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bedrijven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overheidsinstellingen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vooreerbiediging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grondrechten.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Daarnaast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beschermen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burgers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bedrijven,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behoud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waardengemeenschap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goed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functioneren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interne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markt.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vindt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essentieel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voldaan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strikte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beginselen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rechtsstaat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fundamentele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rechten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fondsen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kunnen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ontvangen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EU-begroting.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zich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gedurende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MFK-onderhandelingen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blijven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inzetten,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Olger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c.s.</w:t>
      </w:r>
      <w:r w:rsidRPr="00103A50">
        <w:rPr>
          <w:rStyle w:val="Voetnootmarkering"/>
          <w:rFonts w:ascii="Calibri" w:hAnsi="Calibri" w:cs="Calibri"/>
        </w:rPr>
        <w:footnoteReference w:id="21"/>
      </w:r>
      <w:r w:rsidRPr="00103A50" w:rsidR="003674D3">
        <w:rPr>
          <w:rFonts w:ascii="Calibri" w:hAnsi="Calibri" w:cs="Calibri"/>
          <w:vertAlign w:val="superscript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advies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ERK</w:t>
      </w:r>
      <w:r w:rsidRPr="00103A50">
        <w:rPr>
          <w:rStyle w:val="Voetnootmarkering"/>
          <w:rFonts w:ascii="Calibri" w:hAnsi="Calibri" w:cs="Calibri"/>
        </w:rPr>
        <w:footnoteReference w:id="22"/>
      </w:r>
      <w:r w:rsidRPr="00103A50">
        <w:rPr>
          <w:rFonts w:ascii="Calibri" w:hAnsi="Calibri" w:cs="Calibri"/>
        </w:rPr>
        <w:t>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NRPP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BNC-fiche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NRPP-voorstel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ingegaan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vragen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andere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werking,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aard,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inhoud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toetsing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conditionaliteiten.</w:t>
      </w:r>
    </w:p>
    <w:p w:rsidRPr="00103A50" w:rsidR="00C83724" w:rsidP="00C83724" w:rsidRDefault="00C83724" w14:paraId="79E63745" w14:textId="77777777">
      <w:pPr>
        <w:rPr>
          <w:rFonts w:ascii="Calibri" w:hAnsi="Calibri" w:cs="Calibri"/>
        </w:rPr>
      </w:pPr>
    </w:p>
    <w:p w:rsidRPr="00103A50" w:rsidR="00C83724" w:rsidP="00C83724" w:rsidRDefault="00C83724" w14:paraId="0FE35A84" w14:textId="55681DBF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r w:rsidRPr="00103A50">
        <w:rPr>
          <w:rFonts w:ascii="Calibri" w:hAnsi="Calibri" w:cs="Calibri"/>
          <w:i/>
        </w:rPr>
        <w:t>Vereenvoudiging,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administratieve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lasten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en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regeldruk</w:t>
      </w:r>
    </w:p>
    <w:p w:rsidRPr="00103A50" w:rsidR="00C83724" w:rsidP="00C83724" w:rsidRDefault="00C83724" w14:paraId="20142497" w14:textId="5785773B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bevat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punten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elementen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veranderingen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opzichte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hebben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administratieve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regeldruk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verlichten.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toelichting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vindt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terug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verschillende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BNC-fiches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sectorale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opgesteld.</w:t>
      </w:r>
    </w:p>
    <w:p w:rsidRPr="00103A50" w:rsidR="00C83724" w:rsidP="00C83724" w:rsidRDefault="00C83724" w14:paraId="3FCC75E5" w14:textId="60A05446">
      <w:pPr>
        <w:rPr>
          <w:rFonts w:ascii="Calibri" w:hAnsi="Calibri" w:cs="Calibri"/>
          <w:i/>
        </w:rPr>
      </w:pP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goede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afweging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punt,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zeker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rondom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NRPP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controlelast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uitvoeren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EU-begroting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relevant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zullen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daartegen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afgewogen.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21D39F25" w14:textId="7DBF0986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vereenvoudiging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sluit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rapport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ERK</w:t>
      </w:r>
      <w:r w:rsidRPr="00103A50">
        <w:rPr>
          <w:rFonts w:ascii="Calibri" w:hAnsi="Calibri" w:cs="Calibri"/>
          <w:vertAlign w:val="superscript"/>
        </w:rPr>
        <w:footnoteReference w:id="23"/>
      </w:r>
      <w:r w:rsidRPr="00103A50">
        <w:rPr>
          <w:rFonts w:ascii="Calibri" w:hAnsi="Calibri" w:cs="Calibri"/>
        </w:rPr>
        <w:t>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gepleit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consolidatie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financiële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landschap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waarschuwt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vereenvoudiging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koste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verantwoordingsplicht.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zich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inzetten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verantwoordingslast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houden,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rechtmatige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doelmatige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besteding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geding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komen.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beoordeelt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individuele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basis.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schakelen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verschillende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stakeholders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medeoverheden.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uitdagingen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betrekking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implementatietijd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NRPP,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gezien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ervaringen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implementatie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GLB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cohesie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aanleiding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eerdere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MFK-akkoorden.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Ervanuit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gaande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onderhandelingen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2027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afgerond,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verwachting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beperkte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tijd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NRPP-systematiek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Rijksbreed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voeren.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pleiten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realistische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implementatietermijn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genoeg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ruimte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biedt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zorgvuldige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uitwerking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implementatie.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4E8D16D2" w14:textId="77777777">
      <w:pPr>
        <w:rPr>
          <w:rFonts w:ascii="Calibri" w:hAnsi="Calibri" w:cs="Calibri"/>
        </w:rPr>
      </w:pPr>
    </w:p>
    <w:p w:rsidRPr="00103A50" w:rsidR="00C83724" w:rsidP="00C83724" w:rsidRDefault="00C83724" w14:paraId="15B161F7" w14:textId="1CF84592">
      <w:pPr>
        <w:rPr>
          <w:rFonts w:ascii="Calibri" w:hAnsi="Calibri" w:cs="Calibri"/>
          <w:i/>
        </w:rPr>
      </w:pPr>
      <w:r w:rsidRPr="00103A50">
        <w:rPr>
          <w:rFonts w:ascii="Calibri" w:hAnsi="Calibri" w:cs="Calibri"/>
          <w:i/>
        </w:rPr>
        <w:t>Veiligheid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en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defensie</w:t>
      </w:r>
    </w:p>
    <w:p w:rsidRPr="00103A50" w:rsidR="00C83724" w:rsidP="00C83724" w:rsidRDefault="00C83724" w14:paraId="5107F4E1" w14:textId="2294EDF5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belangrijk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onderdeel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opbouwen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Defensieunie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</w:t>
      </w:r>
      <w:r w:rsidRPr="00103A50">
        <w:rPr>
          <w:rFonts w:ascii="Calibri" w:hAnsi="Calibri" w:cs="Calibri"/>
          <w:i/>
        </w:rPr>
        <w:t>European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Defence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Union</w:t>
      </w:r>
      <w:r w:rsidRPr="00103A50">
        <w:rPr>
          <w:rFonts w:ascii="Calibri" w:hAnsi="Calibri" w:cs="Calibri"/>
        </w:rPr>
        <w:t>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vanwege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toenemende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dreiging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onzekerheid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geconfronteerd,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oorlog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continent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Russische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agressieoorlog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Oekraïne.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richt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ECF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zich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versterken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defensie-industrie,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terwijl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militaire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mobiliteit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verbeterd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CEF.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biedt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NRPP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mogelijkheden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nationale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enveloppe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besteden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lokale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defensie-industrie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militaire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mobiliteit.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Kortom,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voornemens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defensie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veiligheid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aanzienlijk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versterken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onderbouwen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financiële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394A45C3" w14:textId="77777777">
      <w:pPr>
        <w:rPr>
          <w:rFonts w:ascii="Calibri" w:hAnsi="Calibri" w:cs="Calibri"/>
        </w:rPr>
      </w:pPr>
    </w:p>
    <w:p w:rsidRPr="00103A50" w:rsidR="00C83724" w:rsidP="00C83724" w:rsidRDefault="00C83724" w14:paraId="71632480" w14:textId="13527A0D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positief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veiligheid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defensie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prioriteit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beschouwt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MFK-voorstel,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kabinetsinzet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inzet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ondersteunend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versterkte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inzet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NAVO-bondgenoten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  <w:i/>
          <w:iCs/>
        </w:rPr>
        <w:t>The</w:t>
      </w:r>
      <w:r w:rsidRPr="00103A50" w:rsidR="003674D3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Hague</w:t>
      </w:r>
      <w:r w:rsidRPr="00103A50" w:rsidR="003674D3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Summit</w:t>
      </w:r>
      <w:r w:rsidRPr="00103A50" w:rsidR="003674D3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Declaration</w:t>
      </w:r>
      <w:r w:rsidRPr="00103A50">
        <w:rPr>
          <w:rFonts w:ascii="Calibri" w:hAnsi="Calibri" w:cs="Calibri"/>
        </w:rPr>
        <w:t>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aangenomen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tijdens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recente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NAVO-top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Haag.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samenwerking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tussen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NAVO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belang.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Onderdeel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verklaring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  <w:i/>
          <w:iCs/>
        </w:rPr>
        <w:t>The</w:t>
      </w:r>
      <w:r w:rsidRPr="00103A50" w:rsidR="003674D3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Hague</w:t>
      </w:r>
      <w:r w:rsidRPr="00103A50" w:rsidR="003674D3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Defence</w:t>
      </w:r>
      <w:r w:rsidRPr="00103A50" w:rsidR="003674D3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Investment</w:t>
      </w:r>
      <w:r w:rsidRPr="00103A50" w:rsidR="003674D3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Plan</w:t>
      </w:r>
      <w:r w:rsidRPr="00103A50">
        <w:rPr>
          <w:rFonts w:ascii="Calibri" w:hAnsi="Calibri" w:cs="Calibri"/>
        </w:rPr>
        <w:t>: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norm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stapsgewijs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defensie-uitgaven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bredere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veiligheid-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defensie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gerelateerde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uitgaven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verhogen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5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procent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bbp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(onderverdeeld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3,5%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defensie-uitgaven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1,5%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bredere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veiligheids-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defensie-gerelateerde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uitgaven).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volledige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steun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uitgesproken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norm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defensie-uitgaven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onderstreept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uitgaven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noodzakelijk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vanwege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dreiging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Rusland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Euro-Atlantische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veiligheid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Russische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oorlog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Oekraïne.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kijkt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expliciet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financiering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bijdragen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behalen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nationale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opgave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gebied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capaciteitsdoelstelling,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defensie-uitgaven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defensie-gerelateerde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investeringen.</w:t>
      </w:r>
      <w:r w:rsidRPr="00103A50">
        <w:rPr>
          <w:rStyle w:val="Voetnootmarkering"/>
          <w:rFonts w:ascii="Calibri" w:hAnsi="Calibri" w:cs="Calibri"/>
        </w:rPr>
        <w:footnoteReference w:id="24"/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onderstreept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uitgaven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militaire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paraatheid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moeten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verstevigen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civiele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weerbaarheid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paraatheid.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slot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Vredesfaciliteit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(EPF)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instrument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buiten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EU-begroting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zetten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bevordering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vrede,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conflictpreventie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versterken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internationale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veiligheid.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Echter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uitgewerkt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gepubliceerd.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Wanneer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verschijnt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appreciëren.</w:t>
      </w:r>
    </w:p>
    <w:p w:rsidRPr="00103A50" w:rsidR="00C83724" w:rsidP="00C83724" w:rsidRDefault="00C83724" w14:paraId="037C3A77" w14:textId="77777777">
      <w:pPr>
        <w:rPr>
          <w:rFonts w:ascii="Calibri" w:hAnsi="Calibri" w:cs="Calibri"/>
        </w:rPr>
      </w:pPr>
    </w:p>
    <w:p w:rsidRPr="00103A50" w:rsidR="00C83724" w:rsidP="00C83724" w:rsidRDefault="00C83724" w14:paraId="4FDB935D" w14:textId="7E59FDA5">
      <w:pPr>
        <w:rPr>
          <w:rFonts w:ascii="Calibri" w:hAnsi="Calibri" w:cs="Calibri"/>
          <w:i/>
        </w:rPr>
      </w:pPr>
      <w:r w:rsidRPr="00103A50">
        <w:rPr>
          <w:rFonts w:ascii="Calibri" w:hAnsi="Calibri" w:cs="Calibri"/>
          <w:i/>
        </w:rPr>
        <w:t>Interinstitutioneel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akkoord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(IIA)</w:t>
      </w:r>
    </w:p>
    <w:p w:rsidRPr="00103A50" w:rsidR="00C83724" w:rsidP="00C83724" w:rsidRDefault="00C83724" w14:paraId="35B1301A" w14:textId="58C27E88">
      <w:pPr>
        <w:rPr>
          <w:rFonts w:ascii="Calibri" w:hAnsi="Calibri" w:cs="Calibri"/>
          <w:iCs/>
        </w:rPr>
      </w:pPr>
      <w:r w:rsidRPr="00103A50">
        <w:rPr>
          <w:rFonts w:ascii="Calibri" w:hAnsi="Calibri" w:cs="Calibri"/>
          <w:iCs/>
        </w:rPr>
        <w:lastRenderedPageBreak/>
        <w:t>De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Commissie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stelt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in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het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IIA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voor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om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meer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flexibiliteit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tijdens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de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jaarbegrotingsonderhandelingen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toe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te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staan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door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het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maximumpercentage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waarvan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mag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worden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afgeweken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van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de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in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de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MFK-afgesproken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budgetten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te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verhogen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van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15%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naar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20%.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Dit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kan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in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de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context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van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de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jaarbegrotingsprocedure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na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instemming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van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de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Raad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en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het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EP.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Besluitvorming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in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de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Raad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in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het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kader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van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de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jaarbegrotingsprocedure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gaat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op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basis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van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gekwalificeerde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meerderheid.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Het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kabinet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merkt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op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dat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het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belangrijk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is,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zeker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als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in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de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jaarbegrotingsprocedure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meer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besluitvorming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plaatsvindt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over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de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budgetten,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dat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de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rol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van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de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Raad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in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de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besluitvorming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over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de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jaarbegroting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goed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geborgd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wordt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en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zal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zich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hier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in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de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onderhandelingen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voor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inzetten.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Daarnaast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merkt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het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kabinet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op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dat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het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MFK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een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investeringsbegroting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is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en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dat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voor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investeringsprogramma’s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stabiliteit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en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voorspelbaarheid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van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belang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zijn.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Dit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geldt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in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het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bijzonder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voor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programma’s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met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langere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termijn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doelstellingen.</w:t>
      </w:r>
    </w:p>
    <w:p w:rsidRPr="00103A50" w:rsidR="00C83724" w:rsidP="00C83724" w:rsidRDefault="00C83724" w14:paraId="698F1CB3" w14:textId="77777777">
      <w:pPr>
        <w:rPr>
          <w:rFonts w:ascii="Calibri" w:hAnsi="Calibri" w:cs="Calibri"/>
        </w:rPr>
      </w:pPr>
    </w:p>
    <w:p w:rsidRPr="00103A50" w:rsidR="00C83724" w:rsidP="00C83724" w:rsidRDefault="00C83724" w14:paraId="324CF544" w14:textId="31B93C20">
      <w:pPr>
        <w:rPr>
          <w:rFonts w:ascii="Calibri" w:hAnsi="Calibri" w:cs="Calibri"/>
          <w:b/>
        </w:rPr>
      </w:pPr>
      <w:r w:rsidRPr="00103A50">
        <w:rPr>
          <w:rFonts w:ascii="Calibri" w:hAnsi="Calibri" w:cs="Calibri"/>
          <w:b/>
        </w:rPr>
        <w:t>Speciale</w:t>
      </w:r>
      <w:r w:rsidRPr="00103A50" w:rsidR="003674D3">
        <w:rPr>
          <w:rFonts w:ascii="Calibri" w:hAnsi="Calibri" w:cs="Calibri"/>
          <w:b/>
        </w:rPr>
        <w:t xml:space="preserve"> </w:t>
      </w:r>
      <w:r w:rsidRPr="00103A50">
        <w:rPr>
          <w:rFonts w:ascii="Calibri" w:hAnsi="Calibri" w:cs="Calibri"/>
          <w:b/>
        </w:rPr>
        <w:t>instrumenten</w:t>
      </w:r>
    </w:p>
    <w:p w:rsidRPr="00103A50" w:rsidR="00C83724" w:rsidP="00C83724" w:rsidRDefault="00C83724" w14:paraId="4D69FD4E" w14:textId="3E1728BE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drie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speciale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instrumenten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Twee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bestaan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zogenaamde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‘non-thematische’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instrumenten: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Flexibiliteitsinstrument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  <w:i/>
        </w:rPr>
        <w:t>Single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Margin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Instrument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Cs/>
        </w:rPr>
        <w:t>(hierna:</w:t>
      </w:r>
      <w:r w:rsidRPr="00103A50" w:rsidR="003674D3">
        <w:rPr>
          <w:rFonts w:ascii="Calibri" w:hAnsi="Calibri" w:cs="Calibri"/>
          <w:iCs/>
        </w:rPr>
        <w:t xml:space="preserve"> </w:t>
      </w:r>
      <w:r w:rsidRPr="00103A50">
        <w:rPr>
          <w:rFonts w:ascii="Calibri" w:hAnsi="Calibri" w:cs="Calibri"/>
          <w:iCs/>
        </w:rPr>
        <w:t>SMI)</w:t>
      </w:r>
      <w:r w:rsidRPr="00103A50">
        <w:rPr>
          <w:rFonts w:ascii="Calibri" w:hAnsi="Calibri" w:cs="Calibri"/>
        </w:rPr>
        <w:t>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instrument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thematisch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instrument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genaamd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Oekraïne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Reserve.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instrument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bestaat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sinds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MFK-herziening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2024.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bestaan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drie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thematische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instrumenten;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Globaliseringsfonds,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Solidariteitsreserve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Noodhulpreserve.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dus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gecontinueerd.</w:t>
      </w:r>
    </w:p>
    <w:p w:rsidRPr="00103A50" w:rsidR="00C83724" w:rsidP="00C83724" w:rsidRDefault="00C83724" w14:paraId="76277DBD" w14:textId="77777777">
      <w:pPr>
        <w:rPr>
          <w:rFonts w:ascii="Calibri" w:hAnsi="Calibri" w:cs="Calibri"/>
        </w:rPr>
      </w:pPr>
    </w:p>
    <w:p w:rsidRPr="00103A50" w:rsidR="00C83724" w:rsidP="00C83724" w:rsidRDefault="00C83724" w14:paraId="640FA4C8" w14:textId="77777777">
      <w:pPr>
        <w:rPr>
          <w:rFonts w:ascii="Calibri" w:hAnsi="Calibri" w:cs="Calibri"/>
          <w:i/>
        </w:rPr>
      </w:pPr>
      <w:r w:rsidRPr="00103A50">
        <w:rPr>
          <w:rFonts w:ascii="Calibri" w:hAnsi="Calibri" w:cs="Calibri"/>
          <w:i/>
        </w:rPr>
        <w:t>Flexibiliteitsinstrument</w:t>
      </w:r>
    </w:p>
    <w:p w:rsidRPr="00103A50" w:rsidR="00C83724" w:rsidP="00C83724" w:rsidRDefault="00C83724" w14:paraId="473186DD" w14:textId="7796E44C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Flexibiliteitsinstrument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bedoeld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extra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uitgaven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mogelijk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vastgelegde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begrotingsplafonds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onvoldoende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ruimte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bijvoorbeeld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onverwachte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omstandigheden.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520FAFF0" w14:textId="77777777">
      <w:pPr>
        <w:rPr>
          <w:rFonts w:ascii="Calibri" w:hAnsi="Calibri" w:cs="Calibri"/>
        </w:rPr>
      </w:pPr>
    </w:p>
    <w:p w:rsidRPr="00103A50" w:rsidR="00C83724" w:rsidP="00C83724" w:rsidRDefault="00C83724" w14:paraId="3EDD7A5B" w14:textId="2B2595A0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Flexibiliteitsinstrument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verhogen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gemiddeld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circa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2,2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miljard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jaar.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Flexibiliteitsinstrument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vaste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jaarlijkse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bedrag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bestaan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niet-gebruikte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verplichtingen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(decommitteringen)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voorgaande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boete-inkomsten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t-2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begroting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opgenomen.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niet-gebruikte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verplichtingen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boete-inkomsten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bovenop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bedrag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2,2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miljard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boete-inkomsten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begroting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ontvangsten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geclassificeerd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leiden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lagere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bni-afdracht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gebruikte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verplichtingen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leiden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lagere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bni-afdracht.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inzetten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boete-inkomsten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decommitteringen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verhogen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flexibiliteitsinstrument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leidt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hogere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bni-afdracht.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lastRenderedPageBreak/>
        <w:t>saldo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raming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jaren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neutraal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moeten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nauwkeurige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inschatting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uiteindelijke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omvang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Flexibiliteitsinstrument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goed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maken,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afhankelijk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ontvangen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boete-inkomsten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decommitteringen.</w:t>
      </w:r>
    </w:p>
    <w:p w:rsidRPr="00103A50" w:rsidR="00C83724" w:rsidP="00C83724" w:rsidRDefault="00C83724" w14:paraId="51ABCBAD" w14:textId="77777777">
      <w:pPr>
        <w:rPr>
          <w:rFonts w:ascii="Calibri" w:hAnsi="Calibri" w:cs="Calibri"/>
        </w:rPr>
      </w:pPr>
    </w:p>
    <w:p w:rsidRPr="00103A50" w:rsidR="00C83724" w:rsidP="00C83724" w:rsidRDefault="00C83724" w14:paraId="46B184CA" w14:textId="66DDF61F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voorstander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vergroten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financiële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flexibiliteit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begroting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voorspelbare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afdrachten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EU-begroting.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vragen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effect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stabiliteit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raming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EU-afdrachten.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Tevens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instrument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alleen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gebruikt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inzet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beleidsuitgaven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administratieve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tekorten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dekken.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2340042A" w14:textId="77777777">
      <w:pPr>
        <w:rPr>
          <w:rFonts w:ascii="Calibri" w:hAnsi="Calibri" w:cs="Calibri"/>
        </w:rPr>
      </w:pPr>
    </w:p>
    <w:p w:rsidRPr="00103A50" w:rsidR="00C83724" w:rsidP="00C83724" w:rsidRDefault="00C83724" w14:paraId="69EC7D5F" w14:textId="6F0784D4">
      <w:pPr>
        <w:rPr>
          <w:rFonts w:ascii="Calibri" w:hAnsi="Calibri" w:cs="Calibri"/>
          <w:i/>
        </w:rPr>
      </w:pPr>
      <w:r w:rsidRPr="00103A50">
        <w:rPr>
          <w:rFonts w:ascii="Calibri" w:hAnsi="Calibri" w:cs="Calibri"/>
          <w:i/>
        </w:rPr>
        <w:t>Single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Margin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Instrument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(SMI)</w:t>
      </w:r>
    </w:p>
    <w:p w:rsidRPr="00103A50" w:rsidR="00C83724" w:rsidP="00C83724" w:rsidRDefault="00C83724" w14:paraId="3092959B" w14:textId="32477DDD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SMI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bedoeld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jaren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kunnen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schuiven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ongebruikte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begrotingsruimte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plafonds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instrument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vergelijkbaar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werking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kasschuif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basis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onderuitputting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begrotingssysteem.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Ongebruikte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budgettaire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ruimte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meegenomen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toekomstige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jaren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MFK-periode.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Tevens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mogelijkheid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uitzonderlijke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situaties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toekomst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halen.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saldo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schuiven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nul: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MFK-plafond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verhoogd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andere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verlaagd.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geïndexeerd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overeengekomen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deflator.</w:t>
      </w:r>
    </w:p>
    <w:p w:rsidRPr="00103A50" w:rsidR="00C83724" w:rsidP="00C83724" w:rsidRDefault="00C83724" w14:paraId="02822AF6" w14:textId="77777777">
      <w:pPr>
        <w:rPr>
          <w:rFonts w:ascii="Calibri" w:hAnsi="Calibri" w:cs="Calibri"/>
        </w:rPr>
      </w:pPr>
    </w:p>
    <w:p w:rsidRPr="00103A50" w:rsidR="00C83724" w:rsidP="00C83724" w:rsidRDefault="00C83724" w14:paraId="56B6D610" w14:textId="44BAD461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werkwijze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SMI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volgend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werkwijze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SMI.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SMI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echter,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tegenstelling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plafonds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laatste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drie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jaren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3F3F1495" w14:textId="77777777">
      <w:pPr>
        <w:rPr>
          <w:rFonts w:ascii="Calibri" w:hAnsi="Calibri" w:cs="Calibri"/>
        </w:rPr>
      </w:pPr>
    </w:p>
    <w:p w:rsidRPr="00103A50" w:rsidR="00C83724" w:rsidP="00C83724" w:rsidRDefault="00C83724" w14:paraId="720570C4" w14:textId="22ED40AB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maximumplafond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laatste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jaren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instrument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aankomend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nodig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maximumplafond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zorgt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voorspelbaardere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afdrachten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Tevens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ondoelmatige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besteding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periode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voorkomen.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5CE0827E" w14:textId="77777777">
      <w:pPr>
        <w:rPr>
          <w:rFonts w:ascii="Calibri" w:hAnsi="Calibri" w:cs="Calibri"/>
          <w:iCs/>
        </w:rPr>
      </w:pPr>
    </w:p>
    <w:p w:rsidRPr="00103A50" w:rsidR="00C83724" w:rsidP="00C83724" w:rsidRDefault="00C83724" w14:paraId="2BFAF1F1" w14:textId="007B3D22">
      <w:pPr>
        <w:rPr>
          <w:rFonts w:ascii="Calibri" w:hAnsi="Calibri" w:cs="Calibri"/>
          <w:i/>
        </w:rPr>
      </w:pPr>
      <w:r w:rsidRPr="00103A50">
        <w:rPr>
          <w:rFonts w:ascii="Calibri" w:hAnsi="Calibri" w:cs="Calibri"/>
          <w:i/>
        </w:rPr>
        <w:t>Oekraïne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Reserve</w:t>
      </w:r>
    </w:p>
    <w:p w:rsidRPr="00103A50" w:rsidR="00C83724" w:rsidP="00C83724" w:rsidRDefault="00C83724" w14:paraId="5520800B" w14:textId="49032C1A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Oekraïne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Faciliteit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opgericht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periode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2024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t/m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2027)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geïntegreerd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instrument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regelmatige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voorspelbare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financiële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steun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lastRenderedPageBreak/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verlenen</w:t>
      </w:r>
      <w:r w:rsidRPr="00103A50" w:rsidR="003674D3">
        <w:rPr>
          <w:rFonts w:ascii="Calibri" w:hAnsi="Calibri" w:cs="Calibri"/>
        </w:rPr>
        <w:t xml:space="preserve"> </w:t>
      </w:r>
      <w:r w:rsidRPr="00103A50" w:rsidDel="00AB255F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 w:rsidDel="00AB255F">
        <w:rPr>
          <w:rFonts w:ascii="Calibri" w:hAnsi="Calibri" w:cs="Calibri"/>
        </w:rPr>
        <w:t>Oekraïne</w:t>
      </w:r>
      <w:r w:rsidRPr="00103A50">
        <w:rPr>
          <w:rFonts w:ascii="Calibri" w:hAnsi="Calibri" w:cs="Calibri"/>
        </w:rPr>
        <w:t>.</w:t>
      </w:r>
      <w:r w:rsidRPr="00103A50">
        <w:rPr>
          <w:rStyle w:val="Voetnootmarkering"/>
          <w:rFonts w:ascii="Calibri" w:hAnsi="Calibri" w:cs="Calibri"/>
        </w:rPr>
        <w:footnoteReference w:id="25"/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opvolging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faciliteit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Oekraïne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Reserve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zetten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thematisch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speciaal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instrument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financiering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niet-terugbetaalbare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steun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budgettaire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garanties.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Daarnaast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mogelijkheid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blijven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verstrekken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Oekraïne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boven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MFK-plafonds.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EU-steun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maximale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omvang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100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miljard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niet-terugbetaalbare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steun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budgettaire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garanties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Oekraïne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Reserve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geldt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maximum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14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miljard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jaar.</w:t>
      </w:r>
    </w:p>
    <w:p w:rsidRPr="00103A50" w:rsidR="00C83724" w:rsidP="00C83724" w:rsidRDefault="00C83724" w14:paraId="5ADD0980" w14:textId="4BCD9FBB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onderstreept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flexibiliteit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steun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Oekraïne,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onvoorspelbare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verloop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oorlog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gerelateerde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omvang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noden.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opgenomen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verdelingen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tussen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niet-terugbetaalbare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steun,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budgettaire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garanties.</w:t>
      </w:r>
    </w:p>
    <w:p w:rsidRPr="00103A50" w:rsidR="00C83724" w:rsidP="00C83724" w:rsidRDefault="00C83724" w14:paraId="6CC255BB" w14:textId="77777777">
      <w:pPr>
        <w:rPr>
          <w:rFonts w:ascii="Calibri" w:hAnsi="Calibri" w:cs="Calibri"/>
        </w:rPr>
      </w:pPr>
    </w:p>
    <w:p w:rsidRPr="00103A50" w:rsidR="00C83724" w:rsidP="00C83724" w:rsidRDefault="00C83724" w14:paraId="765FC5CA" w14:textId="501D62B3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kabinetsbeleid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verwelkomt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instrument,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EU-steun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Oekraïne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continueert.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conform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inzet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Oekraïne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politiek,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militair,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moreel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onverminderd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blijven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steunen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tijd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oorlog,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wederopbouw,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nodig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vindt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  <w:i/>
          <w:iCs/>
        </w:rPr>
        <w:t>fair</w:t>
      </w:r>
      <w:r w:rsidRPr="00103A50" w:rsidR="003674D3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share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steun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Oekraïne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blijft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leveren.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inachtneming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omvang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onvoorspelbaarheid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Oekraïne.</w:t>
      </w:r>
      <w:r w:rsidRPr="00103A50">
        <w:rPr>
          <w:rStyle w:val="Voetnootmarkering"/>
          <w:rFonts w:ascii="Calibri" w:hAnsi="Calibri" w:cs="Calibri"/>
        </w:rPr>
        <w:footnoteReference w:id="26"/>
      </w:r>
    </w:p>
    <w:p w:rsidRPr="00103A50" w:rsidR="00C83724" w:rsidP="00C83724" w:rsidRDefault="00C83724" w14:paraId="5333D516" w14:textId="77777777">
      <w:pPr>
        <w:rPr>
          <w:rFonts w:ascii="Calibri" w:hAnsi="Calibri" w:cs="Calibri"/>
        </w:rPr>
      </w:pPr>
    </w:p>
    <w:p w:rsidRPr="00103A50" w:rsidR="00C83724" w:rsidP="00C83724" w:rsidRDefault="00C83724" w14:paraId="06828CD4" w14:textId="277F7B3A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vragen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werking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Oekraïne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Reserve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verhouding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tussen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niet-terugbetaalde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steun,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budgettaire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garanties.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afdrachten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betekent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grotere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verhouding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niet-terugbetaalbare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steun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opzichte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hogere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afdrachten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Unie.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voorspelbare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afdracht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vindt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verstandig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zoveel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mogelijk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vooraf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verhouding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tussen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niet-betaalbare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steun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komen.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schuldhoudbaarheidspositie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Oekraïne.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Oekraïne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Faciliteit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conditionaliteit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benadrukken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steun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Oekraïne.</w:t>
      </w:r>
    </w:p>
    <w:p w:rsidRPr="00103A50" w:rsidR="00C83724" w:rsidP="00C83724" w:rsidRDefault="00C83724" w14:paraId="596160B4" w14:textId="77777777">
      <w:pPr>
        <w:rPr>
          <w:rFonts w:ascii="Calibri" w:hAnsi="Calibri" w:cs="Calibri"/>
        </w:rPr>
      </w:pPr>
    </w:p>
    <w:p w:rsidRPr="00103A50" w:rsidR="00C83724" w:rsidP="00C83724" w:rsidRDefault="00C83724" w14:paraId="07C7C25E" w14:textId="0793F1C8">
      <w:pPr>
        <w:rPr>
          <w:rFonts w:ascii="Calibri" w:hAnsi="Calibri" w:cs="Calibri"/>
          <w:b/>
        </w:rPr>
      </w:pPr>
      <w:r w:rsidRPr="00103A50">
        <w:rPr>
          <w:rFonts w:ascii="Calibri" w:hAnsi="Calibri" w:cs="Calibri"/>
          <w:b/>
        </w:rPr>
        <w:t>Leeninstrumenten</w:t>
      </w:r>
      <w:r w:rsidRPr="00103A50" w:rsidR="003674D3">
        <w:rPr>
          <w:rFonts w:ascii="Calibri" w:hAnsi="Calibri" w:cs="Calibri"/>
          <w:b/>
        </w:rPr>
        <w:t xml:space="preserve"> </w:t>
      </w:r>
    </w:p>
    <w:p w:rsidRPr="00103A50" w:rsidR="00C83724" w:rsidP="00C83724" w:rsidRDefault="00C83724" w14:paraId="157855FC" w14:textId="77777777">
      <w:pPr>
        <w:rPr>
          <w:rFonts w:ascii="Calibri" w:hAnsi="Calibri" w:cs="Calibri"/>
          <w:i/>
        </w:rPr>
      </w:pPr>
    </w:p>
    <w:p w:rsidRPr="00103A50" w:rsidR="00C83724" w:rsidP="00C83724" w:rsidRDefault="00C83724" w14:paraId="4487631D" w14:textId="39A3662B">
      <w:pPr>
        <w:rPr>
          <w:rFonts w:ascii="Calibri" w:hAnsi="Calibri" w:cs="Calibri"/>
        </w:rPr>
      </w:pPr>
      <w:r w:rsidRPr="00103A50">
        <w:rPr>
          <w:rFonts w:ascii="Calibri" w:hAnsi="Calibri" w:cs="Calibri"/>
          <w:i/>
        </w:rPr>
        <w:t>Crisisinstrument</w:t>
      </w:r>
      <w:r w:rsidRPr="00103A50">
        <w:rPr>
          <w:rFonts w:ascii="Calibri" w:hAnsi="Calibri" w:cs="Calibri"/>
          <w:i/>
        </w:rPr>
        <w:br/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crisisinstrument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buitengewone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crisis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aangewend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verstrekken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gedurende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volgende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MFK-periode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moeilijkheden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ernstige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dreiging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moeilijkheden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lidstaat.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instrument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financieren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buitengewone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tijdelijke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verhoging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eigenmiddelenplafond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0,25%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EU-bni.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crisissituatie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adequaat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EU-begroting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zelf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gefinancierd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crisisinstrument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ingezet.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besluit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inzetten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instrument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ligt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Raad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basis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gekwalificeerde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meerderheid,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goedkeuring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EP.</w:t>
      </w:r>
    </w:p>
    <w:p w:rsidRPr="00103A50" w:rsidR="00C83724" w:rsidP="00C83724" w:rsidRDefault="00C83724" w14:paraId="18F21CB7" w14:textId="77777777">
      <w:pPr>
        <w:rPr>
          <w:rFonts w:ascii="Calibri" w:hAnsi="Calibri" w:cs="Calibri"/>
        </w:rPr>
      </w:pPr>
    </w:p>
    <w:p w:rsidRPr="00103A50" w:rsidR="00C83724" w:rsidP="00C83724" w:rsidRDefault="00C83724" w14:paraId="1B444F68" w14:textId="35949E86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voorstander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crisisinstrument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Unie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kapitaalmarkt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noodzaak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instrument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onvoldoende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onderbouwd.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verleden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meerdere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keren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ingestemd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leeninstrumenten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financiële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bijstand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buitengewone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omstandigheden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crises.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Artikel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122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143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EU-werkingsverdrag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VWEU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bieden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heldere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basis.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constructie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volgens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nodig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crisis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kunnen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reageren.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Tevens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omvang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instrument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onvoldoende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onderbouwd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tijdelijkheid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buitengewone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tijdelijke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verhoging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eigenmiddelenplafond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goed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vastgelegd.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26A701BB" w14:textId="77777777">
      <w:pPr>
        <w:rPr>
          <w:rFonts w:ascii="Calibri" w:hAnsi="Calibri" w:cs="Calibri"/>
        </w:rPr>
      </w:pPr>
    </w:p>
    <w:p w:rsidRPr="00103A50" w:rsidR="00C83724" w:rsidP="00C83724" w:rsidRDefault="00C83724" w14:paraId="6FFA1834" w14:textId="0B204EC1">
      <w:pPr>
        <w:rPr>
          <w:rFonts w:ascii="Calibri" w:hAnsi="Calibri" w:cs="Calibri"/>
        </w:rPr>
      </w:pPr>
      <w:r w:rsidRPr="00103A50">
        <w:rPr>
          <w:rFonts w:ascii="Calibri" w:hAnsi="Calibri" w:cs="Calibri"/>
          <w:i/>
        </w:rPr>
        <w:t>NRPP-leeninstrument</w:t>
      </w:r>
      <w:r w:rsidRPr="00103A50">
        <w:rPr>
          <w:rFonts w:ascii="Calibri" w:hAnsi="Calibri" w:cs="Calibri"/>
          <w:i/>
        </w:rPr>
        <w:br/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maximum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150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miljard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beschikbaar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implementatie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NRPPs.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kapitaalmarkten.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kunnen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verzoek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indienen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indiening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NRPP,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indien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aanvullende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hervormingen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investeringen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NRPP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hoger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beschikbare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nationale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EU-middelen.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Verzoeken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zullen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behandeld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Raad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Raadsbesluit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NRPP,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waarna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leenovereenkomst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aangaan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687F88B6" w14:textId="77777777">
      <w:pPr>
        <w:rPr>
          <w:rFonts w:ascii="Calibri" w:hAnsi="Calibri" w:cs="Calibri"/>
        </w:rPr>
      </w:pPr>
    </w:p>
    <w:p w:rsidRPr="00103A50" w:rsidR="00C83724" w:rsidP="00C83724" w:rsidRDefault="00C83724" w14:paraId="7FAC97D6" w14:textId="3EA021A0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Hoewel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beschikbare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budget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NRPPs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hoger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leidt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extra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afdrachten,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voorstander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NRPPs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vullen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steun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vorm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leningen,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kapitaalmarkten.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noodzaak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kapitaalmarkt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verstrekken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NRPP.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plannen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moeten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principe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passen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lastRenderedPageBreak/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EU-begroting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beschikbaar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budget.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Indien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grotere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ambities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hebben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kunnen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zelf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nationaal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extra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vrijmaken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bijdragen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NRPP.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1B49F843" w14:textId="77777777">
      <w:pPr>
        <w:rPr>
          <w:rFonts w:ascii="Calibri" w:hAnsi="Calibri" w:cs="Calibri"/>
        </w:rPr>
      </w:pPr>
    </w:p>
    <w:p w:rsidRPr="00103A50" w:rsidR="00C83724" w:rsidP="00C83724" w:rsidRDefault="00C83724" w14:paraId="7FC5DE34" w14:textId="3EFCF2A3">
      <w:pPr>
        <w:rPr>
          <w:rFonts w:ascii="Calibri" w:hAnsi="Calibri" w:cs="Calibri"/>
          <w:i/>
          <w:iCs/>
        </w:rPr>
      </w:pPr>
      <w:r w:rsidRPr="00103A50">
        <w:rPr>
          <w:rFonts w:ascii="Calibri" w:hAnsi="Calibri" w:cs="Calibri"/>
          <w:i/>
          <w:iCs/>
        </w:rPr>
        <w:t>Leningen</w:t>
      </w:r>
      <w:r w:rsidRPr="00103A50" w:rsidR="003674D3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Global</w:t>
      </w:r>
      <w:r w:rsidRPr="00103A50" w:rsidR="003674D3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Europe</w:t>
      </w:r>
    </w:p>
    <w:p w:rsidRPr="00103A50" w:rsidR="00C83724" w:rsidP="00C83724" w:rsidRDefault="00C83724" w14:paraId="64EA761C" w14:textId="03A5BEEB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buiten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macro-financiële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bijstand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landen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verstrekken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Unie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kapitaalmarkt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leent,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eerder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gedaan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Westelijke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Balkan-faciliteit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faciliteit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Moldavië.</w:t>
      </w:r>
    </w:p>
    <w:p w:rsidRPr="00103A50" w:rsidR="00C83724" w:rsidP="00C83724" w:rsidRDefault="00C83724" w14:paraId="11C20EE1" w14:textId="77777777">
      <w:pPr>
        <w:rPr>
          <w:rFonts w:ascii="Calibri" w:hAnsi="Calibri" w:cs="Calibri"/>
        </w:rPr>
      </w:pPr>
    </w:p>
    <w:p w:rsidRPr="00103A50" w:rsidR="00C83724" w:rsidP="00C83724" w:rsidRDefault="00C83724" w14:paraId="5CC18722" w14:textId="3B4AFD8A">
      <w:pPr>
        <w:rPr>
          <w:rFonts w:ascii="Calibri" w:hAnsi="Calibri" w:cs="Calibri"/>
          <w:b/>
        </w:rPr>
      </w:pP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Unie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aangaat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financieren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landen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macro-financiële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beleidsleningen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gegarandeerd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gemeenschappelijk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voorzieningsfonds,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gevoed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budgetten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beschikbaar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Global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Daarmee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ontstaat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risico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hogere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EU-afdrachten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garantie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opgenomen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begroting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Ministerie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Financiën,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gemeenschappelijke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schuld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  <w:i/>
          <w:iCs/>
        </w:rPr>
        <w:t>headroom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gegarandeerd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mogelijkheden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verstrekken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dergelijke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landen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type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faciliteiten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kritisch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kijken.</w:t>
      </w:r>
    </w:p>
    <w:p w:rsidRPr="00103A50" w:rsidR="00C83724" w:rsidP="00C83724" w:rsidRDefault="00C83724" w14:paraId="076A0270" w14:textId="77777777">
      <w:pPr>
        <w:rPr>
          <w:rFonts w:ascii="Calibri" w:hAnsi="Calibri" w:cs="Calibri"/>
          <w:b/>
        </w:rPr>
      </w:pPr>
    </w:p>
    <w:p w:rsidRPr="00103A50" w:rsidR="00C83724" w:rsidP="00C83724" w:rsidRDefault="00C83724" w14:paraId="08EC496C" w14:textId="77777777">
      <w:pPr>
        <w:rPr>
          <w:rFonts w:ascii="Calibri" w:hAnsi="Calibri" w:cs="Calibri"/>
          <w:b/>
        </w:rPr>
      </w:pPr>
      <w:r w:rsidRPr="00103A50">
        <w:rPr>
          <w:rFonts w:ascii="Calibri" w:hAnsi="Calibri" w:cs="Calibri"/>
          <w:b/>
        </w:rPr>
        <w:t>Eigenmiddelenbesluit</w:t>
      </w:r>
    </w:p>
    <w:p w:rsidRPr="00103A50" w:rsidR="00C83724" w:rsidP="00C83724" w:rsidRDefault="00C83724" w14:paraId="6BC979B1" w14:textId="7C6CAE3B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regelt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inkomsten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(financiering)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EU-begroting,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onverminderd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andere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ontvangsten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volledig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gefinancierd.</w:t>
      </w:r>
      <w:r w:rsidRPr="00103A50">
        <w:rPr>
          <w:rFonts w:ascii="Calibri" w:hAnsi="Calibri" w:cs="Calibri"/>
          <w:vertAlign w:val="superscript"/>
        </w:rPr>
        <w:footnoteReference w:id="27"/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januari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2021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werking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getreden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einddatum.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soorten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middelen.</w:t>
      </w:r>
      <w:r w:rsidRPr="00103A50">
        <w:rPr>
          <w:rFonts w:ascii="Calibri" w:hAnsi="Calibri" w:cs="Calibri"/>
          <w:vertAlign w:val="superscript"/>
        </w:rPr>
        <w:footnoteReference w:id="28"/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afgedragen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begroting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basis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vastgestelde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grondslagen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afdrachtenpercentages.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Daarnaast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legt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vergoeding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inningskosten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traditionele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(douanerechten)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vast,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perceptiekostenvergoeding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genoemd.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kortingen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correctiemechanismes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bepaalde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afdrachten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opgenomen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2027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korting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bni-afdracht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aantal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Tevens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plafond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opgenomen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betreft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maximale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bedrag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vragen.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laatste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buitengewone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machtiging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opgenomen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lastRenderedPageBreak/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kapitaalmarkt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NGEU.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stellen,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aantal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punten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verschilt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Raad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besluit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unanimiteit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raadpleging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EP,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conform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artikel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311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VWEU.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treedt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pas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werking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goedkeuring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overeenkomstig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nationale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grondwettelijke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procedures.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betekent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parlementaire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behandeling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goedkeuring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2B4E63C1" w14:textId="77777777">
      <w:pPr>
        <w:rPr>
          <w:rFonts w:ascii="Calibri" w:hAnsi="Calibri" w:cs="Calibri"/>
        </w:rPr>
      </w:pPr>
    </w:p>
    <w:p w:rsidRPr="00103A50" w:rsidR="00C83724" w:rsidP="00C83724" w:rsidRDefault="00C83724" w14:paraId="79559EAE" w14:textId="01E13D2A">
      <w:pPr>
        <w:rPr>
          <w:rFonts w:ascii="Calibri" w:hAnsi="Calibri" w:cs="Calibri"/>
          <w:i/>
        </w:rPr>
      </w:pPr>
      <w:r w:rsidRPr="00103A50">
        <w:rPr>
          <w:rFonts w:ascii="Calibri" w:hAnsi="Calibri" w:cs="Calibri"/>
          <w:i/>
        </w:rPr>
        <w:t>Bestaande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eigen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middelen</w:t>
      </w:r>
    </w:p>
    <w:p w:rsidRPr="00103A50" w:rsidR="00C83724" w:rsidP="00C83724" w:rsidRDefault="00C83724" w14:paraId="64B5628F" w14:textId="6B73BABD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behouden,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wil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aantal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wijzigingen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doorvoeren.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correctiemechanismes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schaffen,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systeem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transparanter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eenvoudiger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maken.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betekent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continuering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korting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bni-afdracht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aantal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t/m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2027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ontvangen,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afschaffen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plafond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berekening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btw-grondslag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beëindigen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jaarlijkse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korting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sommige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plastic-afdracht.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Daarnaast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perceptiekostenvergoeding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verlaagd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25%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10%.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verhoging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afdracht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kilo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gerecycled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plastic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verpakkingsafval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–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€0,80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kilo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€1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kilo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-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cijfer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jaarlijks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passen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inflatie.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slot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handling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fee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e-commerce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pakketten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gaat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douanerechten.</w:t>
      </w:r>
      <w:r w:rsidRPr="00103A50">
        <w:rPr>
          <w:rFonts w:ascii="Calibri" w:hAnsi="Calibri" w:cs="Calibri"/>
          <w:vertAlign w:val="superscript"/>
        </w:rPr>
        <w:footnoteReference w:id="29"/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1D92F0C7" w14:textId="77777777">
      <w:pPr>
        <w:rPr>
          <w:rFonts w:ascii="Calibri" w:hAnsi="Calibri" w:cs="Calibri"/>
        </w:rPr>
      </w:pPr>
    </w:p>
    <w:p w:rsidRPr="00103A50" w:rsidR="00C83724" w:rsidP="00C83724" w:rsidRDefault="00C83724" w14:paraId="292BBA31" w14:textId="77777777">
      <w:pPr>
        <w:rPr>
          <w:rFonts w:ascii="Calibri" w:hAnsi="Calibri" w:cs="Calibri"/>
          <w:i/>
        </w:rPr>
      </w:pPr>
      <w:r w:rsidRPr="00103A50">
        <w:rPr>
          <w:rFonts w:ascii="Calibri" w:hAnsi="Calibri" w:cs="Calibri"/>
          <w:i/>
        </w:rPr>
        <w:t>Appreciatie</w:t>
      </w:r>
    </w:p>
    <w:p w:rsidRPr="00103A50" w:rsidR="00C83724" w:rsidP="00C83724" w:rsidRDefault="00C83724" w14:paraId="0D92B09D" w14:textId="322481D7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pleiten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vermindering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aandeel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nationale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bijdragen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korting.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bni-korting,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afgelopen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MFK’s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ontvangen,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noodzakelijk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blijft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onevenwichtigheden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uitgavenzijde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begroting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corrigeren.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voorstander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verlaging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perceptiekostenvergoeding.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werk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Douane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juist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meer,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divers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ingewikkelder.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4F8E1D19" w14:textId="77777777">
      <w:pPr>
        <w:rPr>
          <w:rFonts w:ascii="Calibri" w:hAnsi="Calibri" w:cs="Calibri"/>
        </w:rPr>
      </w:pPr>
    </w:p>
    <w:p w:rsidRPr="00103A50" w:rsidR="00C83724" w:rsidP="00C83724" w:rsidRDefault="00C83724" w14:paraId="19FF2C6A" w14:textId="4D90FC63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Tevens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vragen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interpretatie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handling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fee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e-commerce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pakketten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douanerechten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beschouwen.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vraagt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zich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zich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verhoudt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handling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fee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onkostenvergoeding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extra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douanediensten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lastRenderedPageBreak/>
        <w:t>e-commercestroom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controleren,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druk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douanediensten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zelf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aankaart.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6D579A4C" w14:textId="77777777">
      <w:pPr>
        <w:rPr>
          <w:rFonts w:ascii="Calibri" w:hAnsi="Calibri" w:cs="Calibri"/>
        </w:rPr>
      </w:pPr>
    </w:p>
    <w:p w:rsidRPr="00103A50" w:rsidR="00C83724" w:rsidP="00C83724" w:rsidRDefault="00C83724" w14:paraId="54C753DD" w14:textId="296B15D0">
      <w:pPr>
        <w:rPr>
          <w:rFonts w:ascii="Calibri" w:hAnsi="Calibri" w:cs="Calibri"/>
        </w:rPr>
      </w:pPr>
      <w:r w:rsidRPr="00103A50">
        <w:rPr>
          <w:rFonts w:ascii="Calibri" w:hAnsi="Calibri" w:cs="Calibri"/>
          <w:i/>
        </w:rPr>
        <w:t>Nieuwe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eigen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middelen</w:t>
      </w:r>
    </w:p>
    <w:p w:rsidRPr="00103A50" w:rsidR="00C83724" w:rsidP="00C83724" w:rsidRDefault="00C83724" w14:paraId="7DE921AB" w14:textId="79E2AD6A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Nederland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Raad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17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t/m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21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juli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2020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 w:rsidDel="00981E99">
        <w:rPr>
          <w:rFonts w:ascii="Calibri" w:hAnsi="Calibri" w:cs="Calibri"/>
        </w:rPr>
        <w:t>interinstitutioneel</w:t>
      </w:r>
      <w:r w:rsidRPr="00103A50" w:rsidR="003674D3">
        <w:rPr>
          <w:rFonts w:ascii="Calibri" w:hAnsi="Calibri" w:cs="Calibri"/>
        </w:rPr>
        <w:t xml:space="preserve"> </w:t>
      </w:r>
      <w:r w:rsidRPr="00103A50" w:rsidDel="00981E99">
        <w:rPr>
          <w:rFonts w:ascii="Calibri" w:hAnsi="Calibri" w:cs="Calibri"/>
        </w:rPr>
        <w:t>akkoord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16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december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2020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ingestemd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komen,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behoeve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rente-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aflossingsverplichtingen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kapitaalmarkt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geleend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uitgaven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herstelfonds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NGEU.</w:t>
      </w:r>
      <w:r w:rsidRPr="00103A50">
        <w:rPr>
          <w:rStyle w:val="Voetnootmarkering"/>
          <w:rFonts w:ascii="Calibri" w:hAnsi="Calibri" w:cs="Calibri"/>
        </w:rPr>
        <w:footnoteReference w:id="30"/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afspraak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gemaakt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achtergrond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uitgaven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Uniebegroting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behoeve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terugbetaling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herstelinstrument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zouden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leiden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onnodige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vermindering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programma-uitgaven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investeringsinstrumenten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hoofde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stijging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bni-afdracht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beperken.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2021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2023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gedaan.</w:t>
      </w:r>
      <w:r w:rsidRPr="00103A50">
        <w:rPr>
          <w:rFonts w:ascii="Calibri" w:hAnsi="Calibri" w:cs="Calibri"/>
          <w:vertAlign w:val="superscript"/>
        </w:rPr>
        <w:footnoteReference w:id="31"/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Raad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besluitvorming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gekomen.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73BD9BE6" w14:textId="77777777">
      <w:pPr>
        <w:rPr>
          <w:rFonts w:ascii="Calibri" w:hAnsi="Calibri" w:cs="Calibri"/>
        </w:rPr>
      </w:pPr>
    </w:p>
    <w:p w:rsidRPr="00103A50" w:rsidR="00C83724" w:rsidP="00C83724" w:rsidRDefault="00C83724" w14:paraId="4C12AD48" w14:textId="28AAD040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vijf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bovenop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bestaande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betreft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basis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inkomsten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EU-emissiehandelssysteem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</w:t>
      </w:r>
      <w:r w:rsidRPr="00103A50">
        <w:rPr>
          <w:rFonts w:ascii="Calibri" w:hAnsi="Calibri" w:cs="Calibri"/>
          <w:i/>
        </w:rPr>
        <w:t>Emission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Trading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System</w:t>
      </w:r>
      <w:r w:rsidRPr="00103A50">
        <w:rPr>
          <w:rFonts w:ascii="Calibri" w:hAnsi="Calibri" w:cs="Calibri"/>
        </w:rPr>
        <w:t>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ETS-1),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opbrengsten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mechanisme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koolstofcorrectie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</w:t>
      </w:r>
      <w:r w:rsidRPr="00103A50">
        <w:rPr>
          <w:rFonts w:ascii="Calibri" w:hAnsi="Calibri" w:cs="Calibri"/>
          <w:i/>
        </w:rPr>
        <w:t>Carbon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Border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Adjustment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Mechanism,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</w:rPr>
        <w:t>CBAM),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3)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niet-ingezameld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elektrisch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elektronisch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afval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(‘e-waste’),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4)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markt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gebrachte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tabaksfabrikaten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tabak-gerelateerde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producten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</w:t>
      </w:r>
      <w:r w:rsidRPr="00103A50">
        <w:rPr>
          <w:rFonts w:ascii="Calibri" w:hAnsi="Calibri" w:cs="Calibri"/>
          <w:i/>
        </w:rPr>
        <w:t>Tobacco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Excise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Duty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Down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Resource,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TEDOR</w:t>
      </w:r>
      <w:r w:rsidRPr="00103A50">
        <w:rPr>
          <w:rFonts w:ascii="Calibri" w:hAnsi="Calibri" w:cs="Calibri"/>
        </w:rPr>
        <w:t>),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5)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omzetbijdrage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ondernemingen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</w:t>
      </w:r>
      <w:r w:rsidRPr="00103A50">
        <w:rPr>
          <w:rFonts w:ascii="Calibri" w:hAnsi="Calibri" w:cs="Calibri"/>
          <w:i/>
        </w:rPr>
        <w:t>Corporate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Own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Resource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for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Europe,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CORE</w:t>
      </w:r>
      <w:r w:rsidRPr="00103A50">
        <w:rPr>
          <w:rFonts w:ascii="Calibri" w:hAnsi="Calibri" w:cs="Calibri"/>
        </w:rPr>
        <w:t>).</w:t>
      </w:r>
    </w:p>
    <w:p w:rsidRPr="00103A50" w:rsidR="00C83724" w:rsidP="00C83724" w:rsidRDefault="00C83724" w14:paraId="038E7E33" w14:textId="77777777">
      <w:pPr>
        <w:rPr>
          <w:rFonts w:ascii="Calibri" w:hAnsi="Calibri" w:cs="Calibri"/>
        </w:rPr>
      </w:pPr>
    </w:p>
    <w:p w:rsidRPr="00103A50" w:rsidR="00C83724" w:rsidP="00C83724" w:rsidRDefault="00C83724" w14:paraId="0C8C123E" w14:textId="7D694128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eerste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introduceren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basis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inkomsten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ETS.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gaat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specifiek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zogenoemde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ETS-1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inkomsten,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ETS-2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onder.</w:t>
      </w:r>
      <w:r w:rsidRPr="00103A50">
        <w:rPr>
          <w:rFonts w:ascii="Calibri" w:hAnsi="Calibri" w:cs="Calibri"/>
          <w:vertAlign w:val="superscript"/>
        </w:rPr>
        <w:footnoteReference w:id="32"/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toekomst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bijdrage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EU-begroting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leveren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omvang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30%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ETS-1-inkomsten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toegekende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veilbare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emissierechten).</w:t>
      </w:r>
      <w:r w:rsidRPr="00103A50">
        <w:rPr>
          <w:rFonts w:ascii="Calibri" w:hAnsi="Calibri" w:cs="Calibri"/>
          <w:vertAlign w:val="superscript"/>
        </w:rPr>
        <w:footnoteReference w:id="33"/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74A49256" w14:textId="77777777">
      <w:pPr>
        <w:rPr>
          <w:rFonts w:ascii="Calibri" w:hAnsi="Calibri" w:cs="Calibri"/>
        </w:rPr>
      </w:pPr>
    </w:p>
    <w:p w:rsidRPr="00103A50" w:rsidR="00C83724" w:rsidP="00C83724" w:rsidRDefault="00C83724" w14:paraId="688EE7D3" w14:textId="431C56FD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tweede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gebaseerd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opbrengsten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voortvloeien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CBAM.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75%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opbrengsten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verkoop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CBAM-certificaten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EU-begroting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gaat.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4D6069C9" w14:textId="77777777">
      <w:pPr>
        <w:rPr>
          <w:rFonts w:ascii="Calibri" w:hAnsi="Calibri" w:cs="Calibri"/>
        </w:rPr>
      </w:pPr>
    </w:p>
    <w:p w:rsidRPr="00103A50" w:rsidR="00C83724" w:rsidP="00C83724" w:rsidRDefault="00C83724" w14:paraId="06C71F96" w14:textId="37E52E62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voorstelt,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gebaseerd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hoeveelheid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niet-ingezameld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elektrisch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elektronisch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afval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(hierna: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‘e-waste’).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afdracht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berekend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bestaande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statistieken,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tarief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kilogram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passen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volume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niet-ingezamelde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e-waste.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tarief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jaarlijks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geïndexeerd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inflatieontwikkeling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20136F9F" w14:textId="77777777">
      <w:pPr>
        <w:rPr>
          <w:rFonts w:ascii="Calibri" w:hAnsi="Calibri" w:cs="Calibri"/>
        </w:rPr>
      </w:pPr>
    </w:p>
    <w:p w:rsidRPr="00103A50" w:rsidR="00C83724" w:rsidP="00C83724" w:rsidRDefault="00C83724" w14:paraId="24ADEE18" w14:textId="45ED45DC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vierde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introduceren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basis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markt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gebrachte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tabaksfabrikanten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tabak-gerelateerde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producten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(hierna: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tabak).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grondslag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afdracht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berekend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hoeveelheid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markt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gebrachte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tabak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vermenigvuldigen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toepassing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minimum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accijnstarief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lidstaat.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Volgens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afdracht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vervolgens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berekend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uniform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afdracht-percentage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15%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passen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grondslag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lidstaat.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gekoppeld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herziening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richtlijn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tabaksaccijns,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gelijktijdig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gepresenteerd.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Indien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overeenstemming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bereikt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herziening,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grondslag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gebaseerd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bestaande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richtlijn.</w:t>
      </w:r>
      <w:r w:rsidRPr="00103A50">
        <w:rPr>
          <w:rStyle w:val="Voetnootmarkering"/>
          <w:rFonts w:ascii="Calibri" w:hAnsi="Calibri" w:cs="Calibri"/>
        </w:rPr>
        <w:footnoteReference w:id="34"/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herziening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richtlijn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tabaksaccijns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verbreedt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grondslag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uitbreiding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toepassingsbereik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tabaks-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tabaks-gerelateerde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producten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(zoals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vapes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  <w:i/>
        </w:rPr>
        <w:t>heated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tobacco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products</w:t>
      </w:r>
      <w:r w:rsidRPr="00103A50">
        <w:rPr>
          <w:rFonts w:ascii="Calibri" w:hAnsi="Calibri" w:cs="Calibri"/>
        </w:rPr>
        <w:t>).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Daarnaast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herziening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minimumtarieven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verhogen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opzichte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bestaande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richtlijn.</w:t>
      </w:r>
    </w:p>
    <w:p w:rsidRPr="00103A50" w:rsidR="00C83724" w:rsidP="00C83724" w:rsidRDefault="00C83724" w14:paraId="3F93E590" w14:textId="77777777">
      <w:pPr>
        <w:rPr>
          <w:rFonts w:ascii="Calibri" w:hAnsi="Calibri" w:cs="Calibri"/>
        </w:rPr>
      </w:pPr>
    </w:p>
    <w:p w:rsidRPr="00103A50" w:rsidR="00C83724" w:rsidP="00C83724" w:rsidRDefault="00C83724" w14:paraId="27DA8CCC" w14:textId="2B3DA954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slot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gebaseerd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afdracht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ondernemingen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omzet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100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miljoen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opereren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interne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markt.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Volgens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moeten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entiteiten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ondernemingen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jaarlijks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bedrag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betalen,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toeneemt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naarmate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omzet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hoger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bedrijven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omzet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lastRenderedPageBreak/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750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miljoen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bedraagt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maximumbedrag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750.000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zelf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verantwoordelijk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uiteindelijke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afdracht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juridische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grondslag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opgenomen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precieze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uitwerking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echter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vastgelegd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verordening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vaststelling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uitvoeringsmaatregelen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stelsel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(IMSOR).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onduidelijk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welke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bedrijven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exact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regeling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zullen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nationale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implementatie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precies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werken.</w:t>
      </w:r>
    </w:p>
    <w:p w:rsidRPr="00103A50" w:rsidR="00C83724" w:rsidP="00C83724" w:rsidRDefault="00C83724" w14:paraId="06582C87" w14:textId="77777777">
      <w:pPr>
        <w:rPr>
          <w:rFonts w:ascii="Calibri" w:hAnsi="Calibri" w:cs="Calibri"/>
        </w:rPr>
      </w:pPr>
    </w:p>
    <w:p w:rsidRPr="00103A50" w:rsidR="00C83724" w:rsidP="00C83724" w:rsidRDefault="00C83724" w14:paraId="7FB0F647" w14:textId="46EDDAD9">
      <w:pPr>
        <w:rPr>
          <w:rFonts w:ascii="Calibri" w:hAnsi="Calibri" w:cs="Calibri"/>
          <w:i/>
        </w:rPr>
      </w:pPr>
      <w:r w:rsidRPr="00103A50">
        <w:rPr>
          <w:rFonts w:ascii="Calibri" w:hAnsi="Calibri" w:cs="Calibri"/>
          <w:i/>
        </w:rPr>
        <w:t>Appreciatie</w:t>
      </w:r>
      <w:r w:rsidRPr="00103A50" w:rsidR="003674D3">
        <w:rPr>
          <w:rFonts w:ascii="Calibri" w:hAnsi="Calibri" w:cs="Calibri"/>
          <w:i/>
        </w:rPr>
        <w:t xml:space="preserve"> </w:t>
      </w:r>
    </w:p>
    <w:p w:rsidRPr="00103A50" w:rsidR="00C83724" w:rsidP="00C83724" w:rsidRDefault="00C83724" w14:paraId="42E50DAF" w14:textId="47615342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Kamerbrief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28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maart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jl.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aangegeven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voorbaat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omarmen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merites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beoordelen.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Tevens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reeds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aangegeven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beginsel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open</w:t>
      </w:r>
      <w:r w:rsidRPr="00103A50" w:rsidR="003674D3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tag w:val="goog_rdk_145"/>
          <w:id w:val="-1775325300"/>
        </w:sdtPr>
        <w:sdtEndPr/>
        <w:sdtContent>
          <w:r w:rsidRPr="00103A50">
            <w:rPr>
              <w:rFonts w:ascii="Calibri" w:hAnsi="Calibri" w:cs="Calibri"/>
            </w:rPr>
            <w:t>te</w:t>
          </w:r>
          <w:r w:rsidRPr="00103A50" w:rsidR="003674D3">
            <w:rPr>
              <w:rFonts w:ascii="Calibri" w:hAnsi="Calibri" w:cs="Calibri"/>
            </w:rPr>
            <w:t xml:space="preserve"> </w:t>
          </w:r>
          <w:r w:rsidRPr="00103A50">
            <w:rPr>
              <w:rFonts w:ascii="Calibri" w:hAnsi="Calibri" w:cs="Calibri"/>
            </w:rPr>
            <w:t>staan</w:t>
          </w:r>
          <w:r w:rsidRPr="00103A50" w:rsidR="003674D3">
            <w:rPr>
              <w:rFonts w:ascii="Calibri" w:hAnsi="Calibri" w:cs="Calibri"/>
            </w:rPr>
            <w:t xml:space="preserve"> </w:t>
          </w:r>
          <w:r w:rsidRPr="00103A50">
            <w:rPr>
              <w:rFonts w:ascii="Calibri" w:hAnsi="Calibri" w:cs="Calibri"/>
            </w:rPr>
            <w:t>voor</w:t>
          </w:r>
        </w:sdtContent>
      </w:sdt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basis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inkomsten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ETS-1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basis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CBAM.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sindsdien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aangepast.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appreciatie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toegelicht,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beschikbare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informatie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is.</w:t>
      </w:r>
    </w:p>
    <w:p w:rsidRPr="00103A50" w:rsidR="00C83724" w:rsidP="00C83724" w:rsidRDefault="00C83724" w14:paraId="684AD135" w14:textId="77777777">
      <w:pPr>
        <w:rPr>
          <w:rFonts w:ascii="Calibri" w:hAnsi="Calibri" w:cs="Calibri"/>
        </w:rPr>
      </w:pPr>
    </w:p>
    <w:p w:rsidRPr="00103A50" w:rsidR="00C83724" w:rsidP="00C83724" w:rsidRDefault="00C83724" w14:paraId="1948C7E8" w14:textId="654EDEA2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beoordeling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individuele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neemt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verschillende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factoren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overweging.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kijkt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(netto-)effect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afdrachten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ijkpunt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resulteert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hogere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lagere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afdracht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opzichte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bni-verdeelsleutel.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vergelijking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bni-verdeelsleutel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relevant,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bni-afdracht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fungeert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sluitpost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financiering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EU-begroting.</w:t>
      </w:r>
      <w:r w:rsidRPr="00103A50">
        <w:rPr>
          <w:rFonts w:ascii="Calibri" w:hAnsi="Calibri" w:cs="Calibri"/>
          <w:vertAlign w:val="superscript"/>
        </w:rPr>
        <w:footnoteReference w:id="35"/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bni-aandeel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bedraagt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6,4%.</w:t>
      </w:r>
    </w:p>
    <w:p w:rsidRPr="00103A50" w:rsidR="00C83724" w:rsidP="00C83724" w:rsidRDefault="00C83724" w14:paraId="1829C71B" w14:textId="77777777">
      <w:pPr>
        <w:rPr>
          <w:rFonts w:ascii="Calibri" w:hAnsi="Calibri" w:cs="Calibri"/>
        </w:rPr>
      </w:pPr>
    </w:p>
    <w:p w:rsidRPr="00103A50" w:rsidR="00C83724" w:rsidP="00C83724" w:rsidRDefault="00C83724" w14:paraId="15C816A7" w14:textId="562C85F8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Naast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effect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afdrachten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weegt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beoordeling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stabiliteit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voorspelbaarheid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grondslagen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evenals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uitvoerbaarheid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gekeken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hoeverre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aansluit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nationale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beleidsdoelstellingen.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Alomvattend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geldt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uitgangspunt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rechtvaardig,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transparant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eenvoudig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stelsel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lastRenderedPageBreak/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geheel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samenhang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wegen,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inclusief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MFK-verordening.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3819AEDA" w14:textId="77777777">
      <w:pPr>
        <w:rPr>
          <w:rFonts w:ascii="Calibri" w:hAnsi="Calibri" w:cs="Calibri"/>
        </w:rPr>
      </w:pPr>
    </w:p>
    <w:p w:rsidRPr="00103A50" w:rsidR="00C83724" w:rsidP="00C83724" w:rsidRDefault="00C83724" w14:paraId="4C55C526" w14:textId="2A53E79D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basis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inkomsten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ETS-1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aangepast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opzichte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eerdere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voorstellen.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analyse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informatie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nodig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volledige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appreciatie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kunnen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duidelijk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ETS-eigen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voordeliger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bni-afdracht.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verwacht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wel,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zekerheid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zeggen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eerdere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cijfers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2023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zowel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ETS-1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ETS-2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correctiemechanisme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bevatten.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grondslag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ETS-eigen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gebaseerd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aantal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veilbare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rechten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ETS-prijzen.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prijzen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markt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onderhevig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fluctuatie.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constateert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daarmee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afdracht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basis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ETS-prijzen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waarschijnlijk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voorspelbaar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nadelig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acht.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Besluitvorming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ETS-richtlijnen,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baseert,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vindt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plaats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basis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gekwalificeerde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meerderheid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Raad.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betekent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grondslag,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dus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verdeelsleutel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basis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afdraagt,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wijzigen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daarmee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instemt.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grondslag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zelf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ligt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immers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verwijst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ETS-richtlijnen.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Tevens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constateert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ETS-afdracht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steeds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aflopen,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aangezien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hoeveelheid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veilen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rechten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richting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2040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steeds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afnemen,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uiteindelijk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nul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Daarnaast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inschatting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ETS-afdracht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uitvoerbaar.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uitvoering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ETS-afdrachten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verloopt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reguliere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procedures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bestaande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veilingsysteem,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additionele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beperkt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blijven.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ETS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draagt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klimaatbeleid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CO2-reductie,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verplicht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veilinginkomsten,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equivalent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hiervan,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volledig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besteden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klimaatbeleid.</w:t>
      </w:r>
      <w:r w:rsidRPr="00103A50">
        <w:rPr>
          <w:rStyle w:val="Voetnootmarkering"/>
          <w:rFonts w:ascii="Calibri" w:hAnsi="Calibri" w:cs="Calibri"/>
        </w:rPr>
        <w:footnoteReference w:id="36"/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voorliggende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introduceren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basis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opbrengsten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ETS-beleidsvoorstel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levert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zichzelf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directe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bijdrage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klimaatdoelstelling.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1179287C" w14:textId="77777777">
      <w:pPr>
        <w:rPr>
          <w:rFonts w:ascii="Calibri" w:hAnsi="Calibri" w:cs="Calibri"/>
        </w:rPr>
      </w:pPr>
    </w:p>
    <w:p w:rsidRPr="00103A50" w:rsidR="00C83724" w:rsidP="00C83724" w:rsidRDefault="00C83724" w14:paraId="7012E32D" w14:textId="3A9CF8C6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basis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CBAM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aangepast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opzichte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eerdere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voorstellen.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analyse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informatie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nodig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volledige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appreciatie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kunnen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CBAM-eigen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duidelijk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voordeliger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bni-afdracht.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basis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oude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inschattingen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2023)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verdeelsleutel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3,6%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bedragen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periode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2028-2030.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Indien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inschattingen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correct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CBAM-eigen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voordelig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lastRenderedPageBreak/>
        <w:t>Nederland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wanneer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vergeleken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bni-sleutel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(6,4%).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echter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cijfers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beschikbaar.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aanzien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voorspelbaarheid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afdracht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constateert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afdracht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basis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CBAM-opbrengsten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voorspelbaar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bni-afdracht,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nadelig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acht.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prijs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CBAM-certificaten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gekoppeld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ETS-prijs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betreft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marktinstrument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fluctuerende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prijzen.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Daarnaast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CBAM-opbrengsten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afhankelijk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klimaatinzet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(bedrijven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landen.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volgt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CBAM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termijn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waarschijnlijk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opbrengsten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genereren.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opbrengsten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basis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CBAM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verwachting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zeer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beperkt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zullen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lagere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voorspelbaarheid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verwachting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relatief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weinig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gevolgen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hebben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bni-afdracht.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ETS-eigen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vindt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besluitvorming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CBAM-verordening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Raad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gekwalificeerde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meerderheid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plaats.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betekent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grondslag,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dus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verdeelsleutel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basis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afdraagt,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wijzigen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daarmee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instemt.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inschatting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CBAM-afdracht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uitvoerbaar.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uitvoering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CBAM-afdrachten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verloopt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waarschijnlijk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reguliere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procedures,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additionele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beperkt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blijven.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CBAM-beleid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draagt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klimaatbeleid.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introduceren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basis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verwachte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opbrengsten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CBAM-beleidsvoorstel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levert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directe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bijdrage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klimaatdoelstelling,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sluit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aan.</w:t>
      </w:r>
    </w:p>
    <w:p w:rsidRPr="00103A50" w:rsidR="00C83724" w:rsidP="00C83724" w:rsidRDefault="00C83724" w14:paraId="1FA23627" w14:textId="77777777">
      <w:pPr>
        <w:rPr>
          <w:rFonts w:ascii="Calibri" w:hAnsi="Calibri" w:cs="Calibri"/>
        </w:rPr>
      </w:pPr>
    </w:p>
    <w:p w:rsidRPr="00103A50" w:rsidR="00C83724" w:rsidP="00C83724" w:rsidRDefault="00C83724" w14:paraId="2D0432F0" w14:textId="0A99FED6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Nadere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analyse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informatie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nodig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volledige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appreciatie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kunnen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basis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e-waste.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informatie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analyse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effect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afdracht.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Daarnaast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gekeken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geleerde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lessen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invoering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basis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niet-gerecycled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plastic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verpakkingsafval,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beschreven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rapport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ERK.</w:t>
      </w:r>
      <w:r w:rsidRPr="00103A50">
        <w:rPr>
          <w:rStyle w:val="Voetnootmarkering"/>
          <w:rFonts w:ascii="Calibri" w:hAnsi="Calibri" w:cs="Calibri"/>
        </w:rPr>
        <w:footnoteReference w:id="37"/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namelijk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overeenkomsten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tussen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bestaande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plastic-eigen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statistiek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gebaseerd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beschikbaar,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betrouwbaar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goed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vergelijkbaar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tussen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enkele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knelpunten.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biedt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richtlijn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Afgedankte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Elektrische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Elektronische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Apparatuur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(hierna: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richtlijn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AEEA)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mogelijkheid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twee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wijze</w:t>
      </w:r>
      <w:sdt>
        <w:sdtPr>
          <w:rPr>
            <w:rFonts w:ascii="Calibri" w:hAnsi="Calibri" w:cs="Calibri"/>
          </w:rPr>
          <w:tag w:val="goog_rdk_147"/>
          <w:id w:val="1091352044"/>
        </w:sdtPr>
        <w:sdtEndPr/>
        <w:sdtContent>
          <w:r w:rsidRPr="00103A50">
            <w:rPr>
              <w:rFonts w:ascii="Calibri" w:hAnsi="Calibri" w:cs="Calibri"/>
            </w:rPr>
            <w:t>n</w:t>
          </w:r>
        </w:sdtContent>
      </w:sdt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berekening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inzamelpercentage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e-waste.</w:t>
      </w:r>
      <w:r w:rsidRPr="00103A50">
        <w:rPr>
          <w:rStyle w:val="Voetnootmarkering"/>
          <w:rFonts w:ascii="Calibri" w:hAnsi="Calibri" w:cs="Calibri"/>
        </w:rPr>
        <w:footnoteReference w:id="38"/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hanteert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rekenmethode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passend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65%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inzameldoelstelling.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hanteert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sinds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rekenmethode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passend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85%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inzameldoelstelling.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verschil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methode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levert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significant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verschil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voetlicht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brengen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Daarnaast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vragen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verhouding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lastRenderedPageBreak/>
        <w:t>tussen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beginselen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uitgebreide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producentenverantwoordelijkheid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producenten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verantwoordelijk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gehouden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inzamelen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e-waste,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alsmede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verwachte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herzieningsvoorstel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richtlijn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AEEA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  <w:i/>
          <w:iCs/>
        </w:rPr>
        <w:t>Circular</w:t>
      </w:r>
      <w:r w:rsidRPr="00103A50" w:rsidR="003674D3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Economy</w:t>
      </w:r>
      <w:r w:rsidRPr="00103A50" w:rsidR="003674D3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Act</w:t>
      </w:r>
      <w:r w:rsidRPr="00103A50">
        <w:rPr>
          <w:rFonts w:ascii="Calibri" w:hAnsi="Calibri" w:cs="Calibri"/>
        </w:rPr>
        <w:t>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Hoewel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e-waste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positieve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milieueffecten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oplevert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strategische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autonomie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Unie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versterkt,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daadwerkelijke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(gedrags)effect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lastig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schatten.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prikkels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afvalreductie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inzameling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e-waste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bevorderen.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sluit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daarmee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inhoudelijk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zowel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nationale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beleidsdoelstellingen,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stimuleert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hoeveelheid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e-waste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verminderen.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gevolgen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zullen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voorspelbaarheid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stabiliteit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grondslag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afdrachten,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moeilijk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schatten.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effectief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gericht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verminderen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hoeveelheid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e-waste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grondslag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verwachting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eroderen.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1522E094" w14:textId="77777777">
      <w:pPr>
        <w:rPr>
          <w:rFonts w:ascii="Calibri" w:hAnsi="Calibri" w:cs="Calibri"/>
        </w:rPr>
      </w:pPr>
    </w:p>
    <w:p w:rsidRPr="00103A50" w:rsidR="00C83724" w:rsidP="00C83724" w:rsidRDefault="00C83724" w14:paraId="760E5ADD" w14:textId="59E7785A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Nadere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analyse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informatie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nodig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volledige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appreciatie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kunnen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basis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tabak.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informatie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nodig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analyse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effect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afdracht.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Aangezien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gekoppeld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herziening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richtlijn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tabaksaccijns,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gelijktijdig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gepresenteerd,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grondslag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verhogen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-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gelijkblijvend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afdrachtenpercentage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15%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-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leiden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hogere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afdracht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sommige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basis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tabak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onderhandelingen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herziening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richtlijn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tabaksaccijns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compliceren.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Daarnaast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rekening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gehouden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mogelijke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erosie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grondslag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langere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termijn,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gevolg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dalende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tabaksconsumptie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nationale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gezondheidsmaatregelen.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administratieve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afhankelijk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vormgeving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gegevens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zelf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moeten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opleveren.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introduceren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basis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tabak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sluit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nationale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beleidsdoelstellingen,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levert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directe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bijdrage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nationale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beleidsdoelstellingen,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functioneren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interne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markt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gezondheidsdoelstellingen.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herzieningsvoorstel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richtlijn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tabaksaccijns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levert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bijdrage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wel.</w:t>
      </w:r>
    </w:p>
    <w:p w:rsidRPr="00103A50" w:rsidR="00C83724" w:rsidP="00C83724" w:rsidRDefault="00C83724" w14:paraId="1FC0CCF8" w14:textId="11448669">
      <w:pPr>
        <w:spacing w:before="240" w:after="240"/>
        <w:rPr>
          <w:rFonts w:ascii="Calibri" w:hAnsi="Calibri" w:cs="Calibri"/>
        </w:rPr>
      </w:pP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zeer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kritische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grondhouding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aanzien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gebaseerd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afdracht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zouden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ondernemingen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jaaromzet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100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miljoen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bijdrage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opereren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interne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markt.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analyse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informatie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nodig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volledige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appreciatie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kunnen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signaleert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risico’s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verplichte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additionele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bijdrage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lastRenderedPageBreak/>
        <w:t>ondernemingen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bedrijfsleven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concurrentievermogen.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concurrentiepositie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bedrijfsleven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staat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namelijk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aanzienlijke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druk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gevolg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geopolitieke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ontwikkelingen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uitdagingen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investerings-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vestigingsklimaat.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bijdrage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gebaseerd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omzet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ondernemingen,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rekening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houden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daadwerkelijk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gerealiseerde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winst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verlies.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structurele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verschillen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financiële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kenmerken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bedrijven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economische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voor-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tegenspoed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kunnen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structureel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tijdelijk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verschillen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ontstaan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tussen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omzet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bedrijven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winst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verlies.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situatie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ontstaan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bepaalde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bedrijfstakken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opzichte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winst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relatief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bijdrage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moeten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dragen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kunnen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individuele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bedrijven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verlies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heffing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moeten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betalen.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bestaat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risico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ondernemingen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omzet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genererende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activiteiten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verplaatsen.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uitwerking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waarborgen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speelveld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beoordeeld.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biedt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vrijheid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inrichten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innings-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verwerkingsmechanismen.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vergroot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risico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verstoringen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interne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markt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leiden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ongewenste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onderlinge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beleidsconcurrentie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tussen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oordeel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vormen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uitvoerbaarheid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administratieve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lasten,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aangezien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weinig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bekend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precieze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vormgeving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regels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rondom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implementatie.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42840329" w14:textId="0CA45751">
      <w:pPr>
        <w:spacing w:before="240" w:after="240"/>
        <w:rPr>
          <w:rFonts w:ascii="Calibri" w:hAnsi="Calibri" w:cs="Calibri"/>
        </w:rPr>
      </w:pP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praktische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uitvoeringsregels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omtrent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systeem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opgenomen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  <w:i/>
        </w:rPr>
        <w:t>Making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Available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Regulations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</w:rPr>
        <w:t>(MAR)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  <w:i/>
        </w:rPr>
        <w:t>Implementing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Measures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for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the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System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of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Own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Resources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of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the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European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Union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</w:rPr>
        <w:t>(IMSOR).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later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herziening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publiceren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zorgen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regels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aansluiten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EMB-voorstel.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5D7A1728" w14:textId="7A67AB4E">
      <w:pPr>
        <w:rPr>
          <w:rFonts w:ascii="Calibri" w:hAnsi="Calibri" w:cs="Calibri"/>
        </w:rPr>
      </w:pPr>
      <w:r w:rsidRPr="00103A50">
        <w:rPr>
          <w:rFonts w:ascii="Calibri" w:hAnsi="Calibri" w:cs="Calibri"/>
          <w:i/>
        </w:rPr>
        <w:t>Plafonds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voor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eigen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middelen</w:t>
      </w:r>
    </w:p>
    <w:p w:rsidRPr="00103A50" w:rsidR="00C83724" w:rsidP="00C83724" w:rsidRDefault="00C83724" w14:paraId="2FD73C83" w14:textId="16903CE6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plafond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vastgelegd.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plafond</w:t>
      </w:r>
    </w:p>
    <w:p w:rsidRPr="00103A50" w:rsidR="00C83724" w:rsidP="00C83724" w:rsidRDefault="00C83724" w14:paraId="6F394567" w14:textId="42FF0645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vastgelegd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percentage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bni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maximale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financiële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beroep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lidstaten.</w:t>
      </w:r>
      <w:r w:rsidRPr="00103A50">
        <w:rPr>
          <w:rFonts w:ascii="Calibri" w:hAnsi="Calibri" w:cs="Calibri"/>
          <w:vertAlign w:val="superscript"/>
        </w:rPr>
        <w:footnoteReference w:id="39"/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plafonds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hoger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uitgavenplafonds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(inclusief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speciale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instrumenten)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MFK-verordening.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verschil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nodig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garantie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financiële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verplichtingen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voldoen.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marge,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  <w:i/>
          <w:iCs/>
        </w:rPr>
        <w:t>headroom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genoemd,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zekerheid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financiële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markt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rente-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aflossingsverplichtingen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voldoen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aangaat.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hiertoe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maximaal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EMB-plafond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aanvullende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lastRenderedPageBreak/>
        <w:t>opvragen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uiterste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noodzakelijk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blijkt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financiële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verplichtingen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voldoen.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  <w:i/>
          <w:iCs/>
        </w:rPr>
        <w:t>headroom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hiermee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voorwaardelijke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verplichting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bovenop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reguliere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EU-afdrachten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geraamd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verantwoord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begroting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ministerie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Buitenlandse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Zaken.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risico’s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afdrachten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ontstaan,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garantieverplichting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begroting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ministerie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Financiën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artikel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4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(Internationale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Financiële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betrekkingen)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verantwoord,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uitgesplitst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specifieke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instrumenten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machtigen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namens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Unie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  <w:i/>
          <w:iCs/>
        </w:rPr>
        <w:t>headroom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Raad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Unie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financiële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ruimte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dergelijke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instrumenten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sterke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kredietwaardigheid.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plafond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betalingen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verhogen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1,75%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bni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1,4%)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vastleggingen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1,81%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bni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1,46%).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Daarnaast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  <w:i/>
          <w:iCs/>
        </w:rPr>
        <w:t>headroom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periode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2028-2034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extra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verhogen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0,25%-punt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crisisleeninstrumenten.</w:t>
      </w:r>
      <w:r w:rsidRPr="00103A50">
        <w:rPr>
          <w:rStyle w:val="Voetnootmarkering"/>
          <w:rFonts w:ascii="Calibri" w:hAnsi="Calibri" w:cs="Calibri"/>
        </w:rPr>
        <w:footnoteReference w:id="40"/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uitzondering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NGEU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blijft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bestaan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(0,6%-punt).</w:t>
      </w:r>
      <w:r w:rsidRPr="00103A50">
        <w:rPr>
          <w:rFonts w:ascii="Calibri" w:hAnsi="Calibri" w:cs="Calibri"/>
          <w:vertAlign w:val="superscript"/>
        </w:rPr>
        <w:footnoteReference w:id="41"/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Unie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aangaat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kunnen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gebruikt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beleidsuitgaven;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artikel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blijft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behouden.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03287C21" w14:textId="77777777">
      <w:pPr>
        <w:rPr>
          <w:rFonts w:ascii="Calibri" w:hAnsi="Calibri" w:cs="Calibri"/>
        </w:rPr>
      </w:pPr>
    </w:p>
    <w:p w:rsidRPr="00103A50" w:rsidR="00C83724" w:rsidP="00C83724" w:rsidRDefault="00C83724" w14:paraId="432EAD45" w14:textId="41417696">
      <w:pPr>
        <w:rPr>
          <w:rFonts w:ascii="Calibri" w:hAnsi="Calibri" w:cs="Calibri"/>
          <w:i/>
        </w:rPr>
      </w:pPr>
      <w:r w:rsidRPr="00103A50">
        <w:rPr>
          <w:rFonts w:ascii="Calibri" w:hAnsi="Calibri" w:cs="Calibri"/>
          <w:i/>
        </w:rPr>
        <w:t>Appreciatie</w:t>
      </w:r>
      <w:r w:rsidRPr="00103A50" w:rsidR="003674D3">
        <w:rPr>
          <w:rFonts w:ascii="Calibri" w:hAnsi="Calibri" w:cs="Calibri"/>
          <w:i/>
        </w:rPr>
        <w:t xml:space="preserve"> </w:t>
      </w:r>
    </w:p>
    <w:p w:rsidRPr="00103A50" w:rsidR="00C83724" w:rsidP="00C83724" w:rsidRDefault="00C83724" w14:paraId="70B9FB25" w14:textId="74EBFA9F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vragen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onderbouwing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verhoging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EMB-plafond.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verhoging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plafond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stoelt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verhoging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uitgavenplafond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aanvullende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schulduitgifte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kunnen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verstrekken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NRPPs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Oekraïne.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uitgangspunt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onderhandelingen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uitgavenplafond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omlaag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voorstander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leeninstrumenten,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volgt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navenante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verlaging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eigenmiddelenplafond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crisisleeninstrument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apart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0,25%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bni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eigenmiddelenplafond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dergelijk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instrument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kunnen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financieren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wenselijk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noodzakelijk.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29E4AB6F" w14:textId="77777777">
      <w:pPr>
        <w:rPr>
          <w:rFonts w:ascii="Calibri" w:hAnsi="Calibri" w:cs="Calibri"/>
        </w:rPr>
      </w:pPr>
    </w:p>
    <w:p w:rsidRPr="00103A50" w:rsidR="00C83724" w:rsidP="00C83724" w:rsidRDefault="00C83724" w14:paraId="449197DE" w14:textId="74A5A15B">
      <w:pPr>
        <w:rPr>
          <w:rFonts w:ascii="Calibri" w:hAnsi="Calibri" w:cs="Calibri"/>
          <w:b/>
        </w:rPr>
      </w:pPr>
      <w:r w:rsidRPr="00103A50">
        <w:rPr>
          <w:rFonts w:ascii="Calibri" w:hAnsi="Calibri" w:cs="Calibri"/>
          <w:b/>
        </w:rPr>
        <w:t>Financiële</w:t>
      </w:r>
      <w:r w:rsidRPr="00103A50" w:rsidR="003674D3">
        <w:rPr>
          <w:rFonts w:ascii="Calibri" w:hAnsi="Calibri" w:cs="Calibri"/>
          <w:b/>
        </w:rPr>
        <w:t xml:space="preserve"> </w:t>
      </w:r>
      <w:r w:rsidRPr="00103A50">
        <w:rPr>
          <w:rFonts w:ascii="Calibri" w:hAnsi="Calibri" w:cs="Calibri"/>
          <w:b/>
        </w:rPr>
        <w:t>consequenties</w:t>
      </w:r>
      <w:r w:rsidRPr="00103A50" w:rsidR="003674D3">
        <w:rPr>
          <w:rFonts w:ascii="Calibri" w:hAnsi="Calibri" w:cs="Calibri"/>
          <w:b/>
        </w:rPr>
        <w:t xml:space="preserve"> </w:t>
      </w:r>
      <w:r w:rsidRPr="00103A50">
        <w:rPr>
          <w:rFonts w:ascii="Calibri" w:hAnsi="Calibri" w:cs="Calibri"/>
          <w:b/>
        </w:rPr>
        <w:t>voor</w:t>
      </w:r>
      <w:r w:rsidRPr="00103A50" w:rsidR="003674D3">
        <w:rPr>
          <w:rFonts w:ascii="Calibri" w:hAnsi="Calibri" w:cs="Calibri"/>
          <w:b/>
        </w:rPr>
        <w:t xml:space="preserve"> </w:t>
      </w:r>
      <w:r w:rsidRPr="00103A50">
        <w:rPr>
          <w:rFonts w:ascii="Calibri" w:hAnsi="Calibri" w:cs="Calibri"/>
          <w:b/>
        </w:rPr>
        <w:t>Rijksoverheid</w:t>
      </w:r>
      <w:r w:rsidRPr="00103A50" w:rsidR="003674D3">
        <w:rPr>
          <w:rFonts w:ascii="Calibri" w:hAnsi="Calibri" w:cs="Calibri"/>
          <w:b/>
        </w:rPr>
        <w:t xml:space="preserve"> </w:t>
      </w:r>
      <w:r w:rsidRPr="00103A50">
        <w:rPr>
          <w:rFonts w:ascii="Calibri" w:hAnsi="Calibri" w:cs="Calibri"/>
          <w:b/>
        </w:rPr>
        <w:t>en/of</w:t>
      </w:r>
      <w:r w:rsidRPr="00103A50" w:rsidR="003674D3">
        <w:rPr>
          <w:rFonts w:ascii="Calibri" w:hAnsi="Calibri" w:cs="Calibri"/>
          <w:b/>
        </w:rPr>
        <w:t xml:space="preserve"> </w:t>
      </w:r>
      <w:r w:rsidRPr="00103A50">
        <w:rPr>
          <w:rFonts w:ascii="Calibri" w:hAnsi="Calibri" w:cs="Calibri"/>
          <w:b/>
        </w:rPr>
        <w:t>medeoverheden</w:t>
      </w:r>
    </w:p>
    <w:p w:rsidRPr="00103A50" w:rsidR="00C83724" w:rsidP="00C83724" w:rsidRDefault="00C83724" w14:paraId="207BF19F" w14:textId="46F7B3CA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gevolgen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begroting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Rijksoverheid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medeoverheden,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burgers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bedrijven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instellingen.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gaat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alleen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lastRenderedPageBreak/>
        <w:t>kosten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Rijksoverheid,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ontvangt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EU-begroting.</w:t>
      </w:r>
    </w:p>
    <w:p w:rsidRPr="00103A50" w:rsidR="00C83724" w:rsidP="00C83724" w:rsidRDefault="00C83724" w14:paraId="4DF12FA9" w14:textId="77777777">
      <w:pPr>
        <w:rPr>
          <w:rFonts w:ascii="Calibri" w:hAnsi="Calibri" w:cs="Calibri"/>
        </w:rPr>
      </w:pPr>
    </w:p>
    <w:p w:rsidRPr="00103A50" w:rsidR="00C83724" w:rsidP="00C83724" w:rsidRDefault="00C83724" w14:paraId="38BE4A80" w14:textId="270E70CA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mogelijk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gevolgen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ontvangsten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uitgaven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Unie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begroting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Rijksbegroting,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medeoverheden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burgers,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instellingen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bedrijven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berekenen.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informatie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vereist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vormgeving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verdeling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afzonderlijke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programma’s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volgend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nettobetalingspositie,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wil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zeggen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EU-afdrachten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vermindert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inkomsten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EU-begroting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Rijk,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medeoverheden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burgers,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instellingen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bedrijven,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berekenen.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algemene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gesteld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grotere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omvang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Pijler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opzichte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Pijler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vergelijking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potentieel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positief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ontwikkeling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netto-betalingspositie,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afhankelijk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uitwerking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invulling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Pijler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773CDDBF" w14:textId="77777777">
      <w:pPr>
        <w:rPr>
          <w:rFonts w:ascii="Calibri" w:hAnsi="Calibri" w:cs="Calibri"/>
        </w:rPr>
      </w:pPr>
    </w:p>
    <w:p w:rsidRPr="00103A50" w:rsidR="00C83724" w:rsidP="00C83724" w:rsidRDefault="00C83724" w14:paraId="7513F300" w14:textId="6F203865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Hieronder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eerste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voorlopige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incomplete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inschatting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gemaakt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budgettaire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gevolgen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specifiek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Rijksbegroting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(EU-afdrachten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perceptiekostenvergoeding).</w:t>
      </w:r>
    </w:p>
    <w:p w:rsidRPr="00103A50" w:rsidR="00C83724" w:rsidP="00C83724" w:rsidRDefault="00C83724" w14:paraId="195E48B4" w14:textId="77777777">
      <w:pPr>
        <w:rPr>
          <w:rFonts w:ascii="Calibri" w:hAnsi="Calibri" w:cs="Calibri"/>
        </w:rPr>
      </w:pPr>
    </w:p>
    <w:p w:rsidRPr="00103A50" w:rsidR="00C83724" w:rsidP="00C83724" w:rsidRDefault="00C83724" w14:paraId="5117E50D" w14:textId="0D86F0BA">
      <w:pPr>
        <w:rPr>
          <w:rFonts w:ascii="Calibri" w:hAnsi="Calibri" w:cs="Calibri"/>
          <w:i/>
          <w:iCs/>
        </w:rPr>
      </w:pPr>
      <w:r w:rsidRPr="00103A50">
        <w:rPr>
          <w:rFonts w:ascii="Calibri" w:hAnsi="Calibri" w:cs="Calibri"/>
          <w:i/>
          <w:iCs/>
        </w:rPr>
        <w:t>Gevolgen</w:t>
      </w:r>
      <w:r w:rsidRPr="00103A50" w:rsidR="003674D3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voor</w:t>
      </w:r>
      <w:r w:rsidRPr="00103A50" w:rsidR="003674D3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de</w:t>
      </w:r>
      <w:r w:rsidRPr="00103A50" w:rsidR="003674D3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Rijksbegroting</w:t>
      </w:r>
    </w:p>
    <w:p w:rsidRPr="00103A50" w:rsidR="00C83724" w:rsidP="00C83724" w:rsidRDefault="00C83724" w14:paraId="1CBAFE63" w14:textId="430EEA77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raming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afdrachten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gebaseerd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betalingenplafonds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maximale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inzet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speciale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instrumenten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boven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plafonds.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basis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beschikbare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informatie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eerste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voorlopige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inschatting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gemaakt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budgettaire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gevolgen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basis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eerste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inschatting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leidt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opzichte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basis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pad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Miljoenennota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2026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hogere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bni-afdracht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lagere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ontvangst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perceptiekosten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samengenomen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gemiddeld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4,5-5,4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miljard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lopende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prijzen.</w:t>
      </w:r>
      <w:r w:rsidRPr="00103A50">
        <w:rPr>
          <w:rStyle w:val="Voetnootmarkering"/>
          <w:rFonts w:ascii="Calibri" w:hAnsi="Calibri" w:cs="Calibri"/>
        </w:rPr>
        <w:footnoteReference w:id="42"/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budgettaire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gevolgen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grofweg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knippen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drie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onderdelen: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omvang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inclusief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speciale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instrumenten),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inkomsten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EMB),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3)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kabinetsinzet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lagere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EU-afdrachten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Hoofdlijnenakkoord.</w:t>
      </w:r>
    </w:p>
    <w:p w:rsidRPr="00103A50" w:rsidR="00C83724" w:rsidP="00C83724" w:rsidRDefault="00C83724" w14:paraId="4CBDED90" w14:textId="77777777">
      <w:pPr>
        <w:rPr>
          <w:rFonts w:ascii="Calibri" w:hAnsi="Calibri" w:cs="Calibri"/>
        </w:rPr>
      </w:pPr>
    </w:p>
    <w:p w:rsidRPr="00103A50" w:rsidR="00C83724" w:rsidP="00C83724" w:rsidRDefault="00C83724" w14:paraId="2D4F7FBC" w14:textId="1A6057FC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lastRenderedPageBreak/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eerste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inschatting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betreft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gemiddelde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gehele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periode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2028-2034.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kunnen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verschillen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tussen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raming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doorrekening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afwijken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gemiddelde,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specifieke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betalingenritme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voorstelt</w:t>
      </w:r>
    </w:p>
    <w:p w:rsidRPr="00103A50" w:rsidR="00C83724" w:rsidP="00C83724" w:rsidRDefault="00C83724" w14:paraId="5DE421A4" w14:textId="77777777">
      <w:pPr>
        <w:rPr>
          <w:rFonts w:ascii="Calibri" w:hAnsi="Calibri" w:cs="Calibri"/>
          <w:u w:val="single"/>
        </w:rPr>
      </w:pPr>
    </w:p>
    <w:p w:rsidRPr="00103A50" w:rsidR="00C83724" w:rsidP="00C83724" w:rsidRDefault="00C83724" w14:paraId="13EB8253" w14:textId="620ABE28">
      <w:pPr>
        <w:pStyle w:val="Lijstalinea"/>
        <w:numPr>
          <w:ilvl w:val="0"/>
          <w:numId w:val="2"/>
        </w:numPr>
        <w:autoSpaceDN w:val="0"/>
        <w:spacing w:after="0" w:line="240" w:lineRule="exact"/>
        <w:textAlignment w:val="baseline"/>
        <w:rPr>
          <w:rFonts w:ascii="Calibri" w:hAnsi="Calibri" w:cs="Calibri"/>
          <w:u w:val="single"/>
        </w:rPr>
      </w:pPr>
      <w:r w:rsidRPr="00103A50">
        <w:rPr>
          <w:rFonts w:ascii="Calibri" w:hAnsi="Calibri" w:cs="Calibri"/>
          <w:u w:val="single"/>
        </w:rPr>
        <w:t>Gevolgen</w:t>
      </w:r>
      <w:r w:rsidRPr="00103A50" w:rsidR="003674D3">
        <w:rPr>
          <w:rFonts w:ascii="Calibri" w:hAnsi="Calibri" w:cs="Calibri"/>
          <w:u w:val="single"/>
        </w:rPr>
        <w:t xml:space="preserve"> </w:t>
      </w:r>
      <w:r w:rsidRPr="00103A50">
        <w:rPr>
          <w:rFonts w:ascii="Calibri" w:hAnsi="Calibri" w:cs="Calibri"/>
          <w:u w:val="single"/>
        </w:rPr>
        <w:t>MFK-voorstel</w:t>
      </w:r>
      <w:r w:rsidRPr="00103A50" w:rsidR="003674D3">
        <w:rPr>
          <w:rFonts w:ascii="Calibri" w:hAnsi="Calibri" w:cs="Calibri"/>
          <w:u w:val="single"/>
        </w:rPr>
        <w:t xml:space="preserve"> </w:t>
      </w:r>
      <w:r w:rsidRPr="00103A50">
        <w:rPr>
          <w:rFonts w:ascii="Calibri" w:hAnsi="Calibri" w:cs="Calibri"/>
          <w:u w:val="single"/>
        </w:rPr>
        <w:t>(uitgaven)</w:t>
      </w:r>
    </w:p>
    <w:p w:rsidRPr="00103A50" w:rsidR="00C83724" w:rsidP="00C83724" w:rsidRDefault="00C83724" w14:paraId="4CF3534A" w14:textId="35101B94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gevolgen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opzichte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raming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EU-afdrachten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volgt:</w:t>
      </w:r>
    </w:p>
    <w:p w:rsidRPr="00103A50" w:rsidR="00C83724" w:rsidP="00C83724" w:rsidRDefault="00C83724" w14:paraId="2DCF0D02" w14:textId="5F37610D">
      <w:pPr>
        <w:numPr>
          <w:ilvl w:val="0"/>
          <w:numId w:val="1"/>
        </w:numPr>
        <w:spacing w:after="0" w:line="240" w:lineRule="exact"/>
        <w:rPr>
          <w:rFonts w:ascii="Calibri" w:hAnsi="Calibri" w:eastAsia="Times New Roman" w:cs="Calibri"/>
        </w:rPr>
      </w:pPr>
      <w:r w:rsidRPr="00103A50">
        <w:rPr>
          <w:rFonts w:ascii="Calibri" w:hAnsi="Calibri" w:eastAsia="Times New Roman" w:cs="Calibri"/>
        </w:rPr>
        <w:t>De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betalingenplafonds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zijn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in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het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MFK-voorstel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hoger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dan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in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de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raming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voorzien.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De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huidige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raming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houdt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rekening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met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een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jaarlijks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EU-begrotingsomvang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van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gemiddeld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1,12%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van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het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EU-bni,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exclusief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betalingen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voor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NGEU.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Inclusief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NGEU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rente-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en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terugbetalingen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is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de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omvang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van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de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EU-begroting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in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de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raming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1,23%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van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het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bni.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De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Commissie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stelt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een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omvang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voor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van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gemiddeld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1,26%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van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het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EU-bni,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inclusief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NGEU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betalingen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–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een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verschil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van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0,03%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van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het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bni.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Het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verschil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waarmee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rekening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gehouden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werd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in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de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raming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leidt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tot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een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hogere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bni-afdracht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van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gemiddeld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0,5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miljard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euro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per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jaar.</w:t>
      </w:r>
    </w:p>
    <w:p w:rsidRPr="00103A50" w:rsidR="00C83724" w:rsidP="00C83724" w:rsidRDefault="00C83724" w14:paraId="7B32D85F" w14:textId="590676CD">
      <w:pPr>
        <w:numPr>
          <w:ilvl w:val="0"/>
          <w:numId w:val="1"/>
        </w:numPr>
        <w:spacing w:after="0" w:line="240" w:lineRule="exact"/>
        <w:rPr>
          <w:rFonts w:ascii="Calibri" w:hAnsi="Calibri" w:eastAsia="Times New Roman" w:cs="Calibri"/>
        </w:rPr>
      </w:pPr>
      <w:r w:rsidRPr="00103A50">
        <w:rPr>
          <w:rFonts w:ascii="Calibri" w:hAnsi="Calibri" w:eastAsia="Times New Roman" w:cs="Calibri"/>
        </w:rPr>
        <w:t>In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de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huidige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raming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is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vanaf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2028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geen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rekening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gehouden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met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continuering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van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steun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aan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Oekraïne.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De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totale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steun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voor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Oekraïne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in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het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voorstel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van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de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Commissie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bedraagt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maximaal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100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miljard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euro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(2028-2034).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Dit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omvat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zowel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niet-terugbetaalbare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steun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als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budgettaire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garanties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(in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de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Oekraïne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Reserve)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en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de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mogelijkheid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om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leningen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te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verstrekken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aan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Oekraïne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boven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de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MFK-plafonds.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Het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aandeel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niet-terugbetaalbare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steun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aan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Oekraïne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heeft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gevolgen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voor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de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Nederlandse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afdrachten.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In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het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voorstel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is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de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verdeling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tussen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budgettaire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garanties,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leningen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en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niet-terugbetaalbare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steun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niet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vastgelegd;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voor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de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som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van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geldt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een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maximum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van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100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miljard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euro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in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lopende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prijzen.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Een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maximale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omvang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van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100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miljard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euro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in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niet-terugbetaalbare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steun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heeft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een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effect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op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de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bni-afdracht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van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maximaal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gemiddeld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0,9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miljard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euro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per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jaar.</w:t>
      </w:r>
    </w:p>
    <w:p w:rsidRPr="00103A50" w:rsidR="00C83724" w:rsidP="00C83724" w:rsidRDefault="00C83724" w14:paraId="68A39BC3" w14:textId="2C952924">
      <w:pPr>
        <w:numPr>
          <w:ilvl w:val="0"/>
          <w:numId w:val="1"/>
        </w:numPr>
        <w:spacing w:after="0" w:line="240" w:lineRule="exact"/>
        <w:rPr>
          <w:rFonts w:ascii="Calibri" w:hAnsi="Calibri" w:eastAsia="Times New Roman" w:cs="Calibri"/>
        </w:rPr>
      </w:pPr>
      <w:r w:rsidRPr="00103A50">
        <w:rPr>
          <w:rFonts w:ascii="Calibri" w:hAnsi="Calibri" w:eastAsia="Times New Roman" w:cs="Calibri"/>
        </w:rPr>
        <w:t>In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de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huidige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raming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is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vanaf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2028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rekening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gehouden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met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het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voortzetten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van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meerdere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speciale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instrumenten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(excl.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de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Oekraïne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Reserve),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waaronder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het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Europees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Globaliseringsfonds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en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de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Europese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Solidariteitsreserve.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Hiervan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wordt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alleen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het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Flexibiliteitsinstrument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gecontinueerd.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Dit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leidt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tot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een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verlaging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van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de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bni-afdracht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van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gemiddeld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0,2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miljard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euro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per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jaar.</w:t>
      </w:r>
    </w:p>
    <w:p w:rsidRPr="00103A50" w:rsidR="00C83724" w:rsidP="00C83724" w:rsidRDefault="00C83724" w14:paraId="679B6D5E" w14:textId="77777777">
      <w:pPr>
        <w:rPr>
          <w:rFonts w:ascii="Calibri" w:hAnsi="Calibri" w:cs="Calibri"/>
        </w:rPr>
      </w:pPr>
    </w:p>
    <w:p w:rsidRPr="00103A50" w:rsidR="00C83724" w:rsidP="00C83724" w:rsidRDefault="00C83724" w14:paraId="50BF8DB5" w14:textId="6848060B">
      <w:pPr>
        <w:pStyle w:val="Lijstalinea"/>
        <w:numPr>
          <w:ilvl w:val="0"/>
          <w:numId w:val="2"/>
        </w:numPr>
        <w:autoSpaceDN w:val="0"/>
        <w:spacing w:after="0" w:line="240" w:lineRule="exact"/>
        <w:textAlignment w:val="baseline"/>
        <w:rPr>
          <w:rFonts w:ascii="Calibri" w:hAnsi="Calibri" w:cs="Calibri"/>
          <w:u w:val="single"/>
        </w:rPr>
      </w:pPr>
      <w:r w:rsidRPr="00103A50">
        <w:rPr>
          <w:rFonts w:ascii="Calibri" w:hAnsi="Calibri" w:cs="Calibri"/>
          <w:u w:val="single"/>
        </w:rPr>
        <w:t>Gevolgen</w:t>
      </w:r>
      <w:r w:rsidRPr="00103A50" w:rsidR="003674D3">
        <w:rPr>
          <w:rFonts w:ascii="Calibri" w:hAnsi="Calibri" w:cs="Calibri"/>
          <w:u w:val="single"/>
        </w:rPr>
        <w:t xml:space="preserve"> </w:t>
      </w:r>
      <w:r w:rsidRPr="00103A50">
        <w:rPr>
          <w:rFonts w:ascii="Calibri" w:hAnsi="Calibri" w:cs="Calibri"/>
          <w:u w:val="single"/>
        </w:rPr>
        <w:t>EMB-voorstel</w:t>
      </w:r>
      <w:r w:rsidRPr="00103A50" w:rsidR="003674D3">
        <w:rPr>
          <w:rFonts w:ascii="Calibri" w:hAnsi="Calibri" w:cs="Calibri"/>
          <w:u w:val="single"/>
        </w:rPr>
        <w:t xml:space="preserve"> </w:t>
      </w:r>
      <w:r w:rsidRPr="00103A50">
        <w:rPr>
          <w:rFonts w:ascii="Calibri" w:hAnsi="Calibri" w:cs="Calibri"/>
          <w:u w:val="single"/>
        </w:rPr>
        <w:t>(inkomsten)</w:t>
      </w:r>
    </w:p>
    <w:p w:rsidRPr="00103A50" w:rsidR="00C83724" w:rsidP="00C83724" w:rsidRDefault="00C83724" w14:paraId="5FAC3B6F" w14:textId="2F91FF31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gevolgen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EMB-voorstel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opzichte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raming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EU-afdrachten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volgt:</w:t>
      </w:r>
    </w:p>
    <w:p w:rsidRPr="00103A50" w:rsidR="00C83724" w:rsidP="00C83724" w:rsidRDefault="00C83724" w14:paraId="6D70F3A1" w14:textId="42D6780C">
      <w:pPr>
        <w:numPr>
          <w:ilvl w:val="0"/>
          <w:numId w:val="1"/>
        </w:numPr>
        <w:spacing w:after="0" w:line="240" w:lineRule="exact"/>
        <w:rPr>
          <w:rFonts w:ascii="Calibri" w:hAnsi="Calibri" w:eastAsia="Times New Roman" w:cs="Calibri"/>
        </w:rPr>
      </w:pPr>
      <w:r w:rsidRPr="00103A50">
        <w:rPr>
          <w:rFonts w:ascii="Calibri" w:hAnsi="Calibri" w:eastAsia="Times New Roman" w:cs="Calibri"/>
        </w:rPr>
        <w:t>In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het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voorstel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van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de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Commissie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zijn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geen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correctiemechanismen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opgenomen.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De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korting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op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de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bni-afdracht,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waarmee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in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de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Nederlandse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raming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wel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rekening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wordt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gehouden,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ontbreekt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dus.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Dit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leidt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tot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een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verschil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tussen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de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raming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en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het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voorstel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van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gemiddeld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circa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2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miljard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euro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per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jaar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vanaf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2028.</w:t>
      </w:r>
      <w:r w:rsidRPr="00103A50" w:rsidR="003674D3">
        <w:rPr>
          <w:rFonts w:ascii="Calibri" w:hAnsi="Calibri" w:eastAsia="Times New Roman" w:cs="Calibri"/>
        </w:rPr>
        <w:t xml:space="preserve"> </w:t>
      </w:r>
    </w:p>
    <w:p w:rsidRPr="00103A50" w:rsidR="00C83724" w:rsidP="00C83724" w:rsidRDefault="00C83724" w14:paraId="213F4D51" w14:textId="117C3CD3">
      <w:pPr>
        <w:numPr>
          <w:ilvl w:val="0"/>
          <w:numId w:val="1"/>
        </w:numPr>
        <w:spacing w:after="0" w:line="240" w:lineRule="exact"/>
        <w:rPr>
          <w:rFonts w:ascii="Calibri" w:hAnsi="Calibri" w:cs="Calibri"/>
        </w:rPr>
      </w:pPr>
      <w:r w:rsidRPr="00103A50">
        <w:rPr>
          <w:rFonts w:ascii="Calibri" w:hAnsi="Calibri" w:eastAsia="Times New Roman" w:cs="Calibri"/>
        </w:rPr>
        <w:t>De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perceptiekostenvergoeding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wordt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in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het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voorstel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verlaagd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van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25%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naar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10%.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Het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netto-effect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bedraagt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gemiddeld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0,5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miljard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per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jaar.</w:t>
      </w:r>
    </w:p>
    <w:p w:rsidRPr="00103A50" w:rsidR="00C83724" w:rsidP="00C83724" w:rsidRDefault="00C83724" w14:paraId="1485F093" w14:textId="29302F42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EMB-voorstel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alleen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gekeken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ontbreken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korting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bni-afdracht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verlaging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perceptiekostenvergoeding.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effecten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wijzigingen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bestaande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effecten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kunnen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beschikbare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informatie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lastRenderedPageBreak/>
        <w:t>nog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ingeschat.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bezien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gevolgen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hebben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nationale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belastinginkomsten.</w:t>
      </w:r>
    </w:p>
    <w:p w:rsidRPr="00103A50" w:rsidR="00C83724" w:rsidP="00C83724" w:rsidRDefault="00C83724" w14:paraId="716AEA33" w14:textId="77777777">
      <w:pPr>
        <w:rPr>
          <w:rFonts w:ascii="Calibri" w:hAnsi="Calibri" w:cs="Calibri"/>
        </w:rPr>
      </w:pPr>
    </w:p>
    <w:p w:rsidRPr="00103A50" w:rsidR="00C83724" w:rsidP="00C83724" w:rsidRDefault="00C83724" w14:paraId="2DA7AC93" w14:textId="4A4D12E5">
      <w:pPr>
        <w:pStyle w:val="Lijstalinea"/>
        <w:numPr>
          <w:ilvl w:val="0"/>
          <w:numId w:val="2"/>
        </w:numPr>
        <w:autoSpaceDN w:val="0"/>
        <w:spacing w:after="0" w:line="240" w:lineRule="exact"/>
        <w:textAlignment w:val="baseline"/>
        <w:rPr>
          <w:rFonts w:ascii="Calibri" w:hAnsi="Calibri" w:cs="Calibri"/>
          <w:u w:val="single"/>
        </w:rPr>
      </w:pPr>
      <w:r w:rsidRPr="00103A50">
        <w:rPr>
          <w:rFonts w:ascii="Calibri" w:hAnsi="Calibri" w:cs="Calibri"/>
          <w:u w:val="single"/>
        </w:rPr>
        <w:t>Inzet</w:t>
      </w:r>
      <w:r w:rsidRPr="00103A50" w:rsidR="003674D3">
        <w:rPr>
          <w:rFonts w:ascii="Calibri" w:hAnsi="Calibri" w:cs="Calibri"/>
          <w:u w:val="single"/>
        </w:rPr>
        <w:t xml:space="preserve"> </w:t>
      </w:r>
      <w:r w:rsidRPr="00103A50">
        <w:rPr>
          <w:rFonts w:ascii="Calibri" w:hAnsi="Calibri" w:cs="Calibri"/>
          <w:u w:val="single"/>
        </w:rPr>
        <w:t>hoofdlijnenakkoord</w:t>
      </w:r>
    </w:p>
    <w:p w:rsidRPr="00103A50" w:rsidR="00C83724" w:rsidP="00C83724" w:rsidRDefault="00C83724" w14:paraId="14945B99" w14:textId="62001F6E">
      <w:pPr>
        <w:rPr>
          <w:rFonts w:ascii="Calibri" w:hAnsi="Calibri" w:eastAsia="Times New Roman" w:cs="Calibri"/>
        </w:rPr>
      </w:pPr>
      <w:r w:rsidRPr="00103A50">
        <w:rPr>
          <w:rFonts w:ascii="Calibri" w:hAnsi="Calibri" w:eastAsia="Times New Roman" w:cs="Calibri"/>
        </w:rPr>
        <w:t>In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het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basis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pad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van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de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Nederlandse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raming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van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de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afdrachten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aan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de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EU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in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de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Miljoenennota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is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de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besparingsopgave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uit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het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Hoofdlijnenakkoord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reeds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verwerkt.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Deze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maatregel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leidt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tot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een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aanvullende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onderhandelingsopgave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van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1,6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miljard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euro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per</w:t>
      </w:r>
      <w:r w:rsidRPr="00103A50" w:rsidR="003674D3">
        <w:rPr>
          <w:rFonts w:ascii="Calibri" w:hAnsi="Calibri" w:eastAsia="Times New Roman" w:cs="Calibri"/>
        </w:rPr>
        <w:t xml:space="preserve"> </w:t>
      </w:r>
      <w:r w:rsidRPr="00103A50">
        <w:rPr>
          <w:rFonts w:ascii="Calibri" w:hAnsi="Calibri" w:eastAsia="Times New Roman" w:cs="Calibri"/>
        </w:rPr>
        <w:t>jaar.</w:t>
      </w:r>
    </w:p>
    <w:p w:rsidRPr="00103A50" w:rsidR="00C83724" w:rsidP="00C83724" w:rsidRDefault="00C83724" w14:paraId="1A8AA80B" w14:textId="77777777">
      <w:pPr>
        <w:rPr>
          <w:rFonts w:ascii="Calibri" w:hAnsi="Calibri" w:cs="Calibri"/>
        </w:rPr>
      </w:pPr>
    </w:p>
    <w:p w:rsidRPr="00103A50" w:rsidR="00C83724" w:rsidP="00C83724" w:rsidRDefault="00C83724" w14:paraId="545D6EF5" w14:textId="77777777">
      <w:pPr>
        <w:rPr>
          <w:rFonts w:ascii="Calibri" w:hAnsi="Calibri" w:cs="Calibri"/>
          <w:i/>
          <w:iCs/>
        </w:rPr>
      </w:pPr>
      <w:r w:rsidRPr="00103A50">
        <w:rPr>
          <w:rFonts w:ascii="Calibri" w:hAnsi="Calibri" w:cs="Calibri"/>
          <w:i/>
          <w:iCs/>
        </w:rPr>
        <w:t>Deflator</w:t>
      </w:r>
    </w:p>
    <w:p w:rsidRPr="00103A50" w:rsidR="00C83724" w:rsidP="00C83724" w:rsidRDefault="00C83724" w14:paraId="1F76995A" w14:textId="18CE297B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methode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MFK-uitgavenplafonds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andere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vastgestelde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bedragen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MFK-verordening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rekenen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prijzen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2025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lopende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prijzen.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gebeurt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jaarlijkse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technische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aanpassing.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standaard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deflator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2%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gebruikt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wanneer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EU-inflatie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tussen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1%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3%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ligt.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Wanneer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EU-inflatie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lager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1%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hoger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3%,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deflator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verwachte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inflatiepercentage.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bovenstaande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inschatting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budgettaire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gevolgen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standaard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deflator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2%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uitgangspunt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gehanteerd.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23E5DE33" w14:textId="77777777">
      <w:pPr>
        <w:rPr>
          <w:rFonts w:ascii="Calibri" w:hAnsi="Calibri" w:cs="Calibri"/>
        </w:rPr>
      </w:pPr>
    </w:p>
    <w:p w:rsidRPr="00103A50" w:rsidR="00C83724" w:rsidP="00C83724" w:rsidRDefault="00C83724" w14:paraId="448A0F76" w14:textId="07D54635">
      <w:pPr>
        <w:rPr>
          <w:rFonts w:ascii="Calibri" w:hAnsi="Calibri" w:cs="Calibri"/>
          <w:i/>
        </w:rPr>
      </w:pPr>
      <w:r w:rsidRPr="00103A50">
        <w:rPr>
          <w:rFonts w:ascii="Calibri" w:hAnsi="Calibri" w:cs="Calibri"/>
          <w:i/>
        </w:rPr>
        <w:t>Appreciatie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budgettaire</w:t>
      </w:r>
      <w:r w:rsidRPr="00103A50" w:rsidR="003674D3">
        <w:rPr>
          <w:rFonts w:ascii="Calibri" w:hAnsi="Calibri" w:cs="Calibri"/>
          <w:i/>
        </w:rPr>
        <w:t xml:space="preserve"> </w:t>
      </w:r>
      <w:r w:rsidRPr="00103A50">
        <w:rPr>
          <w:rFonts w:ascii="Calibri" w:hAnsi="Calibri" w:cs="Calibri"/>
          <w:i/>
        </w:rPr>
        <w:t>effecten</w:t>
      </w:r>
    </w:p>
    <w:p w:rsidRPr="00103A50" w:rsidR="00C83724" w:rsidP="00C83724" w:rsidRDefault="00C83724" w14:paraId="7F7FFFE6" w14:textId="7C44CFB9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omvang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inclusief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aflossing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terugbetalingen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NGEU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speciale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instrumenten,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ligt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boven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omvang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raming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rekening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houdt.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Daarnaast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leidt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ontbreken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korting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ontvangt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bni-afdracht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verlaging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perceptiekostenvergoeding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stijging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EU-afdrachten.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inzet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beperking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stijging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afdrachten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6C89192E" w14:textId="77777777">
      <w:pPr>
        <w:rPr>
          <w:rFonts w:ascii="Calibri" w:hAnsi="Calibri" w:cs="Calibri"/>
        </w:rPr>
      </w:pPr>
    </w:p>
    <w:p w:rsidRPr="00103A50" w:rsidR="00C83724" w:rsidP="00C83724" w:rsidRDefault="00C83724" w14:paraId="6297F903" w14:textId="772A0906">
      <w:pPr>
        <w:rPr>
          <w:rFonts w:ascii="Calibri" w:hAnsi="Calibri" w:cs="Calibri"/>
          <w:b/>
        </w:rPr>
      </w:pP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staat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verkenning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methode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MFK-uitgavenplafonds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andere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vastgestelde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bedragen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MFK-verordening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rekenen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2025-prijzen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lopende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prijzen..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begrip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deflator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perioden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inflatie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passen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basis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werkelijke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inflatiepercentage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uitholling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koopkracht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EU-begroting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beperken.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Daarentegen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verminderde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voorspelbaarheid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EU-afdrachten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gevolg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7B38D94E" w14:textId="77777777">
      <w:pPr>
        <w:rPr>
          <w:rFonts w:ascii="Calibri" w:hAnsi="Calibri" w:cs="Calibri"/>
        </w:rPr>
      </w:pPr>
    </w:p>
    <w:p w:rsidRPr="00103A50" w:rsidR="00C83724" w:rsidP="00C83724" w:rsidRDefault="00C83724" w14:paraId="4EF570C8" w14:textId="3E7BD3F2">
      <w:pPr>
        <w:rPr>
          <w:rFonts w:ascii="Calibri" w:hAnsi="Calibri" w:cs="Calibri"/>
          <w:b/>
        </w:rPr>
      </w:pPr>
      <w:r w:rsidRPr="00103A50">
        <w:rPr>
          <w:rFonts w:ascii="Calibri" w:hAnsi="Calibri" w:cs="Calibri"/>
          <w:b/>
        </w:rPr>
        <w:t>Bevoegdheid,</w:t>
      </w:r>
      <w:r w:rsidRPr="00103A50" w:rsidR="003674D3">
        <w:rPr>
          <w:rFonts w:ascii="Calibri" w:hAnsi="Calibri" w:cs="Calibri"/>
          <w:b/>
        </w:rPr>
        <w:t xml:space="preserve"> </w:t>
      </w:r>
      <w:r w:rsidRPr="00103A50">
        <w:rPr>
          <w:rFonts w:ascii="Calibri" w:hAnsi="Calibri" w:cs="Calibri"/>
          <w:b/>
        </w:rPr>
        <w:t>subsidiariteit</w:t>
      </w:r>
      <w:r w:rsidRPr="00103A50" w:rsidR="003674D3">
        <w:rPr>
          <w:rFonts w:ascii="Calibri" w:hAnsi="Calibri" w:cs="Calibri"/>
          <w:b/>
        </w:rPr>
        <w:t xml:space="preserve"> </w:t>
      </w:r>
      <w:r w:rsidRPr="00103A50">
        <w:rPr>
          <w:rFonts w:ascii="Calibri" w:hAnsi="Calibri" w:cs="Calibri"/>
          <w:b/>
        </w:rPr>
        <w:t>en</w:t>
      </w:r>
      <w:r w:rsidRPr="00103A50" w:rsidR="003674D3">
        <w:rPr>
          <w:rFonts w:ascii="Calibri" w:hAnsi="Calibri" w:cs="Calibri"/>
          <w:b/>
        </w:rPr>
        <w:t xml:space="preserve"> </w:t>
      </w:r>
      <w:r w:rsidRPr="00103A50">
        <w:rPr>
          <w:rFonts w:ascii="Calibri" w:hAnsi="Calibri" w:cs="Calibri"/>
          <w:b/>
        </w:rPr>
        <w:t>proportionaliteit</w:t>
      </w:r>
    </w:p>
    <w:p w:rsidRPr="00103A50" w:rsidR="00C83724" w:rsidP="00C83724" w:rsidRDefault="00C83724" w14:paraId="38F494C7" w14:textId="77777777">
      <w:pPr>
        <w:rPr>
          <w:rFonts w:ascii="Calibri" w:hAnsi="Calibri" w:cs="Calibri"/>
          <w:i/>
        </w:rPr>
      </w:pPr>
    </w:p>
    <w:p w:rsidRPr="00103A50" w:rsidR="00C83724" w:rsidP="00C83724" w:rsidRDefault="00C83724" w14:paraId="19FC7441" w14:textId="77777777">
      <w:pPr>
        <w:rPr>
          <w:rFonts w:ascii="Calibri" w:hAnsi="Calibri" w:cs="Calibri"/>
          <w:i/>
        </w:rPr>
      </w:pPr>
      <w:r w:rsidRPr="00103A50">
        <w:rPr>
          <w:rFonts w:ascii="Calibri" w:hAnsi="Calibri" w:cs="Calibri"/>
          <w:i/>
        </w:rPr>
        <w:t>Bevoegdheid</w:t>
      </w:r>
    </w:p>
    <w:p w:rsidRPr="00103A50" w:rsidR="00C83724" w:rsidP="00C83724" w:rsidRDefault="00C83724" w14:paraId="0504B2EA" w14:textId="3850F6BF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oordeel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aanzien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bevoegdheid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MFK-verordening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positief.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MFK-verordening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gebaseerd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artikel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312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VWEU.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artikel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312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VWEU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bevoegd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verordening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bepaling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stellen.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gebaseerd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artikel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311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VWEU.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artikel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311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VWEU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bevoegd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besluit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stelsel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Unie.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zich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vinden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rechtsgrondslagen.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2050718F" w14:textId="77777777">
      <w:pPr>
        <w:rPr>
          <w:rFonts w:ascii="Calibri" w:hAnsi="Calibri" w:cs="Calibri"/>
        </w:rPr>
      </w:pPr>
    </w:p>
    <w:p w:rsidRPr="00103A50" w:rsidR="00C83724" w:rsidP="00C83724" w:rsidRDefault="00C83724" w14:paraId="4921376B" w14:textId="77777777">
      <w:pPr>
        <w:rPr>
          <w:rFonts w:ascii="Calibri" w:hAnsi="Calibri" w:cs="Calibri"/>
          <w:i/>
        </w:rPr>
      </w:pPr>
      <w:r w:rsidRPr="00103A50">
        <w:rPr>
          <w:rFonts w:ascii="Calibri" w:hAnsi="Calibri" w:cs="Calibri"/>
          <w:i/>
        </w:rPr>
        <w:t>Subsidiariteit</w:t>
      </w:r>
    </w:p>
    <w:p w:rsidRPr="00103A50" w:rsidR="00C83724" w:rsidP="00C83724" w:rsidRDefault="00C83724" w14:paraId="1A57CDC1" w14:textId="4AA0EA8D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bevoegdheden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verordening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bepaling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kunnen,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gezien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aard,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enkel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uitgeoefend.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Daarmee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subsidiariteitstoets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toepassing.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357D1C56" w14:textId="77777777">
      <w:pPr>
        <w:rPr>
          <w:rFonts w:ascii="Calibri" w:hAnsi="Calibri" w:cs="Calibri"/>
        </w:rPr>
      </w:pPr>
    </w:p>
    <w:p w:rsidRPr="00103A50" w:rsidR="00C83724" w:rsidP="00C83724" w:rsidRDefault="00C83724" w14:paraId="1BB4E410" w14:textId="77777777">
      <w:pPr>
        <w:rPr>
          <w:rFonts w:ascii="Calibri" w:hAnsi="Calibri" w:cs="Calibri"/>
          <w:i/>
        </w:rPr>
      </w:pPr>
      <w:r w:rsidRPr="00103A50">
        <w:rPr>
          <w:rFonts w:ascii="Calibri" w:hAnsi="Calibri" w:cs="Calibri"/>
          <w:i/>
        </w:rPr>
        <w:t>Proportionaliteit</w:t>
      </w:r>
    </w:p>
    <w:p w:rsidRPr="00103A50" w:rsidR="00C83724" w:rsidP="00C83724" w:rsidRDefault="00C83724" w14:paraId="059E04F8" w14:textId="0BEA68D9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oordeel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aanzien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proportionaliteit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deels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positief,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deels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negatief.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MFK-verordening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hebben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Unie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voorzien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nodig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doelstellingen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halen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uitvoering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Daarnaast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moeten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MFK-verordening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ordelijke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ontwikkeling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uitgaven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waarborgen,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grenzen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1A3158B1" w14:textId="77777777">
      <w:pPr>
        <w:rPr>
          <w:rFonts w:ascii="Calibri" w:hAnsi="Calibri" w:cs="Calibri"/>
        </w:rPr>
      </w:pPr>
    </w:p>
    <w:p w:rsidRPr="00103A50" w:rsidR="00C83724" w:rsidP="00C83724" w:rsidRDefault="00C83724" w14:paraId="7224336C" w14:textId="0D990BE7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optreden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geschikt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bereiken,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EU-begroting</w:t>
      </w:r>
      <w:r w:rsidRPr="00103A50" w:rsidR="003674D3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tag w:val="goog_rdk_7"/>
          <w:id w:val="1098600222"/>
        </w:sdtPr>
        <w:sdtEndPr/>
        <w:sdtContent/>
      </w:sdt>
      <w:r w:rsidRPr="00103A50">
        <w:rPr>
          <w:rFonts w:ascii="Calibri" w:hAnsi="Calibri" w:cs="Calibri"/>
        </w:rPr>
        <w:t>toekomstbestendig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maken,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concurrentievermogen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sterke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interne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markt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inzet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onderzoek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innovatie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fundament,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asiel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migratie,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veiligheid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defensie,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prominente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plek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hebben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gekregen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Echter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gaat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noodzakelijk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tag w:val="goog_rdk_8"/>
          <w:id w:val="-1768690257"/>
        </w:sdtPr>
        <w:sdtEndPr/>
        <w:sdtContent/>
      </w:sdt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doelstelling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bereiken,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onvoldoende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geprioriteerd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omvang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begroting,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voorgestelde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schulduitgifte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bijbehorende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plafonds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middelen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toenemen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noodzakelijk.</w:t>
      </w:r>
    </w:p>
    <w:p w:rsidRPr="00103A50" w:rsidR="00C83724" w:rsidP="00C83724" w:rsidRDefault="00C83724" w14:paraId="71D5AE1E" w14:textId="77777777">
      <w:pPr>
        <w:rPr>
          <w:rFonts w:ascii="Calibri" w:hAnsi="Calibri" w:cs="Calibri"/>
        </w:rPr>
      </w:pPr>
    </w:p>
    <w:p w:rsidRPr="00103A50" w:rsidR="00C83724" w:rsidP="00C83724" w:rsidRDefault="00C83724" w14:paraId="2D85A6B7" w14:textId="44CE1E5F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Daarnaast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tag w:val="goog_rdk_11"/>
          <w:id w:val="-1747875113"/>
        </w:sdtPr>
        <w:sdtEndPr/>
        <w:sdtContent/>
      </w:sdt>
      <w:r w:rsidRPr="00103A50">
        <w:rPr>
          <w:rFonts w:ascii="Calibri" w:hAnsi="Calibri" w:cs="Calibri"/>
        </w:rPr>
        <w:t>generiek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crisisinstrument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mogelijkheid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biedt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gemeenschappelijke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crisissituaties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geschikt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gaat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noodzakelijk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tag w:val="goog_rdk_12"/>
          <w:id w:val="-1246333796"/>
        </w:sdtPr>
        <w:sdtEndPr/>
        <w:sdtContent/>
      </w:sdt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doelstelling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onverwachte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omstandigheden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kunnen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reageren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bereiken.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Voldoende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lastRenderedPageBreak/>
        <w:t>flexibiliteit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crisissituaties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adresseren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vergaande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manieren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geregeld,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bijvoorbeeld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ruimte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reserveren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EU-begroting.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Bovendien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Unie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artikel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122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artikel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143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VWEU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reeds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geschikte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rechtsbases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bepaalde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gevallen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financiële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steun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verstrekken.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Daarnaast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aangaan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gemeenschappelijke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schuld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verstrekken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aanvullende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NRPP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noodzakelijk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bereiken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fondsen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NRPP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verenigd.</w:t>
      </w:r>
    </w:p>
    <w:p w:rsidRPr="00103A50" w:rsidR="00C83724" w:rsidP="00C83724" w:rsidRDefault="00C83724" w14:paraId="7B599105" w14:textId="77777777">
      <w:pPr>
        <w:rPr>
          <w:rFonts w:ascii="Calibri" w:hAnsi="Calibri" w:cs="Calibri"/>
        </w:rPr>
      </w:pPr>
    </w:p>
    <w:p w:rsidRPr="00103A50" w:rsidR="00C83724" w:rsidP="00C83724" w:rsidRDefault="00C83724" w14:paraId="361D6527" w14:textId="77777777">
      <w:pPr>
        <w:rPr>
          <w:rFonts w:ascii="Calibri" w:hAnsi="Calibri" w:cs="Calibri"/>
          <w:b/>
        </w:rPr>
      </w:pPr>
      <w:r w:rsidRPr="00103A50">
        <w:rPr>
          <w:rFonts w:ascii="Calibri" w:hAnsi="Calibri" w:cs="Calibri"/>
          <w:b/>
        </w:rPr>
        <w:t>Krachtenveld</w:t>
      </w:r>
    </w:p>
    <w:p w:rsidRPr="00103A50" w:rsidR="00C83724" w:rsidP="00C83724" w:rsidRDefault="00C83724" w14:paraId="20BE5838" w14:textId="49270431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krachtenveld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uitgekristalliseerd,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bezig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appreciëren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Commissievoorstellen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vaststellen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positie.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Desalniettemin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eerste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bespreking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Raad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Algemene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(RAZ)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d.d.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18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juli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jl.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groep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moderniseringsinzet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steunt.</w:t>
      </w:r>
      <w:r w:rsidRPr="00103A50">
        <w:rPr>
          <w:rStyle w:val="Voetnootmarkering"/>
          <w:rFonts w:ascii="Calibri" w:hAnsi="Calibri" w:cs="Calibri"/>
        </w:rPr>
        <w:footnoteReference w:id="43"/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echter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aanzienlijke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groep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pleit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behoud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status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quo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betrekking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traditionele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prioriteiten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andere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GLB,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GVB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cohesie.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aantal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vindt,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omvang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groot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pleit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verlaging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willen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modernisering.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aantal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correctiemechanisme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afdrachten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blijft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bestaan.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verwacht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komende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maanden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krachtenveld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zich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aftekenen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Kamer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geëigende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momenten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informeren.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414B2806" w14:textId="77777777">
      <w:pPr>
        <w:rPr>
          <w:rFonts w:ascii="Calibri" w:hAnsi="Calibri" w:cs="Calibri"/>
        </w:rPr>
      </w:pPr>
    </w:p>
    <w:p w:rsidRPr="00103A50" w:rsidR="00C83724" w:rsidP="00C83724" w:rsidRDefault="00C83724" w14:paraId="7B4B332F" w14:textId="2A295852">
      <w:pPr>
        <w:rPr>
          <w:rFonts w:ascii="Calibri" w:hAnsi="Calibri" w:cs="Calibri"/>
          <w:b/>
        </w:rPr>
      </w:pPr>
      <w:r w:rsidRPr="00103A50">
        <w:rPr>
          <w:rFonts w:ascii="Calibri" w:hAnsi="Calibri" w:cs="Calibri"/>
          <w:b/>
        </w:rPr>
        <w:t>Onderhandelingsproces</w:t>
      </w:r>
      <w:r w:rsidRPr="00103A50" w:rsidR="003674D3">
        <w:rPr>
          <w:rFonts w:ascii="Calibri" w:hAnsi="Calibri" w:cs="Calibri"/>
          <w:b/>
        </w:rPr>
        <w:t xml:space="preserve"> </w:t>
      </w:r>
    </w:p>
    <w:p w:rsidRPr="00103A50" w:rsidR="00C83724" w:rsidP="00C83724" w:rsidRDefault="00C83724" w14:paraId="0EF79D72" w14:textId="0ED6C238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18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juli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jl.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formeel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RAZ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Brussel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gepresenteerd,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waarna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korte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eerste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gedachtewisseling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Raadsniveau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plaatsvond.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reageerde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conform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Kamerbrief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kabinetsinzet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>
        <w:rPr>
          <w:rFonts w:ascii="Calibri" w:hAnsi="Calibri" w:cs="Calibri"/>
          <w:vertAlign w:val="superscript"/>
        </w:rPr>
        <w:footnoteReference w:id="44"/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28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maart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jl.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toelichting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discussie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RAZ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terug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vinden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desbetreffende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verslag.</w:t>
      </w:r>
      <w:r w:rsidRPr="00103A50">
        <w:rPr>
          <w:rFonts w:ascii="Calibri" w:hAnsi="Calibri" w:cs="Calibri"/>
          <w:vertAlign w:val="superscript"/>
        </w:rPr>
        <w:footnoteReference w:id="45"/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formele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presentatie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volgt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technische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fase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toelichting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gevraagd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aspecten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MFK-voorstel,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gedetailleerde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Commissievoorstellen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deelterreinen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impact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kunnen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analyseren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beoordelen.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formele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onderhandelingen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zullen,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startend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voorzitterschap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Denemarken,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RAZ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plaatsvinden.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formele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onderhandelingen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EMB-voorstel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vinden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plaats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Ecofinraad.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Ecofinraad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verwachting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lastRenderedPageBreak/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zomer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eerst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spreken.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formele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onderhandelingen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Raad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zullen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verwachting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twee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duren.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Beoogd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zowel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bijbehorende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deelverordeningen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januari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2028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werking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zullen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treden.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inwerkingtreding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januari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2028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waarschijnlijk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terugwerkende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kracht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plaatsvinden,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nationale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procedure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goedkeuring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datum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afgerond.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Overigens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uitblijven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akkoord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huidige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voortgezet,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aangezien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einddatum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heeft.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relevante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Raadsformaties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gesproken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sectorale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onderliggende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beleidsterreinen.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Raad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speelt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belangrijke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rol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strategische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sturing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formele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onderhandelingen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Raad.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Hiertoe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belangrijkste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politieke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beslispunten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EMB-voorstel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verschillende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sectorale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samengenomen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bespreekdocument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Raad,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steeds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voorbereid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RAZ.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mondt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uiteindelijk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conclusies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Raad,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leidend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zullen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formele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besluitvorming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relevante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formaties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Raad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Unie.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4C5FCC32" w14:textId="77777777">
      <w:pPr>
        <w:rPr>
          <w:rFonts w:ascii="Calibri" w:hAnsi="Calibri" w:cs="Calibri"/>
        </w:rPr>
      </w:pPr>
    </w:p>
    <w:p w:rsidRPr="00103A50" w:rsidR="00C83724" w:rsidP="00C83724" w:rsidRDefault="00C83724" w14:paraId="12297355" w14:textId="50F88D1D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minister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Buitenlandse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draagt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primaire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beleidsverantwoordelijkheid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MFK-verordening.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minister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Financiën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draagt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primaire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beleidsverantwoordelijkheid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verschillende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vakministers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dragen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primaire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beleidsverantwoordelijkheid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sectorale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verordeningen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hun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Raadsformaties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behandeld.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tijde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integrale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afweging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sectorale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verordeningen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wil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kunnen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maken,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geldt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geheel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coördinerende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bevoegdheid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minister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Buitenlandse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samenwerking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minister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Financiën.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5B3A3D33" w14:textId="77777777">
      <w:pPr>
        <w:rPr>
          <w:rFonts w:ascii="Calibri" w:hAnsi="Calibri" w:cs="Calibri"/>
        </w:rPr>
      </w:pPr>
    </w:p>
    <w:p w:rsidRPr="00103A50" w:rsidR="00C83724" w:rsidP="00C83724" w:rsidRDefault="00C83724" w14:paraId="644AA5A4" w14:textId="633F8FD4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Naar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verwachting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Raad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18-19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december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eerst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integraal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stilstaan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lopende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onderhandelingen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Kamer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gebruikelijk,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vooraf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geïnformeerd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voorgenomen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kabinetsinzet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bespreking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Geannoteerde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Agenda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RAZ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Tevens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minister-president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tijdens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gebruikelijke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debat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voorafgaand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Raad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uw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Kamer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gedachten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wisselen.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1EC175CC" w14:textId="77777777">
      <w:pPr>
        <w:rPr>
          <w:rFonts w:ascii="Calibri" w:hAnsi="Calibri" w:cs="Calibri"/>
        </w:rPr>
      </w:pPr>
    </w:p>
    <w:p w:rsidRPr="00103A50" w:rsidR="00C83724" w:rsidP="00C83724" w:rsidRDefault="00C83724" w14:paraId="7ED0D831" w14:textId="0882CD5D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Raad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besluit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unanimiteit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MFK-verordening,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goedkeuring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EP.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nieuwe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eveneens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unanimiteit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Raad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vastgesteld,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raadpleging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EP,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waarna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parlementaire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goedkeuring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nationale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parlementen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vereist.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gebeurt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parlementaire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behandeling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betreffende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goedkeuring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sectorale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lastRenderedPageBreak/>
        <w:t>kan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besluitvormingsprocedure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verordening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verschillen,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vaak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medewetgever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bepaald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Pr="00103A50" w:rsidR="003674D3">
        <w:rPr>
          <w:rFonts w:ascii="Calibri" w:hAnsi="Calibri" w:cs="Calibri"/>
        </w:rPr>
        <w:t xml:space="preserve"> 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juridische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basis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2D02BBC6" w14:textId="77777777">
      <w:pPr>
        <w:rPr>
          <w:rFonts w:ascii="Calibri" w:hAnsi="Calibri" w:cs="Calibri"/>
          <w:b/>
        </w:rPr>
      </w:pPr>
    </w:p>
    <w:p w:rsidRPr="00103A50" w:rsidR="00C83724" w:rsidP="00C83724" w:rsidRDefault="00C83724" w14:paraId="5CEA6B07" w14:textId="77777777">
      <w:pPr>
        <w:rPr>
          <w:rFonts w:ascii="Calibri" w:hAnsi="Calibri" w:cs="Calibri"/>
          <w:b/>
        </w:rPr>
      </w:pPr>
      <w:r w:rsidRPr="00103A50">
        <w:rPr>
          <w:rFonts w:ascii="Calibri" w:hAnsi="Calibri" w:cs="Calibri"/>
          <w:b/>
        </w:rPr>
        <w:t>Afsluiting</w:t>
      </w:r>
    </w:p>
    <w:p w:rsidRPr="00103A50" w:rsidR="00C83724" w:rsidP="00C83724" w:rsidRDefault="00C83724" w14:paraId="2818CC0D" w14:textId="3C488755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bevat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elementen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inzet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modernisering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versterken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rechtsstaatconditionaliteit.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Tegelijkertijd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wijkt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Commissievoorstel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aantal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punten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kabinetspositie,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name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rond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omvang,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leenfaciliteiten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onderdelen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EMB-voorstel,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zoals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ontbreken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bni-korting.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5A58E6C3" w14:textId="77777777">
      <w:pPr>
        <w:rPr>
          <w:rFonts w:ascii="Calibri" w:hAnsi="Calibri" w:cs="Calibri"/>
        </w:rPr>
      </w:pPr>
    </w:p>
    <w:p w:rsidRPr="00103A50" w:rsidR="00C83724" w:rsidP="00C83724" w:rsidRDefault="00C83724" w14:paraId="1F99B117" w14:textId="5FB686CB">
      <w:pPr>
        <w:rPr>
          <w:rFonts w:ascii="Calibri" w:hAnsi="Calibri" w:cs="Calibri"/>
          <w:b/>
        </w:rPr>
      </w:pP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kabinet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voornemens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bovenstaande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appreciatie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inzet,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alsmede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inzet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afzonderlijke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BNC-fiches,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dragen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werkt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daarbij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relevant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vanzelfsprekend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samen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andere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lidstaten,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kijkt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gedachtewisseling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uw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Kamer.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onderhandelingen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EMB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zullen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komende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jaren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hoog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agenda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staan.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Tegelijkertijd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lang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proces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verwachten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waarbij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pas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2027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belangrijkste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knopen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doorgehakt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zullen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Uw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Kamer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zal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gedurende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proces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geïnformeerd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verloop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onderhandelingen,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bijzonder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via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geannoteerde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agenda’s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verslagen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RAZ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(MFK),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Ecofinraad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(EMB)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Raad.</w:t>
      </w:r>
      <w:r w:rsidRPr="00103A50" w:rsidR="003674D3">
        <w:rPr>
          <w:rFonts w:ascii="Calibri" w:hAnsi="Calibri" w:cs="Calibri"/>
        </w:rPr>
        <w:t xml:space="preserve"> </w:t>
      </w:r>
    </w:p>
    <w:p w:rsidRPr="00103A50" w:rsidR="00C83724" w:rsidP="00C83724" w:rsidRDefault="00C83724" w14:paraId="662B888F" w14:textId="77777777">
      <w:pPr>
        <w:rPr>
          <w:rFonts w:ascii="Calibri" w:hAnsi="Calibri" w:cs="Calibri"/>
          <w:b/>
          <w:bCs/>
        </w:rPr>
      </w:pPr>
    </w:p>
    <w:p w:rsidRPr="00103A50" w:rsidR="003674D3" w:rsidRDefault="003674D3" w14:paraId="35158744" w14:textId="77777777">
      <w:pPr>
        <w:rPr>
          <w:rFonts w:ascii="Calibri" w:hAnsi="Calibri" w:cs="Calibri"/>
          <w:b/>
          <w:bCs/>
        </w:rPr>
      </w:pPr>
      <w:r w:rsidRPr="00103A50">
        <w:rPr>
          <w:rFonts w:ascii="Calibri" w:hAnsi="Calibri" w:cs="Calibri"/>
          <w:b/>
          <w:bCs/>
        </w:rPr>
        <w:br w:type="page"/>
      </w:r>
    </w:p>
    <w:p w:rsidRPr="00103A50" w:rsidR="00C83724" w:rsidP="00C83724" w:rsidRDefault="00C83724" w14:paraId="1121463F" w14:textId="0735C6BA">
      <w:pPr>
        <w:rPr>
          <w:rFonts w:ascii="Calibri" w:hAnsi="Calibri" w:cs="Calibri"/>
          <w:b/>
        </w:rPr>
      </w:pPr>
      <w:r w:rsidRPr="00103A50">
        <w:rPr>
          <w:rFonts w:ascii="Calibri" w:hAnsi="Calibri" w:cs="Calibri"/>
          <w:b/>
          <w:bCs/>
        </w:rPr>
        <w:lastRenderedPageBreak/>
        <w:t>Annex</w:t>
      </w:r>
      <w:r w:rsidRPr="00103A50" w:rsidR="003674D3">
        <w:rPr>
          <w:rFonts w:ascii="Calibri" w:hAnsi="Calibri" w:cs="Calibri"/>
          <w:b/>
          <w:bCs/>
        </w:rPr>
        <w:t xml:space="preserve"> </w:t>
      </w:r>
      <w:r w:rsidRPr="00103A50">
        <w:rPr>
          <w:rFonts w:ascii="Calibri" w:hAnsi="Calibri" w:cs="Calibri"/>
          <w:b/>
          <w:bCs/>
        </w:rPr>
        <w:t>1</w:t>
      </w:r>
      <w:r w:rsidRPr="00103A50" w:rsidR="003674D3">
        <w:rPr>
          <w:rFonts w:ascii="Calibri" w:hAnsi="Calibri" w:cs="Calibri"/>
          <w:b/>
          <w:bCs/>
        </w:rPr>
        <w:t xml:space="preserve"> </w:t>
      </w:r>
      <w:r w:rsidRPr="00103A50">
        <w:rPr>
          <w:rFonts w:ascii="Calibri" w:hAnsi="Calibri" w:cs="Calibri"/>
          <w:b/>
          <w:bCs/>
        </w:rPr>
        <w:t>-</w:t>
      </w:r>
      <w:r w:rsidRPr="00103A50" w:rsidR="003674D3">
        <w:rPr>
          <w:rFonts w:ascii="Calibri" w:hAnsi="Calibri" w:cs="Calibri"/>
          <w:b/>
          <w:bCs/>
        </w:rPr>
        <w:t xml:space="preserve"> </w:t>
      </w:r>
      <w:r w:rsidRPr="00103A50">
        <w:rPr>
          <w:rFonts w:ascii="Calibri" w:hAnsi="Calibri" w:cs="Calibri"/>
          <w:b/>
        </w:rPr>
        <w:t>Sectorale</w:t>
      </w:r>
      <w:r w:rsidRPr="00103A50" w:rsidR="003674D3">
        <w:rPr>
          <w:rFonts w:ascii="Calibri" w:hAnsi="Calibri" w:cs="Calibri"/>
          <w:b/>
        </w:rPr>
        <w:t xml:space="preserve"> </w:t>
      </w:r>
      <w:r w:rsidRPr="00103A50">
        <w:rPr>
          <w:rFonts w:ascii="Calibri" w:hAnsi="Calibri" w:cs="Calibri"/>
          <w:b/>
        </w:rPr>
        <w:t>voorstellen</w:t>
      </w:r>
    </w:p>
    <w:p w:rsidRPr="00103A50" w:rsidR="00C83724" w:rsidP="00C83724" w:rsidRDefault="00C83724" w14:paraId="449088B2" w14:textId="79EA5CEE">
      <w:pPr>
        <w:rPr>
          <w:rFonts w:ascii="Calibri" w:hAnsi="Calibri" w:cs="Calibri"/>
        </w:rPr>
      </w:pPr>
      <w:r w:rsidRPr="00103A50">
        <w:rPr>
          <w:rFonts w:ascii="Calibri" w:hAnsi="Calibri" w:cs="Calibri"/>
        </w:rPr>
        <w:t>Op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16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juli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jl.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ook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sectorale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gepubliceerd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voortvloeien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uit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MFK-verordening.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voorstellen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zijn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geapprecieerd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BNC-fiches.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Hierbij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treft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u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overzicht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sectorale</w:t>
      </w:r>
      <w:r w:rsidRPr="00103A50" w:rsidR="003674D3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voorstellen:</w:t>
      </w:r>
    </w:p>
    <w:p w:rsidRPr="00103A50" w:rsidR="00C83724" w:rsidP="00C83724" w:rsidRDefault="00C83724" w14:paraId="77D8FC23" w14:textId="05EE8687">
      <w:pPr>
        <w:rPr>
          <w:rFonts w:ascii="Calibri" w:hAnsi="Calibri" w:cs="Calibri"/>
        </w:rPr>
      </w:pPr>
    </w:p>
    <w:tbl>
      <w:tblPr>
        <w:tblW w:w="753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7539"/>
      </w:tblGrid>
      <w:tr w:rsidRPr="00103A50" w:rsidR="00C83724" w:rsidTr="00FA4CB3" w14:paraId="748B5542" w14:textId="77777777">
        <w:tc>
          <w:tcPr>
            <w:tcW w:w="7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03A50" w:rsidR="00C83724" w:rsidP="00FA4CB3" w:rsidRDefault="00C83724" w14:paraId="5A4DC4FF" w14:textId="77777777">
            <w:pPr>
              <w:widowControl w:val="0"/>
              <w:rPr>
                <w:rFonts w:ascii="Calibri" w:hAnsi="Calibri" w:cs="Calibri"/>
                <w:b/>
                <w:bCs/>
              </w:rPr>
            </w:pPr>
            <w:r w:rsidRPr="00103A50">
              <w:rPr>
                <w:rFonts w:ascii="Calibri" w:hAnsi="Calibri" w:cs="Calibri"/>
                <w:b/>
                <w:bCs/>
              </w:rPr>
              <w:t>Commissievoorstellen:</w:t>
            </w:r>
          </w:p>
        </w:tc>
      </w:tr>
      <w:tr w:rsidRPr="00103A50" w:rsidR="00C83724" w:rsidTr="00FA4CB3" w14:paraId="1F5E0A53" w14:textId="77777777">
        <w:tc>
          <w:tcPr>
            <w:tcW w:w="7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03A50" w:rsidR="00C83724" w:rsidP="00FA4CB3" w:rsidRDefault="00C83724" w14:paraId="2052B107" w14:textId="3CF4452D">
            <w:pPr>
              <w:widowControl w:val="0"/>
              <w:rPr>
                <w:rFonts w:ascii="Calibri" w:hAnsi="Calibri" w:cs="Calibri"/>
                <w:lang w:val="en-US"/>
              </w:rPr>
            </w:pPr>
            <w:r w:rsidRPr="00103A50">
              <w:rPr>
                <w:rFonts w:ascii="Calibri" w:hAnsi="Calibri" w:cs="Calibri"/>
                <w:lang w:val="en-US"/>
              </w:rPr>
              <w:t>Regulation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laying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down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the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multiannual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financial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framework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for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the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years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2028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to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2034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  <w:tr w:rsidRPr="00103A50" w:rsidR="00C83724" w:rsidTr="00FA4CB3" w14:paraId="341D92BD" w14:textId="77777777">
        <w:tc>
          <w:tcPr>
            <w:tcW w:w="7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03A50" w:rsidR="00C83724" w:rsidP="00FA4CB3" w:rsidRDefault="00C83724" w14:paraId="75BECF24" w14:textId="7997740C">
            <w:pPr>
              <w:widowControl w:val="0"/>
              <w:rPr>
                <w:rFonts w:ascii="Calibri" w:hAnsi="Calibri" w:cs="Calibri"/>
                <w:lang w:val="en-US"/>
              </w:rPr>
            </w:pPr>
            <w:r w:rsidRPr="00103A50">
              <w:rPr>
                <w:rFonts w:ascii="Calibri" w:hAnsi="Calibri" w:cs="Calibri"/>
                <w:lang w:val="en-US"/>
              </w:rPr>
              <w:t>Decision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the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System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of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Own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Resources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of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the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European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Union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  <w:tr w:rsidRPr="00103A50" w:rsidR="00C83724" w:rsidTr="00FA4CB3" w14:paraId="3FDE895E" w14:textId="77777777">
        <w:tc>
          <w:tcPr>
            <w:tcW w:w="7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03A50" w:rsidR="00C83724" w:rsidP="00FA4CB3" w:rsidRDefault="00C83724" w14:paraId="6D931D78" w14:textId="35AC2A89">
            <w:pPr>
              <w:widowControl w:val="0"/>
              <w:rPr>
                <w:rFonts w:ascii="Calibri" w:hAnsi="Calibri" w:cs="Calibri"/>
                <w:lang w:val="en-US"/>
              </w:rPr>
            </w:pPr>
            <w:r w:rsidRPr="00103A50">
              <w:rPr>
                <w:rFonts w:ascii="Calibri" w:hAnsi="Calibri" w:cs="Calibri"/>
                <w:lang w:val="en-US"/>
              </w:rPr>
              <w:t>Regulation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establishing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a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budget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expenditure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tracking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and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performance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framework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and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other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horizontal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rules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for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the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Union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programmes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and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activities</w:t>
            </w:r>
          </w:p>
        </w:tc>
      </w:tr>
      <w:tr w:rsidRPr="00103A50" w:rsidR="00C83724" w:rsidTr="00FA4CB3" w14:paraId="3A984FF4" w14:textId="77777777">
        <w:tc>
          <w:tcPr>
            <w:tcW w:w="7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03A50" w:rsidR="00C83724" w:rsidP="00FA4CB3" w:rsidRDefault="00C83724" w14:paraId="5748AFE4" w14:textId="52E21594">
            <w:pPr>
              <w:widowControl w:val="0"/>
              <w:rPr>
                <w:rFonts w:ascii="Calibri" w:hAnsi="Calibri" w:cs="Calibri"/>
                <w:lang w:val="en-US"/>
              </w:rPr>
            </w:pPr>
            <w:r w:rsidRPr="00103A50">
              <w:rPr>
                <w:rFonts w:ascii="Calibri" w:hAnsi="Calibri" w:cs="Calibri"/>
                <w:lang w:val="en-US"/>
              </w:rPr>
              <w:t>Regulation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establishing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a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European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Fund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for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economic,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social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and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territorial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cohesion,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agriculture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and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rural,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fisheries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and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maritime,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prosperity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and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security</w:t>
            </w:r>
          </w:p>
          <w:p w:rsidRPr="00103A50" w:rsidR="00C83724" w:rsidP="00FA4CB3" w:rsidRDefault="00C83724" w14:paraId="1A90A861" w14:textId="77777777">
            <w:pPr>
              <w:widowControl w:val="0"/>
              <w:rPr>
                <w:rFonts w:ascii="Calibri" w:hAnsi="Calibri" w:cs="Calibri"/>
                <w:lang w:val="en-US"/>
              </w:rPr>
            </w:pPr>
          </w:p>
        </w:tc>
      </w:tr>
      <w:tr w:rsidRPr="00103A50" w:rsidR="00C83724" w:rsidTr="00FA4CB3" w14:paraId="36E8A728" w14:textId="77777777">
        <w:tc>
          <w:tcPr>
            <w:tcW w:w="7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03A50" w:rsidR="00C83724" w:rsidP="00FA4CB3" w:rsidRDefault="00C83724" w14:paraId="00401EC2" w14:textId="273BE685">
            <w:pPr>
              <w:widowControl w:val="0"/>
              <w:rPr>
                <w:rFonts w:ascii="Calibri" w:hAnsi="Calibri" w:cs="Calibri"/>
                <w:lang w:val="en-US"/>
              </w:rPr>
            </w:pPr>
            <w:r w:rsidRPr="00103A50">
              <w:rPr>
                <w:rFonts w:ascii="Calibri" w:hAnsi="Calibri" w:cs="Calibri"/>
                <w:lang w:val="en-US"/>
              </w:rPr>
              <w:t>Council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Regulation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the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union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support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to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the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Common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Agricultural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Policy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(CAP)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  <w:tr w:rsidRPr="00103A50" w:rsidR="00C83724" w:rsidTr="00FA4CB3" w14:paraId="36E848D6" w14:textId="77777777">
        <w:tc>
          <w:tcPr>
            <w:tcW w:w="7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03A50" w:rsidR="00C83724" w:rsidP="00FA4CB3" w:rsidRDefault="00C83724" w14:paraId="16618998" w14:textId="712690D3">
            <w:pPr>
              <w:widowControl w:val="0"/>
              <w:rPr>
                <w:rFonts w:ascii="Calibri" w:hAnsi="Calibri" w:cs="Calibri"/>
                <w:lang w:val="en-US"/>
              </w:rPr>
            </w:pPr>
            <w:r w:rsidRPr="00103A50">
              <w:rPr>
                <w:rFonts w:ascii="Calibri" w:hAnsi="Calibri" w:cs="Calibri"/>
                <w:lang w:val="en-US"/>
              </w:rPr>
              <w:t>Regulation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establishing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the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conditions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for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the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implementation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of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the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Union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support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to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the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Common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Fisheries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Policy,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to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the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European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Ocean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Pact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and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of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the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Union’s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maritime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and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aquaculture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policy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  <w:tr w:rsidRPr="00103A50" w:rsidR="00C83724" w:rsidTr="00FA4CB3" w14:paraId="7691704A" w14:textId="77777777">
        <w:tc>
          <w:tcPr>
            <w:tcW w:w="7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03A50" w:rsidR="00C83724" w:rsidP="00FA4CB3" w:rsidRDefault="00C83724" w14:paraId="083F1190" w14:textId="2E2FECCC">
            <w:pPr>
              <w:widowControl w:val="0"/>
              <w:rPr>
                <w:rFonts w:ascii="Calibri" w:hAnsi="Calibri" w:cs="Calibri"/>
                <w:lang w:val="en-US"/>
              </w:rPr>
            </w:pPr>
            <w:r w:rsidRPr="00103A50">
              <w:rPr>
                <w:rFonts w:ascii="Calibri" w:hAnsi="Calibri" w:cs="Calibri"/>
                <w:lang w:val="en-US"/>
              </w:rPr>
              <w:t>Regulation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as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regards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the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aid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scheme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for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the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supply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of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fruit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and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vegetables,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bananas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and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milk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in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educational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establishments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  <w:tr w:rsidRPr="00103A50" w:rsidR="00C83724" w:rsidTr="00FA4CB3" w14:paraId="0D779030" w14:textId="77777777">
        <w:tc>
          <w:tcPr>
            <w:tcW w:w="7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03A50" w:rsidR="00C83724" w:rsidP="00FA4CB3" w:rsidRDefault="00C83724" w14:paraId="448DC2D0" w14:textId="020D1C05">
            <w:pPr>
              <w:widowControl w:val="0"/>
              <w:rPr>
                <w:rFonts w:ascii="Calibri" w:hAnsi="Calibri" w:cs="Calibri"/>
                <w:lang w:val="en-US"/>
              </w:rPr>
            </w:pPr>
            <w:r w:rsidRPr="00103A50">
              <w:rPr>
                <w:rFonts w:ascii="Calibri" w:hAnsi="Calibri" w:cs="Calibri"/>
                <w:lang w:val="en-US"/>
              </w:rPr>
              <w:t>Regulation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the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European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Regional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Development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Fund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(ERDF)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and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Cohesion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Fund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  <w:tr w:rsidRPr="00103A50" w:rsidR="00C83724" w:rsidTr="00FA4CB3" w14:paraId="302C4741" w14:textId="77777777">
        <w:tc>
          <w:tcPr>
            <w:tcW w:w="7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03A50" w:rsidR="00C83724" w:rsidP="00FA4CB3" w:rsidRDefault="00C83724" w14:paraId="3EE3471F" w14:textId="5DF5651B">
            <w:pPr>
              <w:widowControl w:val="0"/>
              <w:rPr>
                <w:rFonts w:ascii="Calibri" w:hAnsi="Calibri" w:cs="Calibri"/>
                <w:lang w:val="en-US"/>
              </w:rPr>
            </w:pPr>
            <w:r w:rsidRPr="00103A50">
              <w:rPr>
                <w:rFonts w:ascii="Calibri" w:hAnsi="Calibri" w:cs="Calibri"/>
                <w:lang w:val="en-US"/>
              </w:rPr>
              <w:t>Regulation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establishing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the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Union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support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for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internal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security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(ISF)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  <w:tr w:rsidRPr="00103A50" w:rsidR="00C83724" w:rsidTr="00FA4CB3" w14:paraId="48423571" w14:textId="77777777">
        <w:tc>
          <w:tcPr>
            <w:tcW w:w="7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03A50" w:rsidR="00C83724" w:rsidP="00FA4CB3" w:rsidRDefault="00C83724" w14:paraId="2DB65E08" w14:textId="4C5D98DE">
            <w:pPr>
              <w:widowControl w:val="0"/>
              <w:rPr>
                <w:rFonts w:ascii="Calibri" w:hAnsi="Calibri" w:cs="Calibri"/>
                <w:lang w:val="en-US"/>
              </w:rPr>
            </w:pPr>
            <w:r w:rsidRPr="00103A50">
              <w:rPr>
                <w:rFonts w:ascii="Calibri" w:hAnsi="Calibri" w:cs="Calibri"/>
                <w:lang w:val="en-US"/>
              </w:rPr>
              <w:t>Regulation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Union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support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for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the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Schengen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area,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for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European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integrated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border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management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and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for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the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common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policy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visas</w:t>
            </w:r>
          </w:p>
        </w:tc>
      </w:tr>
      <w:tr w:rsidRPr="00103A50" w:rsidR="00C83724" w:rsidTr="00FA4CB3" w14:paraId="0AAD4BE8" w14:textId="77777777">
        <w:tc>
          <w:tcPr>
            <w:tcW w:w="7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03A50" w:rsidR="00C83724" w:rsidP="00FA4CB3" w:rsidRDefault="00C83724" w14:paraId="2F091667" w14:textId="75CDE64A">
            <w:pPr>
              <w:widowControl w:val="0"/>
              <w:rPr>
                <w:rFonts w:ascii="Calibri" w:hAnsi="Calibri" w:cs="Calibri"/>
                <w:lang w:val="en-US"/>
              </w:rPr>
            </w:pPr>
            <w:r w:rsidRPr="00103A50">
              <w:rPr>
                <w:rFonts w:ascii="Calibri" w:hAnsi="Calibri" w:cs="Calibri"/>
                <w:lang w:val="en-US"/>
              </w:rPr>
              <w:lastRenderedPageBreak/>
              <w:t>Regulation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establishing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the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Union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support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for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asylum,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migration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and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integration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 </w:t>
            </w:r>
          </w:p>
        </w:tc>
      </w:tr>
      <w:tr w:rsidRPr="00103A50" w:rsidR="00C83724" w:rsidTr="00FA4CB3" w14:paraId="4EC8DEEA" w14:textId="77777777">
        <w:tc>
          <w:tcPr>
            <w:tcW w:w="7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03A50" w:rsidR="00C83724" w:rsidP="00FA4CB3" w:rsidRDefault="00C83724" w14:paraId="3545B8A2" w14:textId="7464BD88">
            <w:pPr>
              <w:widowControl w:val="0"/>
              <w:rPr>
                <w:rFonts w:ascii="Calibri" w:hAnsi="Calibri" w:cs="Calibri"/>
                <w:lang w:val="en-US"/>
              </w:rPr>
            </w:pPr>
            <w:r w:rsidRPr="00103A50">
              <w:rPr>
                <w:rFonts w:ascii="Calibri" w:hAnsi="Calibri" w:cs="Calibri"/>
                <w:lang w:val="en-US"/>
              </w:rPr>
              <w:t>Regulation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establishing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the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European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Social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Fund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(ESF)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  <w:tr w:rsidRPr="00103A50" w:rsidR="00C83724" w:rsidTr="00FA4CB3" w14:paraId="63AB3275" w14:textId="77777777">
        <w:tc>
          <w:tcPr>
            <w:tcW w:w="7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03A50" w:rsidR="00C83724" w:rsidP="00FA4CB3" w:rsidRDefault="00C83724" w14:paraId="0B1C9C77" w14:textId="3F6321D2">
            <w:pPr>
              <w:widowControl w:val="0"/>
              <w:rPr>
                <w:rFonts w:ascii="Calibri" w:hAnsi="Calibri" w:cs="Calibri"/>
                <w:lang w:val="en-US"/>
              </w:rPr>
            </w:pPr>
            <w:r w:rsidRPr="00103A50">
              <w:rPr>
                <w:rFonts w:ascii="Calibri" w:hAnsi="Calibri" w:cs="Calibri"/>
                <w:lang w:val="en-US"/>
              </w:rPr>
              <w:t>Regulation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establishing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the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European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Competitiveness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Fund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(‘ECF’)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including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the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specific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programme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for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defence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research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and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innovation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activities</w:t>
            </w:r>
          </w:p>
        </w:tc>
      </w:tr>
      <w:tr w:rsidRPr="00103A50" w:rsidR="00C83724" w:rsidTr="00FA4CB3" w14:paraId="6CF52744" w14:textId="77777777">
        <w:tc>
          <w:tcPr>
            <w:tcW w:w="7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03A50" w:rsidR="00C83724" w:rsidP="00FA4CB3" w:rsidRDefault="00C83724" w14:paraId="39BB994E" w14:textId="0AD4B5E5">
            <w:pPr>
              <w:widowControl w:val="0"/>
              <w:rPr>
                <w:rFonts w:ascii="Calibri" w:hAnsi="Calibri" w:cs="Calibri"/>
                <w:lang w:val="en-US"/>
              </w:rPr>
            </w:pPr>
            <w:r w:rsidRPr="00103A50">
              <w:rPr>
                <w:rFonts w:ascii="Calibri" w:hAnsi="Calibri" w:cs="Calibri"/>
                <w:lang w:val="en-US"/>
              </w:rPr>
              <w:t>Council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Regulation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establishing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Horizon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Europe]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  <w:tr w:rsidRPr="00103A50" w:rsidR="00C83724" w:rsidTr="00FA4CB3" w14:paraId="0395EC8D" w14:textId="77777777">
        <w:tc>
          <w:tcPr>
            <w:tcW w:w="7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03A50" w:rsidR="00C83724" w:rsidP="00FA4CB3" w:rsidRDefault="00C83724" w14:paraId="13F0450E" w14:textId="515DEB2E">
            <w:pPr>
              <w:widowControl w:val="0"/>
              <w:rPr>
                <w:rFonts w:ascii="Calibri" w:hAnsi="Calibri" w:cs="Calibri"/>
                <w:lang w:val="en-US"/>
              </w:rPr>
            </w:pPr>
            <w:r w:rsidRPr="00103A50">
              <w:rPr>
                <w:rFonts w:ascii="Calibri" w:hAnsi="Calibri" w:cs="Calibri"/>
                <w:lang w:val="en-US"/>
              </w:rPr>
              <w:t>Regulation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establishing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Global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Europe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  <w:tr w:rsidRPr="00103A50" w:rsidR="00C83724" w:rsidTr="00FA4CB3" w14:paraId="10858D12" w14:textId="77777777">
        <w:tc>
          <w:tcPr>
            <w:tcW w:w="7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03A50" w:rsidR="00C83724" w:rsidP="00FA4CB3" w:rsidRDefault="00C83724" w14:paraId="29A0951F" w14:textId="160E639B">
            <w:pPr>
              <w:widowControl w:val="0"/>
              <w:rPr>
                <w:rFonts w:ascii="Calibri" w:hAnsi="Calibri" w:cs="Calibri"/>
                <w:lang w:val="en-US"/>
              </w:rPr>
            </w:pPr>
            <w:r w:rsidRPr="00103A50">
              <w:rPr>
                <w:rFonts w:ascii="Calibri" w:hAnsi="Calibri" w:cs="Calibri"/>
                <w:lang w:val="en-US"/>
              </w:rPr>
              <w:t>Regulation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establishing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the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Connecting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Europe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Facility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(CEF)</w:t>
            </w:r>
          </w:p>
        </w:tc>
      </w:tr>
      <w:tr w:rsidRPr="00103A50" w:rsidR="00C83724" w:rsidTr="00FA4CB3" w14:paraId="017B6310" w14:textId="77777777">
        <w:tc>
          <w:tcPr>
            <w:tcW w:w="7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03A50" w:rsidR="00C83724" w:rsidP="00FA4CB3" w:rsidRDefault="00C83724" w14:paraId="6E81B7F7" w14:textId="19A40A2F">
            <w:pPr>
              <w:widowControl w:val="0"/>
              <w:rPr>
                <w:rFonts w:ascii="Calibri" w:hAnsi="Calibri" w:cs="Calibri"/>
                <w:lang w:val="en-US"/>
              </w:rPr>
            </w:pPr>
            <w:r w:rsidRPr="00103A50">
              <w:rPr>
                <w:rFonts w:ascii="Calibri" w:hAnsi="Calibri" w:cs="Calibri"/>
                <w:lang w:val="en-US"/>
              </w:rPr>
              <w:t>Regulation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the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Union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Civil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Protection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Mechanism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and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Union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support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for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health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emergency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and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preparedness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and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response</w:t>
            </w:r>
          </w:p>
        </w:tc>
      </w:tr>
      <w:tr w:rsidRPr="00103A50" w:rsidR="00C83724" w:rsidTr="00FA4CB3" w14:paraId="4D83AA12" w14:textId="77777777">
        <w:tc>
          <w:tcPr>
            <w:tcW w:w="7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03A50" w:rsidR="00C83724" w:rsidP="00FA4CB3" w:rsidRDefault="00C83724" w14:paraId="759418AD" w14:textId="311EBD60">
            <w:pPr>
              <w:widowControl w:val="0"/>
              <w:rPr>
                <w:rFonts w:ascii="Calibri" w:hAnsi="Calibri" w:cs="Calibri"/>
                <w:lang w:val="en-US"/>
              </w:rPr>
            </w:pPr>
            <w:r w:rsidRPr="00103A50">
              <w:rPr>
                <w:rFonts w:ascii="Calibri" w:hAnsi="Calibri" w:cs="Calibri"/>
                <w:lang w:val="en-US"/>
              </w:rPr>
              <w:t>Regulation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establishing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the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‘Agora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EU’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  <w:r w:rsidRPr="00103A50">
              <w:rPr>
                <w:rFonts w:ascii="Calibri" w:hAnsi="Calibri" w:cs="Calibri"/>
                <w:lang w:val="en-US"/>
              </w:rPr>
              <w:t>programme</w:t>
            </w:r>
            <w:r w:rsidRPr="00103A50" w:rsidR="003674D3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  <w:tr w:rsidRPr="00103A50" w:rsidR="00C83724" w:rsidTr="00FA4CB3" w14:paraId="26E71FD7" w14:textId="77777777">
        <w:tc>
          <w:tcPr>
            <w:tcW w:w="7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03A50" w:rsidR="00C83724" w:rsidP="00FA4CB3" w:rsidRDefault="00C83724" w14:paraId="4F205845" w14:textId="2EF342C4">
            <w:pPr>
              <w:widowControl w:val="0"/>
              <w:rPr>
                <w:rFonts w:ascii="Calibri" w:hAnsi="Calibri" w:cs="Calibri"/>
              </w:rPr>
            </w:pPr>
            <w:r w:rsidRPr="00103A50">
              <w:rPr>
                <w:rFonts w:ascii="Calibri" w:hAnsi="Calibri" w:cs="Calibri"/>
              </w:rPr>
              <w:t>Regulation</w:t>
            </w:r>
            <w:r w:rsidRPr="00103A50" w:rsidR="003674D3">
              <w:rPr>
                <w:rFonts w:ascii="Calibri" w:hAnsi="Calibri" w:cs="Calibri"/>
              </w:rPr>
              <w:t xml:space="preserve"> </w:t>
            </w:r>
            <w:r w:rsidRPr="00103A50">
              <w:rPr>
                <w:rFonts w:ascii="Calibri" w:hAnsi="Calibri" w:cs="Calibri"/>
              </w:rPr>
              <w:t>establishing</w:t>
            </w:r>
            <w:r w:rsidRPr="00103A50" w:rsidR="003674D3">
              <w:rPr>
                <w:rFonts w:ascii="Calibri" w:hAnsi="Calibri" w:cs="Calibri"/>
              </w:rPr>
              <w:t xml:space="preserve"> </w:t>
            </w:r>
            <w:r w:rsidRPr="00103A50">
              <w:rPr>
                <w:rFonts w:ascii="Calibri" w:hAnsi="Calibri" w:cs="Calibri"/>
              </w:rPr>
              <w:t>Erasmus+</w:t>
            </w:r>
            <w:r w:rsidRPr="00103A50" w:rsidR="003674D3">
              <w:rPr>
                <w:rFonts w:ascii="Calibri" w:hAnsi="Calibri" w:cs="Calibri"/>
              </w:rPr>
              <w:t xml:space="preserve"> </w:t>
            </w:r>
          </w:p>
        </w:tc>
      </w:tr>
    </w:tbl>
    <w:p w:rsidRPr="00103A50" w:rsidR="00C83724" w:rsidP="00C83724" w:rsidRDefault="00C83724" w14:paraId="0BBD4D9B" w14:textId="77777777">
      <w:pPr>
        <w:rPr>
          <w:rFonts w:ascii="Calibri" w:hAnsi="Calibri" w:cs="Calibri"/>
        </w:rPr>
      </w:pPr>
    </w:p>
    <w:p w:rsidRPr="00103A50" w:rsidR="006F53E6" w:rsidRDefault="006F53E6" w14:paraId="7856E642" w14:textId="77777777">
      <w:pPr>
        <w:rPr>
          <w:rFonts w:ascii="Calibri" w:hAnsi="Calibri" w:cs="Calibri"/>
        </w:rPr>
      </w:pPr>
    </w:p>
    <w:sectPr w:rsidRPr="00103A50" w:rsidR="006F53E6" w:rsidSect="00C837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07B58" w14:textId="77777777" w:rsidR="00C83724" w:rsidRDefault="00C83724" w:rsidP="00C83724">
      <w:pPr>
        <w:spacing w:after="0" w:line="240" w:lineRule="auto"/>
      </w:pPr>
      <w:r>
        <w:separator/>
      </w:r>
    </w:p>
  </w:endnote>
  <w:endnote w:type="continuationSeparator" w:id="0">
    <w:p w14:paraId="4D03CAC0" w14:textId="77777777" w:rsidR="00C83724" w:rsidRDefault="00C83724" w:rsidP="00C83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577FE" w14:textId="77777777" w:rsidR="00EB30F7" w:rsidRPr="00C83724" w:rsidRDefault="00EB30F7" w:rsidP="00C8372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9A9A2" w14:textId="77777777" w:rsidR="00EB30F7" w:rsidRPr="00C83724" w:rsidRDefault="00EB30F7" w:rsidP="00C8372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9D38" w14:textId="77777777" w:rsidR="00EB30F7" w:rsidRPr="00C83724" w:rsidRDefault="00EB30F7" w:rsidP="00C837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6F37F" w14:textId="77777777" w:rsidR="00C83724" w:rsidRDefault="00C83724" w:rsidP="00C83724">
      <w:pPr>
        <w:spacing w:after="0" w:line="240" w:lineRule="auto"/>
      </w:pPr>
      <w:r>
        <w:separator/>
      </w:r>
    </w:p>
  </w:footnote>
  <w:footnote w:type="continuationSeparator" w:id="0">
    <w:p w14:paraId="3B142477" w14:textId="77777777" w:rsidR="00C83724" w:rsidRDefault="00C83724" w:rsidP="00C83724">
      <w:pPr>
        <w:spacing w:after="0" w:line="240" w:lineRule="auto"/>
      </w:pPr>
      <w:r>
        <w:continuationSeparator/>
      </w:r>
    </w:p>
  </w:footnote>
  <w:footnote w:id="1">
    <w:p w14:paraId="2DE6D80E" w14:textId="0EAEC95B" w:rsidR="00C83724" w:rsidRPr="00103A50" w:rsidRDefault="00C83724" w:rsidP="00103A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0"/>
          <w:szCs w:val="20"/>
          <w:lang w:val="en-US"/>
        </w:rPr>
      </w:pPr>
      <w:r w:rsidRPr="00103A50">
        <w:rPr>
          <w:rFonts w:ascii="Calibri" w:hAnsi="Calibri" w:cs="Calibri"/>
          <w:sz w:val="20"/>
          <w:szCs w:val="20"/>
          <w:vertAlign w:val="superscript"/>
        </w:rPr>
        <w:footnoteRef/>
      </w:r>
      <w:r w:rsidR="003674D3" w:rsidRPr="00103A50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eastAsia="Calibri" w:hAnsi="Calibri" w:cs="Calibri"/>
          <w:sz w:val="20"/>
          <w:szCs w:val="20"/>
          <w:lang w:val="en-US"/>
        </w:rPr>
        <w:t>Kamerstuk</w:t>
      </w:r>
      <w:r w:rsidR="003674D3" w:rsidRPr="00103A50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eastAsia="Calibri" w:hAnsi="Calibri" w:cs="Calibri"/>
          <w:sz w:val="20"/>
          <w:szCs w:val="20"/>
          <w:lang w:val="en-US"/>
        </w:rPr>
        <w:t>36</w:t>
      </w:r>
      <w:r w:rsidR="003674D3" w:rsidRPr="00103A50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eastAsia="Calibri" w:hAnsi="Calibri" w:cs="Calibri"/>
          <w:sz w:val="20"/>
          <w:szCs w:val="20"/>
          <w:lang w:val="en-US"/>
        </w:rPr>
        <w:t>715,</w:t>
      </w:r>
      <w:r w:rsidR="003674D3" w:rsidRPr="00103A50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eastAsia="Calibri" w:hAnsi="Calibri" w:cs="Calibri"/>
          <w:sz w:val="20"/>
          <w:szCs w:val="20"/>
          <w:lang w:val="en-US"/>
        </w:rPr>
        <w:t>nr.</w:t>
      </w:r>
      <w:r w:rsidR="003674D3" w:rsidRPr="00103A50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eastAsia="Calibri" w:hAnsi="Calibri" w:cs="Calibri"/>
          <w:sz w:val="20"/>
          <w:szCs w:val="20"/>
          <w:lang w:val="en-US"/>
        </w:rPr>
        <w:t>13.</w:t>
      </w:r>
    </w:p>
  </w:footnote>
  <w:footnote w:id="2">
    <w:p w14:paraId="0BFB6D7A" w14:textId="7802B212" w:rsidR="00C83724" w:rsidRPr="00103A50" w:rsidRDefault="00C83724" w:rsidP="00103A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r w:rsidRPr="00103A50">
        <w:rPr>
          <w:rFonts w:ascii="Calibri" w:hAnsi="Calibri" w:cs="Calibri"/>
          <w:sz w:val="20"/>
          <w:szCs w:val="20"/>
          <w:vertAlign w:val="superscript"/>
        </w:rPr>
        <w:footnoteRef/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Proposal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for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a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Council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Regulation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laying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down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the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multiannual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financial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framework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for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the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years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2028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to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2034.</w:t>
      </w:r>
    </w:p>
  </w:footnote>
  <w:footnote w:id="3">
    <w:p w14:paraId="47A3935F" w14:textId="3A8F655D" w:rsidR="00C83724" w:rsidRPr="00103A50" w:rsidRDefault="00C83724" w:rsidP="00103A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r w:rsidRPr="00103A50">
        <w:rPr>
          <w:rFonts w:ascii="Calibri" w:hAnsi="Calibri" w:cs="Calibri"/>
          <w:sz w:val="20"/>
          <w:szCs w:val="20"/>
          <w:vertAlign w:val="superscript"/>
        </w:rPr>
        <w:footnoteRef/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Proposal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for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a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Council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Decision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on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the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System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of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Own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Resources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of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the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European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Union.</w:t>
      </w:r>
    </w:p>
  </w:footnote>
  <w:footnote w:id="4">
    <w:p w14:paraId="69598A3C" w14:textId="0D3A0589" w:rsidR="00C83724" w:rsidRPr="00103A50" w:rsidRDefault="00C83724" w:rsidP="00103A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sz w:val="20"/>
          <w:szCs w:val="20"/>
          <w:lang w:val="en-US"/>
        </w:rPr>
      </w:pPr>
      <w:r w:rsidRPr="00103A50">
        <w:rPr>
          <w:rFonts w:ascii="Calibri" w:hAnsi="Calibri" w:cs="Calibri"/>
          <w:sz w:val="20"/>
          <w:szCs w:val="20"/>
          <w:vertAlign w:val="superscript"/>
        </w:rPr>
        <w:footnoteRef/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Proposal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for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an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Interinstitutional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Agreement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between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the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European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Parliament,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the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Council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and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the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Commission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on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budgetary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discipline,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on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cooperation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in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budgetary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matters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and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on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sound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financial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management.</w:t>
      </w:r>
    </w:p>
  </w:footnote>
  <w:footnote w:id="5">
    <w:p w14:paraId="2B192120" w14:textId="65CEC36D" w:rsidR="00C83724" w:rsidRPr="00103A50" w:rsidRDefault="00C83724" w:rsidP="00103A50">
      <w:pPr>
        <w:pStyle w:val="Voetnoottekst"/>
        <w:rPr>
          <w:rFonts w:ascii="Calibri" w:hAnsi="Calibri" w:cs="Calibri"/>
        </w:rPr>
      </w:pPr>
      <w:r w:rsidRPr="00103A50">
        <w:rPr>
          <w:rStyle w:val="Voetnootmarkering"/>
          <w:rFonts w:ascii="Calibri" w:hAnsi="Calibri" w:cs="Calibri"/>
        </w:rPr>
        <w:footnoteRef/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is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gerekend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moment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bereiken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akkoord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2020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inclusief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MFK-herziening.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Dit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percentage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1,13%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gaat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omvang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vastleggingen.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raming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EU-afdrachten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wordt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gekeken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naar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betalingenplafond,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lag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1,12%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Eu27-bni.</w:t>
      </w:r>
    </w:p>
  </w:footnote>
  <w:footnote w:id="6">
    <w:p w14:paraId="7E188FBA" w14:textId="528620FF" w:rsidR="00C83724" w:rsidRPr="00103A50" w:rsidRDefault="00C83724" w:rsidP="00103A50">
      <w:pPr>
        <w:pStyle w:val="Voetnoottekst"/>
        <w:rPr>
          <w:rFonts w:ascii="Calibri" w:hAnsi="Calibri" w:cs="Calibri"/>
        </w:rPr>
      </w:pPr>
      <w:r w:rsidRPr="00103A50">
        <w:rPr>
          <w:rStyle w:val="Voetnootmarkering"/>
          <w:rFonts w:ascii="Calibri" w:hAnsi="Calibri" w:cs="Calibri"/>
        </w:rPr>
        <w:footnoteRef/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Ter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vergelijking: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jaarlijkse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Nederlandse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begroting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bedraagt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2025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ca.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425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miljard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euro.</w:t>
      </w:r>
    </w:p>
  </w:footnote>
  <w:footnote w:id="7">
    <w:p w14:paraId="0F4EE13D" w14:textId="59B736DC" w:rsidR="00C83724" w:rsidRPr="00103A50" w:rsidRDefault="00C83724" w:rsidP="00103A50">
      <w:pPr>
        <w:pStyle w:val="Voetnoottekst"/>
        <w:rPr>
          <w:rFonts w:ascii="Calibri" w:hAnsi="Calibri" w:cs="Calibri"/>
          <w:lang w:val="en-US"/>
        </w:rPr>
      </w:pPr>
      <w:r w:rsidRPr="00103A50">
        <w:rPr>
          <w:rStyle w:val="Voetnootmarkering"/>
          <w:rFonts w:ascii="Calibri" w:hAnsi="Calibri" w:cs="Calibri"/>
        </w:rPr>
        <w:footnoteRef/>
      </w:r>
      <w:r w:rsidR="003674D3" w:rsidRPr="00103A50">
        <w:rPr>
          <w:rFonts w:ascii="Calibri" w:hAnsi="Calibri" w:cs="Calibri"/>
          <w:lang w:val="en-US"/>
        </w:rPr>
        <w:t xml:space="preserve"> </w:t>
      </w:r>
      <w:r w:rsidRPr="00103A50">
        <w:rPr>
          <w:rFonts w:ascii="Calibri" w:hAnsi="Calibri" w:cs="Calibri"/>
          <w:lang w:val="en-US"/>
        </w:rPr>
        <w:t>The</w:t>
      </w:r>
      <w:r w:rsidR="003674D3" w:rsidRPr="00103A50">
        <w:rPr>
          <w:rFonts w:ascii="Calibri" w:hAnsi="Calibri" w:cs="Calibri"/>
          <w:lang w:val="en-US"/>
        </w:rPr>
        <w:t xml:space="preserve"> </w:t>
      </w:r>
      <w:r w:rsidRPr="00103A50">
        <w:rPr>
          <w:rFonts w:ascii="Calibri" w:hAnsi="Calibri" w:cs="Calibri"/>
          <w:lang w:val="en-US"/>
        </w:rPr>
        <w:t>Draghi</w:t>
      </w:r>
      <w:r w:rsidR="003674D3" w:rsidRPr="00103A50">
        <w:rPr>
          <w:rFonts w:ascii="Calibri" w:hAnsi="Calibri" w:cs="Calibri"/>
          <w:lang w:val="en-US"/>
        </w:rPr>
        <w:t xml:space="preserve"> </w:t>
      </w:r>
      <w:r w:rsidRPr="00103A50">
        <w:rPr>
          <w:rFonts w:ascii="Calibri" w:hAnsi="Calibri" w:cs="Calibri"/>
          <w:lang w:val="en-US"/>
        </w:rPr>
        <w:t>report</w:t>
      </w:r>
      <w:r w:rsidR="003674D3" w:rsidRPr="00103A50">
        <w:rPr>
          <w:rFonts w:ascii="Calibri" w:hAnsi="Calibri" w:cs="Calibri"/>
          <w:lang w:val="en-US"/>
        </w:rPr>
        <w:t xml:space="preserve"> </w:t>
      </w:r>
      <w:r w:rsidRPr="00103A50">
        <w:rPr>
          <w:rFonts w:ascii="Calibri" w:hAnsi="Calibri" w:cs="Calibri"/>
          <w:lang w:val="en-US"/>
        </w:rPr>
        <w:t>(2024):</w:t>
      </w:r>
      <w:r w:rsidR="003674D3" w:rsidRPr="00103A50">
        <w:rPr>
          <w:rFonts w:ascii="Calibri" w:hAnsi="Calibri" w:cs="Calibri"/>
          <w:lang w:val="en-US"/>
        </w:rPr>
        <w:t xml:space="preserve"> </w:t>
      </w:r>
      <w:r w:rsidRPr="00103A50">
        <w:rPr>
          <w:rFonts w:ascii="Calibri" w:hAnsi="Calibri" w:cs="Calibri"/>
          <w:lang w:val="en-US"/>
        </w:rPr>
        <w:t>a</w:t>
      </w:r>
      <w:r w:rsidR="003674D3" w:rsidRPr="00103A50">
        <w:rPr>
          <w:rFonts w:ascii="Calibri" w:hAnsi="Calibri" w:cs="Calibri"/>
          <w:lang w:val="en-US"/>
        </w:rPr>
        <w:t xml:space="preserve"> </w:t>
      </w:r>
      <w:r w:rsidRPr="00103A50">
        <w:rPr>
          <w:rFonts w:ascii="Calibri" w:hAnsi="Calibri" w:cs="Calibri"/>
          <w:lang w:val="en-US"/>
        </w:rPr>
        <w:t>competitiveness</w:t>
      </w:r>
      <w:r w:rsidR="003674D3" w:rsidRPr="00103A50">
        <w:rPr>
          <w:rFonts w:ascii="Calibri" w:hAnsi="Calibri" w:cs="Calibri"/>
          <w:lang w:val="en-US"/>
        </w:rPr>
        <w:t xml:space="preserve"> </w:t>
      </w:r>
      <w:r w:rsidRPr="00103A50">
        <w:rPr>
          <w:rFonts w:ascii="Calibri" w:hAnsi="Calibri" w:cs="Calibri"/>
          <w:lang w:val="en-US"/>
        </w:rPr>
        <w:t>strategy</w:t>
      </w:r>
      <w:r w:rsidR="003674D3" w:rsidRPr="00103A50">
        <w:rPr>
          <w:rFonts w:ascii="Calibri" w:hAnsi="Calibri" w:cs="Calibri"/>
          <w:lang w:val="en-US"/>
        </w:rPr>
        <w:t xml:space="preserve"> </w:t>
      </w:r>
      <w:r w:rsidRPr="00103A50">
        <w:rPr>
          <w:rFonts w:ascii="Calibri" w:hAnsi="Calibri" w:cs="Calibri"/>
          <w:lang w:val="en-US"/>
        </w:rPr>
        <w:t>for</w:t>
      </w:r>
      <w:r w:rsidR="003674D3" w:rsidRPr="00103A50">
        <w:rPr>
          <w:rFonts w:ascii="Calibri" w:hAnsi="Calibri" w:cs="Calibri"/>
          <w:lang w:val="en-US"/>
        </w:rPr>
        <w:t xml:space="preserve"> </w:t>
      </w:r>
      <w:r w:rsidRPr="00103A50">
        <w:rPr>
          <w:rFonts w:ascii="Calibri" w:hAnsi="Calibri" w:cs="Calibri"/>
          <w:lang w:val="en-US"/>
        </w:rPr>
        <w:t>Europe,</w:t>
      </w:r>
      <w:r w:rsidR="003674D3" w:rsidRPr="00103A50">
        <w:rPr>
          <w:rFonts w:ascii="Calibri" w:hAnsi="Calibri" w:cs="Calibri"/>
          <w:lang w:val="en-US"/>
        </w:rPr>
        <w:t xml:space="preserve"> </w:t>
      </w:r>
      <w:r w:rsidRPr="00103A50">
        <w:rPr>
          <w:rFonts w:ascii="Calibri" w:hAnsi="Calibri" w:cs="Calibri"/>
          <w:lang w:val="en-US"/>
        </w:rPr>
        <w:t>ISBN</w:t>
      </w:r>
      <w:r w:rsidR="003674D3" w:rsidRPr="00103A50">
        <w:rPr>
          <w:rFonts w:ascii="Calibri" w:hAnsi="Calibri" w:cs="Calibri"/>
          <w:lang w:val="en-US"/>
        </w:rPr>
        <w:t xml:space="preserve"> </w:t>
      </w:r>
      <w:r w:rsidRPr="00103A50">
        <w:rPr>
          <w:rFonts w:ascii="Calibri" w:hAnsi="Calibri" w:cs="Calibri"/>
          <w:lang w:val="en-US"/>
        </w:rPr>
        <w:t>978-9268-22716-9</w:t>
      </w:r>
    </w:p>
  </w:footnote>
  <w:footnote w:id="8">
    <w:p w14:paraId="60238EA4" w14:textId="06AA8F3D" w:rsidR="00C83724" w:rsidRPr="00103A50" w:rsidRDefault="00C83724" w:rsidP="00103A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0"/>
          <w:szCs w:val="20"/>
          <w:lang w:val="en-US"/>
        </w:rPr>
      </w:pPr>
      <w:r w:rsidRPr="00103A50">
        <w:rPr>
          <w:rFonts w:ascii="Calibri" w:hAnsi="Calibri" w:cs="Calibri"/>
          <w:sz w:val="20"/>
          <w:szCs w:val="20"/>
          <w:vertAlign w:val="superscript"/>
        </w:rPr>
        <w:footnoteRef/>
      </w:r>
      <w:r w:rsidR="003674D3" w:rsidRPr="00103A50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eastAsia="Calibri" w:hAnsi="Calibri" w:cs="Calibri"/>
          <w:sz w:val="20"/>
          <w:szCs w:val="20"/>
          <w:lang w:val="en-US"/>
        </w:rPr>
        <w:t>Kamerstuk</w:t>
      </w:r>
      <w:r w:rsidR="003674D3" w:rsidRPr="00103A50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eastAsia="Calibri" w:hAnsi="Calibri" w:cs="Calibri"/>
          <w:sz w:val="20"/>
          <w:szCs w:val="20"/>
          <w:lang w:val="en-US"/>
        </w:rPr>
        <w:t>21</w:t>
      </w:r>
      <w:r w:rsidR="003674D3" w:rsidRPr="00103A50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eastAsia="Calibri" w:hAnsi="Calibri" w:cs="Calibri"/>
          <w:sz w:val="20"/>
          <w:szCs w:val="20"/>
          <w:lang w:val="en-US"/>
        </w:rPr>
        <w:t>501-08,</w:t>
      </w:r>
      <w:r w:rsidR="003674D3" w:rsidRPr="00103A50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eastAsia="Calibri" w:hAnsi="Calibri" w:cs="Calibri"/>
          <w:sz w:val="20"/>
          <w:szCs w:val="20"/>
          <w:lang w:val="en-US"/>
        </w:rPr>
        <w:t>nr.</w:t>
      </w:r>
      <w:r w:rsidR="003674D3" w:rsidRPr="00103A50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eastAsia="Calibri" w:hAnsi="Calibri" w:cs="Calibri"/>
          <w:sz w:val="20"/>
          <w:szCs w:val="20"/>
          <w:lang w:val="en-US"/>
        </w:rPr>
        <w:t>985</w:t>
      </w:r>
    </w:p>
  </w:footnote>
  <w:footnote w:id="9">
    <w:p w14:paraId="4F240D3B" w14:textId="440F1FB5" w:rsidR="00C83724" w:rsidRPr="00103A50" w:rsidRDefault="00C83724" w:rsidP="00103A50">
      <w:pPr>
        <w:pStyle w:val="Voetnoottekst"/>
        <w:rPr>
          <w:rFonts w:ascii="Calibri" w:hAnsi="Calibri" w:cs="Calibri"/>
          <w:lang w:val="en-US"/>
        </w:rPr>
      </w:pPr>
      <w:r w:rsidRPr="00103A50">
        <w:rPr>
          <w:rStyle w:val="Voetnootmarkering"/>
          <w:rFonts w:ascii="Calibri" w:hAnsi="Calibri" w:cs="Calibri"/>
        </w:rPr>
        <w:footnoteRef/>
      </w:r>
      <w:r w:rsidR="003674D3" w:rsidRPr="00103A50">
        <w:rPr>
          <w:rFonts w:ascii="Calibri" w:hAnsi="Calibri" w:cs="Calibri"/>
          <w:lang w:val="en-US"/>
        </w:rPr>
        <w:t xml:space="preserve"> </w:t>
      </w:r>
      <w:r w:rsidRPr="00103A50">
        <w:rPr>
          <w:rFonts w:ascii="Calibri" w:hAnsi="Calibri" w:cs="Calibri"/>
          <w:lang w:val="en-US"/>
        </w:rPr>
        <w:t>Kamerstuk</w:t>
      </w:r>
      <w:r w:rsidR="003674D3" w:rsidRPr="00103A50">
        <w:rPr>
          <w:rFonts w:ascii="Calibri" w:hAnsi="Calibri" w:cs="Calibri"/>
          <w:lang w:val="en-US"/>
        </w:rPr>
        <w:t xml:space="preserve"> </w:t>
      </w:r>
      <w:r w:rsidRPr="00103A50">
        <w:rPr>
          <w:rFonts w:ascii="Calibri" w:hAnsi="Calibri" w:cs="Calibri"/>
          <w:lang w:val="en-US"/>
        </w:rPr>
        <w:t>21</w:t>
      </w:r>
      <w:r w:rsidR="003674D3" w:rsidRPr="00103A50">
        <w:rPr>
          <w:rFonts w:ascii="Calibri" w:hAnsi="Calibri" w:cs="Calibri"/>
          <w:lang w:val="en-US"/>
        </w:rPr>
        <w:t xml:space="preserve"> </w:t>
      </w:r>
      <w:r w:rsidRPr="00103A50">
        <w:rPr>
          <w:rFonts w:ascii="Calibri" w:hAnsi="Calibri" w:cs="Calibri"/>
          <w:lang w:val="en-US"/>
        </w:rPr>
        <w:t>501-20,</w:t>
      </w:r>
      <w:r w:rsidR="003674D3" w:rsidRPr="00103A50">
        <w:rPr>
          <w:rFonts w:ascii="Calibri" w:hAnsi="Calibri" w:cs="Calibri"/>
          <w:lang w:val="en-US"/>
        </w:rPr>
        <w:t xml:space="preserve"> </w:t>
      </w:r>
      <w:r w:rsidRPr="00103A50">
        <w:rPr>
          <w:rFonts w:ascii="Calibri" w:hAnsi="Calibri" w:cs="Calibri"/>
          <w:lang w:val="en-US"/>
        </w:rPr>
        <w:t>nr.</w:t>
      </w:r>
      <w:r w:rsidR="003674D3" w:rsidRPr="00103A50">
        <w:rPr>
          <w:rFonts w:ascii="Calibri" w:hAnsi="Calibri" w:cs="Calibri"/>
          <w:lang w:val="en-US"/>
        </w:rPr>
        <w:t xml:space="preserve"> </w:t>
      </w:r>
      <w:r w:rsidRPr="00103A50">
        <w:rPr>
          <w:rFonts w:ascii="Calibri" w:hAnsi="Calibri" w:cs="Calibri"/>
          <w:lang w:val="en-US"/>
        </w:rPr>
        <w:t>2245</w:t>
      </w:r>
    </w:p>
  </w:footnote>
  <w:footnote w:id="10">
    <w:p w14:paraId="351C809A" w14:textId="52A51DE5" w:rsidR="00C83724" w:rsidRPr="00103A50" w:rsidRDefault="00C83724" w:rsidP="00103A50">
      <w:pPr>
        <w:pStyle w:val="Voetnoottekst"/>
        <w:rPr>
          <w:rFonts w:ascii="Calibri" w:hAnsi="Calibri" w:cs="Calibri"/>
          <w:lang w:val="en-US"/>
        </w:rPr>
      </w:pPr>
      <w:r w:rsidRPr="00103A50">
        <w:rPr>
          <w:rStyle w:val="Voetnootmarkering"/>
          <w:rFonts w:ascii="Calibri" w:hAnsi="Calibri" w:cs="Calibri"/>
        </w:rPr>
        <w:footnoteRef/>
      </w:r>
      <w:r w:rsidR="003674D3" w:rsidRPr="00103A50">
        <w:rPr>
          <w:rFonts w:ascii="Calibri" w:hAnsi="Calibri" w:cs="Calibri"/>
          <w:lang w:val="en-US"/>
        </w:rPr>
        <w:t xml:space="preserve"> </w:t>
      </w:r>
      <w:r w:rsidRPr="00103A50">
        <w:rPr>
          <w:rFonts w:ascii="Calibri" w:hAnsi="Calibri" w:cs="Calibri"/>
          <w:lang w:val="en-US"/>
        </w:rPr>
        <w:t>Agora</w:t>
      </w:r>
      <w:r w:rsidR="003674D3" w:rsidRPr="00103A50">
        <w:rPr>
          <w:rFonts w:ascii="Calibri" w:hAnsi="Calibri" w:cs="Calibri"/>
          <w:lang w:val="en-US"/>
        </w:rPr>
        <w:t xml:space="preserve"> </w:t>
      </w:r>
      <w:r w:rsidRPr="00103A50">
        <w:rPr>
          <w:rFonts w:ascii="Calibri" w:hAnsi="Calibri" w:cs="Calibri"/>
          <w:lang w:val="en-US"/>
        </w:rPr>
        <w:t>EU</w:t>
      </w:r>
      <w:r w:rsidR="003674D3" w:rsidRPr="00103A50">
        <w:rPr>
          <w:rFonts w:ascii="Calibri" w:hAnsi="Calibri" w:cs="Calibri"/>
          <w:lang w:val="en-US"/>
        </w:rPr>
        <w:t xml:space="preserve"> </w:t>
      </w:r>
      <w:r w:rsidRPr="00103A50">
        <w:rPr>
          <w:rFonts w:ascii="Calibri" w:hAnsi="Calibri" w:cs="Calibri"/>
          <w:lang w:val="en-US"/>
        </w:rPr>
        <w:t>is</w:t>
      </w:r>
      <w:r w:rsidR="003674D3" w:rsidRPr="00103A50">
        <w:rPr>
          <w:rFonts w:ascii="Calibri" w:hAnsi="Calibri" w:cs="Calibri"/>
          <w:lang w:val="en-US"/>
        </w:rPr>
        <w:t xml:space="preserve"> </w:t>
      </w:r>
      <w:r w:rsidRPr="00103A50">
        <w:rPr>
          <w:rFonts w:ascii="Calibri" w:hAnsi="Calibri" w:cs="Calibri"/>
          <w:lang w:val="en-US"/>
        </w:rPr>
        <w:t>een</w:t>
      </w:r>
      <w:r w:rsidR="003674D3" w:rsidRPr="00103A50">
        <w:rPr>
          <w:rFonts w:ascii="Calibri" w:hAnsi="Calibri" w:cs="Calibri"/>
          <w:lang w:val="en-US"/>
        </w:rPr>
        <w:t xml:space="preserve"> </w:t>
      </w:r>
      <w:r w:rsidRPr="00103A50">
        <w:rPr>
          <w:rFonts w:ascii="Calibri" w:hAnsi="Calibri" w:cs="Calibri"/>
          <w:lang w:val="en-US"/>
        </w:rPr>
        <w:t>samenvoeging</w:t>
      </w:r>
      <w:r w:rsidR="003674D3" w:rsidRPr="00103A50">
        <w:rPr>
          <w:rFonts w:ascii="Calibri" w:hAnsi="Calibri" w:cs="Calibri"/>
          <w:lang w:val="en-US"/>
        </w:rPr>
        <w:t xml:space="preserve"> </w:t>
      </w:r>
      <w:r w:rsidRPr="00103A50">
        <w:rPr>
          <w:rFonts w:ascii="Calibri" w:hAnsi="Calibri" w:cs="Calibri"/>
          <w:lang w:val="en-US"/>
        </w:rPr>
        <w:t>van</w:t>
      </w:r>
      <w:r w:rsidR="003674D3" w:rsidRPr="00103A50">
        <w:rPr>
          <w:rFonts w:ascii="Calibri" w:hAnsi="Calibri" w:cs="Calibri"/>
          <w:lang w:val="en-US"/>
        </w:rPr>
        <w:t xml:space="preserve"> </w:t>
      </w:r>
      <w:r w:rsidRPr="00103A50">
        <w:rPr>
          <w:rFonts w:ascii="Calibri" w:hAnsi="Calibri" w:cs="Calibri"/>
          <w:i/>
          <w:iCs/>
          <w:lang w:val="en-US"/>
        </w:rPr>
        <w:t>Creative</w:t>
      </w:r>
      <w:r w:rsidR="003674D3" w:rsidRPr="00103A50">
        <w:rPr>
          <w:rFonts w:ascii="Calibri" w:hAnsi="Calibri" w:cs="Calibri"/>
          <w:i/>
          <w:iCs/>
          <w:lang w:val="en-US"/>
        </w:rPr>
        <w:t xml:space="preserve"> </w:t>
      </w:r>
      <w:r w:rsidRPr="00103A50">
        <w:rPr>
          <w:rFonts w:ascii="Calibri" w:hAnsi="Calibri" w:cs="Calibri"/>
          <w:i/>
          <w:iCs/>
          <w:lang w:val="en-US"/>
        </w:rPr>
        <w:t>Europe</w:t>
      </w:r>
      <w:r w:rsidR="003674D3" w:rsidRPr="00103A50">
        <w:rPr>
          <w:rFonts w:ascii="Calibri" w:hAnsi="Calibri" w:cs="Calibri"/>
          <w:lang w:val="en-US"/>
        </w:rPr>
        <w:t xml:space="preserve"> </w:t>
      </w:r>
      <w:r w:rsidRPr="00103A50">
        <w:rPr>
          <w:rFonts w:ascii="Calibri" w:hAnsi="Calibri" w:cs="Calibri"/>
          <w:lang w:val="en-US"/>
        </w:rPr>
        <w:t>en</w:t>
      </w:r>
      <w:r w:rsidR="003674D3" w:rsidRPr="00103A50">
        <w:rPr>
          <w:rFonts w:ascii="Calibri" w:hAnsi="Calibri" w:cs="Calibri"/>
          <w:lang w:val="en-US"/>
        </w:rPr>
        <w:t xml:space="preserve"> </w:t>
      </w:r>
      <w:r w:rsidRPr="00103A50">
        <w:rPr>
          <w:rFonts w:ascii="Calibri" w:hAnsi="Calibri" w:cs="Calibri"/>
          <w:i/>
          <w:iCs/>
          <w:lang w:val="en-US"/>
        </w:rPr>
        <w:t>Citizens,</w:t>
      </w:r>
      <w:r w:rsidR="003674D3" w:rsidRPr="00103A50">
        <w:rPr>
          <w:rFonts w:ascii="Calibri" w:hAnsi="Calibri" w:cs="Calibri"/>
          <w:i/>
          <w:iCs/>
          <w:lang w:val="en-US"/>
        </w:rPr>
        <w:t xml:space="preserve"> </w:t>
      </w:r>
      <w:r w:rsidRPr="00103A50">
        <w:rPr>
          <w:rFonts w:ascii="Calibri" w:hAnsi="Calibri" w:cs="Calibri"/>
          <w:i/>
          <w:iCs/>
          <w:lang w:val="en-US"/>
        </w:rPr>
        <w:t>Equality,</w:t>
      </w:r>
      <w:r w:rsidR="003674D3" w:rsidRPr="00103A50">
        <w:rPr>
          <w:rFonts w:ascii="Calibri" w:hAnsi="Calibri" w:cs="Calibri"/>
          <w:i/>
          <w:iCs/>
          <w:lang w:val="en-US"/>
        </w:rPr>
        <w:t xml:space="preserve"> </w:t>
      </w:r>
      <w:r w:rsidRPr="00103A50">
        <w:rPr>
          <w:rFonts w:ascii="Calibri" w:hAnsi="Calibri" w:cs="Calibri"/>
          <w:i/>
          <w:iCs/>
          <w:lang w:val="en-US"/>
        </w:rPr>
        <w:t>Rights</w:t>
      </w:r>
      <w:r w:rsidR="003674D3" w:rsidRPr="00103A50">
        <w:rPr>
          <w:rFonts w:ascii="Calibri" w:hAnsi="Calibri" w:cs="Calibri"/>
          <w:i/>
          <w:iCs/>
          <w:lang w:val="en-US"/>
        </w:rPr>
        <w:t xml:space="preserve"> </w:t>
      </w:r>
      <w:r w:rsidRPr="00103A50">
        <w:rPr>
          <w:rFonts w:ascii="Calibri" w:hAnsi="Calibri" w:cs="Calibri"/>
          <w:i/>
          <w:iCs/>
          <w:lang w:val="en-US"/>
        </w:rPr>
        <w:t>and</w:t>
      </w:r>
      <w:r w:rsidR="003674D3" w:rsidRPr="00103A50">
        <w:rPr>
          <w:rFonts w:ascii="Calibri" w:hAnsi="Calibri" w:cs="Calibri"/>
          <w:i/>
          <w:iCs/>
          <w:lang w:val="en-US"/>
        </w:rPr>
        <w:t xml:space="preserve"> </w:t>
      </w:r>
      <w:r w:rsidRPr="00103A50">
        <w:rPr>
          <w:rFonts w:ascii="Calibri" w:hAnsi="Calibri" w:cs="Calibri"/>
          <w:i/>
          <w:iCs/>
          <w:lang w:val="en-US"/>
        </w:rPr>
        <w:t>Values</w:t>
      </w:r>
      <w:r w:rsidR="003674D3" w:rsidRPr="00103A50">
        <w:rPr>
          <w:rFonts w:ascii="Calibri" w:hAnsi="Calibri" w:cs="Calibri"/>
          <w:lang w:val="en-US"/>
        </w:rPr>
        <w:t xml:space="preserve"> </w:t>
      </w:r>
      <w:r w:rsidRPr="00103A50">
        <w:rPr>
          <w:rFonts w:ascii="Calibri" w:hAnsi="Calibri" w:cs="Calibri"/>
          <w:lang w:val="en-US"/>
        </w:rPr>
        <w:t>(CERV)</w:t>
      </w:r>
    </w:p>
  </w:footnote>
  <w:footnote w:id="11">
    <w:p w14:paraId="217E6A91" w14:textId="5936BC47" w:rsidR="00C83724" w:rsidRPr="00103A50" w:rsidRDefault="00C83724" w:rsidP="00103A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r w:rsidRPr="00103A50">
        <w:rPr>
          <w:rFonts w:ascii="Calibri" w:hAnsi="Calibri" w:cs="Calibri"/>
          <w:sz w:val="20"/>
          <w:szCs w:val="20"/>
          <w:vertAlign w:val="superscript"/>
        </w:rPr>
        <w:footnoteRef/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Digital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Europe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Programme,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CEF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Digitaal,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Europees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Defensiefonds,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ASAP,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 </w:t>
      </w:r>
      <w:r w:rsidRPr="00103A50">
        <w:rPr>
          <w:rFonts w:ascii="Calibri" w:hAnsi="Calibri" w:cs="Calibri"/>
          <w:sz w:val="20"/>
          <w:szCs w:val="20"/>
          <w:lang w:val="en-US"/>
        </w:rPr>
        <w:t>EDIRPA,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EDIP,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EU4Health,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Europees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Ruimtevaartprogramma,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IRIS,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InvestEU,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Single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Market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Programme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(mkb-deel)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en</w:t>
      </w:r>
      <w:r w:rsidR="003674D3" w:rsidRPr="00103A5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03A50">
        <w:rPr>
          <w:rFonts w:ascii="Calibri" w:hAnsi="Calibri" w:cs="Calibri"/>
          <w:sz w:val="20"/>
          <w:szCs w:val="20"/>
          <w:lang w:val="en-US"/>
        </w:rPr>
        <w:t>LIFE.</w:t>
      </w:r>
    </w:p>
  </w:footnote>
  <w:footnote w:id="12">
    <w:p w14:paraId="09CAEF42" w14:textId="36C40267" w:rsidR="00C83724" w:rsidRPr="00103A50" w:rsidRDefault="00C83724" w:rsidP="00103A50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103A50">
        <w:rPr>
          <w:rFonts w:ascii="Calibri" w:hAnsi="Calibri" w:cs="Calibri"/>
          <w:sz w:val="20"/>
          <w:szCs w:val="20"/>
        </w:rPr>
        <w:footnoteRef/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Zie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ook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de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concurrentievermogen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inzet,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Kamerstuk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21501-30,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nr.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621</w:t>
      </w:r>
    </w:p>
  </w:footnote>
  <w:footnote w:id="13">
    <w:p w14:paraId="49495B64" w14:textId="7E09EC90" w:rsidR="00C83724" w:rsidRPr="00103A50" w:rsidRDefault="00C83724" w:rsidP="00103A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cs="Calibri"/>
          <w:sz w:val="20"/>
          <w:szCs w:val="20"/>
        </w:rPr>
      </w:pPr>
      <w:r w:rsidRPr="00103A50">
        <w:rPr>
          <w:rFonts w:ascii="Calibri" w:hAnsi="Calibri" w:cs="Calibri"/>
          <w:sz w:val="20"/>
          <w:szCs w:val="20"/>
          <w:vertAlign w:val="superscript"/>
        </w:rPr>
        <w:footnoteRef/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Kamerstuk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21501-30,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nr.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614</w:t>
      </w:r>
    </w:p>
  </w:footnote>
  <w:footnote w:id="14">
    <w:p w14:paraId="1E43EFCF" w14:textId="4CCCDD70" w:rsidR="00C83724" w:rsidRPr="00103A50" w:rsidRDefault="00C83724" w:rsidP="00103A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103A50">
        <w:rPr>
          <w:rFonts w:ascii="Calibri" w:hAnsi="Calibri" w:cs="Calibri"/>
          <w:sz w:val="20"/>
          <w:szCs w:val="20"/>
          <w:vertAlign w:val="superscript"/>
        </w:rPr>
        <w:footnoteRef/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Kamerstuk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21501-30,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nr.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603</w:t>
      </w:r>
    </w:p>
  </w:footnote>
  <w:footnote w:id="15">
    <w:p w14:paraId="2F53A1EE" w14:textId="6F483E2C" w:rsidR="00C83724" w:rsidRPr="00103A50" w:rsidRDefault="00C83724" w:rsidP="00103A50">
      <w:pPr>
        <w:pStyle w:val="Voetnoottekst"/>
        <w:rPr>
          <w:rFonts w:ascii="Calibri" w:hAnsi="Calibri" w:cs="Calibri"/>
        </w:rPr>
      </w:pPr>
      <w:r w:rsidRPr="00103A50">
        <w:rPr>
          <w:rStyle w:val="Voetnootmarkering"/>
          <w:rFonts w:ascii="Calibri" w:hAnsi="Calibri" w:cs="Calibri"/>
        </w:rPr>
        <w:footnoteRef/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Kamerstuk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30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821,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nr.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244</w:t>
      </w:r>
    </w:p>
  </w:footnote>
  <w:footnote w:id="16">
    <w:p w14:paraId="3677F71C" w14:textId="0926B208" w:rsidR="00C83724" w:rsidRPr="00103A50" w:rsidRDefault="00C83724" w:rsidP="00103A50">
      <w:pPr>
        <w:pStyle w:val="Voetnoottekst"/>
        <w:rPr>
          <w:rFonts w:ascii="Calibri" w:hAnsi="Calibri" w:cs="Calibri"/>
        </w:rPr>
      </w:pPr>
      <w:r w:rsidRPr="00103A50">
        <w:rPr>
          <w:rStyle w:val="Voetnootmarkering"/>
          <w:rFonts w:ascii="Calibri" w:hAnsi="Calibri" w:cs="Calibri"/>
        </w:rPr>
        <w:footnoteRef/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Kamerstuk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33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694,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nr.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70</w:t>
      </w:r>
    </w:p>
  </w:footnote>
  <w:footnote w:id="17">
    <w:p w14:paraId="334FCA3C" w14:textId="79599832" w:rsidR="00C83724" w:rsidRPr="00103A50" w:rsidRDefault="00C83724" w:rsidP="00103A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103A50">
        <w:rPr>
          <w:rFonts w:ascii="Calibri" w:hAnsi="Calibri" w:cs="Calibri"/>
          <w:sz w:val="20"/>
          <w:szCs w:val="20"/>
          <w:vertAlign w:val="superscript"/>
        </w:rPr>
        <w:footnoteRef/>
      </w:r>
      <w:r w:rsidR="003674D3" w:rsidRPr="00103A50">
        <w:rPr>
          <w:rFonts w:ascii="Calibri" w:eastAsia="Calibri" w:hAnsi="Calibri" w:cs="Calibri"/>
          <w:sz w:val="20"/>
          <w:szCs w:val="20"/>
        </w:rPr>
        <w:t xml:space="preserve"> </w:t>
      </w:r>
      <w:r w:rsidRPr="00103A50">
        <w:rPr>
          <w:rFonts w:ascii="Calibri" w:eastAsia="Calibri" w:hAnsi="Calibri" w:cs="Calibri"/>
          <w:sz w:val="20"/>
          <w:szCs w:val="20"/>
        </w:rPr>
        <w:t>Kamerstuk</w:t>
      </w:r>
      <w:r w:rsidR="003674D3" w:rsidRPr="00103A50">
        <w:rPr>
          <w:rFonts w:ascii="Calibri" w:eastAsia="Calibri" w:hAnsi="Calibri" w:cs="Calibri"/>
          <w:sz w:val="20"/>
          <w:szCs w:val="20"/>
        </w:rPr>
        <w:t xml:space="preserve"> </w:t>
      </w:r>
      <w:r w:rsidRPr="00103A50">
        <w:rPr>
          <w:rFonts w:ascii="Calibri" w:eastAsia="Calibri" w:hAnsi="Calibri" w:cs="Calibri"/>
          <w:sz w:val="20"/>
          <w:szCs w:val="20"/>
        </w:rPr>
        <w:t>21</w:t>
      </w:r>
      <w:r w:rsidR="003674D3" w:rsidRPr="00103A50">
        <w:rPr>
          <w:rFonts w:ascii="Calibri" w:eastAsia="Calibri" w:hAnsi="Calibri" w:cs="Calibri"/>
          <w:sz w:val="20"/>
          <w:szCs w:val="20"/>
        </w:rPr>
        <w:t xml:space="preserve"> </w:t>
      </w:r>
      <w:r w:rsidRPr="00103A50">
        <w:rPr>
          <w:rFonts w:ascii="Calibri" w:eastAsia="Calibri" w:hAnsi="Calibri" w:cs="Calibri"/>
          <w:sz w:val="20"/>
          <w:szCs w:val="20"/>
        </w:rPr>
        <w:t>501-04,</w:t>
      </w:r>
      <w:r w:rsidR="003674D3" w:rsidRPr="00103A50">
        <w:rPr>
          <w:rFonts w:ascii="Calibri" w:eastAsia="Calibri" w:hAnsi="Calibri" w:cs="Calibri"/>
          <w:sz w:val="20"/>
          <w:szCs w:val="20"/>
        </w:rPr>
        <w:t xml:space="preserve"> </w:t>
      </w:r>
      <w:r w:rsidRPr="00103A50">
        <w:rPr>
          <w:rFonts w:ascii="Calibri" w:eastAsia="Calibri" w:hAnsi="Calibri" w:cs="Calibri"/>
          <w:sz w:val="20"/>
          <w:szCs w:val="20"/>
        </w:rPr>
        <w:t>nr.</w:t>
      </w:r>
      <w:r w:rsidR="003674D3" w:rsidRPr="00103A50">
        <w:rPr>
          <w:rFonts w:ascii="Calibri" w:eastAsia="Calibri" w:hAnsi="Calibri" w:cs="Calibri"/>
          <w:sz w:val="20"/>
          <w:szCs w:val="20"/>
        </w:rPr>
        <w:t xml:space="preserve"> </w:t>
      </w:r>
      <w:r w:rsidRPr="00103A50">
        <w:rPr>
          <w:rFonts w:ascii="Calibri" w:eastAsia="Calibri" w:hAnsi="Calibri" w:cs="Calibri"/>
          <w:sz w:val="20"/>
          <w:szCs w:val="20"/>
        </w:rPr>
        <w:t>278</w:t>
      </w:r>
    </w:p>
  </w:footnote>
  <w:footnote w:id="18">
    <w:p w14:paraId="170E2A34" w14:textId="71D10BC1" w:rsidR="00C83724" w:rsidRPr="00103A50" w:rsidRDefault="00C83724" w:rsidP="00103A50">
      <w:pPr>
        <w:pStyle w:val="Voetnoottekst"/>
        <w:rPr>
          <w:rFonts w:ascii="Calibri" w:hAnsi="Calibri" w:cs="Calibri"/>
        </w:rPr>
      </w:pPr>
      <w:r w:rsidRPr="00103A50">
        <w:rPr>
          <w:rStyle w:val="Voetnootmarkering"/>
          <w:rFonts w:ascii="Calibri" w:hAnsi="Calibri" w:cs="Calibri"/>
        </w:rPr>
        <w:footnoteRef/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Kamerstuk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21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501-20,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nr.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2245</w:t>
      </w:r>
    </w:p>
  </w:footnote>
  <w:footnote w:id="19">
    <w:p w14:paraId="1575CE88" w14:textId="415643A3" w:rsidR="00C83724" w:rsidRPr="00103A50" w:rsidRDefault="00C83724" w:rsidP="00103A50">
      <w:pPr>
        <w:pStyle w:val="Voetnoottekst"/>
        <w:rPr>
          <w:rFonts w:ascii="Calibri" w:hAnsi="Calibri" w:cs="Calibri"/>
        </w:rPr>
      </w:pPr>
      <w:r w:rsidRPr="00103A50">
        <w:rPr>
          <w:rStyle w:val="Voetnootmarkering"/>
          <w:rFonts w:ascii="Calibri" w:hAnsi="Calibri" w:cs="Calibri"/>
        </w:rPr>
        <w:footnoteRef/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No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Significant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Harm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(DNSH)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principe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houdt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een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activiteit,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investering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of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project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geen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afbreuk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mag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doen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milieu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of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andere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belangrijke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doelstellingen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gebied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klimaat,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water,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biodiversiteit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of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gezondheid.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zorgt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ervoor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dat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acties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duurzaam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blijven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geen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ernstige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schade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veroorzaken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aan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biodiversiteit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of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ecosystemen.</w:t>
      </w:r>
    </w:p>
  </w:footnote>
  <w:footnote w:id="20">
    <w:p w14:paraId="6380EF60" w14:textId="057C0D70" w:rsidR="00C83724" w:rsidRPr="00103A50" w:rsidRDefault="00C83724" w:rsidP="00103A50">
      <w:pPr>
        <w:pStyle w:val="Voetnoottekst"/>
        <w:rPr>
          <w:rFonts w:ascii="Calibri" w:hAnsi="Calibri" w:cs="Calibri"/>
        </w:rPr>
      </w:pPr>
      <w:r w:rsidRPr="00103A50">
        <w:rPr>
          <w:rStyle w:val="Voetnootmarkering"/>
          <w:rFonts w:ascii="Calibri" w:hAnsi="Calibri" w:cs="Calibri"/>
        </w:rPr>
        <w:footnoteRef/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Europese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Rekenkamer,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Speciaal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verslag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09/2022</w:t>
      </w:r>
      <w:r w:rsidR="003674D3" w:rsidRPr="00103A50">
        <w:rPr>
          <w:rFonts w:ascii="Calibri" w:hAnsi="Calibri" w:cs="Calibri"/>
        </w:rPr>
        <w:t xml:space="preserve">  </w:t>
      </w:r>
    </w:p>
  </w:footnote>
  <w:footnote w:id="21">
    <w:p w14:paraId="646C2A03" w14:textId="2D99161B" w:rsidR="00C83724" w:rsidRPr="00103A50" w:rsidRDefault="00C83724" w:rsidP="00103A50">
      <w:pPr>
        <w:pStyle w:val="Voetnoottekst"/>
        <w:rPr>
          <w:rFonts w:ascii="Calibri" w:hAnsi="Calibri" w:cs="Calibri"/>
        </w:rPr>
      </w:pPr>
      <w:r w:rsidRPr="00103A50">
        <w:rPr>
          <w:rStyle w:val="Voetnootmarkering"/>
          <w:rFonts w:ascii="Calibri" w:hAnsi="Calibri" w:cs="Calibri"/>
        </w:rPr>
        <w:footnoteRef/>
      </w:r>
      <w:r w:rsidR="003674D3" w:rsidRPr="00103A50">
        <w:rPr>
          <w:rFonts w:ascii="Calibri" w:hAnsi="Calibri" w:cs="Calibri"/>
        </w:rPr>
        <w:t xml:space="preserve"> </w:t>
      </w:r>
      <w:bookmarkStart w:id="5" w:name="_Hlk205372552"/>
      <w:r w:rsidRPr="00103A50">
        <w:rPr>
          <w:rFonts w:ascii="Calibri" w:hAnsi="Calibri" w:cs="Calibri"/>
        </w:rPr>
        <w:t>Kamerstuk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36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715,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nr.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9</w:t>
      </w:r>
      <w:bookmarkEnd w:id="5"/>
    </w:p>
  </w:footnote>
  <w:footnote w:id="22">
    <w:p w14:paraId="2494A3C3" w14:textId="238F41F2" w:rsidR="00C83724" w:rsidRPr="00103A50" w:rsidRDefault="00C83724" w:rsidP="00103A50">
      <w:pPr>
        <w:pStyle w:val="Voetnoottekst"/>
        <w:rPr>
          <w:rFonts w:ascii="Calibri" w:hAnsi="Calibri" w:cs="Calibri"/>
        </w:rPr>
      </w:pPr>
      <w:r w:rsidRPr="00103A50">
        <w:rPr>
          <w:rStyle w:val="Voetnootmarkering"/>
          <w:rFonts w:ascii="Calibri" w:hAnsi="Calibri" w:cs="Calibri"/>
        </w:rPr>
        <w:footnoteRef/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ERK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Speciaal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verslag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03/2024: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rechtsstaat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</w:t>
      </w:r>
    </w:p>
  </w:footnote>
  <w:footnote w:id="23">
    <w:p w14:paraId="755B2E2D" w14:textId="2B0760AE" w:rsidR="00C83724" w:rsidRPr="00103A50" w:rsidRDefault="00C83724" w:rsidP="00103A50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103A50">
        <w:rPr>
          <w:rFonts w:ascii="Calibri" w:hAnsi="Calibri" w:cs="Calibri"/>
          <w:sz w:val="20"/>
          <w:szCs w:val="20"/>
          <w:vertAlign w:val="superscript"/>
        </w:rPr>
        <w:footnoteRef/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Europese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Rekenkamer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Review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03/2025</w:t>
      </w:r>
    </w:p>
  </w:footnote>
  <w:footnote w:id="24">
    <w:p w14:paraId="46077958" w14:textId="2E569767" w:rsidR="00C83724" w:rsidRPr="00103A50" w:rsidRDefault="00C83724" w:rsidP="00103A50">
      <w:pPr>
        <w:pStyle w:val="Voetnoottekst"/>
        <w:rPr>
          <w:rFonts w:ascii="Calibri" w:hAnsi="Calibri" w:cs="Calibri"/>
        </w:rPr>
      </w:pPr>
      <w:r w:rsidRPr="00103A50">
        <w:rPr>
          <w:rStyle w:val="Voetnootmarkering"/>
          <w:rFonts w:ascii="Calibri" w:hAnsi="Calibri" w:cs="Calibri"/>
        </w:rPr>
        <w:footnoteRef/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Zoals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gedefinieerd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  <w:i/>
          <w:iCs/>
        </w:rPr>
        <w:t>The</w:t>
      </w:r>
      <w:r w:rsidR="003674D3" w:rsidRPr="00103A50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Hague</w:t>
      </w:r>
      <w:r w:rsidR="003674D3" w:rsidRPr="00103A50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Summit</w:t>
      </w:r>
      <w:r w:rsidR="003674D3" w:rsidRPr="00103A50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Declaration</w:t>
      </w:r>
    </w:p>
  </w:footnote>
  <w:footnote w:id="25">
    <w:p w14:paraId="27C70EB2" w14:textId="001A5500" w:rsidR="00C83724" w:rsidRPr="00103A50" w:rsidRDefault="00C83724" w:rsidP="00103A50">
      <w:pPr>
        <w:pStyle w:val="Voetnoottekst"/>
        <w:rPr>
          <w:rFonts w:ascii="Calibri" w:hAnsi="Calibri" w:cs="Calibri"/>
        </w:rPr>
      </w:pPr>
      <w:r w:rsidRPr="00103A50">
        <w:rPr>
          <w:rStyle w:val="Voetnootmarkering"/>
          <w:rFonts w:ascii="Calibri" w:hAnsi="Calibri" w:cs="Calibri"/>
        </w:rPr>
        <w:footnoteRef/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Oekraïne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Faciliteit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betreft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totaal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50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miljard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(waarvan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maximaal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17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miljard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niet-terugbetaalbare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steun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33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miljard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leningen).</w:t>
      </w:r>
    </w:p>
  </w:footnote>
  <w:footnote w:id="26">
    <w:p w14:paraId="1A8B8175" w14:textId="76D508B8" w:rsidR="00C83724" w:rsidRPr="00103A50" w:rsidRDefault="00C83724" w:rsidP="00103A50">
      <w:pPr>
        <w:pStyle w:val="Voetnoottekst"/>
        <w:rPr>
          <w:rFonts w:ascii="Calibri" w:hAnsi="Calibri" w:cs="Calibri"/>
        </w:rPr>
      </w:pPr>
      <w:r w:rsidRPr="00103A50">
        <w:rPr>
          <w:rStyle w:val="Voetnootmarkering"/>
          <w:rFonts w:ascii="Calibri" w:hAnsi="Calibri" w:cs="Calibri"/>
        </w:rPr>
        <w:footnoteRef/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  <w:i/>
          <w:iCs/>
        </w:rPr>
        <w:t>4th</w:t>
      </w:r>
      <w:r w:rsidR="003674D3" w:rsidRPr="00103A50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Ukraine</w:t>
      </w:r>
      <w:r w:rsidR="003674D3" w:rsidRPr="00103A50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Rapid</w:t>
      </w:r>
      <w:r w:rsidR="003674D3" w:rsidRPr="00103A50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Damage</w:t>
      </w:r>
      <w:r w:rsidR="003674D3" w:rsidRPr="00103A50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and</w:t>
      </w:r>
      <w:r w:rsidR="003674D3" w:rsidRPr="00103A50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Needs</w:t>
      </w:r>
      <w:r w:rsidR="003674D3" w:rsidRPr="00103A50">
        <w:rPr>
          <w:rFonts w:ascii="Calibri" w:hAnsi="Calibri" w:cs="Calibri"/>
          <w:i/>
          <w:iCs/>
        </w:rPr>
        <w:t xml:space="preserve"> </w:t>
      </w:r>
      <w:r w:rsidRPr="00103A50">
        <w:rPr>
          <w:rFonts w:ascii="Calibri" w:hAnsi="Calibri" w:cs="Calibri"/>
          <w:i/>
          <w:iCs/>
        </w:rPr>
        <w:t>Assessment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(RDNA4)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-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gezamenlijk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opgesteld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door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Wereldbank,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Oekraïense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regering,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(gepubliceerd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februari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2025)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-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worden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herstel-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wederopbouwbehoeften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Oekraïne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komende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10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jaar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geschat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op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506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miljard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euro.</w:t>
      </w:r>
    </w:p>
  </w:footnote>
  <w:footnote w:id="27">
    <w:p w14:paraId="74F22138" w14:textId="303A7744" w:rsidR="00C83724" w:rsidRPr="00103A50" w:rsidRDefault="00C83724" w:rsidP="00103A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cs="Calibri"/>
          <w:sz w:val="20"/>
          <w:szCs w:val="20"/>
        </w:rPr>
      </w:pPr>
      <w:r w:rsidRPr="00103A50">
        <w:rPr>
          <w:rStyle w:val="Voetnootmarkering"/>
          <w:rFonts w:ascii="Calibri" w:hAnsi="Calibri" w:cs="Calibri"/>
          <w:sz w:val="20"/>
          <w:szCs w:val="20"/>
        </w:rPr>
        <w:footnoteRef/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Zie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ook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artikel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311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VWEU.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De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“andere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ontvangsten”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worden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niet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in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het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EMB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vastgelegd.</w:t>
      </w:r>
    </w:p>
  </w:footnote>
  <w:footnote w:id="28">
    <w:p w14:paraId="07F158A2" w14:textId="4BC375A1" w:rsidR="00C83724" w:rsidRPr="00103A50" w:rsidRDefault="00C83724" w:rsidP="00103A50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103A50">
        <w:rPr>
          <w:rStyle w:val="Voetnootmarkering"/>
          <w:rFonts w:ascii="Calibri" w:hAnsi="Calibri" w:cs="Calibri"/>
          <w:sz w:val="20"/>
          <w:szCs w:val="20"/>
        </w:rPr>
        <w:footnoteRef/>
      </w:r>
      <w:r w:rsidR="003674D3" w:rsidRPr="00103A50">
        <w:rPr>
          <w:rFonts w:ascii="Calibri" w:hAnsi="Calibri" w:cs="Calibri"/>
          <w:sz w:val="20"/>
          <w:szCs w:val="20"/>
          <w:vertAlign w:val="superscript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De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huidige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eigen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middelen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betreffen: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de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douanerechten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(traditionele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eigen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middelen),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het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eigen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middel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op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basis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van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een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geharmoniseerde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btw-grondslag,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het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eigen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middel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op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basis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van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niet-gerecycled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plastic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verpakkingsafval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een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eigen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middel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op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basis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van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het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bruto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nationaal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inkomen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(bni).</w:t>
      </w:r>
    </w:p>
  </w:footnote>
  <w:footnote w:id="29">
    <w:p w14:paraId="50E1F8EC" w14:textId="2FBDBF7F" w:rsidR="00C83724" w:rsidRPr="00103A50" w:rsidRDefault="00C83724" w:rsidP="00103A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103A50">
        <w:rPr>
          <w:rStyle w:val="Voetnootmarkering"/>
          <w:rFonts w:ascii="Calibri" w:hAnsi="Calibri" w:cs="Calibri"/>
          <w:sz w:val="20"/>
          <w:szCs w:val="20"/>
        </w:rPr>
        <w:footnoteRef/>
      </w:r>
      <w:r w:rsidR="003674D3" w:rsidRPr="00103A50">
        <w:rPr>
          <w:rFonts w:ascii="Calibri" w:eastAsia="Calibri" w:hAnsi="Calibri" w:cs="Calibri"/>
          <w:sz w:val="20"/>
          <w:szCs w:val="20"/>
        </w:rPr>
        <w:t xml:space="preserve"> </w:t>
      </w:r>
      <w:r w:rsidRPr="00103A50">
        <w:rPr>
          <w:rFonts w:ascii="Calibri" w:eastAsia="Calibri" w:hAnsi="Calibri" w:cs="Calibri"/>
          <w:sz w:val="20"/>
          <w:szCs w:val="20"/>
        </w:rPr>
        <w:t>Onderdeel</w:t>
      </w:r>
      <w:r w:rsidR="003674D3" w:rsidRPr="00103A50">
        <w:rPr>
          <w:rFonts w:ascii="Calibri" w:eastAsia="Calibri" w:hAnsi="Calibri" w:cs="Calibri"/>
          <w:sz w:val="20"/>
          <w:szCs w:val="20"/>
        </w:rPr>
        <w:t xml:space="preserve"> </w:t>
      </w:r>
      <w:r w:rsidRPr="00103A50">
        <w:rPr>
          <w:rFonts w:ascii="Calibri" w:eastAsia="Calibri" w:hAnsi="Calibri" w:cs="Calibri"/>
          <w:sz w:val="20"/>
          <w:szCs w:val="20"/>
        </w:rPr>
        <w:t>van</w:t>
      </w:r>
      <w:r w:rsidR="003674D3" w:rsidRPr="00103A50">
        <w:rPr>
          <w:rFonts w:ascii="Calibri" w:eastAsia="Calibri" w:hAnsi="Calibri" w:cs="Calibri"/>
          <w:sz w:val="20"/>
          <w:szCs w:val="20"/>
        </w:rPr>
        <w:t xml:space="preserve"> </w:t>
      </w:r>
      <w:r w:rsidRPr="00103A50">
        <w:rPr>
          <w:rFonts w:ascii="Calibri" w:eastAsia="Calibri" w:hAnsi="Calibri" w:cs="Calibri"/>
          <w:sz w:val="20"/>
          <w:szCs w:val="20"/>
        </w:rPr>
        <w:t>de</w:t>
      </w:r>
      <w:r w:rsidR="003674D3" w:rsidRPr="00103A50">
        <w:rPr>
          <w:rFonts w:ascii="Calibri" w:eastAsia="Calibri" w:hAnsi="Calibri" w:cs="Calibri"/>
          <w:sz w:val="20"/>
          <w:szCs w:val="20"/>
        </w:rPr>
        <w:t xml:space="preserve"> </w:t>
      </w:r>
      <w:r w:rsidRPr="00103A50">
        <w:rPr>
          <w:rFonts w:ascii="Calibri" w:eastAsia="Calibri" w:hAnsi="Calibri" w:cs="Calibri"/>
          <w:sz w:val="20"/>
          <w:szCs w:val="20"/>
        </w:rPr>
        <w:t>onderhandelingen</w:t>
      </w:r>
      <w:r w:rsidR="003674D3" w:rsidRPr="00103A50">
        <w:rPr>
          <w:rFonts w:ascii="Calibri" w:eastAsia="Calibri" w:hAnsi="Calibri" w:cs="Calibri"/>
          <w:sz w:val="20"/>
          <w:szCs w:val="20"/>
        </w:rPr>
        <w:t xml:space="preserve"> </w:t>
      </w:r>
      <w:r w:rsidRPr="00103A50">
        <w:rPr>
          <w:rFonts w:ascii="Calibri" w:eastAsia="Calibri" w:hAnsi="Calibri" w:cs="Calibri"/>
          <w:sz w:val="20"/>
          <w:szCs w:val="20"/>
        </w:rPr>
        <w:t>over</w:t>
      </w:r>
      <w:r w:rsidR="003674D3" w:rsidRPr="00103A50">
        <w:rPr>
          <w:rFonts w:ascii="Calibri" w:eastAsia="Calibri" w:hAnsi="Calibri" w:cs="Calibri"/>
          <w:sz w:val="20"/>
          <w:szCs w:val="20"/>
        </w:rPr>
        <w:t xml:space="preserve"> </w:t>
      </w:r>
      <w:r w:rsidRPr="00103A50">
        <w:rPr>
          <w:rFonts w:ascii="Calibri" w:eastAsia="Calibri" w:hAnsi="Calibri" w:cs="Calibri"/>
          <w:sz w:val="20"/>
          <w:szCs w:val="20"/>
        </w:rPr>
        <w:t>het</w:t>
      </w:r>
      <w:r w:rsidR="003674D3" w:rsidRPr="00103A50">
        <w:rPr>
          <w:rFonts w:ascii="Calibri" w:eastAsia="Calibri" w:hAnsi="Calibri" w:cs="Calibri"/>
          <w:sz w:val="20"/>
          <w:szCs w:val="20"/>
        </w:rPr>
        <w:t xml:space="preserve"> </w:t>
      </w:r>
      <w:r w:rsidRPr="00103A50">
        <w:rPr>
          <w:rFonts w:ascii="Calibri" w:eastAsia="Calibri" w:hAnsi="Calibri" w:cs="Calibri"/>
          <w:sz w:val="20"/>
          <w:szCs w:val="20"/>
        </w:rPr>
        <w:t>douane-wetboek.</w:t>
      </w:r>
    </w:p>
  </w:footnote>
  <w:footnote w:id="30">
    <w:p w14:paraId="081746CF" w14:textId="31E5AB52" w:rsidR="00C83724" w:rsidRPr="00103A50" w:rsidRDefault="00C83724" w:rsidP="00103A50">
      <w:pPr>
        <w:pStyle w:val="Voetnoottekst"/>
        <w:rPr>
          <w:rFonts w:ascii="Calibri" w:hAnsi="Calibri" w:cs="Calibri"/>
        </w:rPr>
      </w:pPr>
      <w:r w:rsidRPr="00103A50">
        <w:rPr>
          <w:rStyle w:val="Voetnootmarkering"/>
          <w:rFonts w:ascii="Calibri" w:hAnsi="Calibri" w:cs="Calibri"/>
        </w:rPr>
        <w:footnoteRef/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Inter-institutioneel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Akkoord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over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begrotingszaken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tussen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Commissie,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Raad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Europees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Parlement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16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december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2020.</w:t>
      </w:r>
      <w:r w:rsidR="003674D3" w:rsidRPr="00103A50">
        <w:rPr>
          <w:rFonts w:ascii="Calibri" w:hAnsi="Calibri" w:cs="Calibri"/>
        </w:rPr>
        <w:t xml:space="preserve"> </w:t>
      </w:r>
    </w:p>
  </w:footnote>
  <w:footnote w:id="31">
    <w:p w14:paraId="00043B36" w14:textId="5F39DBAB" w:rsidR="00C83724" w:rsidRPr="00103A50" w:rsidRDefault="00C83724" w:rsidP="00103A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103A50">
        <w:rPr>
          <w:rStyle w:val="Voetnootmarkering"/>
          <w:rFonts w:ascii="Calibri" w:hAnsi="Calibri" w:cs="Calibri"/>
          <w:sz w:val="20"/>
          <w:szCs w:val="20"/>
        </w:rPr>
        <w:footnoteRef/>
      </w:r>
      <w:r w:rsidR="003674D3" w:rsidRPr="00103A50">
        <w:rPr>
          <w:rFonts w:ascii="Calibri" w:eastAsia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Kamerstuk</w:t>
      </w:r>
      <w:r w:rsidR="003674D3" w:rsidRPr="00103A50">
        <w:rPr>
          <w:rFonts w:ascii="Calibri" w:hAnsi="Calibri" w:cs="Calibri"/>
          <w:sz w:val="20"/>
          <w:szCs w:val="20"/>
        </w:rPr>
        <w:t xml:space="preserve">  </w:t>
      </w:r>
      <w:r w:rsidRPr="00103A50">
        <w:rPr>
          <w:rFonts w:ascii="Calibri" w:hAnsi="Calibri" w:cs="Calibri"/>
          <w:sz w:val="20"/>
          <w:szCs w:val="20"/>
          <w:shd w:val="clear" w:color="auto" w:fill="FFFFFF"/>
        </w:rPr>
        <w:t>22</w:t>
      </w:r>
      <w:r w:rsidR="003674D3" w:rsidRPr="00103A50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r w:rsidRPr="00103A50">
        <w:rPr>
          <w:rFonts w:ascii="Calibri" w:hAnsi="Calibri" w:cs="Calibri"/>
          <w:sz w:val="20"/>
          <w:szCs w:val="20"/>
          <w:shd w:val="clear" w:color="auto" w:fill="FFFFFF"/>
        </w:rPr>
        <w:t>112,</w:t>
      </w:r>
      <w:r w:rsidR="003674D3" w:rsidRPr="00103A50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r w:rsidRPr="00103A50">
        <w:rPr>
          <w:rFonts w:ascii="Calibri" w:hAnsi="Calibri" w:cs="Calibri"/>
          <w:sz w:val="20"/>
          <w:szCs w:val="20"/>
          <w:shd w:val="clear" w:color="auto" w:fill="FFFFFF"/>
        </w:rPr>
        <w:t>nr.</w:t>
      </w:r>
      <w:r w:rsidR="003674D3" w:rsidRPr="00103A50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r w:rsidRPr="00103A50">
        <w:rPr>
          <w:rFonts w:ascii="Calibri" w:hAnsi="Calibri" w:cs="Calibri"/>
          <w:sz w:val="20"/>
          <w:szCs w:val="20"/>
          <w:shd w:val="clear" w:color="auto" w:fill="FFFFFF"/>
        </w:rPr>
        <w:t>3760</w:t>
      </w:r>
    </w:p>
  </w:footnote>
  <w:footnote w:id="32">
    <w:p w14:paraId="3D602916" w14:textId="19EE2BF1" w:rsidR="00C83724" w:rsidRPr="00103A50" w:rsidRDefault="00C83724" w:rsidP="00103A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103A50">
        <w:rPr>
          <w:rStyle w:val="Voetnootmarkering"/>
          <w:rFonts w:ascii="Calibri" w:hAnsi="Calibri" w:cs="Calibri"/>
          <w:sz w:val="20"/>
          <w:szCs w:val="20"/>
        </w:rPr>
        <w:footnoteRef/>
      </w:r>
      <w:r w:rsidR="003674D3" w:rsidRPr="00103A50">
        <w:rPr>
          <w:rFonts w:ascii="Calibri" w:eastAsia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ETS-1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bestaat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voor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grote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industriële-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elektriciteitsbedrijven,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luchtvaart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zeevaart.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Onder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ETS-2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valt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de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gebouwde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omgeving,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wegtransport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kleine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industrie.</w:t>
      </w:r>
    </w:p>
  </w:footnote>
  <w:footnote w:id="33">
    <w:p w14:paraId="2D14F9C0" w14:textId="4E9208C6" w:rsidR="00C83724" w:rsidRPr="00103A50" w:rsidRDefault="00C83724" w:rsidP="00103A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cs="Calibri"/>
          <w:sz w:val="20"/>
          <w:szCs w:val="20"/>
        </w:rPr>
      </w:pPr>
      <w:r w:rsidRPr="00103A50">
        <w:rPr>
          <w:rStyle w:val="Voetnootmarkering"/>
          <w:rFonts w:ascii="Calibri" w:hAnsi="Calibri" w:cs="Calibri"/>
          <w:sz w:val="20"/>
          <w:szCs w:val="20"/>
        </w:rPr>
        <w:footnoteRef/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Het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totaal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aan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emissierechten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binnen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het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ETS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is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groter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dan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het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totaal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aan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veilbare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emissierechten.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Een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deel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van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de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emissierechten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wordt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gratis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vergeven.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Daarnaast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wordt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een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deel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van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de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emissierechten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gebruik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voor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vulling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van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het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moderniseringsfonds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innovatiefonds.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Deze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laatste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twee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categorieën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rechten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worden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niet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meegerekend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bij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het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bepalen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van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de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hoogte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van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de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grondslag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voor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de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ETS-afdracht.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De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toegekende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veilbare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emissierechten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moeten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voor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100%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aan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klimaat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worden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uitgegeven.</w:t>
      </w:r>
      <w:r w:rsidR="003674D3" w:rsidRPr="00103A50">
        <w:rPr>
          <w:rFonts w:ascii="Calibri" w:hAnsi="Calibri" w:cs="Calibri"/>
          <w:sz w:val="20"/>
          <w:szCs w:val="20"/>
        </w:rPr>
        <w:t xml:space="preserve">  </w:t>
      </w:r>
    </w:p>
  </w:footnote>
  <w:footnote w:id="34">
    <w:p w14:paraId="18BE0A67" w14:textId="3F2215E2" w:rsidR="00C83724" w:rsidRPr="00103A50" w:rsidRDefault="00C83724" w:rsidP="00103A50">
      <w:pPr>
        <w:pStyle w:val="Voetnoottekst"/>
        <w:rPr>
          <w:rFonts w:ascii="Calibri" w:hAnsi="Calibri" w:cs="Calibri"/>
        </w:rPr>
      </w:pPr>
      <w:r w:rsidRPr="00103A50">
        <w:rPr>
          <w:rStyle w:val="Voetnootmarkering"/>
          <w:rFonts w:ascii="Calibri" w:hAnsi="Calibri" w:cs="Calibri"/>
        </w:rPr>
        <w:footnoteRef/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eastAsia="DejaVu Sans" w:hAnsi="Calibri" w:cs="Calibri"/>
          <w:color w:val="000000"/>
          <w:kern w:val="0"/>
          <w:lang w:eastAsia="nl-NL"/>
          <w14:ligatures w14:val="none"/>
        </w:rPr>
        <w:t>Richtlijn</w:t>
      </w:r>
      <w:r w:rsidR="003674D3" w:rsidRPr="00103A50">
        <w:rPr>
          <w:rFonts w:ascii="Calibri" w:eastAsia="DejaVu Sans" w:hAnsi="Calibri" w:cs="Calibri"/>
          <w:color w:val="000000"/>
          <w:kern w:val="0"/>
          <w:lang w:eastAsia="nl-NL"/>
          <w14:ligatures w14:val="none"/>
        </w:rPr>
        <w:t xml:space="preserve"> </w:t>
      </w:r>
      <w:r w:rsidRPr="00103A50">
        <w:rPr>
          <w:rFonts w:ascii="Calibri" w:eastAsia="DejaVu Sans" w:hAnsi="Calibri" w:cs="Calibri"/>
          <w:color w:val="000000"/>
          <w:kern w:val="0"/>
          <w:lang w:eastAsia="nl-NL"/>
          <w14:ligatures w14:val="none"/>
        </w:rPr>
        <w:t>2011/64/EU</w:t>
      </w:r>
      <w:r w:rsidR="003674D3" w:rsidRPr="00103A50">
        <w:rPr>
          <w:rFonts w:ascii="Calibri" w:eastAsia="DejaVu Sans" w:hAnsi="Calibri" w:cs="Calibri"/>
          <w:color w:val="000000"/>
          <w:kern w:val="0"/>
          <w:lang w:eastAsia="nl-NL"/>
          <w14:ligatures w14:val="none"/>
        </w:rPr>
        <w:t xml:space="preserve"> </w:t>
      </w:r>
      <w:r w:rsidRPr="00103A50">
        <w:rPr>
          <w:rFonts w:ascii="Calibri" w:eastAsia="DejaVu Sans" w:hAnsi="Calibri" w:cs="Calibri"/>
          <w:color w:val="000000"/>
          <w:kern w:val="0"/>
          <w:lang w:eastAsia="nl-NL"/>
          <w14:ligatures w14:val="none"/>
        </w:rPr>
        <w:t>betreffende</w:t>
      </w:r>
      <w:r w:rsidR="003674D3" w:rsidRPr="00103A50">
        <w:rPr>
          <w:rFonts w:ascii="Calibri" w:eastAsia="DejaVu Sans" w:hAnsi="Calibri" w:cs="Calibri"/>
          <w:color w:val="000000"/>
          <w:kern w:val="0"/>
          <w:lang w:eastAsia="nl-NL"/>
          <w14:ligatures w14:val="none"/>
        </w:rPr>
        <w:t xml:space="preserve"> </w:t>
      </w:r>
      <w:r w:rsidRPr="00103A50">
        <w:rPr>
          <w:rFonts w:ascii="Calibri" w:eastAsia="DejaVu Sans" w:hAnsi="Calibri" w:cs="Calibri"/>
          <w:color w:val="000000"/>
          <w:kern w:val="0"/>
          <w:lang w:eastAsia="nl-NL"/>
          <w14:ligatures w14:val="none"/>
        </w:rPr>
        <w:t>de</w:t>
      </w:r>
      <w:r w:rsidR="003674D3" w:rsidRPr="00103A50">
        <w:rPr>
          <w:rFonts w:ascii="Calibri" w:eastAsia="DejaVu Sans" w:hAnsi="Calibri" w:cs="Calibri"/>
          <w:color w:val="000000"/>
          <w:kern w:val="0"/>
          <w:lang w:eastAsia="nl-NL"/>
          <w14:ligatures w14:val="none"/>
        </w:rPr>
        <w:t xml:space="preserve"> </w:t>
      </w:r>
      <w:r w:rsidRPr="00103A50">
        <w:rPr>
          <w:rFonts w:ascii="Calibri" w:eastAsia="DejaVu Sans" w:hAnsi="Calibri" w:cs="Calibri"/>
          <w:color w:val="000000"/>
          <w:kern w:val="0"/>
          <w:lang w:eastAsia="nl-NL"/>
          <w14:ligatures w14:val="none"/>
        </w:rPr>
        <w:t>structuur</w:t>
      </w:r>
      <w:r w:rsidR="003674D3" w:rsidRPr="00103A50">
        <w:rPr>
          <w:rFonts w:ascii="Calibri" w:eastAsia="DejaVu Sans" w:hAnsi="Calibri" w:cs="Calibri"/>
          <w:color w:val="000000"/>
          <w:kern w:val="0"/>
          <w:lang w:eastAsia="nl-NL"/>
          <w14:ligatures w14:val="none"/>
        </w:rPr>
        <w:t xml:space="preserve"> </w:t>
      </w:r>
      <w:r w:rsidRPr="00103A50">
        <w:rPr>
          <w:rFonts w:ascii="Calibri" w:eastAsia="DejaVu Sans" w:hAnsi="Calibri" w:cs="Calibri"/>
          <w:color w:val="000000"/>
          <w:kern w:val="0"/>
          <w:lang w:eastAsia="nl-NL"/>
          <w14:ligatures w14:val="none"/>
        </w:rPr>
        <w:t>en</w:t>
      </w:r>
      <w:r w:rsidR="003674D3" w:rsidRPr="00103A50">
        <w:rPr>
          <w:rFonts w:ascii="Calibri" w:eastAsia="DejaVu Sans" w:hAnsi="Calibri" w:cs="Calibri"/>
          <w:color w:val="000000"/>
          <w:kern w:val="0"/>
          <w:lang w:eastAsia="nl-NL"/>
          <w14:ligatures w14:val="none"/>
        </w:rPr>
        <w:t xml:space="preserve"> </w:t>
      </w:r>
      <w:r w:rsidRPr="00103A50">
        <w:rPr>
          <w:rFonts w:ascii="Calibri" w:eastAsia="DejaVu Sans" w:hAnsi="Calibri" w:cs="Calibri"/>
          <w:color w:val="000000"/>
          <w:kern w:val="0"/>
          <w:lang w:eastAsia="nl-NL"/>
          <w14:ligatures w14:val="none"/>
        </w:rPr>
        <w:t>de</w:t>
      </w:r>
      <w:r w:rsidR="003674D3" w:rsidRPr="00103A50">
        <w:rPr>
          <w:rFonts w:ascii="Calibri" w:eastAsia="DejaVu Sans" w:hAnsi="Calibri" w:cs="Calibri"/>
          <w:color w:val="000000"/>
          <w:kern w:val="0"/>
          <w:lang w:eastAsia="nl-NL"/>
          <w14:ligatures w14:val="none"/>
        </w:rPr>
        <w:t xml:space="preserve"> </w:t>
      </w:r>
      <w:r w:rsidRPr="00103A50">
        <w:rPr>
          <w:rFonts w:ascii="Calibri" w:eastAsia="DejaVu Sans" w:hAnsi="Calibri" w:cs="Calibri"/>
          <w:color w:val="000000"/>
          <w:kern w:val="0"/>
          <w:lang w:eastAsia="nl-NL"/>
          <w14:ligatures w14:val="none"/>
        </w:rPr>
        <w:t>tarieven</w:t>
      </w:r>
      <w:r w:rsidR="003674D3" w:rsidRPr="00103A50">
        <w:rPr>
          <w:rFonts w:ascii="Calibri" w:eastAsia="DejaVu Sans" w:hAnsi="Calibri" w:cs="Calibri"/>
          <w:color w:val="000000"/>
          <w:kern w:val="0"/>
          <w:lang w:eastAsia="nl-NL"/>
          <w14:ligatures w14:val="none"/>
        </w:rPr>
        <w:t xml:space="preserve"> </w:t>
      </w:r>
      <w:r w:rsidRPr="00103A50">
        <w:rPr>
          <w:rFonts w:ascii="Calibri" w:eastAsia="DejaVu Sans" w:hAnsi="Calibri" w:cs="Calibri"/>
          <w:color w:val="000000"/>
          <w:kern w:val="0"/>
          <w:lang w:eastAsia="nl-NL"/>
          <w14:ligatures w14:val="none"/>
        </w:rPr>
        <w:t>van</w:t>
      </w:r>
      <w:r w:rsidR="003674D3" w:rsidRPr="00103A50">
        <w:rPr>
          <w:rFonts w:ascii="Calibri" w:eastAsia="DejaVu Sans" w:hAnsi="Calibri" w:cs="Calibri"/>
          <w:color w:val="000000"/>
          <w:kern w:val="0"/>
          <w:lang w:eastAsia="nl-NL"/>
          <w14:ligatures w14:val="none"/>
        </w:rPr>
        <w:t xml:space="preserve"> </w:t>
      </w:r>
      <w:r w:rsidRPr="00103A50">
        <w:rPr>
          <w:rFonts w:ascii="Calibri" w:eastAsia="DejaVu Sans" w:hAnsi="Calibri" w:cs="Calibri"/>
          <w:color w:val="000000"/>
          <w:kern w:val="0"/>
          <w:lang w:eastAsia="nl-NL"/>
          <w14:ligatures w14:val="none"/>
        </w:rPr>
        <w:t>de</w:t>
      </w:r>
      <w:r w:rsidR="003674D3" w:rsidRPr="00103A50">
        <w:rPr>
          <w:rFonts w:ascii="Calibri" w:eastAsia="DejaVu Sans" w:hAnsi="Calibri" w:cs="Calibri"/>
          <w:color w:val="000000"/>
          <w:kern w:val="0"/>
          <w:lang w:eastAsia="nl-NL"/>
          <w14:ligatures w14:val="none"/>
        </w:rPr>
        <w:t xml:space="preserve"> </w:t>
      </w:r>
      <w:r w:rsidRPr="00103A50">
        <w:rPr>
          <w:rFonts w:ascii="Calibri" w:eastAsia="DejaVu Sans" w:hAnsi="Calibri" w:cs="Calibri"/>
          <w:color w:val="000000"/>
          <w:kern w:val="0"/>
          <w:lang w:eastAsia="nl-NL"/>
          <w14:ligatures w14:val="none"/>
        </w:rPr>
        <w:t>accijns</w:t>
      </w:r>
      <w:r w:rsidR="003674D3" w:rsidRPr="00103A50">
        <w:rPr>
          <w:rFonts w:ascii="Calibri" w:eastAsia="DejaVu Sans" w:hAnsi="Calibri" w:cs="Calibri"/>
          <w:color w:val="000000"/>
          <w:kern w:val="0"/>
          <w:lang w:eastAsia="nl-NL"/>
          <w14:ligatures w14:val="none"/>
        </w:rPr>
        <w:t xml:space="preserve"> </w:t>
      </w:r>
      <w:r w:rsidRPr="00103A50">
        <w:rPr>
          <w:rFonts w:ascii="Calibri" w:eastAsia="DejaVu Sans" w:hAnsi="Calibri" w:cs="Calibri"/>
          <w:color w:val="000000"/>
          <w:kern w:val="0"/>
          <w:lang w:eastAsia="nl-NL"/>
          <w14:ligatures w14:val="none"/>
        </w:rPr>
        <w:t>op</w:t>
      </w:r>
      <w:r w:rsidR="003674D3" w:rsidRPr="00103A50">
        <w:rPr>
          <w:rFonts w:ascii="Calibri" w:eastAsia="DejaVu Sans" w:hAnsi="Calibri" w:cs="Calibri"/>
          <w:color w:val="000000"/>
          <w:kern w:val="0"/>
          <w:lang w:eastAsia="nl-NL"/>
          <w14:ligatures w14:val="none"/>
        </w:rPr>
        <w:t xml:space="preserve"> </w:t>
      </w:r>
      <w:r w:rsidRPr="00103A50">
        <w:rPr>
          <w:rFonts w:ascii="Calibri" w:eastAsia="DejaVu Sans" w:hAnsi="Calibri" w:cs="Calibri"/>
          <w:color w:val="000000"/>
          <w:kern w:val="0"/>
          <w:lang w:eastAsia="nl-NL"/>
          <w14:ligatures w14:val="none"/>
        </w:rPr>
        <w:t>tabaksfabrikanten.</w:t>
      </w:r>
    </w:p>
  </w:footnote>
  <w:footnote w:id="35">
    <w:p w14:paraId="4DA1C81D" w14:textId="00C8D6DB" w:rsidR="00C83724" w:rsidRPr="00103A50" w:rsidRDefault="00C83724" w:rsidP="00103A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103A50">
        <w:rPr>
          <w:rStyle w:val="Voetnootmarkering"/>
          <w:rFonts w:ascii="Calibri" w:hAnsi="Calibri" w:cs="Calibri"/>
          <w:sz w:val="20"/>
          <w:szCs w:val="20"/>
        </w:rPr>
        <w:footnoteRef/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Dit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betekent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dat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middelen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die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worden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opgehaald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met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een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ander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type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afdracht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dan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de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bni-afdracht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de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totale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hoeveelheid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benodigde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bni-afdracht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laten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afnemen.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Als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de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verdeelsleutel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van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een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eventueel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nieuw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eigen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middel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voor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Nederland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lager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is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dan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de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Nederlandse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bni-sleutel,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is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dit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in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beginsel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financieel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gunstig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voor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Nederland.</w:t>
      </w:r>
    </w:p>
  </w:footnote>
  <w:footnote w:id="36">
    <w:p w14:paraId="5286F14D" w14:textId="7F0EB282" w:rsidR="00C83724" w:rsidRPr="00103A50" w:rsidRDefault="00C83724" w:rsidP="00103A50">
      <w:pPr>
        <w:pStyle w:val="Voetnoottekst"/>
        <w:rPr>
          <w:rFonts w:ascii="Calibri" w:hAnsi="Calibri" w:cs="Calibri"/>
        </w:rPr>
      </w:pPr>
      <w:r w:rsidRPr="00103A50">
        <w:rPr>
          <w:rStyle w:val="Voetnootmarkering"/>
          <w:rFonts w:ascii="Calibri" w:hAnsi="Calibri" w:cs="Calibri"/>
        </w:rPr>
        <w:footnoteRef/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Richtlijn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(EU)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2003/87/EG.</w:t>
      </w:r>
    </w:p>
  </w:footnote>
  <w:footnote w:id="37">
    <w:p w14:paraId="1DE3FEFA" w14:textId="798D941E" w:rsidR="00C83724" w:rsidRPr="00103A50" w:rsidRDefault="00C83724" w:rsidP="00103A50">
      <w:pPr>
        <w:pStyle w:val="Voetnoottekst"/>
        <w:rPr>
          <w:rFonts w:ascii="Calibri" w:hAnsi="Calibri" w:cs="Calibri"/>
        </w:rPr>
      </w:pPr>
      <w:r w:rsidRPr="00103A50">
        <w:rPr>
          <w:rStyle w:val="Voetnootmarkering"/>
          <w:rFonts w:ascii="Calibri" w:hAnsi="Calibri" w:cs="Calibri"/>
        </w:rPr>
        <w:footnoteRef/>
      </w:r>
      <w:r w:rsidR="003674D3" w:rsidRPr="00103A50">
        <w:rPr>
          <w:rFonts w:ascii="Calibri" w:hAnsi="Calibri" w:cs="Calibri"/>
        </w:rPr>
        <w:t xml:space="preserve"> </w:t>
      </w:r>
      <w:hyperlink r:id="rId1" w:history="1">
        <w:r w:rsidRPr="00103A50">
          <w:rPr>
            <w:rFonts w:ascii="Calibri" w:hAnsi="Calibri" w:cs="Calibri"/>
          </w:rPr>
          <w:t>Speciaal</w:t>
        </w:r>
        <w:r w:rsidR="003674D3" w:rsidRPr="00103A50">
          <w:rPr>
            <w:rFonts w:ascii="Calibri" w:hAnsi="Calibri" w:cs="Calibri"/>
          </w:rPr>
          <w:t xml:space="preserve"> </w:t>
        </w:r>
        <w:r w:rsidRPr="00103A50">
          <w:rPr>
            <w:rFonts w:ascii="Calibri" w:hAnsi="Calibri" w:cs="Calibri"/>
          </w:rPr>
          <w:t>verslag</w:t>
        </w:r>
        <w:r w:rsidR="003674D3" w:rsidRPr="00103A50">
          <w:rPr>
            <w:rFonts w:ascii="Calibri" w:hAnsi="Calibri" w:cs="Calibri"/>
          </w:rPr>
          <w:t xml:space="preserve"> </w:t>
        </w:r>
        <w:r w:rsidRPr="00103A50">
          <w:rPr>
            <w:rFonts w:ascii="Calibri" w:hAnsi="Calibri" w:cs="Calibri"/>
          </w:rPr>
          <w:t>16/2024:</w:t>
        </w:r>
        <w:r w:rsidR="003674D3" w:rsidRPr="00103A50">
          <w:rPr>
            <w:rFonts w:ascii="Calibri" w:hAnsi="Calibri" w:cs="Calibri"/>
          </w:rPr>
          <w:t xml:space="preserve"> </w:t>
        </w:r>
        <w:r w:rsidRPr="00103A50">
          <w:rPr>
            <w:rFonts w:ascii="Calibri" w:hAnsi="Calibri" w:cs="Calibri"/>
          </w:rPr>
          <w:t>EU-ontvangsten</w:t>
        </w:r>
        <w:r w:rsidR="003674D3" w:rsidRPr="00103A50">
          <w:rPr>
            <w:rFonts w:ascii="Calibri" w:hAnsi="Calibri" w:cs="Calibri"/>
          </w:rPr>
          <w:t xml:space="preserve"> </w:t>
        </w:r>
        <w:r w:rsidRPr="00103A50">
          <w:rPr>
            <w:rFonts w:ascii="Calibri" w:hAnsi="Calibri" w:cs="Calibri"/>
          </w:rPr>
          <w:t>op</w:t>
        </w:r>
        <w:r w:rsidR="003674D3" w:rsidRPr="00103A50">
          <w:rPr>
            <w:rFonts w:ascii="Calibri" w:hAnsi="Calibri" w:cs="Calibri"/>
          </w:rPr>
          <w:t xml:space="preserve"> </w:t>
        </w:r>
        <w:r w:rsidRPr="00103A50">
          <w:rPr>
            <w:rFonts w:ascii="Calibri" w:hAnsi="Calibri" w:cs="Calibri"/>
          </w:rPr>
          <w:t>basis</w:t>
        </w:r>
        <w:r w:rsidR="003674D3" w:rsidRPr="00103A50">
          <w:rPr>
            <w:rFonts w:ascii="Calibri" w:hAnsi="Calibri" w:cs="Calibri"/>
          </w:rPr>
          <w:t xml:space="preserve"> </w:t>
        </w:r>
        <w:r w:rsidRPr="00103A50">
          <w:rPr>
            <w:rFonts w:ascii="Calibri" w:hAnsi="Calibri" w:cs="Calibri"/>
          </w:rPr>
          <w:t>van</w:t>
        </w:r>
        <w:r w:rsidR="003674D3" w:rsidRPr="00103A50">
          <w:rPr>
            <w:rFonts w:ascii="Calibri" w:hAnsi="Calibri" w:cs="Calibri"/>
          </w:rPr>
          <w:t xml:space="preserve"> </w:t>
        </w:r>
        <w:r w:rsidRPr="00103A50">
          <w:rPr>
            <w:rFonts w:ascii="Calibri" w:hAnsi="Calibri" w:cs="Calibri"/>
          </w:rPr>
          <w:t>niet-gerecycled</w:t>
        </w:r>
        <w:r w:rsidR="003674D3" w:rsidRPr="00103A50">
          <w:rPr>
            <w:rFonts w:ascii="Calibri" w:hAnsi="Calibri" w:cs="Calibri"/>
          </w:rPr>
          <w:t xml:space="preserve"> </w:t>
        </w:r>
        <w:r w:rsidRPr="00103A50">
          <w:rPr>
            <w:rFonts w:ascii="Calibri" w:hAnsi="Calibri" w:cs="Calibri"/>
          </w:rPr>
          <w:t>kunststof</w:t>
        </w:r>
        <w:r w:rsidR="003674D3" w:rsidRPr="00103A50">
          <w:rPr>
            <w:rFonts w:ascii="Calibri" w:hAnsi="Calibri" w:cs="Calibri"/>
          </w:rPr>
          <w:t xml:space="preserve"> </w:t>
        </w:r>
        <w:r w:rsidRPr="00103A50">
          <w:rPr>
            <w:rFonts w:ascii="Calibri" w:hAnsi="Calibri" w:cs="Calibri"/>
          </w:rPr>
          <w:t>verpakkingsafval</w:t>
        </w:r>
      </w:hyperlink>
      <w:r w:rsidRPr="00103A50">
        <w:rPr>
          <w:rFonts w:ascii="Calibri" w:hAnsi="Calibri" w:cs="Calibri"/>
        </w:rPr>
        <w:t>.</w:t>
      </w:r>
      <w:r w:rsidR="003674D3" w:rsidRPr="00103A50">
        <w:rPr>
          <w:rFonts w:ascii="Calibri" w:hAnsi="Calibri" w:cs="Calibri"/>
        </w:rPr>
        <w:t xml:space="preserve"> </w:t>
      </w:r>
    </w:p>
  </w:footnote>
  <w:footnote w:id="38">
    <w:p w14:paraId="4EB974CB" w14:textId="21D862F8" w:rsidR="00C83724" w:rsidRPr="00103A50" w:rsidRDefault="00C83724" w:rsidP="00103A50">
      <w:pPr>
        <w:pStyle w:val="Voetnoottekst"/>
        <w:rPr>
          <w:rFonts w:ascii="Calibri" w:hAnsi="Calibri" w:cs="Calibri"/>
        </w:rPr>
      </w:pPr>
      <w:r w:rsidRPr="00103A50">
        <w:rPr>
          <w:rStyle w:val="Voetnootmarkering"/>
          <w:rFonts w:ascii="Calibri" w:hAnsi="Calibri" w:cs="Calibri"/>
        </w:rPr>
        <w:footnoteRef/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Richtlijn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2012/19/EU.</w:t>
      </w:r>
      <w:r w:rsidR="003674D3" w:rsidRPr="00103A50">
        <w:rPr>
          <w:rFonts w:ascii="Calibri" w:hAnsi="Calibri" w:cs="Calibri"/>
        </w:rPr>
        <w:t xml:space="preserve"> </w:t>
      </w:r>
    </w:p>
  </w:footnote>
  <w:footnote w:id="39">
    <w:p w14:paraId="3BC25D86" w14:textId="47FC54E9" w:rsidR="00C83724" w:rsidRPr="00103A50" w:rsidRDefault="00C83724" w:rsidP="00103A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cs="Calibri"/>
          <w:sz w:val="20"/>
          <w:szCs w:val="20"/>
        </w:rPr>
      </w:pPr>
      <w:r w:rsidRPr="00103A50">
        <w:rPr>
          <w:rStyle w:val="Voetnootmarkering"/>
          <w:rFonts w:ascii="Calibri" w:hAnsi="Calibri" w:cs="Calibri"/>
          <w:sz w:val="20"/>
          <w:szCs w:val="20"/>
        </w:rPr>
        <w:footnoteRef/>
      </w:r>
      <w:r w:rsidR="003674D3" w:rsidRPr="00103A50">
        <w:rPr>
          <w:rFonts w:ascii="Calibri" w:eastAsia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De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raming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van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de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Nederlandse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afdrachten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is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gebaseerd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op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het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uitgavenplafond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in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het</w:t>
      </w:r>
    </w:p>
    <w:p w14:paraId="2A8AA5FD" w14:textId="417DF351" w:rsidR="00C83724" w:rsidRPr="00103A50" w:rsidRDefault="00C83724" w:rsidP="00103A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103A50">
        <w:rPr>
          <w:rFonts w:ascii="Calibri" w:hAnsi="Calibri" w:cs="Calibri"/>
          <w:sz w:val="20"/>
          <w:szCs w:val="20"/>
        </w:rPr>
        <w:t>MFK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+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speciale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instrumenten.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Het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EMB-plafond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maximeert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weliswaar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de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omvang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van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het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financiële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beroep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van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de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Europese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Commissie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op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de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lidstaten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–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daarmee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de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omvang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van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de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nationale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afdrachten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–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maar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speelt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in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de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raming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verantwoording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van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de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jaarlijkse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afdrachten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geen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rol.</w:t>
      </w:r>
    </w:p>
  </w:footnote>
  <w:footnote w:id="40">
    <w:p w14:paraId="240E9941" w14:textId="5F0A831C" w:rsidR="00C83724" w:rsidRPr="00103A50" w:rsidRDefault="00C83724" w:rsidP="00103A50">
      <w:pPr>
        <w:pStyle w:val="Voetnoottekst"/>
        <w:rPr>
          <w:rFonts w:ascii="Calibri" w:hAnsi="Calibri" w:cs="Calibri"/>
        </w:rPr>
      </w:pPr>
      <w:r w:rsidRPr="00103A50">
        <w:rPr>
          <w:rStyle w:val="Voetnootmarkering"/>
          <w:rFonts w:ascii="Calibri" w:hAnsi="Calibri" w:cs="Calibri"/>
        </w:rPr>
        <w:footnoteRef/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Voor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meer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informatie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hierover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zie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p.18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deze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brief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bij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het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kopje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‘leeninstrumenten’.</w:t>
      </w:r>
    </w:p>
  </w:footnote>
  <w:footnote w:id="41">
    <w:p w14:paraId="5F1A0AE2" w14:textId="3CED7FB6" w:rsidR="00C83724" w:rsidRPr="00103A50" w:rsidRDefault="00C83724" w:rsidP="00103A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103A50">
        <w:rPr>
          <w:rStyle w:val="Voetnootmarkering"/>
          <w:rFonts w:ascii="Calibri" w:hAnsi="Calibri" w:cs="Calibri"/>
          <w:sz w:val="20"/>
          <w:szCs w:val="20"/>
        </w:rPr>
        <w:footnoteRef/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Er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zullen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geen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leningen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meer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uitgegeven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worden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t.a.v.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NGEU,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maar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de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terugbetaling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duurt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nog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tot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2058</w:t>
      </w:r>
      <w:r w:rsidRPr="00103A50">
        <w:rPr>
          <w:rFonts w:ascii="Calibri" w:eastAsia="Calibri" w:hAnsi="Calibri" w:cs="Calibri"/>
          <w:sz w:val="20"/>
          <w:szCs w:val="20"/>
        </w:rPr>
        <w:t>.</w:t>
      </w:r>
      <w:r w:rsidR="003674D3" w:rsidRPr="00103A50">
        <w:rPr>
          <w:rFonts w:ascii="Calibri" w:eastAsia="Calibri" w:hAnsi="Calibri" w:cs="Calibri"/>
          <w:sz w:val="20"/>
          <w:szCs w:val="20"/>
        </w:rPr>
        <w:t xml:space="preserve"> </w:t>
      </w:r>
    </w:p>
  </w:footnote>
  <w:footnote w:id="42">
    <w:p w14:paraId="052069C1" w14:textId="71CD4934" w:rsidR="00C83724" w:rsidRPr="00103A50" w:rsidRDefault="00C83724" w:rsidP="00103A50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103A50">
        <w:rPr>
          <w:rStyle w:val="Voetnootmarkering"/>
          <w:rFonts w:ascii="Calibri" w:hAnsi="Calibri" w:cs="Calibri"/>
          <w:sz w:val="20"/>
          <w:szCs w:val="20"/>
        </w:rPr>
        <w:footnoteRef/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Het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verschil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tussen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4,5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en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5,4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miljard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euro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zit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in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de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verhouding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leningen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en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niet-terugbetaalbare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steun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in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het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voorgestelde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financiële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steunpakket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voor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Oekraïne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van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89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miljard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euro,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die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in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het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voorstel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opengelaten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is.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Het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lagere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bedrag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is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de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inschatting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als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de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volledige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steun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aan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Oekraïne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uit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leningen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bestaat,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het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hogere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bedrag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als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de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steun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volledig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uit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niet-terugbetaalbare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steun</w:t>
      </w:r>
      <w:r w:rsidR="003674D3" w:rsidRPr="00103A50">
        <w:rPr>
          <w:rFonts w:ascii="Calibri" w:eastAsia="Times New Roman" w:hAnsi="Calibri" w:cs="Calibri"/>
          <w:sz w:val="20"/>
          <w:szCs w:val="20"/>
        </w:rPr>
        <w:t xml:space="preserve"> </w:t>
      </w:r>
      <w:r w:rsidRPr="00103A50">
        <w:rPr>
          <w:rFonts w:ascii="Calibri" w:eastAsia="Times New Roman" w:hAnsi="Calibri" w:cs="Calibri"/>
          <w:sz w:val="20"/>
          <w:szCs w:val="20"/>
        </w:rPr>
        <w:t>bestaat.</w:t>
      </w:r>
    </w:p>
    <w:p w14:paraId="4785C8EF" w14:textId="77777777" w:rsidR="00C83724" w:rsidRPr="00103A50" w:rsidRDefault="00C83724" w:rsidP="00103A50">
      <w:pPr>
        <w:pStyle w:val="Voetnoottekst"/>
        <w:rPr>
          <w:rFonts w:ascii="Calibri" w:hAnsi="Calibri" w:cs="Calibri"/>
        </w:rPr>
      </w:pPr>
    </w:p>
  </w:footnote>
  <w:footnote w:id="43">
    <w:p w14:paraId="727A5F06" w14:textId="46F2D439" w:rsidR="00C83724" w:rsidRPr="00103A50" w:rsidRDefault="00C83724" w:rsidP="00103A50">
      <w:pPr>
        <w:pStyle w:val="Voetnoottekst"/>
        <w:rPr>
          <w:rFonts w:ascii="Calibri" w:hAnsi="Calibri" w:cs="Calibri"/>
        </w:rPr>
      </w:pPr>
      <w:r w:rsidRPr="00103A50">
        <w:rPr>
          <w:rStyle w:val="Voetnootmarkering"/>
          <w:rFonts w:ascii="Calibri" w:hAnsi="Calibri" w:cs="Calibri"/>
        </w:rPr>
        <w:footnoteRef/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Verslag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Raad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Algemene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Zaken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van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18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juli</w:t>
      </w:r>
      <w:r w:rsidR="003674D3" w:rsidRPr="00103A50">
        <w:rPr>
          <w:rFonts w:ascii="Calibri" w:hAnsi="Calibri" w:cs="Calibri"/>
        </w:rPr>
        <w:t xml:space="preserve"> </w:t>
      </w:r>
      <w:r w:rsidRPr="00103A50">
        <w:rPr>
          <w:rFonts w:ascii="Calibri" w:hAnsi="Calibri" w:cs="Calibri"/>
        </w:rPr>
        <w:t>2025</w:t>
      </w:r>
    </w:p>
  </w:footnote>
  <w:footnote w:id="44">
    <w:p w14:paraId="5B9C6017" w14:textId="4B50D10C" w:rsidR="00C83724" w:rsidRPr="00103A50" w:rsidRDefault="00C83724" w:rsidP="00103A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cs="Calibri"/>
          <w:sz w:val="20"/>
          <w:szCs w:val="20"/>
        </w:rPr>
      </w:pPr>
      <w:r w:rsidRPr="00103A50">
        <w:rPr>
          <w:rFonts w:ascii="Calibri" w:hAnsi="Calibri" w:cs="Calibri"/>
          <w:sz w:val="20"/>
          <w:szCs w:val="20"/>
          <w:vertAlign w:val="superscript"/>
        </w:rPr>
        <w:footnoteRef/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Kamerstuk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21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501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20,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nr.2245</w:t>
      </w:r>
    </w:p>
  </w:footnote>
  <w:footnote w:id="45">
    <w:p w14:paraId="191F3663" w14:textId="20279EE5" w:rsidR="00C83724" w:rsidRPr="00103A50" w:rsidRDefault="00C83724" w:rsidP="00103A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103A50">
        <w:rPr>
          <w:rFonts w:ascii="Calibri" w:hAnsi="Calibri" w:cs="Calibri"/>
          <w:sz w:val="20"/>
          <w:szCs w:val="20"/>
          <w:vertAlign w:val="superscript"/>
        </w:rPr>
        <w:footnoteRef/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Verslag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Raad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Algemene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Zaken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van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18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juli</w:t>
      </w:r>
      <w:r w:rsidR="003674D3" w:rsidRPr="00103A50">
        <w:rPr>
          <w:rFonts w:ascii="Calibri" w:hAnsi="Calibri" w:cs="Calibri"/>
          <w:sz w:val="20"/>
          <w:szCs w:val="20"/>
        </w:rPr>
        <w:t xml:space="preserve"> </w:t>
      </w:r>
      <w:r w:rsidRPr="00103A50">
        <w:rPr>
          <w:rFonts w:ascii="Calibri" w:hAnsi="Calibri" w:cs="Calibri"/>
          <w:sz w:val="20"/>
          <w:szCs w:val="20"/>
        </w:rPr>
        <w:t>2025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281C4" w14:textId="77777777" w:rsidR="00EB30F7" w:rsidRPr="00C83724" w:rsidRDefault="00EB30F7" w:rsidP="00C8372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0EF5" w14:textId="77777777" w:rsidR="00EB30F7" w:rsidRPr="00C83724" w:rsidRDefault="00EB30F7" w:rsidP="00C8372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2486" w14:textId="77777777" w:rsidR="00EB30F7" w:rsidRPr="00C83724" w:rsidRDefault="00EB30F7" w:rsidP="00C8372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84C1F"/>
    <w:multiLevelType w:val="hybridMultilevel"/>
    <w:tmpl w:val="ADBC73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885D55"/>
    <w:multiLevelType w:val="hybridMultilevel"/>
    <w:tmpl w:val="7B1C5664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1193526">
    <w:abstractNumId w:val="0"/>
  </w:num>
  <w:num w:numId="2" w16cid:durableId="755370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24"/>
    <w:rsid w:val="000430DB"/>
    <w:rsid w:val="00103A50"/>
    <w:rsid w:val="001E1400"/>
    <w:rsid w:val="003674D3"/>
    <w:rsid w:val="00392F05"/>
    <w:rsid w:val="00517434"/>
    <w:rsid w:val="006F53E6"/>
    <w:rsid w:val="00835691"/>
    <w:rsid w:val="008E45AF"/>
    <w:rsid w:val="00A651EC"/>
    <w:rsid w:val="00AA2861"/>
    <w:rsid w:val="00C83724"/>
    <w:rsid w:val="00D0543A"/>
    <w:rsid w:val="00EB30F7"/>
    <w:rsid w:val="00ED03AA"/>
    <w:rsid w:val="00F0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C3F66"/>
  <w15:chartTrackingRefBased/>
  <w15:docId w15:val="{34C5CB83-092E-4154-AD2C-FA4EA5B3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3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83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837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83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3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83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3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3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3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83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83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83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8372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372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37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37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37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37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83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83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83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83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83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837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8372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837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3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37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83724"/>
    <w:rPr>
      <w:b/>
      <w:bCs/>
      <w:smallCaps/>
      <w:color w:val="0F4761" w:themeColor="accent1" w:themeShade="BF"/>
      <w:spacing w:val="5"/>
    </w:rPr>
  </w:style>
  <w:style w:type="table" w:customStyle="1" w:styleId="Tabelondertekening">
    <w:name w:val="Tabel ondertekening"/>
    <w:rsid w:val="00C83724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C83724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C83724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83724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C83724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C8372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372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83724"/>
    <w:rPr>
      <w:vertAlign w:val="superscript"/>
    </w:rPr>
  </w:style>
  <w:style w:type="table" w:styleId="Tabelraster">
    <w:name w:val="Table Grid"/>
    <w:basedOn w:val="Standaardtabel"/>
    <w:uiPriority w:val="39"/>
    <w:rsid w:val="00C83724"/>
    <w:pPr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A651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ca.europa.eu/ECAPublications/SR-2024-16/SR-2024-16_NL.pdf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44</ap:Pages>
  <ap:Words>15255</ap:Words>
  <ap:Characters>83904</ap:Characters>
  <ap:DocSecurity>0</ap:DocSecurity>
  <ap:Lines>699</ap:Lines>
  <ap:Paragraphs>197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98962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2025-10-01T15:44:00.0000000Z</dcterms:created>
  <dcterms:modified xsi:type="dcterms:W3CDTF">2025-10-01T15:44:00.0000000Z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