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6B90" w:rsidR="003B3DB3" w:rsidP="21064A6A" w:rsidRDefault="003B3DB3" w14:paraId="6A215065" w14:textId="74DE4E69">
      <w:pPr>
        <w:pStyle w:val="Heading1"/>
        <w:spacing w:before="0" w:after="0" w:line="360" w:lineRule="auto"/>
        <w:rPr>
          <w:rFonts w:ascii="Verdana" w:hAnsi="Verdana"/>
          <w:b/>
          <w:bCs/>
          <w:color w:val="auto"/>
          <w:sz w:val="18"/>
          <w:szCs w:val="18"/>
        </w:rPr>
      </w:pPr>
      <w:bookmarkStart w:name="OLE_LINK1" w:id="0"/>
      <w:bookmarkStart w:name="OLE_LINK2" w:id="1"/>
      <w:r w:rsidRPr="00766B90">
        <w:rPr>
          <w:rFonts w:ascii="Verdana" w:hAnsi="Verdana"/>
          <w:b/>
          <w:bCs/>
          <w:color w:val="auto"/>
          <w:sz w:val="18"/>
          <w:szCs w:val="18"/>
        </w:rPr>
        <w:t>Fiche</w:t>
      </w:r>
      <w:r w:rsidRPr="00766B90" w:rsidR="00766B90">
        <w:rPr>
          <w:rFonts w:ascii="Verdana" w:hAnsi="Verdana"/>
          <w:b/>
          <w:bCs/>
          <w:color w:val="auto"/>
          <w:sz w:val="18"/>
          <w:szCs w:val="18"/>
        </w:rPr>
        <w:t xml:space="preserve"> 13:</w:t>
      </w:r>
      <w:r w:rsidRPr="00766B90">
        <w:rPr>
          <w:rFonts w:ascii="Verdana" w:hAnsi="Verdana"/>
          <w:b/>
          <w:bCs/>
          <w:color w:val="auto"/>
          <w:sz w:val="18"/>
          <w:szCs w:val="18"/>
        </w:rPr>
        <w:t xml:space="preserve"> </w:t>
      </w:r>
      <w:r w:rsidR="005621FC">
        <w:rPr>
          <w:rFonts w:ascii="Verdana" w:hAnsi="Verdana"/>
          <w:b/>
          <w:bCs/>
          <w:color w:val="auto"/>
          <w:sz w:val="18"/>
          <w:szCs w:val="18"/>
        </w:rPr>
        <w:t xml:space="preserve">[MFK] </w:t>
      </w:r>
      <w:proofErr w:type="spellStart"/>
      <w:r w:rsidRPr="00766B90">
        <w:rPr>
          <w:rFonts w:ascii="Verdana" w:hAnsi="Verdana"/>
          <w:b/>
          <w:bCs/>
          <w:color w:val="auto"/>
          <w:sz w:val="18"/>
          <w:szCs w:val="18"/>
        </w:rPr>
        <w:t>Connecting</w:t>
      </w:r>
      <w:proofErr w:type="spellEnd"/>
      <w:r w:rsidRPr="00766B90">
        <w:rPr>
          <w:rFonts w:ascii="Verdana" w:hAnsi="Verdana"/>
          <w:b/>
          <w:bCs/>
          <w:color w:val="auto"/>
          <w:sz w:val="18"/>
          <w:szCs w:val="18"/>
        </w:rPr>
        <w:t xml:space="preserve"> Europe Facility </w:t>
      </w:r>
    </w:p>
    <w:p w:rsidRPr="00915B9C" w:rsidR="003B3DB3" w:rsidP="003B3DB3" w:rsidRDefault="003B3DB3" w14:paraId="1B1626E8" w14:textId="77777777"/>
    <w:p w:rsidRPr="0084323F" w:rsidR="003B3DB3" w:rsidP="0084323F" w:rsidRDefault="003B3DB3" w14:paraId="3BDF618E" w14:textId="77777777">
      <w:pPr>
        <w:numPr>
          <w:ilvl w:val="0"/>
          <w:numId w:val="2"/>
        </w:numPr>
        <w:spacing w:line="360" w:lineRule="auto"/>
        <w:rPr>
          <w:rFonts w:ascii="Verdana" w:hAnsi="Verdana"/>
          <w:b/>
          <w:bCs/>
          <w:sz w:val="18"/>
          <w:szCs w:val="18"/>
        </w:rPr>
      </w:pPr>
      <w:r w:rsidRPr="00405448">
        <w:rPr>
          <w:rFonts w:ascii="Verdana" w:hAnsi="Verdana"/>
          <w:b/>
          <w:bCs/>
          <w:sz w:val="18"/>
          <w:szCs w:val="18"/>
        </w:rPr>
        <w:t>Algemene gegevens</w:t>
      </w:r>
    </w:p>
    <w:p w:rsidRPr="0084323F" w:rsidR="003B3DB3" w:rsidP="203A7120" w:rsidRDefault="003B3DB3" w14:paraId="03AE652C" w14:textId="77777777">
      <w:pPr>
        <w:numPr>
          <w:ilvl w:val="0"/>
          <w:numId w:val="3"/>
        </w:numPr>
        <w:spacing w:line="360" w:lineRule="auto"/>
        <w:rPr>
          <w:rFonts w:ascii="Verdana" w:hAnsi="Verdana"/>
          <w:i/>
          <w:iCs/>
          <w:sz w:val="18"/>
          <w:szCs w:val="18"/>
        </w:rPr>
      </w:pPr>
      <w:r w:rsidRPr="203A7120">
        <w:rPr>
          <w:rFonts w:ascii="Verdana" w:hAnsi="Verdana"/>
          <w:i/>
          <w:iCs/>
          <w:sz w:val="18"/>
          <w:szCs w:val="18"/>
        </w:rPr>
        <w:t>Titel voorstel</w:t>
      </w:r>
    </w:p>
    <w:p w:rsidRPr="00AF2BF5" w:rsidR="003B3DB3" w:rsidP="003B3DB3" w:rsidRDefault="003B3DB3" w14:paraId="546C01A1" w14:textId="0BF22791">
      <w:pPr>
        <w:spacing w:line="360" w:lineRule="auto"/>
        <w:rPr>
          <w:rFonts w:ascii="Verdana" w:hAnsi="Verdana"/>
          <w:sz w:val="18"/>
          <w:szCs w:val="18"/>
        </w:rPr>
      </w:pPr>
      <w:r w:rsidRPr="00AF2BF5">
        <w:rPr>
          <w:rFonts w:ascii="Verdana" w:hAnsi="Verdana"/>
          <w:sz w:val="18"/>
          <w:szCs w:val="18"/>
        </w:rPr>
        <w:t>Voorstel voor een Verordening van het Europees Parlement en de Raad tot vaststelling van</w:t>
      </w:r>
      <w:r w:rsidR="00456D6F">
        <w:rPr>
          <w:rFonts w:ascii="Verdana" w:hAnsi="Verdana"/>
          <w:sz w:val="18"/>
          <w:szCs w:val="18"/>
        </w:rPr>
        <w:t xml:space="preserve"> </w:t>
      </w:r>
      <w:r w:rsidR="00686240">
        <w:rPr>
          <w:rFonts w:ascii="Verdana" w:hAnsi="Verdana"/>
          <w:sz w:val="18"/>
          <w:szCs w:val="18"/>
        </w:rPr>
        <w:t>het</w:t>
      </w:r>
      <w:r w:rsidR="00456D6F">
        <w:rPr>
          <w:rFonts w:ascii="Verdana" w:hAnsi="Verdana"/>
          <w:sz w:val="18"/>
          <w:szCs w:val="18"/>
        </w:rPr>
        <w:t xml:space="preserve"> </w:t>
      </w:r>
      <w:proofErr w:type="spellStart"/>
      <w:r w:rsidRPr="21064A6A" w:rsidR="00456D6F">
        <w:rPr>
          <w:rFonts w:ascii="Verdana" w:hAnsi="Verdana"/>
          <w:i/>
          <w:iCs/>
          <w:sz w:val="18"/>
          <w:szCs w:val="18"/>
        </w:rPr>
        <w:t>Connecting</w:t>
      </w:r>
      <w:proofErr w:type="spellEnd"/>
      <w:r w:rsidRPr="21064A6A" w:rsidR="00456D6F">
        <w:rPr>
          <w:rFonts w:ascii="Verdana" w:hAnsi="Verdana"/>
          <w:i/>
          <w:iCs/>
          <w:sz w:val="18"/>
          <w:szCs w:val="18"/>
        </w:rPr>
        <w:t xml:space="preserve"> Europe Facility</w:t>
      </w:r>
      <w:r w:rsidR="006664EE">
        <w:rPr>
          <w:rFonts w:ascii="Verdana" w:hAnsi="Verdana"/>
          <w:sz w:val="18"/>
          <w:szCs w:val="18"/>
        </w:rPr>
        <w:t>,</w:t>
      </w:r>
      <w:r w:rsidRPr="21064A6A" w:rsidR="00456D6F">
        <w:rPr>
          <w:rFonts w:ascii="Verdana" w:hAnsi="Verdana"/>
          <w:i/>
          <w:iCs/>
          <w:sz w:val="18"/>
          <w:szCs w:val="18"/>
        </w:rPr>
        <w:t xml:space="preserve"> </w:t>
      </w:r>
      <w:r w:rsidR="00456D6F">
        <w:rPr>
          <w:rFonts w:ascii="Verdana" w:hAnsi="Verdana"/>
          <w:sz w:val="18"/>
          <w:szCs w:val="18"/>
        </w:rPr>
        <w:t>tot aanpassing van Verordening (EU) 2024/1679 en tot intrekking van Verordening (EU) 2021/1153</w:t>
      </w:r>
    </w:p>
    <w:p w:rsidRPr="00D62E72" w:rsidR="003B3DB3" w:rsidP="003B3DB3" w:rsidRDefault="003B3DB3" w14:paraId="4E87639D" w14:textId="77777777">
      <w:pPr>
        <w:spacing w:line="360" w:lineRule="auto"/>
        <w:rPr>
          <w:rFonts w:ascii="Verdana" w:hAnsi="Verdana"/>
          <w:color w:val="FF0000"/>
          <w:sz w:val="18"/>
          <w:szCs w:val="18"/>
        </w:rPr>
      </w:pPr>
    </w:p>
    <w:p w:rsidRPr="0084323F" w:rsidR="003B3DB3" w:rsidP="203A7120" w:rsidRDefault="003B3DB3" w14:paraId="3B056DFB" w14:textId="77777777">
      <w:pPr>
        <w:numPr>
          <w:ilvl w:val="0"/>
          <w:numId w:val="3"/>
        </w:numPr>
        <w:spacing w:line="360" w:lineRule="auto"/>
        <w:rPr>
          <w:rFonts w:ascii="Verdana" w:hAnsi="Verdana"/>
          <w:i/>
          <w:iCs/>
          <w:sz w:val="18"/>
          <w:szCs w:val="18"/>
        </w:rPr>
      </w:pPr>
      <w:r w:rsidRPr="203A7120">
        <w:rPr>
          <w:rFonts w:ascii="Verdana" w:hAnsi="Verdana"/>
          <w:i/>
          <w:iCs/>
          <w:sz w:val="18"/>
          <w:szCs w:val="18"/>
        </w:rPr>
        <w:t>Datum ontvangst Commissiedocument</w:t>
      </w:r>
    </w:p>
    <w:p w:rsidR="003B3DB3" w:rsidP="003B3DB3" w:rsidRDefault="003B3DB3" w14:paraId="5A58F7E5" w14:textId="77777777">
      <w:pPr>
        <w:spacing w:line="360" w:lineRule="auto"/>
        <w:rPr>
          <w:rFonts w:ascii="Verdana" w:hAnsi="Verdana"/>
          <w:sz w:val="18"/>
          <w:szCs w:val="18"/>
        </w:rPr>
      </w:pPr>
      <w:r w:rsidRPr="66C8A0C2">
        <w:rPr>
          <w:rFonts w:ascii="Verdana" w:hAnsi="Verdana"/>
          <w:sz w:val="18"/>
          <w:szCs w:val="18"/>
        </w:rPr>
        <w:t>17 juli 2025</w:t>
      </w:r>
    </w:p>
    <w:p w:rsidR="003B3DB3" w:rsidP="003B3DB3" w:rsidRDefault="003B3DB3" w14:paraId="222AF17F" w14:textId="77777777">
      <w:pPr>
        <w:spacing w:line="360" w:lineRule="auto"/>
        <w:rPr>
          <w:rFonts w:ascii="Verdana" w:hAnsi="Verdana"/>
          <w:color w:val="FF0000"/>
          <w:sz w:val="18"/>
          <w:szCs w:val="18"/>
        </w:rPr>
      </w:pPr>
    </w:p>
    <w:p w:rsidRPr="0084323F" w:rsidR="003B3DB3" w:rsidP="203A7120" w:rsidRDefault="003B3DB3" w14:paraId="647F5ECA" w14:textId="77777777">
      <w:pPr>
        <w:numPr>
          <w:ilvl w:val="0"/>
          <w:numId w:val="3"/>
        </w:numPr>
        <w:spacing w:line="360" w:lineRule="auto"/>
        <w:rPr>
          <w:rFonts w:ascii="Verdana" w:hAnsi="Verdana"/>
          <w:i/>
          <w:iCs/>
          <w:sz w:val="18"/>
          <w:szCs w:val="18"/>
        </w:rPr>
      </w:pPr>
      <w:r w:rsidRPr="203A7120">
        <w:rPr>
          <w:rFonts w:ascii="Verdana" w:hAnsi="Verdana"/>
          <w:i/>
          <w:iCs/>
          <w:sz w:val="18"/>
          <w:szCs w:val="18"/>
        </w:rPr>
        <w:t>Nr. Commissiedocument</w:t>
      </w:r>
    </w:p>
    <w:p w:rsidRPr="00DF663B" w:rsidR="003B3DB3" w:rsidP="003B3DB3" w:rsidRDefault="003B3DB3" w14:paraId="05645A6E" w14:textId="6CB3101F">
      <w:pPr>
        <w:spacing w:line="360" w:lineRule="auto"/>
        <w:rPr>
          <w:rFonts w:ascii="Verdana" w:hAnsi="Verdana"/>
          <w:sz w:val="18"/>
          <w:szCs w:val="18"/>
        </w:rPr>
      </w:pPr>
      <w:r>
        <w:rPr>
          <w:rFonts w:ascii="Verdana" w:hAnsi="Verdana" w:eastAsia="Verdana" w:cs="Verdana"/>
          <w:sz w:val="18"/>
          <w:szCs w:val="18"/>
        </w:rPr>
        <w:t xml:space="preserve">COM(2025) 547 </w:t>
      </w:r>
      <w:proofErr w:type="spellStart"/>
      <w:r>
        <w:rPr>
          <w:rFonts w:ascii="Verdana" w:hAnsi="Verdana" w:eastAsia="Verdana" w:cs="Verdana"/>
          <w:sz w:val="18"/>
          <w:szCs w:val="18"/>
        </w:rPr>
        <w:t>final</w:t>
      </w:r>
      <w:proofErr w:type="spellEnd"/>
    </w:p>
    <w:p w:rsidRPr="001A100C" w:rsidR="003B3DB3" w:rsidP="003B3DB3" w:rsidRDefault="003B3DB3" w14:paraId="75EDE8C7" w14:textId="77777777">
      <w:pPr>
        <w:spacing w:line="360" w:lineRule="auto"/>
        <w:rPr>
          <w:rFonts w:ascii="Verdana" w:hAnsi="Verdana"/>
          <w:iCs/>
          <w:color w:val="FF0000"/>
          <w:sz w:val="18"/>
          <w:szCs w:val="18"/>
        </w:rPr>
      </w:pPr>
    </w:p>
    <w:p w:rsidRPr="0084323F" w:rsidR="003B3DB3" w:rsidP="203A7120" w:rsidRDefault="003B3DB3" w14:paraId="43080AAF" w14:textId="77777777">
      <w:pPr>
        <w:numPr>
          <w:ilvl w:val="0"/>
          <w:numId w:val="3"/>
        </w:numPr>
        <w:spacing w:line="360" w:lineRule="auto"/>
        <w:rPr>
          <w:rFonts w:ascii="Verdana" w:hAnsi="Verdana"/>
          <w:i/>
          <w:iCs/>
          <w:sz w:val="18"/>
          <w:szCs w:val="18"/>
        </w:rPr>
      </w:pPr>
      <w:r w:rsidRPr="203A7120">
        <w:rPr>
          <w:rFonts w:ascii="Verdana" w:hAnsi="Verdana"/>
          <w:i/>
          <w:iCs/>
          <w:sz w:val="18"/>
          <w:szCs w:val="18"/>
        </w:rPr>
        <w:t>EUR-Lex</w:t>
      </w:r>
    </w:p>
    <w:p w:rsidR="00456D6F" w:rsidP="003B3DB3" w:rsidRDefault="00000000" w14:paraId="397FA68D" w14:textId="68BC7CE7">
      <w:pPr>
        <w:spacing w:line="360" w:lineRule="auto"/>
        <w:rPr>
          <w:rFonts w:ascii="Verdana" w:hAnsi="Verdana"/>
          <w:i/>
          <w:iCs/>
          <w:sz w:val="18"/>
          <w:szCs w:val="18"/>
        </w:rPr>
      </w:pPr>
      <w:hyperlink w:history="1" r:id="rId11">
        <w:r w:rsidRPr="00B370F2" w:rsidR="009F5578">
          <w:rPr>
            <w:rStyle w:val="Hyperlink"/>
            <w:rFonts w:ascii="Verdana" w:hAnsi="Verdana"/>
            <w:i/>
            <w:iCs/>
            <w:sz w:val="18"/>
            <w:szCs w:val="18"/>
          </w:rPr>
          <w:t>https://eur-lex.europa.eu/legal-content/EN/TXT/?uri=CELEX%3A52025PC0547</w:t>
        </w:r>
      </w:hyperlink>
    </w:p>
    <w:p w:rsidRPr="009F5578" w:rsidR="009F5578" w:rsidP="003B3DB3" w:rsidRDefault="009F5578" w14:paraId="077E1920" w14:textId="77777777">
      <w:pPr>
        <w:spacing w:line="360" w:lineRule="auto"/>
        <w:rPr>
          <w:rFonts w:ascii="Verdana" w:hAnsi="Verdana"/>
          <w:i/>
          <w:iCs/>
          <w:sz w:val="18"/>
          <w:szCs w:val="18"/>
        </w:rPr>
      </w:pPr>
    </w:p>
    <w:p w:rsidRPr="0084323F" w:rsidR="003B3DB3" w:rsidP="203A7120" w:rsidRDefault="003B3DB3" w14:paraId="0CCFDD4D" w14:textId="77777777">
      <w:pPr>
        <w:numPr>
          <w:ilvl w:val="0"/>
          <w:numId w:val="3"/>
        </w:numPr>
        <w:spacing w:line="360" w:lineRule="auto"/>
        <w:rPr>
          <w:rFonts w:ascii="Verdana" w:hAnsi="Verdana"/>
          <w:i/>
          <w:iCs/>
          <w:sz w:val="18"/>
          <w:szCs w:val="18"/>
        </w:rPr>
      </w:pPr>
      <w:r w:rsidRPr="203A7120">
        <w:rPr>
          <w:rFonts w:ascii="Verdana" w:hAnsi="Verdana"/>
          <w:i/>
          <w:iCs/>
          <w:sz w:val="18"/>
          <w:szCs w:val="18"/>
        </w:rPr>
        <w:t>Nr. impact assessment Commissie en Opinie Raad voor Regelgevingstoetsing</w:t>
      </w:r>
    </w:p>
    <w:p w:rsidR="003B3DB3" w:rsidP="003B3DB3" w:rsidRDefault="004C7C5F" w14:paraId="745A9B51" w14:textId="12F0BFF3">
      <w:pPr>
        <w:spacing w:line="360" w:lineRule="auto"/>
        <w:rPr>
          <w:rFonts w:ascii="Verdana" w:hAnsi="Verdana"/>
          <w:sz w:val="18"/>
          <w:szCs w:val="18"/>
        </w:rPr>
      </w:pPr>
      <w:r w:rsidRPr="004C7C5F">
        <w:rPr>
          <w:rFonts w:ascii="Verdana" w:hAnsi="Verdana"/>
          <w:sz w:val="18"/>
          <w:szCs w:val="18"/>
        </w:rPr>
        <w:t>SWD(2025) 565</w:t>
      </w:r>
      <w:r w:rsidR="00E15E83">
        <w:rPr>
          <w:rFonts w:ascii="Verdana" w:hAnsi="Verdana"/>
          <w:sz w:val="18"/>
          <w:szCs w:val="18"/>
        </w:rPr>
        <w:t xml:space="preserve"> </w:t>
      </w:r>
    </w:p>
    <w:p w:rsidRPr="00E15E83" w:rsidR="00E15E83" w:rsidP="003B3DB3" w:rsidRDefault="00E15E83" w14:paraId="6D4680FC" w14:textId="77777777">
      <w:pPr>
        <w:spacing w:line="360" w:lineRule="auto"/>
        <w:rPr>
          <w:rFonts w:ascii="Verdana" w:hAnsi="Verdana"/>
          <w:sz w:val="18"/>
          <w:szCs w:val="18"/>
        </w:rPr>
      </w:pPr>
    </w:p>
    <w:p w:rsidRPr="0084323F" w:rsidR="003B3DB3" w:rsidP="203A7120" w:rsidRDefault="003B3DB3" w14:paraId="53056E0E" w14:textId="77777777">
      <w:pPr>
        <w:numPr>
          <w:ilvl w:val="0"/>
          <w:numId w:val="3"/>
        </w:numPr>
        <w:spacing w:line="360" w:lineRule="auto"/>
        <w:rPr>
          <w:rFonts w:ascii="Verdana" w:hAnsi="Verdana"/>
          <w:i/>
          <w:iCs/>
          <w:sz w:val="18"/>
          <w:szCs w:val="18"/>
        </w:rPr>
      </w:pPr>
      <w:r w:rsidRPr="203A7120">
        <w:rPr>
          <w:rFonts w:ascii="Verdana" w:hAnsi="Verdana"/>
          <w:i/>
          <w:iCs/>
          <w:sz w:val="18"/>
          <w:szCs w:val="18"/>
        </w:rPr>
        <w:t>Behandelingstraject Raad</w:t>
      </w:r>
    </w:p>
    <w:p w:rsidR="003B3DB3" w:rsidP="003B3DB3" w:rsidRDefault="00456D6F" w14:paraId="125C0434" w14:textId="1A31BD88">
      <w:pPr>
        <w:spacing w:line="360" w:lineRule="auto"/>
        <w:rPr>
          <w:rFonts w:ascii="Verdana" w:hAnsi="Verdana"/>
          <w:sz w:val="18"/>
          <w:szCs w:val="18"/>
        </w:rPr>
      </w:pPr>
      <w:r w:rsidRPr="00456D6F">
        <w:rPr>
          <w:rFonts w:ascii="Verdana" w:hAnsi="Verdana"/>
          <w:sz w:val="18"/>
          <w:szCs w:val="18"/>
        </w:rPr>
        <w:t>Raad voor Vervoer, Telecommunicatie en Energie</w:t>
      </w:r>
    </w:p>
    <w:p w:rsidR="003B3DB3" w:rsidP="003B3DB3" w:rsidRDefault="003B3DB3" w14:paraId="6F19EEB1" w14:textId="77777777">
      <w:pPr>
        <w:spacing w:line="360" w:lineRule="auto"/>
        <w:rPr>
          <w:rFonts w:ascii="Verdana" w:hAnsi="Verdana"/>
          <w:i/>
          <w:iCs/>
          <w:sz w:val="18"/>
          <w:szCs w:val="18"/>
        </w:rPr>
      </w:pPr>
    </w:p>
    <w:p w:rsidRPr="0084323F" w:rsidR="003B3DB3" w:rsidP="203A7120" w:rsidRDefault="003B3DB3" w14:paraId="50E6F828" w14:textId="77777777">
      <w:pPr>
        <w:numPr>
          <w:ilvl w:val="0"/>
          <w:numId w:val="3"/>
        </w:numPr>
        <w:spacing w:line="360" w:lineRule="auto"/>
        <w:rPr>
          <w:rFonts w:ascii="Verdana" w:hAnsi="Verdana"/>
          <w:i/>
          <w:iCs/>
          <w:sz w:val="18"/>
          <w:szCs w:val="18"/>
        </w:rPr>
      </w:pPr>
      <w:r w:rsidRPr="203A7120">
        <w:rPr>
          <w:rFonts w:ascii="Verdana" w:hAnsi="Verdana"/>
          <w:i/>
          <w:iCs/>
          <w:sz w:val="18"/>
          <w:szCs w:val="18"/>
        </w:rPr>
        <w:t>Eerstverantwoordelijk ministerie</w:t>
      </w:r>
    </w:p>
    <w:p w:rsidR="003B3DB3" w:rsidP="003B3DB3" w:rsidRDefault="003B3DB3" w14:paraId="47CAFA1C" w14:textId="4332A4B6">
      <w:pPr>
        <w:spacing w:line="360" w:lineRule="auto"/>
        <w:rPr>
          <w:rFonts w:ascii="Verdana" w:hAnsi="Verdana"/>
          <w:sz w:val="18"/>
          <w:szCs w:val="18"/>
          <w:lang w:eastAsia="nl-NL"/>
        </w:rPr>
      </w:pPr>
      <w:r w:rsidRPr="000E1ECB">
        <w:rPr>
          <w:rFonts w:ascii="Verdana" w:hAnsi="Verdana"/>
          <w:sz w:val="18"/>
          <w:szCs w:val="18"/>
          <w:lang w:eastAsia="nl-NL"/>
        </w:rPr>
        <w:t xml:space="preserve">Ministerie van </w:t>
      </w:r>
      <w:r>
        <w:rPr>
          <w:rFonts w:ascii="Verdana" w:hAnsi="Verdana"/>
          <w:sz w:val="18"/>
          <w:szCs w:val="18"/>
          <w:lang w:eastAsia="nl-NL"/>
        </w:rPr>
        <w:t xml:space="preserve">Infrastructuur en Waterstaat </w:t>
      </w:r>
      <w:r w:rsidRPr="203A7120" w:rsidR="00E15E83">
        <w:rPr>
          <w:rFonts w:ascii="Verdana" w:hAnsi="Verdana"/>
          <w:i/>
          <w:iCs/>
          <w:sz w:val="18"/>
          <w:szCs w:val="18"/>
          <w:lang w:eastAsia="nl-NL"/>
        </w:rPr>
        <w:t>in nauwe samenwerking met het</w:t>
      </w:r>
      <w:r w:rsidR="00E15E83">
        <w:rPr>
          <w:rFonts w:ascii="Verdana" w:hAnsi="Verdana"/>
          <w:sz w:val="18"/>
          <w:szCs w:val="18"/>
          <w:lang w:eastAsia="nl-NL"/>
        </w:rPr>
        <w:t xml:space="preserve"> Ministerie van Defensie</w:t>
      </w:r>
      <w:r w:rsidR="00F67DE0">
        <w:rPr>
          <w:rFonts w:ascii="Verdana" w:hAnsi="Verdana"/>
          <w:sz w:val="18"/>
          <w:szCs w:val="18"/>
          <w:lang w:eastAsia="nl-NL"/>
        </w:rPr>
        <w:t xml:space="preserve"> en het Ministerie van Klimaat en Groene Groei</w:t>
      </w:r>
    </w:p>
    <w:p w:rsidR="003B3DB3" w:rsidP="003B3DB3" w:rsidRDefault="003B3DB3" w14:paraId="50E9ED5F" w14:textId="77777777">
      <w:pPr>
        <w:spacing w:line="360" w:lineRule="auto"/>
        <w:rPr>
          <w:rFonts w:ascii="Verdana" w:hAnsi="Verdana"/>
          <w:i/>
          <w:iCs/>
          <w:sz w:val="18"/>
          <w:szCs w:val="18"/>
        </w:rPr>
      </w:pPr>
    </w:p>
    <w:p w:rsidRPr="0084323F" w:rsidR="003B3DB3" w:rsidP="203A7120" w:rsidRDefault="003B3DB3" w14:paraId="39443040" w14:textId="77777777">
      <w:pPr>
        <w:numPr>
          <w:ilvl w:val="0"/>
          <w:numId w:val="3"/>
        </w:numPr>
        <w:spacing w:line="360" w:lineRule="auto"/>
        <w:rPr>
          <w:rFonts w:ascii="Verdana" w:hAnsi="Verdana"/>
          <w:i/>
          <w:iCs/>
          <w:sz w:val="18"/>
          <w:szCs w:val="18"/>
        </w:rPr>
      </w:pPr>
      <w:r w:rsidRPr="203A7120">
        <w:rPr>
          <w:rFonts w:ascii="Verdana" w:hAnsi="Verdana"/>
          <w:i/>
          <w:iCs/>
          <w:sz w:val="18"/>
          <w:szCs w:val="18"/>
        </w:rPr>
        <w:t>Rechtsbasis</w:t>
      </w:r>
    </w:p>
    <w:p w:rsidR="003B3DB3" w:rsidP="003B3DB3" w:rsidRDefault="00E15E83" w14:paraId="6C5CF7AF" w14:textId="656642B6">
      <w:pPr>
        <w:spacing w:line="360" w:lineRule="auto"/>
        <w:rPr>
          <w:rFonts w:ascii="Verdana" w:hAnsi="Verdana"/>
          <w:sz w:val="18"/>
          <w:szCs w:val="18"/>
        </w:rPr>
      </w:pPr>
      <w:r>
        <w:rPr>
          <w:rFonts w:ascii="Verdana" w:hAnsi="Verdana"/>
          <w:sz w:val="18"/>
          <w:szCs w:val="18"/>
        </w:rPr>
        <w:t xml:space="preserve">Artikel </w:t>
      </w:r>
      <w:r w:rsidR="00BD5D72">
        <w:rPr>
          <w:rFonts w:ascii="Verdana" w:hAnsi="Verdana"/>
          <w:sz w:val="18"/>
          <w:szCs w:val="18"/>
        </w:rPr>
        <w:t>172, eerste paragraaf</w:t>
      </w:r>
      <w:r>
        <w:rPr>
          <w:rFonts w:ascii="Verdana" w:hAnsi="Verdana"/>
          <w:sz w:val="18"/>
          <w:szCs w:val="18"/>
        </w:rPr>
        <w:t>, 194</w:t>
      </w:r>
      <w:r w:rsidR="00BD5D72">
        <w:rPr>
          <w:rFonts w:ascii="Verdana" w:hAnsi="Verdana"/>
          <w:sz w:val="18"/>
          <w:szCs w:val="18"/>
        </w:rPr>
        <w:t>, tweede lid,</w:t>
      </w:r>
      <w:r>
        <w:rPr>
          <w:rFonts w:ascii="Verdana" w:hAnsi="Verdana"/>
          <w:sz w:val="18"/>
          <w:szCs w:val="18"/>
        </w:rPr>
        <w:t xml:space="preserve"> van het Verdrag betreffende de werking van de Europese Unie</w:t>
      </w:r>
      <w:r w:rsidR="00BD5D72">
        <w:rPr>
          <w:rFonts w:ascii="Verdana" w:hAnsi="Verdana"/>
          <w:sz w:val="18"/>
          <w:szCs w:val="18"/>
        </w:rPr>
        <w:t xml:space="preserve"> (hierna: VWEU)</w:t>
      </w:r>
    </w:p>
    <w:p w:rsidRPr="00E15E83" w:rsidR="00E15E83" w:rsidP="003B3DB3" w:rsidRDefault="00E15E83" w14:paraId="78BF8C1B" w14:textId="77777777">
      <w:pPr>
        <w:spacing w:line="360" w:lineRule="auto"/>
        <w:rPr>
          <w:rFonts w:ascii="Verdana" w:hAnsi="Verdana"/>
          <w:sz w:val="18"/>
          <w:szCs w:val="18"/>
        </w:rPr>
      </w:pPr>
    </w:p>
    <w:p w:rsidRPr="0084323F" w:rsidR="003B3DB3" w:rsidP="203A7120" w:rsidRDefault="003B3DB3" w14:paraId="20423ACB" w14:textId="77777777">
      <w:pPr>
        <w:numPr>
          <w:ilvl w:val="0"/>
          <w:numId w:val="3"/>
        </w:numPr>
        <w:spacing w:line="360" w:lineRule="auto"/>
        <w:rPr>
          <w:rFonts w:ascii="Verdana" w:hAnsi="Verdana"/>
          <w:i/>
          <w:iCs/>
          <w:sz w:val="18"/>
          <w:szCs w:val="18"/>
        </w:rPr>
      </w:pPr>
      <w:r w:rsidRPr="203A7120">
        <w:rPr>
          <w:rFonts w:ascii="Verdana" w:hAnsi="Verdana"/>
          <w:i/>
          <w:iCs/>
          <w:sz w:val="18"/>
          <w:szCs w:val="18"/>
        </w:rPr>
        <w:t>Besluitvormingsprocedure Raad</w:t>
      </w:r>
    </w:p>
    <w:p w:rsidRPr="00753D17" w:rsidR="003B3DB3" w:rsidP="003B3DB3" w:rsidRDefault="003B3DB3" w14:paraId="27D6459B" w14:textId="77777777">
      <w:pPr>
        <w:spacing w:line="360" w:lineRule="auto"/>
        <w:rPr>
          <w:rFonts w:ascii="Verdana" w:hAnsi="Verdana"/>
          <w:sz w:val="18"/>
          <w:szCs w:val="18"/>
        </w:rPr>
      </w:pPr>
      <w:r w:rsidRPr="793ABDF7">
        <w:rPr>
          <w:rFonts w:ascii="Verdana" w:hAnsi="Verdana"/>
          <w:sz w:val="18"/>
          <w:szCs w:val="18"/>
        </w:rPr>
        <w:t>Gekwalificeerde meerderheid</w:t>
      </w:r>
    </w:p>
    <w:p w:rsidR="003B3DB3" w:rsidP="003B3DB3" w:rsidRDefault="003B3DB3" w14:paraId="62390633" w14:textId="77777777">
      <w:pPr>
        <w:spacing w:line="360" w:lineRule="auto"/>
        <w:rPr>
          <w:rFonts w:ascii="Verdana" w:hAnsi="Verdana"/>
          <w:color w:val="FF0000"/>
          <w:sz w:val="18"/>
          <w:szCs w:val="18"/>
        </w:rPr>
      </w:pPr>
    </w:p>
    <w:p w:rsidRPr="0084323F" w:rsidR="003B3DB3" w:rsidP="203A7120" w:rsidRDefault="003B3DB3" w14:paraId="40AFC9E3" w14:textId="77777777">
      <w:pPr>
        <w:numPr>
          <w:ilvl w:val="0"/>
          <w:numId w:val="3"/>
        </w:numPr>
        <w:spacing w:line="360" w:lineRule="auto"/>
        <w:rPr>
          <w:rFonts w:ascii="Verdana" w:hAnsi="Verdana"/>
          <w:i/>
          <w:iCs/>
          <w:sz w:val="18"/>
          <w:szCs w:val="18"/>
        </w:rPr>
      </w:pPr>
      <w:r w:rsidRPr="203A7120">
        <w:rPr>
          <w:rFonts w:ascii="Verdana" w:hAnsi="Verdana"/>
          <w:i/>
          <w:iCs/>
          <w:sz w:val="18"/>
          <w:szCs w:val="18"/>
        </w:rPr>
        <w:t>Rol Europees Parlement</w:t>
      </w:r>
    </w:p>
    <w:p w:rsidR="003B3DB3" w:rsidP="008D7B53" w:rsidRDefault="003B3DB3" w14:paraId="7A854199" w14:textId="2491DB11">
      <w:pPr>
        <w:spacing w:line="360" w:lineRule="auto"/>
        <w:rPr>
          <w:rFonts w:ascii="Verdana" w:hAnsi="Verdana"/>
          <w:b/>
          <w:bCs/>
          <w:sz w:val="18"/>
          <w:szCs w:val="18"/>
        </w:rPr>
      </w:pPr>
      <w:r w:rsidRPr="356D8EA5">
        <w:rPr>
          <w:rFonts w:ascii="Verdana" w:hAnsi="Verdana"/>
          <w:sz w:val="18"/>
          <w:szCs w:val="18"/>
        </w:rPr>
        <w:t>Medebeslissing</w:t>
      </w:r>
    </w:p>
    <w:p w:rsidR="003B3DB3" w:rsidP="003B3DB3" w:rsidRDefault="003B3DB3" w14:paraId="65327953" w14:textId="77777777">
      <w:pPr>
        <w:spacing w:line="240" w:lineRule="auto"/>
        <w:rPr>
          <w:rFonts w:ascii="Verdana" w:hAnsi="Verdana"/>
          <w:b/>
          <w:bCs/>
          <w:sz w:val="18"/>
          <w:szCs w:val="18"/>
        </w:rPr>
      </w:pPr>
    </w:p>
    <w:p w:rsidRPr="00DA19A2" w:rsidR="003B3DB3" w:rsidP="00B001E8" w:rsidRDefault="003B3DB3" w14:paraId="5C6550F9" w14:textId="77777777">
      <w:pPr>
        <w:numPr>
          <w:ilvl w:val="0"/>
          <w:numId w:val="2"/>
        </w:numPr>
        <w:spacing w:line="360" w:lineRule="auto"/>
        <w:rPr>
          <w:rFonts w:ascii="Verdana" w:hAnsi="Verdana"/>
          <w:b/>
          <w:bCs/>
          <w:sz w:val="18"/>
          <w:szCs w:val="18"/>
        </w:rPr>
      </w:pPr>
      <w:r w:rsidRPr="0E0A2720">
        <w:rPr>
          <w:rFonts w:ascii="Verdana" w:hAnsi="Verdana"/>
          <w:b/>
          <w:bCs/>
          <w:sz w:val="18"/>
          <w:szCs w:val="18"/>
        </w:rPr>
        <w:t xml:space="preserve">Essentie voorstel </w:t>
      </w:r>
    </w:p>
    <w:p w:rsidRPr="0084323F" w:rsidR="003B3DB3" w:rsidRDefault="003B3DB3" w14:paraId="35E048E8" w14:textId="77777777">
      <w:pPr>
        <w:pStyle w:val="Spreekpunten"/>
        <w:numPr>
          <w:ilvl w:val="0"/>
          <w:numId w:val="0"/>
        </w:numPr>
        <w:rPr>
          <w:rFonts w:ascii="Verdana" w:hAnsi="Verdana"/>
          <w:i/>
          <w:iCs/>
          <w:sz w:val="18"/>
          <w:szCs w:val="18"/>
          <w:lang w:val="nl-NL" w:eastAsia="zh-CN"/>
        </w:rPr>
      </w:pPr>
      <w:r w:rsidRPr="203A7120">
        <w:rPr>
          <w:rFonts w:ascii="Verdana" w:hAnsi="Verdana"/>
          <w:i/>
          <w:iCs/>
          <w:sz w:val="18"/>
          <w:szCs w:val="18"/>
          <w:lang w:val="nl-NL" w:eastAsia="zh-CN"/>
        </w:rPr>
        <w:t>a) Inhoud voorstel</w:t>
      </w:r>
    </w:p>
    <w:p w:rsidR="003B3DB3" w:rsidP="003B3DB3" w:rsidRDefault="003B3DB3" w14:paraId="46793D77" w14:textId="55ED29AE">
      <w:pPr>
        <w:spacing w:line="360" w:lineRule="auto"/>
        <w:rPr>
          <w:rFonts w:ascii="Verdana" w:hAnsi="Verdana"/>
          <w:sz w:val="18"/>
          <w:szCs w:val="18"/>
        </w:rPr>
      </w:pPr>
      <w:r w:rsidRPr="70C036C2">
        <w:rPr>
          <w:rFonts w:ascii="Verdana" w:hAnsi="Verdana"/>
          <w:sz w:val="18"/>
          <w:szCs w:val="18"/>
        </w:rPr>
        <w:t xml:space="preserve">Op </w:t>
      </w:r>
      <w:r>
        <w:rPr>
          <w:rFonts w:ascii="Verdana" w:hAnsi="Verdana"/>
          <w:sz w:val="18"/>
          <w:szCs w:val="18"/>
        </w:rPr>
        <w:t>17 juli</w:t>
      </w:r>
      <w:r w:rsidRPr="70C036C2">
        <w:rPr>
          <w:rFonts w:ascii="Verdana" w:hAnsi="Verdana"/>
          <w:sz w:val="18"/>
          <w:szCs w:val="18"/>
        </w:rPr>
        <w:t xml:space="preserve"> </w:t>
      </w:r>
      <w:r w:rsidR="00456D6F">
        <w:rPr>
          <w:rFonts w:ascii="Verdana" w:hAnsi="Verdana"/>
          <w:sz w:val="18"/>
          <w:szCs w:val="18"/>
        </w:rPr>
        <w:t>2025</w:t>
      </w:r>
      <w:r w:rsidRPr="70C036C2">
        <w:rPr>
          <w:rFonts w:ascii="Verdana" w:hAnsi="Verdana"/>
          <w:sz w:val="18"/>
          <w:szCs w:val="18"/>
        </w:rPr>
        <w:t xml:space="preserve"> publiceerde de Europese Commissie (hierna: Commissie) een voorstel</w:t>
      </w:r>
      <w:r w:rsidR="008D7B53">
        <w:rPr>
          <w:rFonts w:ascii="Verdana" w:hAnsi="Verdana"/>
          <w:sz w:val="18"/>
          <w:szCs w:val="18"/>
        </w:rPr>
        <w:t xml:space="preserve"> </w:t>
      </w:r>
      <w:r w:rsidRPr="70C036C2">
        <w:rPr>
          <w:rFonts w:ascii="Verdana" w:hAnsi="Verdana"/>
          <w:sz w:val="18"/>
          <w:szCs w:val="18"/>
        </w:rPr>
        <w:t>voor</w:t>
      </w:r>
      <w:r w:rsidR="00456D6F">
        <w:rPr>
          <w:rFonts w:ascii="Verdana" w:hAnsi="Verdana"/>
          <w:sz w:val="18"/>
          <w:szCs w:val="18"/>
        </w:rPr>
        <w:t xml:space="preserve"> </w:t>
      </w:r>
      <w:r w:rsidR="00412B98">
        <w:rPr>
          <w:rFonts w:ascii="Verdana" w:hAnsi="Verdana"/>
          <w:sz w:val="18"/>
          <w:szCs w:val="18"/>
        </w:rPr>
        <w:t xml:space="preserve">het </w:t>
      </w:r>
      <w:proofErr w:type="spellStart"/>
      <w:r w:rsidRPr="21064A6A" w:rsidR="00456D6F">
        <w:rPr>
          <w:rFonts w:ascii="Verdana" w:hAnsi="Verdana"/>
          <w:i/>
          <w:iCs/>
          <w:sz w:val="18"/>
          <w:szCs w:val="18"/>
        </w:rPr>
        <w:t>Connecting</w:t>
      </w:r>
      <w:proofErr w:type="spellEnd"/>
      <w:r w:rsidRPr="21064A6A" w:rsidR="00456D6F">
        <w:rPr>
          <w:rFonts w:ascii="Verdana" w:hAnsi="Verdana"/>
          <w:i/>
          <w:iCs/>
          <w:sz w:val="18"/>
          <w:szCs w:val="18"/>
        </w:rPr>
        <w:t xml:space="preserve"> Europe Facility </w:t>
      </w:r>
      <w:r w:rsidR="00456D6F">
        <w:rPr>
          <w:rFonts w:ascii="Verdana" w:hAnsi="Verdana"/>
          <w:sz w:val="18"/>
          <w:szCs w:val="18"/>
        </w:rPr>
        <w:t xml:space="preserve">(hierna: </w:t>
      </w:r>
      <w:r w:rsidR="00152A0C">
        <w:rPr>
          <w:rFonts w:ascii="Verdana" w:hAnsi="Verdana"/>
          <w:sz w:val="18"/>
          <w:szCs w:val="18"/>
        </w:rPr>
        <w:t>voorstel</w:t>
      </w:r>
      <w:r w:rsidR="00456D6F">
        <w:rPr>
          <w:rFonts w:ascii="Verdana" w:hAnsi="Verdana"/>
          <w:sz w:val="18"/>
          <w:szCs w:val="18"/>
        </w:rPr>
        <w:t xml:space="preserve">) </w:t>
      </w:r>
      <w:r w:rsidRPr="70C036C2">
        <w:rPr>
          <w:rFonts w:ascii="Verdana" w:hAnsi="Verdana"/>
          <w:sz w:val="18"/>
          <w:szCs w:val="18"/>
        </w:rPr>
        <w:t>als onderdeel van het pakket voor een nieuw Meerjarig Financieel Kader (MFK).</w:t>
      </w:r>
      <w:r w:rsidR="00456D6F">
        <w:rPr>
          <w:rFonts w:ascii="Verdana" w:hAnsi="Verdana"/>
          <w:sz w:val="18"/>
          <w:szCs w:val="18"/>
        </w:rPr>
        <w:t xml:space="preserve"> De Commissie stelt een bedrag voor van 81,4 miljard euro voor </w:t>
      </w:r>
      <w:r w:rsidR="00412B98">
        <w:rPr>
          <w:rFonts w:ascii="Verdana" w:hAnsi="Verdana"/>
          <w:sz w:val="18"/>
          <w:szCs w:val="18"/>
        </w:rPr>
        <w:lastRenderedPageBreak/>
        <w:t xml:space="preserve">het </w:t>
      </w:r>
      <w:proofErr w:type="spellStart"/>
      <w:r w:rsidRPr="21064A6A" w:rsidR="00152A0C">
        <w:rPr>
          <w:rFonts w:ascii="Verdana" w:hAnsi="Verdana"/>
          <w:i/>
          <w:iCs/>
          <w:sz w:val="18"/>
          <w:szCs w:val="18"/>
        </w:rPr>
        <w:t>Connecting</w:t>
      </w:r>
      <w:proofErr w:type="spellEnd"/>
      <w:r w:rsidRPr="21064A6A" w:rsidR="00152A0C">
        <w:rPr>
          <w:rFonts w:ascii="Verdana" w:hAnsi="Verdana"/>
          <w:i/>
          <w:iCs/>
          <w:sz w:val="18"/>
          <w:szCs w:val="18"/>
        </w:rPr>
        <w:t xml:space="preserve"> Europe Facility</w:t>
      </w:r>
      <w:r w:rsidR="00456D6F">
        <w:rPr>
          <w:rFonts w:ascii="Verdana" w:hAnsi="Verdana"/>
          <w:sz w:val="18"/>
          <w:szCs w:val="18"/>
        </w:rPr>
        <w:t xml:space="preserve"> </w:t>
      </w:r>
      <w:r w:rsidR="00152A0C">
        <w:rPr>
          <w:rFonts w:ascii="Verdana" w:hAnsi="Verdana"/>
          <w:sz w:val="18"/>
          <w:szCs w:val="18"/>
        </w:rPr>
        <w:t xml:space="preserve">(hierna: </w:t>
      </w:r>
      <w:r w:rsidR="00456D6F">
        <w:rPr>
          <w:rFonts w:ascii="Verdana" w:hAnsi="Verdana"/>
          <w:sz w:val="18"/>
          <w:szCs w:val="18"/>
        </w:rPr>
        <w:t>CEF</w:t>
      </w:r>
      <w:r w:rsidR="00152A0C">
        <w:rPr>
          <w:rFonts w:ascii="Verdana" w:hAnsi="Verdana"/>
          <w:sz w:val="18"/>
          <w:szCs w:val="18"/>
        </w:rPr>
        <w:t>)</w:t>
      </w:r>
      <w:r w:rsidR="00456D6F">
        <w:rPr>
          <w:rFonts w:ascii="Verdana" w:hAnsi="Verdana"/>
          <w:sz w:val="18"/>
          <w:szCs w:val="18"/>
        </w:rPr>
        <w:t>, waarvan 51,5 miljard is bedoeld voor transport, inclusief militaire mobiliteit, en 29,9 miljard</w:t>
      </w:r>
      <w:r w:rsidR="007F19F6">
        <w:rPr>
          <w:rFonts w:ascii="Verdana" w:hAnsi="Verdana"/>
          <w:sz w:val="18"/>
          <w:szCs w:val="18"/>
        </w:rPr>
        <w:t xml:space="preserve"> </w:t>
      </w:r>
      <w:r w:rsidR="00456D6F">
        <w:rPr>
          <w:rFonts w:ascii="Verdana" w:hAnsi="Verdana"/>
          <w:sz w:val="18"/>
          <w:szCs w:val="18"/>
        </w:rPr>
        <w:t xml:space="preserve">voor energie. </w:t>
      </w:r>
    </w:p>
    <w:p w:rsidR="00152A0C" w:rsidP="003B3DB3" w:rsidRDefault="00152A0C" w14:paraId="2449C84C" w14:textId="77777777">
      <w:pPr>
        <w:spacing w:line="360" w:lineRule="auto"/>
        <w:rPr>
          <w:rFonts w:ascii="Verdana" w:hAnsi="Verdana"/>
          <w:sz w:val="18"/>
          <w:szCs w:val="18"/>
        </w:rPr>
      </w:pPr>
    </w:p>
    <w:p w:rsidRPr="00483B9F" w:rsidR="00412B98" w:rsidP="00412B98" w:rsidRDefault="00152A0C" w14:paraId="7C15B8FE" w14:textId="2C816A63">
      <w:pPr>
        <w:spacing w:line="360" w:lineRule="auto"/>
        <w:rPr>
          <w:rFonts w:ascii="Verdana" w:hAnsi="Verdana"/>
          <w:sz w:val="18"/>
          <w:szCs w:val="18"/>
        </w:rPr>
      </w:pPr>
      <w:r>
        <w:rPr>
          <w:rFonts w:ascii="Verdana" w:hAnsi="Verdana"/>
          <w:sz w:val="18"/>
          <w:szCs w:val="18"/>
        </w:rPr>
        <w:t xml:space="preserve">Het voorstel is een continuering van het </w:t>
      </w:r>
      <w:r w:rsidR="004739F3">
        <w:rPr>
          <w:rFonts w:ascii="Verdana" w:hAnsi="Verdana"/>
          <w:sz w:val="18"/>
          <w:szCs w:val="18"/>
        </w:rPr>
        <w:t>CEF</w:t>
      </w:r>
      <w:r w:rsidR="00D404BA">
        <w:rPr>
          <w:rFonts w:ascii="Verdana" w:hAnsi="Verdana"/>
          <w:sz w:val="18"/>
          <w:szCs w:val="18"/>
        </w:rPr>
        <w:t>-</w:t>
      </w:r>
      <w:r>
        <w:rPr>
          <w:rFonts w:ascii="Verdana" w:hAnsi="Verdana"/>
          <w:sz w:val="18"/>
          <w:szCs w:val="18"/>
        </w:rPr>
        <w:t>programma, dat sinds 2014 bestaat.</w:t>
      </w:r>
      <w:r>
        <w:rPr>
          <w:rStyle w:val="FootnoteReference"/>
          <w:rFonts w:ascii="Verdana" w:hAnsi="Verdana"/>
          <w:sz w:val="18"/>
          <w:szCs w:val="18"/>
        </w:rPr>
        <w:footnoteReference w:id="2"/>
      </w:r>
      <w:r>
        <w:rPr>
          <w:rFonts w:ascii="Verdana" w:hAnsi="Verdana"/>
          <w:sz w:val="18"/>
          <w:szCs w:val="18"/>
        </w:rPr>
        <w:t xml:space="preserve"> </w:t>
      </w:r>
      <w:r w:rsidR="004D6165">
        <w:rPr>
          <w:rFonts w:ascii="Verdana" w:hAnsi="Verdana"/>
          <w:sz w:val="18"/>
          <w:szCs w:val="18"/>
        </w:rPr>
        <w:t xml:space="preserve">Het </w:t>
      </w:r>
      <w:r w:rsidR="009B017D">
        <w:rPr>
          <w:rFonts w:ascii="Verdana" w:hAnsi="Verdana"/>
          <w:sz w:val="18"/>
          <w:szCs w:val="18"/>
        </w:rPr>
        <w:t>CEF is een EU financieringsinstrument dat bedoeld is om economische groei te bevorderen, banen te creëren en het concurrentievermogen van de EU te verbeteren door middel van investeringen in Europese infrastructuur.</w:t>
      </w:r>
      <w:r w:rsidR="009B017D">
        <w:rPr>
          <w:rStyle w:val="FootnoteReference"/>
          <w:rFonts w:ascii="Verdana" w:hAnsi="Verdana"/>
          <w:sz w:val="18"/>
          <w:szCs w:val="18"/>
        </w:rPr>
        <w:footnoteReference w:id="3"/>
      </w:r>
      <w:r w:rsidR="009B017D">
        <w:rPr>
          <w:rFonts w:ascii="Verdana" w:hAnsi="Verdana"/>
          <w:sz w:val="18"/>
          <w:szCs w:val="18"/>
        </w:rPr>
        <w:t xml:space="preserve"> </w:t>
      </w:r>
      <w:r>
        <w:rPr>
          <w:rFonts w:ascii="Verdana" w:hAnsi="Verdana"/>
          <w:sz w:val="18"/>
          <w:szCs w:val="18"/>
        </w:rPr>
        <w:t xml:space="preserve">Het doel van het CEF </w:t>
      </w:r>
      <w:r w:rsidR="00515CD2">
        <w:rPr>
          <w:rFonts w:ascii="Verdana" w:hAnsi="Verdana"/>
          <w:sz w:val="18"/>
          <w:szCs w:val="18"/>
        </w:rPr>
        <w:t xml:space="preserve">is </w:t>
      </w:r>
      <w:r w:rsidR="00A24072">
        <w:rPr>
          <w:rFonts w:ascii="Verdana" w:hAnsi="Verdana"/>
          <w:sz w:val="18"/>
          <w:szCs w:val="18"/>
        </w:rPr>
        <w:t xml:space="preserve">het co-financieren van de bouw, ontwikkeling, beveiliging, modernisering en voltooiing van </w:t>
      </w:r>
      <w:r>
        <w:rPr>
          <w:rFonts w:ascii="Verdana" w:hAnsi="Verdana"/>
          <w:sz w:val="18"/>
          <w:szCs w:val="18"/>
        </w:rPr>
        <w:t>de trans-Europese netwerken voor transport en energie</w:t>
      </w:r>
      <w:r w:rsidR="008E2FEC">
        <w:rPr>
          <w:rFonts w:ascii="Verdana" w:hAnsi="Verdana"/>
          <w:sz w:val="18"/>
          <w:szCs w:val="18"/>
        </w:rPr>
        <w:t>, vastgelegd in Verordening (EU) 2024/1679</w:t>
      </w:r>
      <w:r w:rsidR="004D6165">
        <w:rPr>
          <w:rFonts w:ascii="Verdana" w:hAnsi="Verdana"/>
          <w:sz w:val="18"/>
          <w:szCs w:val="18"/>
        </w:rPr>
        <w:t xml:space="preserve"> (hierna: TEN-T verordening)</w:t>
      </w:r>
      <w:r w:rsidR="008E2FEC">
        <w:rPr>
          <w:rFonts w:ascii="Verdana" w:hAnsi="Verdana"/>
          <w:sz w:val="18"/>
          <w:szCs w:val="18"/>
        </w:rPr>
        <w:t xml:space="preserve"> en Verordening (EU) 2022/869</w:t>
      </w:r>
      <w:r w:rsidR="004D6165">
        <w:rPr>
          <w:rFonts w:ascii="Verdana" w:hAnsi="Verdana"/>
          <w:sz w:val="18"/>
          <w:szCs w:val="18"/>
        </w:rPr>
        <w:t xml:space="preserve"> (hierna: TEN-E verordening)</w:t>
      </w:r>
      <w:r>
        <w:rPr>
          <w:rFonts w:ascii="Verdana" w:hAnsi="Verdana"/>
          <w:sz w:val="18"/>
          <w:szCs w:val="18"/>
        </w:rPr>
        <w:t xml:space="preserve">. De onderliggende doelstellingen zijn </w:t>
      </w:r>
      <w:r w:rsidR="00F67DE0">
        <w:rPr>
          <w:rFonts w:ascii="Verdana" w:hAnsi="Verdana"/>
          <w:sz w:val="18"/>
          <w:szCs w:val="18"/>
        </w:rPr>
        <w:t>bevor</w:t>
      </w:r>
      <w:r w:rsidR="00F25F07">
        <w:rPr>
          <w:rFonts w:ascii="Verdana" w:hAnsi="Verdana"/>
          <w:sz w:val="18"/>
          <w:szCs w:val="18"/>
        </w:rPr>
        <w:t>d</w:t>
      </w:r>
      <w:r w:rsidR="00F67DE0">
        <w:rPr>
          <w:rFonts w:ascii="Verdana" w:hAnsi="Verdana"/>
          <w:sz w:val="18"/>
          <w:szCs w:val="18"/>
        </w:rPr>
        <w:t>e</w:t>
      </w:r>
      <w:r w:rsidR="00F25F07">
        <w:rPr>
          <w:rFonts w:ascii="Verdana" w:hAnsi="Verdana"/>
          <w:sz w:val="18"/>
          <w:szCs w:val="18"/>
        </w:rPr>
        <w:t>r</w:t>
      </w:r>
      <w:r w:rsidR="00F67DE0">
        <w:rPr>
          <w:rFonts w:ascii="Verdana" w:hAnsi="Verdana"/>
          <w:sz w:val="18"/>
          <w:szCs w:val="18"/>
        </w:rPr>
        <w:t>en</w:t>
      </w:r>
      <w:r>
        <w:rPr>
          <w:rFonts w:ascii="Verdana" w:hAnsi="Verdana"/>
          <w:sz w:val="18"/>
          <w:szCs w:val="18"/>
        </w:rPr>
        <w:t xml:space="preserve"> van een goed functionerende interne markt, snel en efficiënt </w:t>
      </w:r>
      <w:r w:rsidR="0051352C">
        <w:rPr>
          <w:rFonts w:ascii="Verdana" w:hAnsi="Verdana"/>
          <w:sz w:val="18"/>
          <w:szCs w:val="18"/>
        </w:rPr>
        <w:t xml:space="preserve">civiel en </w:t>
      </w:r>
      <w:r>
        <w:rPr>
          <w:rFonts w:ascii="Verdana" w:hAnsi="Verdana"/>
          <w:sz w:val="18"/>
          <w:szCs w:val="18"/>
        </w:rPr>
        <w:t xml:space="preserve">militair transport van goederen en personeel over de netwerken, </w:t>
      </w:r>
      <w:r w:rsidRPr="00412B98" w:rsidR="00412B98">
        <w:rPr>
          <w:rFonts w:ascii="Verdana" w:hAnsi="Verdana"/>
          <w:sz w:val="18"/>
          <w:szCs w:val="18"/>
        </w:rPr>
        <w:t xml:space="preserve">toegang tot veilige, betaalbare en duurzame energie </w:t>
      </w:r>
      <w:r>
        <w:rPr>
          <w:rFonts w:ascii="Verdana" w:hAnsi="Verdana"/>
          <w:sz w:val="18"/>
          <w:szCs w:val="18"/>
        </w:rPr>
        <w:t xml:space="preserve">en grensoverschrijdende samenwerking op gebied van </w:t>
      </w:r>
      <w:r w:rsidR="00F67DE0">
        <w:rPr>
          <w:rFonts w:ascii="Verdana" w:hAnsi="Verdana"/>
          <w:sz w:val="18"/>
          <w:szCs w:val="18"/>
        </w:rPr>
        <w:t>(</w:t>
      </w:r>
      <w:r>
        <w:rPr>
          <w:rFonts w:ascii="Verdana" w:hAnsi="Verdana"/>
          <w:sz w:val="18"/>
          <w:szCs w:val="18"/>
        </w:rPr>
        <w:t>hernieuwbare</w:t>
      </w:r>
      <w:r w:rsidR="00F67DE0">
        <w:rPr>
          <w:rFonts w:ascii="Verdana" w:hAnsi="Verdana"/>
          <w:sz w:val="18"/>
          <w:szCs w:val="18"/>
        </w:rPr>
        <w:t>)</w:t>
      </w:r>
      <w:r>
        <w:rPr>
          <w:rFonts w:ascii="Verdana" w:hAnsi="Verdana"/>
          <w:sz w:val="18"/>
          <w:szCs w:val="18"/>
        </w:rPr>
        <w:t xml:space="preserve"> energie. </w:t>
      </w:r>
      <w:r w:rsidR="00412B98">
        <w:rPr>
          <w:rFonts w:ascii="Verdana" w:hAnsi="Verdana"/>
          <w:sz w:val="18"/>
          <w:szCs w:val="18"/>
        </w:rPr>
        <w:t xml:space="preserve">Het </w:t>
      </w:r>
      <w:r w:rsidRPr="00C0334A" w:rsidR="00412B98">
        <w:rPr>
          <w:rFonts w:ascii="Verdana" w:hAnsi="Verdana"/>
          <w:sz w:val="18"/>
          <w:szCs w:val="18"/>
        </w:rPr>
        <w:t>CEF beoogt ook om synergi</w:t>
      </w:r>
      <w:r w:rsidR="00412B98">
        <w:rPr>
          <w:rFonts w:ascii="Verdana" w:hAnsi="Verdana"/>
          <w:sz w:val="18"/>
          <w:szCs w:val="18"/>
        </w:rPr>
        <w:t>ën</w:t>
      </w:r>
      <w:r w:rsidRPr="00C0334A" w:rsidR="00412B98">
        <w:rPr>
          <w:rFonts w:ascii="Verdana" w:hAnsi="Verdana"/>
          <w:sz w:val="18"/>
          <w:szCs w:val="18"/>
        </w:rPr>
        <w:t xml:space="preserve"> tussen transport en energiesectoren te vergroten en CEF</w:t>
      </w:r>
      <w:r w:rsidR="00412B98">
        <w:rPr>
          <w:rFonts w:ascii="Verdana" w:hAnsi="Verdana"/>
          <w:sz w:val="18"/>
          <w:szCs w:val="18"/>
        </w:rPr>
        <w:t>-</w:t>
      </w:r>
      <w:r w:rsidRPr="00C0334A" w:rsidR="00412B98">
        <w:rPr>
          <w:rFonts w:ascii="Verdana" w:hAnsi="Verdana"/>
          <w:sz w:val="18"/>
          <w:szCs w:val="18"/>
        </w:rPr>
        <w:t>regels te simplificeren</w:t>
      </w:r>
      <w:r w:rsidR="007F19F6">
        <w:rPr>
          <w:rFonts w:ascii="Verdana" w:hAnsi="Verdana"/>
          <w:sz w:val="18"/>
          <w:szCs w:val="18"/>
        </w:rPr>
        <w:t>,</w:t>
      </w:r>
      <w:r w:rsidRPr="00C0334A" w:rsidR="00412B98">
        <w:rPr>
          <w:rFonts w:ascii="Verdana" w:hAnsi="Verdana"/>
          <w:sz w:val="18"/>
          <w:szCs w:val="18"/>
        </w:rPr>
        <w:t xml:space="preserve"> onder andere door duidelijkere aansluiting van </w:t>
      </w:r>
      <w:r w:rsidR="00412B98">
        <w:rPr>
          <w:rFonts w:ascii="Verdana" w:hAnsi="Verdana"/>
          <w:sz w:val="18"/>
          <w:szCs w:val="18"/>
        </w:rPr>
        <w:t xml:space="preserve">het </w:t>
      </w:r>
      <w:r w:rsidRPr="00C0334A" w:rsidR="00412B98">
        <w:rPr>
          <w:rFonts w:ascii="Verdana" w:hAnsi="Verdana"/>
          <w:sz w:val="18"/>
          <w:szCs w:val="18"/>
        </w:rPr>
        <w:t>CEF bij ‘</w:t>
      </w:r>
      <w:r w:rsidRPr="00C0334A" w:rsidR="00412B98">
        <w:rPr>
          <w:rFonts w:ascii="Verdana" w:hAnsi="Verdana"/>
          <w:i/>
          <w:iCs/>
          <w:sz w:val="18"/>
          <w:szCs w:val="18"/>
        </w:rPr>
        <w:t xml:space="preserve">National and </w:t>
      </w:r>
      <w:proofErr w:type="spellStart"/>
      <w:r w:rsidRPr="00C0334A" w:rsidR="00412B98">
        <w:rPr>
          <w:rFonts w:ascii="Verdana" w:hAnsi="Verdana"/>
          <w:i/>
          <w:iCs/>
          <w:sz w:val="18"/>
          <w:szCs w:val="18"/>
        </w:rPr>
        <w:t>Regional</w:t>
      </w:r>
      <w:proofErr w:type="spellEnd"/>
      <w:r w:rsidRPr="00C0334A" w:rsidR="00412B98">
        <w:rPr>
          <w:rFonts w:ascii="Verdana" w:hAnsi="Verdana"/>
          <w:i/>
          <w:iCs/>
          <w:sz w:val="18"/>
          <w:szCs w:val="18"/>
        </w:rPr>
        <w:t xml:space="preserve"> Partnership </w:t>
      </w:r>
      <w:proofErr w:type="spellStart"/>
      <w:r w:rsidRPr="00C0334A" w:rsidR="00412B98">
        <w:rPr>
          <w:rFonts w:ascii="Verdana" w:hAnsi="Verdana"/>
          <w:i/>
          <w:iCs/>
          <w:sz w:val="18"/>
          <w:szCs w:val="18"/>
        </w:rPr>
        <w:t>Plans</w:t>
      </w:r>
      <w:proofErr w:type="spellEnd"/>
      <w:r w:rsidRPr="00C0334A" w:rsidR="00412B98">
        <w:rPr>
          <w:rFonts w:ascii="Verdana" w:hAnsi="Verdana"/>
          <w:i/>
          <w:iCs/>
          <w:sz w:val="18"/>
          <w:szCs w:val="18"/>
        </w:rPr>
        <w:t>’</w:t>
      </w:r>
      <w:r w:rsidR="00412B98">
        <w:rPr>
          <w:rFonts w:ascii="Verdana" w:hAnsi="Verdana"/>
          <w:sz w:val="18"/>
          <w:szCs w:val="18"/>
        </w:rPr>
        <w:t xml:space="preserve"> (hierna: NRPP)</w:t>
      </w:r>
      <w:r w:rsidRPr="00C0334A" w:rsidR="00412B98">
        <w:rPr>
          <w:rFonts w:ascii="Verdana" w:hAnsi="Verdana"/>
          <w:sz w:val="18"/>
          <w:szCs w:val="18"/>
        </w:rPr>
        <w:t>.</w:t>
      </w:r>
      <w:r w:rsidRPr="00483B9F" w:rsidR="00412B98">
        <w:rPr>
          <w:rFonts w:ascii="Verdana" w:hAnsi="Verdana"/>
          <w:sz w:val="18"/>
          <w:szCs w:val="18"/>
        </w:rPr>
        <w:t> </w:t>
      </w:r>
    </w:p>
    <w:p w:rsidR="004739F3" w:rsidP="003B3DB3" w:rsidRDefault="004739F3" w14:paraId="5816DD7A" w14:textId="77777777">
      <w:pPr>
        <w:spacing w:line="360" w:lineRule="auto"/>
        <w:rPr>
          <w:rFonts w:ascii="Verdana" w:hAnsi="Verdana"/>
          <w:sz w:val="18"/>
          <w:szCs w:val="18"/>
        </w:rPr>
      </w:pPr>
    </w:p>
    <w:p w:rsidR="002D79B1" w:rsidP="003B3DB3" w:rsidRDefault="004739F3" w14:paraId="3BBFC5C7" w14:textId="7DC0C0A1">
      <w:pPr>
        <w:spacing w:line="360" w:lineRule="auto"/>
        <w:rPr>
          <w:rFonts w:ascii="Verdana" w:hAnsi="Verdana"/>
          <w:sz w:val="18"/>
          <w:szCs w:val="18"/>
        </w:rPr>
      </w:pPr>
      <w:r>
        <w:rPr>
          <w:rFonts w:ascii="Verdana" w:hAnsi="Verdana"/>
          <w:sz w:val="18"/>
          <w:szCs w:val="18"/>
        </w:rPr>
        <w:t>Er word</w:t>
      </w:r>
      <w:r w:rsidR="008E2FEC">
        <w:rPr>
          <w:rFonts w:ascii="Verdana" w:hAnsi="Verdana"/>
          <w:sz w:val="18"/>
          <w:szCs w:val="18"/>
        </w:rPr>
        <w:t xml:space="preserve">en specifieke doelstellingen voorgesteld </w:t>
      </w:r>
      <w:r>
        <w:rPr>
          <w:rFonts w:ascii="Verdana" w:hAnsi="Verdana"/>
          <w:sz w:val="18"/>
          <w:szCs w:val="18"/>
        </w:rPr>
        <w:t>voor</w:t>
      </w:r>
      <w:r w:rsidR="008E2FEC">
        <w:rPr>
          <w:rFonts w:ascii="Verdana" w:hAnsi="Verdana"/>
          <w:sz w:val="18"/>
          <w:szCs w:val="18"/>
        </w:rPr>
        <w:t xml:space="preserve"> de</w:t>
      </w:r>
      <w:r>
        <w:rPr>
          <w:rFonts w:ascii="Verdana" w:hAnsi="Verdana"/>
          <w:sz w:val="18"/>
          <w:szCs w:val="18"/>
        </w:rPr>
        <w:t xml:space="preserve"> transport</w:t>
      </w:r>
      <w:r w:rsidR="45CC2B7E">
        <w:rPr>
          <w:rFonts w:ascii="Verdana" w:hAnsi="Verdana"/>
          <w:sz w:val="18"/>
          <w:szCs w:val="18"/>
        </w:rPr>
        <w:t xml:space="preserve">- </w:t>
      </w:r>
      <w:r>
        <w:rPr>
          <w:rFonts w:ascii="Verdana" w:hAnsi="Verdana"/>
          <w:sz w:val="18"/>
          <w:szCs w:val="18"/>
        </w:rPr>
        <w:t>en energiesector.</w:t>
      </w:r>
      <w:r w:rsidR="008E2FEC">
        <w:rPr>
          <w:rFonts w:ascii="Verdana" w:hAnsi="Verdana"/>
          <w:sz w:val="18"/>
          <w:szCs w:val="18"/>
        </w:rPr>
        <w:t xml:space="preserve"> Voor </w:t>
      </w:r>
      <w:r w:rsidR="00E942A6">
        <w:rPr>
          <w:rFonts w:ascii="Verdana" w:hAnsi="Verdana"/>
          <w:sz w:val="18"/>
          <w:szCs w:val="18"/>
        </w:rPr>
        <w:t xml:space="preserve">het </w:t>
      </w:r>
      <w:r w:rsidR="008E2FEC">
        <w:rPr>
          <w:rFonts w:ascii="Verdana" w:hAnsi="Verdana"/>
          <w:sz w:val="18"/>
          <w:szCs w:val="18"/>
        </w:rPr>
        <w:t>transport</w:t>
      </w:r>
      <w:r w:rsidR="00E942A6">
        <w:rPr>
          <w:rFonts w:ascii="Verdana" w:hAnsi="Verdana"/>
          <w:sz w:val="18"/>
          <w:szCs w:val="18"/>
        </w:rPr>
        <w:t xml:space="preserve">onderdeel is CEF bedoeld om bij te dragen aan de voltooiing van het trans-Europese Transport (hierna: TEN-T) netwerk, met een focus op het kern- en uitgebreide kernnetwerk in 2030 en 2040. </w:t>
      </w:r>
      <w:r w:rsidR="008E2FEC">
        <w:rPr>
          <w:rFonts w:ascii="Verdana" w:hAnsi="Verdana"/>
          <w:sz w:val="18"/>
          <w:szCs w:val="18"/>
        </w:rPr>
        <w:t xml:space="preserve">CEF-financiering </w:t>
      </w:r>
      <w:r w:rsidR="00E942A6">
        <w:rPr>
          <w:rFonts w:ascii="Verdana" w:hAnsi="Verdana"/>
          <w:sz w:val="18"/>
          <w:szCs w:val="18"/>
        </w:rPr>
        <w:t>is daarom bestemd voor</w:t>
      </w:r>
      <w:r w:rsidR="004D6165">
        <w:rPr>
          <w:rFonts w:ascii="Verdana" w:hAnsi="Verdana"/>
          <w:sz w:val="18"/>
          <w:szCs w:val="18"/>
        </w:rPr>
        <w:t xml:space="preserve"> </w:t>
      </w:r>
      <w:r w:rsidR="00E942A6">
        <w:rPr>
          <w:rFonts w:ascii="Verdana" w:hAnsi="Verdana"/>
          <w:sz w:val="18"/>
          <w:szCs w:val="18"/>
        </w:rPr>
        <w:t xml:space="preserve">1) </w:t>
      </w:r>
      <w:r w:rsidR="008E2FEC">
        <w:rPr>
          <w:rFonts w:ascii="Verdana" w:hAnsi="Verdana"/>
          <w:sz w:val="18"/>
          <w:szCs w:val="18"/>
        </w:rPr>
        <w:t xml:space="preserve">projecten </w:t>
      </w:r>
      <w:r w:rsidR="00E622F5">
        <w:rPr>
          <w:rFonts w:ascii="Verdana" w:hAnsi="Verdana"/>
          <w:sz w:val="18"/>
          <w:szCs w:val="18"/>
        </w:rPr>
        <w:t xml:space="preserve">van gemeenschappelijk belang </w:t>
      </w:r>
      <w:r w:rsidR="008E2FEC">
        <w:rPr>
          <w:rFonts w:ascii="Verdana" w:hAnsi="Verdana"/>
          <w:sz w:val="18"/>
          <w:szCs w:val="18"/>
        </w:rPr>
        <w:t xml:space="preserve">om een verbonden, </w:t>
      </w:r>
      <w:proofErr w:type="spellStart"/>
      <w:r w:rsidR="008E2FEC">
        <w:rPr>
          <w:rFonts w:ascii="Verdana" w:hAnsi="Verdana"/>
          <w:sz w:val="18"/>
          <w:szCs w:val="18"/>
        </w:rPr>
        <w:t>interoperabel</w:t>
      </w:r>
      <w:proofErr w:type="spellEnd"/>
      <w:r w:rsidR="008E2FEC">
        <w:rPr>
          <w:rFonts w:ascii="Verdana" w:hAnsi="Verdana"/>
          <w:sz w:val="18"/>
          <w:szCs w:val="18"/>
        </w:rPr>
        <w:t xml:space="preserve">, </w:t>
      </w:r>
      <w:proofErr w:type="spellStart"/>
      <w:r w:rsidR="008E2FEC">
        <w:rPr>
          <w:rFonts w:ascii="Verdana" w:hAnsi="Verdana"/>
          <w:sz w:val="18"/>
          <w:szCs w:val="18"/>
        </w:rPr>
        <w:t>gedecarboniseerd</w:t>
      </w:r>
      <w:proofErr w:type="spellEnd"/>
      <w:r w:rsidR="008E2FEC">
        <w:rPr>
          <w:rFonts w:ascii="Verdana" w:hAnsi="Verdana"/>
          <w:sz w:val="18"/>
          <w:szCs w:val="18"/>
        </w:rPr>
        <w:t>, slim, veilig, duurzaam, weerbaar, beveiligd en multimodaal transportnetwerk te realiseren</w:t>
      </w:r>
      <w:r w:rsidR="00E942A6">
        <w:rPr>
          <w:rFonts w:ascii="Verdana" w:hAnsi="Verdana"/>
          <w:sz w:val="18"/>
          <w:szCs w:val="18"/>
        </w:rPr>
        <w:t>, zoals vastgelegd in de TEN-T verordening</w:t>
      </w:r>
      <w:r w:rsidR="008E2FEC">
        <w:rPr>
          <w:rFonts w:ascii="Verdana" w:hAnsi="Verdana"/>
          <w:sz w:val="18"/>
          <w:szCs w:val="18"/>
        </w:rPr>
        <w:t xml:space="preserve">, alsook </w:t>
      </w:r>
      <w:r w:rsidR="00E942A6">
        <w:rPr>
          <w:rFonts w:ascii="Verdana" w:hAnsi="Verdana"/>
          <w:sz w:val="18"/>
          <w:szCs w:val="18"/>
        </w:rPr>
        <w:t xml:space="preserve">2) </w:t>
      </w:r>
      <w:r w:rsidR="008E2FEC">
        <w:rPr>
          <w:rFonts w:ascii="Verdana" w:hAnsi="Verdana"/>
          <w:sz w:val="18"/>
          <w:szCs w:val="18"/>
        </w:rPr>
        <w:t xml:space="preserve">het aanpassen van het TEN-T netwerk zodat het geschikt wordt voor zowel civiel als militair transport, </w:t>
      </w:r>
      <w:r w:rsidRPr="00E622F5" w:rsidR="008E2FEC">
        <w:rPr>
          <w:rFonts w:ascii="Verdana" w:hAnsi="Verdana"/>
          <w:sz w:val="18"/>
          <w:szCs w:val="18"/>
        </w:rPr>
        <w:t xml:space="preserve">zogeheten </w:t>
      </w:r>
      <w:proofErr w:type="spellStart"/>
      <w:r w:rsidRPr="004D6165" w:rsidR="008E2FEC">
        <w:rPr>
          <w:rFonts w:ascii="Verdana" w:hAnsi="Verdana"/>
          <w:i/>
          <w:iCs/>
          <w:sz w:val="18"/>
          <w:szCs w:val="18"/>
        </w:rPr>
        <w:t>dual-use</w:t>
      </w:r>
      <w:proofErr w:type="spellEnd"/>
      <w:r w:rsidRPr="00E622F5" w:rsidR="008E2FEC">
        <w:rPr>
          <w:rFonts w:ascii="Verdana" w:hAnsi="Verdana"/>
          <w:sz w:val="18"/>
          <w:szCs w:val="18"/>
        </w:rPr>
        <w:t xml:space="preserve"> infrastructuur. Voor de realisatie van het TEN-T netwerk </w:t>
      </w:r>
      <w:r w:rsidR="00E942A6">
        <w:rPr>
          <w:rFonts w:ascii="Verdana" w:hAnsi="Verdana"/>
          <w:sz w:val="18"/>
          <w:szCs w:val="18"/>
        </w:rPr>
        <w:t xml:space="preserve">in punt 1 </w:t>
      </w:r>
      <w:r w:rsidRPr="00E622F5" w:rsidR="008E2FEC">
        <w:rPr>
          <w:rFonts w:ascii="Verdana" w:hAnsi="Verdana"/>
          <w:sz w:val="18"/>
          <w:szCs w:val="18"/>
        </w:rPr>
        <w:t>stelt de Commissie in het vo</w:t>
      </w:r>
      <w:r w:rsidR="008E2FEC">
        <w:rPr>
          <w:rFonts w:ascii="Verdana" w:hAnsi="Verdana"/>
          <w:sz w:val="18"/>
          <w:szCs w:val="18"/>
        </w:rPr>
        <w:t xml:space="preserve">orstel voor </w:t>
      </w:r>
      <w:r w:rsidR="002D79B1">
        <w:rPr>
          <w:rFonts w:ascii="Verdana" w:hAnsi="Verdana"/>
          <w:sz w:val="18"/>
          <w:szCs w:val="18"/>
        </w:rPr>
        <w:t xml:space="preserve">om specifieke aandacht te vestigen op (i) projecten </w:t>
      </w:r>
      <w:r w:rsidR="00E622F5">
        <w:rPr>
          <w:rFonts w:ascii="Verdana" w:hAnsi="Verdana"/>
          <w:sz w:val="18"/>
          <w:szCs w:val="18"/>
        </w:rPr>
        <w:t xml:space="preserve">van gemeenschappelijk belang </w:t>
      </w:r>
      <w:r w:rsidR="002D79B1">
        <w:rPr>
          <w:rFonts w:ascii="Verdana" w:hAnsi="Verdana"/>
          <w:sz w:val="18"/>
          <w:szCs w:val="18"/>
        </w:rPr>
        <w:t>met een grensoverschrijdend karakter,</w:t>
      </w:r>
      <w:r w:rsidR="00E942A6">
        <w:rPr>
          <w:rFonts w:ascii="Verdana" w:hAnsi="Verdana"/>
          <w:sz w:val="18"/>
          <w:szCs w:val="18"/>
        </w:rPr>
        <w:t xml:space="preserve"> waaronder projecten die zijn opgenomen in de bijlage bij het voorstel,</w:t>
      </w:r>
      <w:r w:rsidR="002D79B1">
        <w:rPr>
          <w:rFonts w:ascii="Verdana" w:hAnsi="Verdana"/>
          <w:sz w:val="18"/>
          <w:szCs w:val="18"/>
        </w:rPr>
        <w:t xml:space="preserve"> (ii) projecten </w:t>
      </w:r>
      <w:r w:rsidR="00E622F5">
        <w:rPr>
          <w:rFonts w:ascii="Verdana" w:hAnsi="Verdana"/>
          <w:sz w:val="18"/>
          <w:szCs w:val="18"/>
        </w:rPr>
        <w:t xml:space="preserve">van gemeenschappelijk belang </w:t>
      </w:r>
      <w:r w:rsidR="002D79B1">
        <w:rPr>
          <w:rFonts w:ascii="Verdana" w:hAnsi="Verdana"/>
          <w:sz w:val="18"/>
          <w:szCs w:val="18"/>
        </w:rPr>
        <w:t xml:space="preserve">die bijdragen aan het </w:t>
      </w:r>
      <w:r w:rsidR="00D404BA">
        <w:rPr>
          <w:rFonts w:ascii="Verdana" w:hAnsi="Verdana"/>
          <w:sz w:val="18"/>
          <w:szCs w:val="18"/>
        </w:rPr>
        <w:t xml:space="preserve">slimmer en weerbaar maken en het </w:t>
      </w:r>
      <w:r w:rsidR="002D79B1">
        <w:rPr>
          <w:rFonts w:ascii="Verdana" w:hAnsi="Verdana"/>
          <w:sz w:val="18"/>
          <w:szCs w:val="18"/>
        </w:rPr>
        <w:t xml:space="preserve">verduurzamen van het TEN-T netwerk, en (iii) </w:t>
      </w:r>
      <w:r w:rsidRPr="004D6165" w:rsidR="00F67DE0">
        <w:rPr>
          <w:rFonts w:ascii="Verdana" w:hAnsi="Verdana"/>
          <w:sz w:val="18"/>
          <w:szCs w:val="18"/>
        </w:rPr>
        <w:t xml:space="preserve">grensoverschrijdende projecten waarbij derde landen zijn betrokken. </w:t>
      </w:r>
    </w:p>
    <w:p w:rsidR="002D79B1" w:rsidP="003B3DB3" w:rsidRDefault="002D79B1" w14:paraId="0955C197" w14:textId="062F7AF7">
      <w:pPr>
        <w:spacing w:line="360" w:lineRule="auto"/>
        <w:rPr>
          <w:rFonts w:ascii="Verdana" w:hAnsi="Verdana"/>
          <w:sz w:val="18"/>
          <w:szCs w:val="18"/>
        </w:rPr>
      </w:pPr>
    </w:p>
    <w:p w:rsidRPr="00483B9F" w:rsidR="00412B98" w:rsidP="00412B98" w:rsidRDefault="00412B98" w14:paraId="16BC9B55" w14:textId="18F5258F">
      <w:pPr>
        <w:spacing w:line="360" w:lineRule="auto"/>
        <w:rPr>
          <w:rFonts w:ascii="Verdana" w:hAnsi="Verdana"/>
          <w:sz w:val="18"/>
          <w:szCs w:val="18"/>
        </w:rPr>
      </w:pPr>
      <w:r w:rsidRPr="00615607">
        <w:rPr>
          <w:rFonts w:ascii="Verdana" w:hAnsi="Verdana"/>
          <w:sz w:val="18"/>
          <w:szCs w:val="18"/>
        </w:rPr>
        <w:t xml:space="preserve">Het energiegedeelte van CEF </w:t>
      </w:r>
      <w:r>
        <w:rPr>
          <w:rFonts w:ascii="Verdana" w:hAnsi="Verdana"/>
          <w:sz w:val="18"/>
          <w:szCs w:val="18"/>
        </w:rPr>
        <w:t>heeft als doel om</w:t>
      </w:r>
      <w:r w:rsidRPr="00615607">
        <w:rPr>
          <w:rFonts w:ascii="Verdana" w:hAnsi="Verdana"/>
          <w:sz w:val="18"/>
          <w:szCs w:val="18"/>
        </w:rPr>
        <w:t xml:space="preserve"> bij</w:t>
      </w:r>
      <w:r>
        <w:rPr>
          <w:rFonts w:ascii="Verdana" w:hAnsi="Verdana"/>
          <w:sz w:val="18"/>
          <w:szCs w:val="18"/>
        </w:rPr>
        <w:t xml:space="preserve"> te </w:t>
      </w:r>
      <w:r w:rsidRPr="00615607">
        <w:rPr>
          <w:rFonts w:ascii="Verdana" w:hAnsi="Verdana"/>
          <w:sz w:val="18"/>
          <w:szCs w:val="18"/>
        </w:rPr>
        <w:t xml:space="preserve">dragen aan </w:t>
      </w:r>
      <w:r>
        <w:rPr>
          <w:rFonts w:ascii="Verdana" w:hAnsi="Verdana"/>
          <w:sz w:val="18"/>
          <w:szCs w:val="18"/>
        </w:rPr>
        <w:t>de bevordering van de integratie van de interne energiemarkt,</w:t>
      </w:r>
      <w:r w:rsidRPr="00615607">
        <w:rPr>
          <w:rFonts w:ascii="Verdana" w:hAnsi="Verdana"/>
          <w:sz w:val="18"/>
          <w:szCs w:val="18"/>
        </w:rPr>
        <w:t xml:space="preserve"> het waarborgen van leveringszekerheid</w:t>
      </w:r>
      <w:r>
        <w:rPr>
          <w:rFonts w:ascii="Verdana" w:hAnsi="Verdana"/>
          <w:sz w:val="18"/>
          <w:szCs w:val="18"/>
        </w:rPr>
        <w:t xml:space="preserve"> en</w:t>
      </w:r>
      <w:r w:rsidRPr="00615607">
        <w:rPr>
          <w:rFonts w:ascii="Verdana" w:hAnsi="Verdana"/>
          <w:sz w:val="18"/>
          <w:szCs w:val="18"/>
        </w:rPr>
        <w:t xml:space="preserve"> </w:t>
      </w:r>
      <w:r>
        <w:rPr>
          <w:rFonts w:ascii="Verdana" w:hAnsi="Verdana"/>
          <w:sz w:val="18"/>
          <w:szCs w:val="18"/>
        </w:rPr>
        <w:t xml:space="preserve">weerbaarheid, </w:t>
      </w:r>
      <w:r w:rsidRPr="00615607">
        <w:rPr>
          <w:rFonts w:ascii="Verdana" w:hAnsi="Verdana"/>
          <w:sz w:val="18"/>
          <w:szCs w:val="18"/>
        </w:rPr>
        <w:t xml:space="preserve">de verduurzaming van de economie, en </w:t>
      </w:r>
      <w:r>
        <w:rPr>
          <w:rFonts w:ascii="Verdana" w:hAnsi="Verdana"/>
          <w:sz w:val="18"/>
          <w:szCs w:val="18"/>
        </w:rPr>
        <w:t xml:space="preserve">het stimuleren van </w:t>
      </w:r>
      <w:r w:rsidRPr="00615607">
        <w:rPr>
          <w:rFonts w:ascii="Verdana" w:hAnsi="Verdana"/>
          <w:sz w:val="18"/>
          <w:szCs w:val="18"/>
        </w:rPr>
        <w:t xml:space="preserve">grensoverschrijdende samenwerking op het gebied van hernieuwbare energie. Verder </w:t>
      </w:r>
      <w:r>
        <w:rPr>
          <w:rFonts w:ascii="Verdana" w:hAnsi="Verdana"/>
          <w:sz w:val="18"/>
          <w:szCs w:val="18"/>
        </w:rPr>
        <w:t>heeft het</w:t>
      </w:r>
      <w:r w:rsidRPr="00615607">
        <w:rPr>
          <w:rFonts w:ascii="Verdana" w:hAnsi="Verdana"/>
          <w:sz w:val="18"/>
          <w:szCs w:val="18"/>
        </w:rPr>
        <w:t xml:space="preserve"> CEF </w:t>
      </w:r>
      <w:r>
        <w:rPr>
          <w:rFonts w:ascii="Verdana" w:hAnsi="Verdana"/>
          <w:sz w:val="18"/>
          <w:szCs w:val="18"/>
        </w:rPr>
        <w:t>als doel om</w:t>
      </w:r>
      <w:r w:rsidRPr="00615607">
        <w:rPr>
          <w:rFonts w:ascii="Verdana" w:hAnsi="Verdana"/>
          <w:sz w:val="18"/>
          <w:szCs w:val="18"/>
        </w:rPr>
        <w:t xml:space="preserve"> bij</w:t>
      </w:r>
      <w:r>
        <w:rPr>
          <w:rFonts w:ascii="Verdana" w:hAnsi="Verdana"/>
          <w:sz w:val="18"/>
          <w:szCs w:val="18"/>
        </w:rPr>
        <w:t xml:space="preserve"> te </w:t>
      </w:r>
      <w:r w:rsidRPr="00615607">
        <w:rPr>
          <w:rFonts w:ascii="Verdana" w:hAnsi="Verdana"/>
          <w:sz w:val="18"/>
          <w:szCs w:val="18"/>
        </w:rPr>
        <w:t xml:space="preserve">dragen aan de betaalbaarheid van de energievoorziening en het concurrentievermogen van de Europese </w:t>
      </w:r>
      <w:r w:rsidRPr="00C0334A">
        <w:rPr>
          <w:rFonts w:ascii="Verdana" w:hAnsi="Verdana"/>
          <w:sz w:val="18"/>
          <w:szCs w:val="18"/>
        </w:rPr>
        <w:t>economie. Deze projecten moeten bijdragen aan kostenbesparing, systeemintegratie, leveringszekerheid, concurrentievermogen of innovatie, vergeleken met nationale alternatieven.</w:t>
      </w:r>
      <w:r w:rsidRPr="00483B9F">
        <w:rPr>
          <w:rFonts w:ascii="Verdana" w:hAnsi="Verdana"/>
          <w:sz w:val="18"/>
          <w:szCs w:val="18"/>
        </w:rPr>
        <w:t> </w:t>
      </w:r>
      <w:r>
        <w:rPr>
          <w:rFonts w:ascii="Verdana" w:hAnsi="Verdana"/>
          <w:sz w:val="18"/>
          <w:szCs w:val="18"/>
        </w:rPr>
        <w:t xml:space="preserve">Het </w:t>
      </w:r>
      <w:r w:rsidRPr="00412B98">
        <w:rPr>
          <w:rFonts w:ascii="Verdana" w:hAnsi="Verdana"/>
          <w:sz w:val="18"/>
          <w:szCs w:val="18"/>
        </w:rPr>
        <w:t xml:space="preserve">CEF bepaalt verder dat deze financiering bedoeld is voor belangrijke </w:t>
      </w:r>
      <w:r w:rsidRPr="00412B98">
        <w:rPr>
          <w:rFonts w:ascii="Verdana" w:hAnsi="Verdana"/>
          <w:sz w:val="18"/>
          <w:szCs w:val="18"/>
        </w:rPr>
        <w:lastRenderedPageBreak/>
        <w:t>grensoverschrijdende energie projecten met duidelijke financiële obstakels die zonder CEF steun anders niet gerealiseerd zouden kunnen worden.</w:t>
      </w:r>
    </w:p>
    <w:p w:rsidR="00412B98" w:rsidP="003B3DB3" w:rsidRDefault="00412B98" w14:paraId="7AACD8DF" w14:textId="77777777">
      <w:pPr>
        <w:spacing w:line="360" w:lineRule="auto"/>
        <w:rPr>
          <w:rFonts w:ascii="Verdana" w:hAnsi="Verdana"/>
          <w:sz w:val="18"/>
          <w:szCs w:val="18"/>
        </w:rPr>
      </w:pPr>
    </w:p>
    <w:p w:rsidR="00615607" w:rsidP="00615607" w:rsidRDefault="002D79B1" w14:paraId="41305D26" w14:textId="66D1A781">
      <w:pPr>
        <w:spacing w:line="360" w:lineRule="auto"/>
        <w:rPr>
          <w:rFonts w:ascii="Verdana" w:hAnsi="Verdana"/>
          <w:sz w:val="18"/>
          <w:szCs w:val="18"/>
        </w:rPr>
      </w:pPr>
      <w:r>
        <w:rPr>
          <w:rFonts w:ascii="Verdana" w:hAnsi="Verdana"/>
          <w:sz w:val="18"/>
          <w:szCs w:val="18"/>
        </w:rPr>
        <w:t xml:space="preserve">Voor </w:t>
      </w:r>
      <w:r w:rsidR="00615607">
        <w:rPr>
          <w:rFonts w:ascii="Verdana" w:hAnsi="Verdana"/>
          <w:sz w:val="18"/>
          <w:szCs w:val="18"/>
        </w:rPr>
        <w:t>het</w:t>
      </w:r>
      <w:r w:rsidRPr="00615607" w:rsidR="00615607">
        <w:rPr>
          <w:rFonts w:ascii="Verdana" w:hAnsi="Verdana"/>
          <w:sz w:val="18"/>
          <w:szCs w:val="18"/>
        </w:rPr>
        <w:t xml:space="preserve"> energieonderdeel</w:t>
      </w:r>
      <w:r w:rsidR="00615607">
        <w:rPr>
          <w:rFonts w:ascii="Verdana" w:hAnsi="Verdana"/>
          <w:sz w:val="18"/>
          <w:szCs w:val="18"/>
        </w:rPr>
        <w:t xml:space="preserve"> geldt dat de Commissie </w:t>
      </w:r>
      <w:r w:rsidRPr="00615607" w:rsidR="00615607">
        <w:rPr>
          <w:rFonts w:ascii="Verdana" w:hAnsi="Verdana"/>
          <w:sz w:val="18"/>
          <w:szCs w:val="18"/>
        </w:rPr>
        <w:t xml:space="preserve">CEF </w:t>
      </w:r>
      <w:r w:rsidR="00615607">
        <w:rPr>
          <w:rFonts w:ascii="Verdana" w:hAnsi="Verdana"/>
          <w:sz w:val="18"/>
          <w:szCs w:val="18"/>
        </w:rPr>
        <w:t>ziet</w:t>
      </w:r>
      <w:r w:rsidRPr="00615607" w:rsidR="00615607">
        <w:rPr>
          <w:rFonts w:ascii="Verdana" w:hAnsi="Verdana"/>
          <w:sz w:val="18"/>
          <w:szCs w:val="18"/>
        </w:rPr>
        <w:t xml:space="preserve"> als een essentieel </w:t>
      </w:r>
      <w:r w:rsidR="00F67DE0">
        <w:rPr>
          <w:rFonts w:ascii="Verdana" w:hAnsi="Verdana"/>
          <w:sz w:val="18"/>
          <w:szCs w:val="18"/>
        </w:rPr>
        <w:t>instrument om de Energie-unie te voltooien door financiering te verstrekken aan, ten eerste</w:t>
      </w:r>
      <w:r w:rsidR="00C0334A">
        <w:rPr>
          <w:rFonts w:ascii="Verdana" w:hAnsi="Verdana"/>
          <w:sz w:val="18"/>
          <w:szCs w:val="18"/>
        </w:rPr>
        <w:t>,</w:t>
      </w:r>
      <w:r w:rsidR="00F67DE0">
        <w:rPr>
          <w:rFonts w:ascii="Verdana" w:hAnsi="Verdana"/>
          <w:sz w:val="18"/>
          <w:szCs w:val="18"/>
        </w:rPr>
        <w:t xml:space="preserve"> </w:t>
      </w:r>
      <w:r w:rsidRPr="00615607" w:rsidR="00615607">
        <w:rPr>
          <w:rFonts w:ascii="Verdana" w:hAnsi="Verdana"/>
          <w:sz w:val="18"/>
          <w:szCs w:val="18"/>
        </w:rPr>
        <w:t xml:space="preserve">belangrijke Europese grensoverschrijdende energieprojecten in het kader van trans-Europese </w:t>
      </w:r>
      <w:r w:rsidR="00615607">
        <w:rPr>
          <w:rFonts w:ascii="Verdana" w:hAnsi="Verdana"/>
          <w:sz w:val="18"/>
          <w:szCs w:val="18"/>
        </w:rPr>
        <w:t>e</w:t>
      </w:r>
      <w:r w:rsidRPr="00615607" w:rsidR="00615607">
        <w:rPr>
          <w:rFonts w:ascii="Verdana" w:hAnsi="Verdana"/>
          <w:sz w:val="18"/>
          <w:szCs w:val="18"/>
        </w:rPr>
        <w:t xml:space="preserve">nergie </w:t>
      </w:r>
      <w:r w:rsidR="00615607">
        <w:rPr>
          <w:rFonts w:ascii="Verdana" w:hAnsi="Verdana"/>
          <w:sz w:val="18"/>
          <w:szCs w:val="18"/>
        </w:rPr>
        <w:t>n</w:t>
      </w:r>
      <w:r w:rsidRPr="00615607" w:rsidR="00615607">
        <w:rPr>
          <w:rFonts w:ascii="Verdana" w:hAnsi="Verdana"/>
          <w:sz w:val="18"/>
          <w:szCs w:val="18"/>
        </w:rPr>
        <w:t>etwerken (</w:t>
      </w:r>
      <w:r w:rsidR="00D404BA">
        <w:rPr>
          <w:rFonts w:ascii="Verdana" w:hAnsi="Verdana"/>
          <w:sz w:val="18"/>
          <w:szCs w:val="18"/>
        </w:rPr>
        <w:t xml:space="preserve">hierna: </w:t>
      </w:r>
      <w:r w:rsidRPr="00615607" w:rsidR="00615607">
        <w:rPr>
          <w:rFonts w:ascii="Verdana" w:hAnsi="Verdana"/>
          <w:sz w:val="18"/>
          <w:szCs w:val="18"/>
        </w:rPr>
        <w:t xml:space="preserve">TEN-E) op het gebied van elektriciteit, waterstof, elektrolyse, </w:t>
      </w:r>
      <w:r w:rsidR="00F67DE0">
        <w:rPr>
          <w:rFonts w:ascii="Verdana" w:hAnsi="Verdana"/>
          <w:sz w:val="18"/>
          <w:szCs w:val="18"/>
        </w:rPr>
        <w:t>CO2- en wind-op-zee-</w:t>
      </w:r>
      <w:r w:rsidR="00412B98">
        <w:rPr>
          <w:rFonts w:ascii="Verdana" w:hAnsi="Verdana"/>
          <w:sz w:val="18"/>
          <w:szCs w:val="18"/>
        </w:rPr>
        <w:t>netten</w:t>
      </w:r>
      <w:r w:rsidRPr="00615607" w:rsidR="00615607">
        <w:rPr>
          <w:rFonts w:ascii="Verdana" w:hAnsi="Verdana"/>
          <w:sz w:val="18"/>
          <w:szCs w:val="18"/>
        </w:rPr>
        <w:t>, integratie van opslagcapaciteiten en digitalisering van het netwerk</w:t>
      </w:r>
      <w:r w:rsidR="00F67DE0">
        <w:rPr>
          <w:rFonts w:ascii="Verdana" w:hAnsi="Verdana"/>
          <w:sz w:val="18"/>
          <w:szCs w:val="18"/>
        </w:rPr>
        <w:t>.</w:t>
      </w:r>
      <w:r w:rsidRPr="00615607" w:rsidR="00615607">
        <w:rPr>
          <w:rFonts w:ascii="Verdana" w:hAnsi="Verdana"/>
          <w:sz w:val="18"/>
          <w:szCs w:val="18"/>
        </w:rPr>
        <w:t xml:space="preserve"> </w:t>
      </w:r>
      <w:r w:rsidR="00F67DE0">
        <w:rPr>
          <w:rFonts w:ascii="Verdana" w:hAnsi="Verdana"/>
          <w:sz w:val="18"/>
          <w:szCs w:val="18"/>
        </w:rPr>
        <w:t>D</w:t>
      </w:r>
      <w:r w:rsidRPr="00615607" w:rsidR="00615607">
        <w:rPr>
          <w:rFonts w:ascii="Verdana" w:hAnsi="Verdana"/>
          <w:sz w:val="18"/>
          <w:szCs w:val="18"/>
        </w:rPr>
        <w:t xml:space="preserve">eze projecten </w:t>
      </w:r>
      <w:r w:rsidR="00F67DE0">
        <w:rPr>
          <w:rFonts w:ascii="Verdana" w:hAnsi="Verdana"/>
          <w:sz w:val="18"/>
          <w:szCs w:val="18"/>
        </w:rPr>
        <w:t xml:space="preserve">moeten </w:t>
      </w:r>
      <w:r w:rsidRPr="00615607" w:rsidR="00615607">
        <w:rPr>
          <w:rFonts w:ascii="Verdana" w:hAnsi="Verdana"/>
          <w:sz w:val="18"/>
          <w:szCs w:val="18"/>
        </w:rPr>
        <w:t xml:space="preserve">de status hebben van gemeenschappelijk Europees belang of van wederzijds belang </w:t>
      </w:r>
      <w:r w:rsidR="00F67DE0">
        <w:rPr>
          <w:rFonts w:ascii="Verdana" w:hAnsi="Verdana"/>
          <w:sz w:val="18"/>
          <w:szCs w:val="18"/>
        </w:rPr>
        <w:t>zoals vastgesteld in artikel 18</w:t>
      </w:r>
      <w:r w:rsidRPr="00615607" w:rsidR="00615607">
        <w:rPr>
          <w:rFonts w:ascii="Verdana" w:hAnsi="Verdana"/>
          <w:sz w:val="18"/>
          <w:szCs w:val="18"/>
        </w:rPr>
        <w:t xml:space="preserve"> onder de huidige TEN-E </w:t>
      </w:r>
      <w:r w:rsidR="00C0334A">
        <w:rPr>
          <w:rFonts w:ascii="Verdana" w:hAnsi="Verdana"/>
          <w:sz w:val="18"/>
          <w:szCs w:val="18"/>
        </w:rPr>
        <w:t>v</w:t>
      </w:r>
      <w:r w:rsidRPr="00615607" w:rsidR="00615607">
        <w:rPr>
          <w:rFonts w:ascii="Verdana" w:hAnsi="Verdana"/>
          <w:sz w:val="18"/>
          <w:szCs w:val="18"/>
        </w:rPr>
        <w:t>erordening</w:t>
      </w:r>
      <w:r w:rsidRPr="00C0334A" w:rsidR="00615607">
        <w:rPr>
          <w:rFonts w:ascii="Verdana" w:hAnsi="Verdana"/>
          <w:sz w:val="18"/>
          <w:szCs w:val="18"/>
        </w:rPr>
        <w:t xml:space="preserve">. </w:t>
      </w:r>
      <w:r w:rsidRPr="00C0334A" w:rsidR="00F67DE0">
        <w:rPr>
          <w:rFonts w:ascii="Verdana" w:hAnsi="Verdana"/>
          <w:sz w:val="18"/>
          <w:szCs w:val="18"/>
        </w:rPr>
        <w:t xml:space="preserve">Ten tweede, </w:t>
      </w:r>
      <w:r w:rsidR="00412B98">
        <w:rPr>
          <w:rFonts w:ascii="Verdana" w:hAnsi="Verdana"/>
          <w:sz w:val="18"/>
          <w:szCs w:val="18"/>
        </w:rPr>
        <w:t xml:space="preserve">het </w:t>
      </w:r>
      <w:r w:rsidRPr="00C0334A" w:rsidR="00F67DE0">
        <w:rPr>
          <w:rFonts w:ascii="Verdana" w:hAnsi="Verdana"/>
          <w:sz w:val="18"/>
          <w:szCs w:val="18"/>
        </w:rPr>
        <w:t xml:space="preserve">CEF </w:t>
      </w:r>
      <w:r w:rsidRPr="00C0334A" w:rsidR="00C0334A">
        <w:rPr>
          <w:rFonts w:ascii="Verdana" w:hAnsi="Verdana"/>
          <w:sz w:val="18"/>
          <w:szCs w:val="18"/>
        </w:rPr>
        <w:t xml:space="preserve">moet </w:t>
      </w:r>
      <w:r w:rsidRPr="00412B98" w:rsidR="00412B98">
        <w:rPr>
          <w:rFonts w:ascii="Verdana" w:hAnsi="Verdana"/>
          <w:sz w:val="18"/>
          <w:szCs w:val="18"/>
        </w:rPr>
        <w:t>samenwerking faciliteren op gebied van hernieuwbare energie door financiële steun te verlenen aan de projecten</w:t>
      </w:r>
      <w:r w:rsidR="00412B98">
        <w:rPr>
          <w:rFonts w:ascii="Verdana" w:hAnsi="Verdana"/>
          <w:sz w:val="18"/>
          <w:szCs w:val="18"/>
        </w:rPr>
        <w:t>,</w:t>
      </w:r>
      <w:r w:rsidRPr="00412B98" w:rsidR="00412B98">
        <w:rPr>
          <w:rFonts w:ascii="Verdana" w:hAnsi="Verdana"/>
          <w:sz w:val="18"/>
          <w:szCs w:val="18"/>
        </w:rPr>
        <w:t xml:space="preserve"> die gebaseerd zijn op een samenwerkingsovereenkomst tussen lidstaten in het kader van de Richtlijn Hernieuwbare Energie</w:t>
      </w:r>
      <w:r w:rsidR="00412B98">
        <w:rPr>
          <w:rFonts w:ascii="Verdana" w:hAnsi="Verdana"/>
          <w:sz w:val="18"/>
          <w:szCs w:val="18"/>
        </w:rPr>
        <w:t xml:space="preserve"> </w:t>
      </w:r>
      <w:r w:rsidRPr="00412B98" w:rsidR="00412B98">
        <w:rPr>
          <w:rFonts w:ascii="Verdana" w:hAnsi="Verdana"/>
          <w:sz w:val="18"/>
          <w:szCs w:val="18"/>
        </w:rPr>
        <w:t xml:space="preserve">of via een aanbestedingsprocedure voor hernieuwbare energieprojecten in het kader van het financieringsmechanisme van de EU voor hernieuwbare energie zoals vastgesteld </w:t>
      </w:r>
      <w:r w:rsidRPr="00C0334A" w:rsidR="00F67DE0">
        <w:rPr>
          <w:rFonts w:ascii="Verdana" w:hAnsi="Verdana"/>
          <w:sz w:val="18"/>
          <w:szCs w:val="18"/>
        </w:rPr>
        <w:t>in artikel 33 van de Verordening (</w:t>
      </w:r>
      <w:r w:rsidRPr="00C0334A" w:rsidR="00C0334A">
        <w:rPr>
          <w:rFonts w:ascii="Verdana" w:hAnsi="Verdana"/>
          <w:sz w:val="18"/>
          <w:szCs w:val="18"/>
        </w:rPr>
        <w:t>EU</w:t>
      </w:r>
      <w:r w:rsidRPr="00C0334A" w:rsidR="00F67DE0">
        <w:rPr>
          <w:rFonts w:ascii="Verdana" w:hAnsi="Verdana"/>
          <w:sz w:val="18"/>
          <w:szCs w:val="18"/>
        </w:rPr>
        <w:t>)</w:t>
      </w:r>
      <w:r w:rsidRPr="00C0334A" w:rsidR="00C0334A">
        <w:rPr>
          <w:rFonts w:ascii="Verdana" w:hAnsi="Verdana"/>
          <w:sz w:val="18"/>
          <w:szCs w:val="18"/>
        </w:rPr>
        <w:t xml:space="preserve"> 2018/1999</w:t>
      </w:r>
      <w:r w:rsidRPr="00C0334A" w:rsidR="00F67DE0">
        <w:rPr>
          <w:rFonts w:ascii="Verdana" w:hAnsi="Verdana"/>
          <w:sz w:val="18"/>
          <w:szCs w:val="18"/>
        </w:rPr>
        <w:t xml:space="preserve"> inzake de </w:t>
      </w:r>
      <w:proofErr w:type="spellStart"/>
      <w:r w:rsidRPr="00C0334A" w:rsidR="00F67DE0">
        <w:rPr>
          <w:rFonts w:ascii="Verdana" w:hAnsi="Verdana"/>
          <w:i/>
          <w:iCs/>
          <w:sz w:val="18"/>
          <w:szCs w:val="18"/>
        </w:rPr>
        <w:t>governance</w:t>
      </w:r>
      <w:proofErr w:type="spellEnd"/>
      <w:r w:rsidRPr="00C0334A" w:rsidR="00F67DE0">
        <w:rPr>
          <w:rFonts w:ascii="Verdana" w:hAnsi="Verdana"/>
          <w:sz w:val="18"/>
          <w:szCs w:val="18"/>
        </w:rPr>
        <w:t xml:space="preserve"> van de energie-unie en klimaatactie.</w:t>
      </w:r>
      <w:r w:rsidRPr="00615607" w:rsidR="00615607">
        <w:rPr>
          <w:rFonts w:ascii="Verdana" w:hAnsi="Verdana"/>
          <w:sz w:val="18"/>
          <w:szCs w:val="18"/>
        </w:rPr>
        <w:t xml:space="preserve"> </w:t>
      </w:r>
      <w:r w:rsidRPr="00C0334A" w:rsidR="00F67DE0">
        <w:rPr>
          <w:rFonts w:ascii="Verdana" w:hAnsi="Verdana"/>
          <w:sz w:val="18"/>
          <w:szCs w:val="18"/>
        </w:rPr>
        <w:t>Het voorstel onderstreept het belang van investeringen in grensoverschrijdende netwerken mede met het oog op de groeiende behoefte voor grensoverschrijdende capaciteit.</w:t>
      </w:r>
    </w:p>
    <w:p w:rsidRPr="00615607" w:rsidR="00412B98" w:rsidP="00615607" w:rsidRDefault="00412B98" w14:paraId="6583B4A3" w14:textId="77777777">
      <w:pPr>
        <w:spacing w:line="360" w:lineRule="auto"/>
        <w:rPr>
          <w:rFonts w:ascii="Verdana" w:hAnsi="Verdana"/>
          <w:sz w:val="18"/>
          <w:szCs w:val="18"/>
        </w:rPr>
      </w:pPr>
    </w:p>
    <w:p w:rsidR="00B465D7" w:rsidP="003B3DB3" w:rsidRDefault="00F521A2" w14:paraId="117F2394" w14:textId="2E433F66">
      <w:pPr>
        <w:spacing w:line="360" w:lineRule="auto"/>
        <w:rPr>
          <w:rFonts w:ascii="Verdana" w:hAnsi="Verdana"/>
          <w:sz w:val="18"/>
          <w:szCs w:val="18"/>
        </w:rPr>
      </w:pPr>
      <w:r>
        <w:rPr>
          <w:rFonts w:ascii="Verdana" w:hAnsi="Verdana"/>
          <w:sz w:val="18"/>
          <w:szCs w:val="18"/>
        </w:rPr>
        <w:t xml:space="preserve">De Commissie behoudt het CEF in </w:t>
      </w:r>
      <w:r w:rsidR="00EF37D7">
        <w:rPr>
          <w:rFonts w:ascii="Verdana" w:hAnsi="Verdana"/>
          <w:sz w:val="18"/>
          <w:szCs w:val="18"/>
        </w:rPr>
        <w:t>direct</w:t>
      </w:r>
      <w:r>
        <w:rPr>
          <w:rFonts w:ascii="Verdana" w:hAnsi="Verdana"/>
          <w:sz w:val="18"/>
          <w:szCs w:val="18"/>
        </w:rPr>
        <w:t xml:space="preserve"> beheer, wat betekent dat zij samen met </w:t>
      </w:r>
      <w:r w:rsidR="00E942A6">
        <w:rPr>
          <w:rFonts w:ascii="Verdana" w:hAnsi="Verdana"/>
          <w:sz w:val="18"/>
          <w:szCs w:val="18"/>
        </w:rPr>
        <w:t xml:space="preserve">uitvoeringsorganisatie </w:t>
      </w:r>
      <w:r w:rsidRPr="00954316" w:rsidR="002A2C68">
        <w:rPr>
          <w:rFonts w:ascii="Verdana" w:hAnsi="Verdana"/>
          <w:i/>
          <w:iCs/>
          <w:sz w:val="18"/>
          <w:szCs w:val="18"/>
        </w:rPr>
        <w:t xml:space="preserve">European </w:t>
      </w:r>
      <w:proofErr w:type="spellStart"/>
      <w:r w:rsidRPr="00954316" w:rsidR="002A2C68">
        <w:rPr>
          <w:rFonts w:ascii="Verdana" w:hAnsi="Verdana"/>
          <w:i/>
          <w:iCs/>
          <w:sz w:val="18"/>
          <w:szCs w:val="18"/>
        </w:rPr>
        <w:t>Climate</w:t>
      </w:r>
      <w:proofErr w:type="spellEnd"/>
      <w:r w:rsidRPr="00954316" w:rsidR="002A2C68">
        <w:rPr>
          <w:rFonts w:ascii="Verdana" w:hAnsi="Verdana"/>
          <w:i/>
          <w:iCs/>
          <w:sz w:val="18"/>
          <w:szCs w:val="18"/>
        </w:rPr>
        <w:t xml:space="preserve">, </w:t>
      </w:r>
      <w:proofErr w:type="spellStart"/>
      <w:r w:rsidRPr="00954316" w:rsidR="002A2C68">
        <w:rPr>
          <w:rFonts w:ascii="Verdana" w:hAnsi="Verdana"/>
          <w:i/>
          <w:iCs/>
          <w:sz w:val="18"/>
          <w:szCs w:val="18"/>
        </w:rPr>
        <w:t>Infrastructure</w:t>
      </w:r>
      <w:proofErr w:type="spellEnd"/>
      <w:r w:rsidRPr="00954316" w:rsidR="002A2C68">
        <w:rPr>
          <w:rFonts w:ascii="Verdana" w:hAnsi="Verdana"/>
          <w:i/>
          <w:iCs/>
          <w:sz w:val="18"/>
          <w:szCs w:val="18"/>
        </w:rPr>
        <w:t xml:space="preserve"> and Environment Executive Agency</w:t>
      </w:r>
      <w:r w:rsidR="002A2C68">
        <w:rPr>
          <w:rFonts w:ascii="Verdana" w:hAnsi="Verdana"/>
          <w:sz w:val="18"/>
          <w:szCs w:val="18"/>
        </w:rPr>
        <w:t xml:space="preserve"> (hierna: CINEA)</w:t>
      </w:r>
      <w:r w:rsidRPr="002A2C68" w:rsidDel="002A2C68" w:rsidR="002A2C68">
        <w:rPr>
          <w:rFonts w:ascii="Verdana" w:hAnsi="Verdana"/>
          <w:sz w:val="18"/>
          <w:szCs w:val="18"/>
        </w:rPr>
        <w:t xml:space="preserve"> </w:t>
      </w:r>
      <w:r w:rsidR="00E942A6">
        <w:rPr>
          <w:rFonts w:ascii="Verdana" w:hAnsi="Verdana"/>
          <w:sz w:val="18"/>
          <w:szCs w:val="18"/>
        </w:rPr>
        <w:t xml:space="preserve">de </w:t>
      </w:r>
      <w:r w:rsidR="00E942A6">
        <w:rPr>
          <w:rFonts w:ascii="Verdana" w:hAnsi="Verdana"/>
          <w:i/>
          <w:iCs/>
          <w:sz w:val="18"/>
          <w:szCs w:val="18"/>
        </w:rPr>
        <w:t xml:space="preserve">calls </w:t>
      </w:r>
      <w:r w:rsidR="00E942A6">
        <w:rPr>
          <w:rFonts w:ascii="Verdana" w:hAnsi="Verdana"/>
          <w:sz w:val="18"/>
          <w:szCs w:val="18"/>
        </w:rPr>
        <w:t xml:space="preserve">uitzetten en financiering toekennen. </w:t>
      </w:r>
      <w:r w:rsidR="002D79B1">
        <w:rPr>
          <w:rFonts w:ascii="Verdana" w:hAnsi="Verdana"/>
          <w:sz w:val="18"/>
          <w:szCs w:val="18"/>
        </w:rPr>
        <w:t xml:space="preserve">Daarnaast legt het voorstel nadruk op het stroomlijnen van </w:t>
      </w:r>
      <w:r w:rsidR="00412B98">
        <w:rPr>
          <w:rFonts w:ascii="Verdana" w:hAnsi="Verdana"/>
          <w:sz w:val="18"/>
          <w:szCs w:val="18"/>
        </w:rPr>
        <w:t xml:space="preserve">de </w:t>
      </w:r>
      <w:r w:rsidR="002D79B1">
        <w:rPr>
          <w:rFonts w:ascii="Verdana" w:hAnsi="Verdana"/>
          <w:sz w:val="18"/>
          <w:szCs w:val="18"/>
        </w:rPr>
        <w:t>MFK</w:t>
      </w:r>
      <w:r w:rsidR="00412B98">
        <w:rPr>
          <w:rFonts w:ascii="Verdana" w:hAnsi="Verdana"/>
          <w:sz w:val="18"/>
          <w:szCs w:val="18"/>
        </w:rPr>
        <w:t>-financieringsmogelijkheden</w:t>
      </w:r>
      <w:r w:rsidR="0043199A">
        <w:rPr>
          <w:rFonts w:ascii="Verdana" w:hAnsi="Verdana"/>
          <w:sz w:val="18"/>
          <w:szCs w:val="18"/>
        </w:rPr>
        <w:t xml:space="preserve">. </w:t>
      </w:r>
      <w:r w:rsidR="00954316">
        <w:rPr>
          <w:rFonts w:ascii="Verdana" w:hAnsi="Verdana"/>
          <w:sz w:val="18"/>
          <w:szCs w:val="18"/>
        </w:rPr>
        <w:t>P</w:t>
      </w:r>
      <w:r w:rsidR="0043199A">
        <w:rPr>
          <w:rFonts w:ascii="Verdana" w:hAnsi="Verdana"/>
          <w:sz w:val="18"/>
          <w:szCs w:val="18"/>
        </w:rPr>
        <w:t xml:space="preserve">rojecten die uit andere bronnen al financiering hebben ontvangen, kunnen nog steeds in aanmerking komen voor CEF-financiering. </w:t>
      </w:r>
      <w:r w:rsidRPr="00412B98" w:rsidR="00412B98">
        <w:rPr>
          <w:rFonts w:ascii="Verdana" w:hAnsi="Verdana"/>
          <w:sz w:val="18"/>
          <w:szCs w:val="18"/>
        </w:rPr>
        <w:t xml:space="preserve">Dat betekent dat verschillende bronnen financiering gecombineerd mogen worden, mits deze steeds andere delen en kosten van het project dekken. </w:t>
      </w:r>
      <w:r>
        <w:rPr>
          <w:rFonts w:ascii="Verdana" w:hAnsi="Verdana"/>
          <w:sz w:val="18"/>
          <w:szCs w:val="18"/>
        </w:rPr>
        <w:t xml:space="preserve">Het CEF </w:t>
      </w:r>
      <w:r w:rsidR="00EA6927">
        <w:rPr>
          <w:rFonts w:ascii="Verdana" w:hAnsi="Verdana"/>
          <w:sz w:val="18"/>
          <w:szCs w:val="18"/>
        </w:rPr>
        <w:t>staat</w:t>
      </w:r>
      <w:r>
        <w:rPr>
          <w:rFonts w:ascii="Verdana" w:hAnsi="Verdana"/>
          <w:sz w:val="18"/>
          <w:szCs w:val="18"/>
        </w:rPr>
        <w:t xml:space="preserve"> open voor derde landen, </w:t>
      </w:r>
      <w:r w:rsidR="002A2C68">
        <w:rPr>
          <w:rFonts w:ascii="Verdana" w:hAnsi="Verdana"/>
          <w:sz w:val="18"/>
          <w:szCs w:val="18"/>
        </w:rPr>
        <w:t>mits zij</w:t>
      </w:r>
      <w:r>
        <w:rPr>
          <w:rFonts w:ascii="Verdana" w:hAnsi="Verdana"/>
          <w:sz w:val="18"/>
          <w:szCs w:val="18"/>
        </w:rPr>
        <w:t xml:space="preserve"> opgenomen zijn in de </w:t>
      </w:r>
      <w:r w:rsidR="009E44C3">
        <w:rPr>
          <w:rFonts w:ascii="Verdana" w:hAnsi="Verdana"/>
          <w:sz w:val="18"/>
          <w:szCs w:val="18"/>
        </w:rPr>
        <w:t>trans-</w:t>
      </w:r>
      <w:r>
        <w:rPr>
          <w:rFonts w:ascii="Verdana" w:hAnsi="Verdana"/>
          <w:sz w:val="18"/>
          <w:szCs w:val="18"/>
        </w:rPr>
        <w:t>Europese netwerken</w:t>
      </w:r>
      <w:r w:rsidR="00A24072">
        <w:rPr>
          <w:rFonts w:ascii="Verdana" w:hAnsi="Verdana"/>
          <w:sz w:val="18"/>
          <w:szCs w:val="18"/>
        </w:rPr>
        <w:t xml:space="preserve"> </w:t>
      </w:r>
      <w:r w:rsidRPr="00415114" w:rsidR="00A24072">
        <w:rPr>
          <w:rFonts w:ascii="Verdana" w:hAnsi="Verdana"/>
          <w:sz w:val="18"/>
          <w:szCs w:val="18"/>
        </w:rPr>
        <w:t>en er een associatieovereenkomst is gesloten</w:t>
      </w:r>
      <w:r>
        <w:rPr>
          <w:rFonts w:ascii="Verdana" w:hAnsi="Verdana"/>
          <w:sz w:val="18"/>
          <w:szCs w:val="18"/>
        </w:rPr>
        <w:t xml:space="preserve">. Het voorstel houdt ook vast aan het competitieve </w:t>
      </w:r>
      <w:r w:rsidR="0030599E">
        <w:rPr>
          <w:rFonts w:ascii="Verdana" w:hAnsi="Verdana"/>
          <w:sz w:val="18"/>
          <w:szCs w:val="18"/>
        </w:rPr>
        <w:t>selectie</w:t>
      </w:r>
      <w:r>
        <w:rPr>
          <w:rFonts w:ascii="Verdana" w:hAnsi="Verdana"/>
          <w:sz w:val="18"/>
          <w:szCs w:val="18"/>
        </w:rPr>
        <w:t>systeem om projectaanvragen goed te keuren</w:t>
      </w:r>
      <w:r w:rsidR="0030599E">
        <w:rPr>
          <w:rFonts w:ascii="Verdana" w:hAnsi="Verdana"/>
          <w:sz w:val="18"/>
          <w:szCs w:val="18"/>
        </w:rPr>
        <w:t xml:space="preserve">, en houdt als regel aan dat maximaal 50 procent van het project kan worden gefinancierd uit het CEF. </w:t>
      </w:r>
      <w:r w:rsidR="0036529D">
        <w:rPr>
          <w:rFonts w:ascii="Verdana" w:hAnsi="Verdana"/>
          <w:sz w:val="18"/>
          <w:szCs w:val="18"/>
        </w:rPr>
        <w:t>Andere percentages zijn mogelijk i</w:t>
      </w:r>
      <w:r w:rsidR="00412B98">
        <w:rPr>
          <w:rFonts w:ascii="Verdana" w:hAnsi="Verdana"/>
          <w:sz w:val="18"/>
          <w:szCs w:val="18"/>
        </w:rPr>
        <w:t>n</w:t>
      </w:r>
      <w:r w:rsidR="0036529D">
        <w:rPr>
          <w:rFonts w:ascii="Verdana" w:hAnsi="Verdana"/>
          <w:sz w:val="18"/>
          <w:szCs w:val="18"/>
        </w:rPr>
        <w:t xml:space="preserve"> sommige gevallen, </w:t>
      </w:r>
      <w:r w:rsidR="00EA6927">
        <w:rPr>
          <w:rFonts w:ascii="Verdana" w:hAnsi="Verdana"/>
          <w:sz w:val="18"/>
          <w:szCs w:val="18"/>
        </w:rPr>
        <w:t xml:space="preserve">bijvoorbeeld </w:t>
      </w:r>
      <w:r w:rsidR="0036529D">
        <w:rPr>
          <w:rFonts w:ascii="Verdana" w:hAnsi="Verdana"/>
          <w:sz w:val="18"/>
          <w:szCs w:val="18"/>
        </w:rPr>
        <w:t xml:space="preserve">voor </w:t>
      </w:r>
      <w:r w:rsidR="00EA6927">
        <w:rPr>
          <w:rFonts w:ascii="Verdana" w:hAnsi="Verdana"/>
          <w:sz w:val="18"/>
          <w:szCs w:val="18"/>
        </w:rPr>
        <w:t xml:space="preserve">perifere regio’s en EU-lidstaten met een significant lager </w:t>
      </w:r>
      <w:r w:rsidR="009B017D">
        <w:rPr>
          <w:rFonts w:ascii="Verdana" w:hAnsi="Verdana"/>
          <w:sz w:val="18"/>
          <w:szCs w:val="18"/>
        </w:rPr>
        <w:t>bruto binnenlands product</w:t>
      </w:r>
      <w:r w:rsidR="00EA6927">
        <w:rPr>
          <w:rFonts w:ascii="Verdana" w:hAnsi="Verdana"/>
          <w:sz w:val="18"/>
          <w:szCs w:val="18"/>
        </w:rPr>
        <w:t xml:space="preserve">. </w:t>
      </w:r>
    </w:p>
    <w:p w:rsidR="0030599E" w:rsidP="003B3DB3" w:rsidRDefault="0030599E" w14:paraId="1B876E9B" w14:textId="77777777">
      <w:pPr>
        <w:spacing w:line="360" w:lineRule="auto"/>
        <w:rPr>
          <w:rFonts w:ascii="Verdana" w:hAnsi="Verdana"/>
          <w:sz w:val="18"/>
          <w:szCs w:val="18"/>
        </w:rPr>
      </w:pPr>
    </w:p>
    <w:p w:rsidRPr="002D79B1" w:rsidR="002A13FB" w:rsidP="002A13FB" w:rsidRDefault="002A13FB" w14:paraId="7F0FD270" w14:textId="0FBBB555">
      <w:pPr>
        <w:spacing w:line="360" w:lineRule="auto"/>
        <w:rPr>
          <w:rFonts w:ascii="Verdana" w:hAnsi="Verdana"/>
          <w:sz w:val="18"/>
          <w:szCs w:val="18"/>
        </w:rPr>
      </w:pPr>
      <w:r>
        <w:rPr>
          <w:rFonts w:ascii="Verdana" w:hAnsi="Verdana"/>
          <w:sz w:val="18"/>
          <w:szCs w:val="18"/>
        </w:rPr>
        <w:t xml:space="preserve">Het voorstel bevat twee </w:t>
      </w:r>
      <w:r w:rsidR="0043199A">
        <w:rPr>
          <w:rFonts w:ascii="Verdana" w:hAnsi="Verdana"/>
          <w:sz w:val="18"/>
          <w:szCs w:val="18"/>
        </w:rPr>
        <w:t>wijzigingen</w:t>
      </w:r>
      <w:r w:rsidR="002F6596">
        <w:rPr>
          <w:rFonts w:ascii="Verdana" w:hAnsi="Verdana"/>
          <w:sz w:val="18"/>
          <w:szCs w:val="18"/>
        </w:rPr>
        <w:t xml:space="preserve"> ten aanzien van de huidige CEF-verordening</w:t>
      </w:r>
      <w:r>
        <w:rPr>
          <w:rFonts w:ascii="Verdana" w:hAnsi="Verdana"/>
          <w:sz w:val="18"/>
          <w:szCs w:val="18"/>
        </w:rPr>
        <w:t xml:space="preserve">. </w:t>
      </w:r>
      <w:r w:rsidR="0043199A">
        <w:rPr>
          <w:rFonts w:ascii="Verdana" w:hAnsi="Verdana"/>
          <w:sz w:val="18"/>
          <w:szCs w:val="18"/>
        </w:rPr>
        <w:t xml:space="preserve">De </w:t>
      </w:r>
      <w:r>
        <w:rPr>
          <w:rFonts w:ascii="Verdana" w:hAnsi="Verdana"/>
          <w:sz w:val="18"/>
          <w:szCs w:val="18"/>
        </w:rPr>
        <w:t xml:space="preserve">eerste </w:t>
      </w:r>
      <w:r w:rsidR="0043199A">
        <w:rPr>
          <w:rFonts w:ascii="Verdana" w:hAnsi="Verdana"/>
          <w:sz w:val="18"/>
          <w:szCs w:val="18"/>
        </w:rPr>
        <w:t>wijziging</w:t>
      </w:r>
      <w:r w:rsidR="00721544">
        <w:rPr>
          <w:rFonts w:ascii="Verdana" w:hAnsi="Verdana"/>
          <w:sz w:val="18"/>
          <w:szCs w:val="18"/>
        </w:rPr>
        <w:t xml:space="preserve"> heeft betrekking op het transportdeel en betreft</w:t>
      </w:r>
      <w:r>
        <w:rPr>
          <w:rFonts w:ascii="Verdana" w:hAnsi="Verdana"/>
          <w:sz w:val="18"/>
          <w:szCs w:val="18"/>
        </w:rPr>
        <w:t xml:space="preserve"> </w:t>
      </w:r>
      <w:r w:rsidR="0043199A">
        <w:rPr>
          <w:rFonts w:ascii="Verdana" w:hAnsi="Verdana"/>
          <w:sz w:val="18"/>
          <w:szCs w:val="18"/>
        </w:rPr>
        <w:t>het</w:t>
      </w:r>
      <w:r>
        <w:rPr>
          <w:rFonts w:ascii="Verdana" w:hAnsi="Verdana"/>
          <w:sz w:val="18"/>
          <w:szCs w:val="18"/>
        </w:rPr>
        <w:t xml:space="preserve"> </w:t>
      </w:r>
      <w:r w:rsidR="00721544">
        <w:rPr>
          <w:rFonts w:ascii="Verdana" w:hAnsi="Verdana"/>
          <w:sz w:val="18"/>
          <w:szCs w:val="18"/>
        </w:rPr>
        <w:t xml:space="preserve">veranderen van de rechtsgrondslag van de CEF-verordening naar de TEN-T verordening door het aanpassen </w:t>
      </w:r>
      <w:r>
        <w:rPr>
          <w:rFonts w:ascii="Verdana" w:hAnsi="Verdana"/>
          <w:sz w:val="18"/>
          <w:szCs w:val="18"/>
        </w:rPr>
        <w:t xml:space="preserve">van Artikel 48 van de TEN-T </w:t>
      </w:r>
      <w:r w:rsidR="00954316">
        <w:rPr>
          <w:rFonts w:ascii="Verdana" w:hAnsi="Verdana"/>
          <w:sz w:val="18"/>
          <w:szCs w:val="18"/>
        </w:rPr>
        <w:t>v</w:t>
      </w:r>
      <w:r>
        <w:rPr>
          <w:rFonts w:ascii="Verdana" w:hAnsi="Verdana"/>
          <w:sz w:val="18"/>
          <w:szCs w:val="18"/>
        </w:rPr>
        <w:t>erordening</w:t>
      </w:r>
      <w:r w:rsidR="00721544">
        <w:rPr>
          <w:rFonts w:ascii="Verdana" w:hAnsi="Verdana"/>
          <w:sz w:val="18"/>
          <w:szCs w:val="18"/>
        </w:rPr>
        <w:t>,</w:t>
      </w:r>
      <w:r>
        <w:rPr>
          <w:rFonts w:ascii="Verdana" w:hAnsi="Verdana"/>
          <w:sz w:val="18"/>
          <w:szCs w:val="18"/>
        </w:rPr>
        <w:t xml:space="preserve"> door een derde paragraaf toe te voegen. Met deze aanpassing geven de lidstaten de Commissie het recht om een uitvoeringshandeling aan te nemen, waarin de infrastructurele vereisten voor </w:t>
      </w:r>
      <w:r w:rsidRPr="00E622F5">
        <w:rPr>
          <w:rFonts w:ascii="Verdana" w:hAnsi="Verdana"/>
          <w:sz w:val="18"/>
          <w:szCs w:val="18"/>
        </w:rPr>
        <w:t xml:space="preserve">de </w:t>
      </w:r>
      <w:proofErr w:type="spellStart"/>
      <w:r w:rsidRPr="00954316">
        <w:rPr>
          <w:rFonts w:ascii="Verdana" w:hAnsi="Verdana"/>
          <w:i/>
          <w:iCs/>
          <w:sz w:val="18"/>
          <w:szCs w:val="18"/>
        </w:rPr>
        <w:t>dual-use</w:t>
      </w:r>
      <w:proofErr w:type="spellEnd"/>
      <w:r w:rsidRPr="00E622F5">
        <w:rPr>
          <w:rFonts w:ascii="Verdana" w:hAnsi="Verdana"/>
          <w:sz w:val="18"/>
          <w:szCs w:val="18"/>
        </w:rPr>
        <w:t xml:space="preserve"> infrastructuur worden gespecificeerd.</w:t>
      </w:r>
      <w:r>
        <w:rPr>
          <w:rFonts w:ascii="Verdana" w:hAnsi="Verdana"/>
          <w:sz w:val="18"/>
          <w:szCs w:val="18"/>
        </w:rPr>
        <w:t xml:space="preserve"> </w:t>
      </w:r>
      <w:r w:rsidR="0043199A">
        <w:rPr>
          <w:rFonts w:ascii="Verdana" w:hAnsi="Verdana"/>
          <w:sz w:val="18"/>
          <w:szCs w:val="18"/>
        </w:rPr>
        <w:t xml:space="preserve">De </w:t>
      </w:r>
      <w:r>
        <w:rPr>
          <w:rFonts w:ascii="Verdana" w:hAnsi="Verdana"/>
          <w:sz w:val="18"/>
          <w:szCs w:val="18"/>
        </w:rPr>
        <w:t xml:space="preserve">tweede </w:t>
      </w:r>
      <w:r w:rsidR="0043199A">
        <w:rPr>
          <w:rFonts w:ascii="Verdana" w:hAnsi="Verdana"/>
          <w:sz w:val="18"/>
          <w:szCs w:val="18"/>
        </w:rPr>
        <w:t xml:space="preserve">wijziging </w:t>
      </w:r>
      <w:r w:rsidR="00721544">
        <w:rPr>
          <w:rFonts w:ascii="Verdana" w:hAnsi="Verdana"/>
          <w:sz w:val="18"/>
          <w:szCs w:val="18"/>
        </w:rPr>
        <w:t xml:space="preserve">heeft betrekking op het transport- en energiedeel en houdt in </w:t>
      </w:r>
      <w:r>
        <w:rPr>
          <w:rFonts w:ascii="Verdana" w:hAnsi="Verdana"/>
          <w:sz w:val="18"/>
          <w:szCs w:val="18"/>
        </w:rPr>
        <w:t xml:space="preserve">dat de implementatie van het CEF </w:t>
      </w:r>
      <w:r w:rsidR="0043199A">
        <w:rPr>
          <w:rFonts w:ascii="Verdana" w:hAnsi="Verdana"/>
          <w:sz w:val="18"/>
          <w:szCs w:val="18"/>
        </w:rPr>
        <w:t xml:space="preserve">volledig </w:t>
      </w:r>
      <w:r>
        <w:rPr>
          <w:rFonts w:ascii="Verdana" w:hAnsi="Verdana"/>
          <w:sz w:val="18"/>
          <w:szCs w:val="18"/>
        </w:rPr>
        <w:t xml:space="preserve">verder wordt gespecificeerd in de werkprogramma’s horend bij de trans-Europese netwerken. </w:t>
      </w:r>
      <w:r w:rsidR="00721544">
        <w:rPr>
          <w:rFonts w:ascii="Verdana" w:hAnsi="Verdana"/>
          <w:sz w:val="18"/>
          <w:szCs w:val="18"/>
        </w:rPr>
        <w:t>Voor d</w:t>
      </w:r>
      <w:r>
        <w:rPr>
          <w:rFonts w:ascii="Verdana" w:hAnsi="Verdana"/>
          <w:sz w:val="18"/>
          <w:szCs w:val="18"/>
        </w:rPr>
        <w:t>eze werkprogramma’s worden de lidstaten</w:t>
      </w:r>
      <w:r w:rsidR="00721544">
        <w:rPr>
          <w:rFonts w:ascii="Verdana" w:hAnsi="Verdana"/>
          <w:sz w:val="18"/>
          <w:szCs w:val="18"/>
        </w:rPr>
        <w:t xml:space="preserve"> geconsulteerd via een </w:t>
      </w:r>
      <w:r w:rsidR="008F28C1">
        <w:rPr>
          <w:rFonts w:ascii="Verdana" w:hAnsi="Verdana"/>
          <w:sz w:val="18"/>
          <w:szCs w:val="18"/>
        </w:rPr>
        <w:lastRenderedPageBreak/>
        <w:t>raadplegingsprocedure</w:t>
      </w:r>
      <w:r>
        <w:rPr>
          <w:rFonts w:ascii="Verdana" w:hAnsi="Verdana"/>
          <w:sz w:val="18"/>
          <w:szCs w:val="18"/>
        </w:rPr>
        <w:t>, waarna het werkprogramma aangenomen wordt door de Commissie als</w:t>
      </w:r>
      <w:r w:rsidR="008F28C1">
        <w:rPr>
          <w:rFonts w:ascii="Verdana" w:hAnsi="Verdana"/>
          <w:sz w:val="18"/>
          <w:szCs w:val="18"/>
        </w:rPr>
        <w:t xml:space="preserve"> uitvoerings</w:t>
      </w:r>
      <w:r>
        <w:rPr>
          <w:rFonts w:ascii="Verdana" w:hAnsi="Verdana"/>
          <w:sz w:val="18"/>
          <w:szCs w:val="18"/>
        </w:rPr>
        <w:t xml:space="preserve">handeling. </w:t>
      </w:r>
    </w:p>
    <w:p w:rsidR="003B3DB3" w:rsidP="009E44C3" w:rsidRDefault="003B3DB3" w14:paraId="3437DDC4" w14:textId="4EBC6819">
      <w:pPr>
        <w:spacing w:before="240" w:after="240" w:line="360" w:lineRule="auto"/>
        <w:rPr>
          <w:rFonts w:ascii="Verdana" w:hAnsi="Verdana" w:eastAsia="Verdana" w:cs="Verdana"/>
          <w:sz w:val="18"/>
          <w:szCs w:val="18"/>
        </w:rPr>
      </w:pPr>
      <w:r w:rsidRPr="693DF4AC">
        <w:rPr>
          <w:rFonts w:ascii="Verdana" w:hAnsi="Verdana" w:eastAsia="Verdana" w:cs="Verdana"/>
          <w:i/>
          <w:iCs/>
          <w:sz w:val="18"/>
          <w:szCs w:val="18"/>
        </w:rPr>
        <w:t>b) Impact assessment Commissie</w:t>
      </w:r>
      <w:r>
        <w:br/>
      </w:r>
      <w:r w:rsidRPr="3FCC76C9">
        <w:rPr>
          <w:rFonts w:ascii="Verdana" w:hAnsi="Verdana" w:eastAsia="Verdana" w:cs="Verdana"/>
          <w:sz w:val="18"/>
          <w:szCs w:val="18"/>
        </w:rPr>
        <w:t xml:space="preserve">Het voorstel is </w:t>
      </w:r>
      <w:r w:rsidRPr="5C1AF499">
        <w:rPr>
          <w:rFonts w:ascii="Verdana" w:hAnsi="Verdana" w:eastAsia="Verdana" w:cs="Verdana"/>
          <w:sz w:val="18"/>
          <w:szCs w:val="18"/>
        </w:rPr>
        <w:t xml:space="preserve">gebaseerd op </w:t>
      </w:r>
      <w:r w:rsidRPr="559291E8" w:rsidR="00E622F5">
        <w:rPr>
          <w:rFonts w:ascii="Verdana" w:hAnsi="Verdana" w:eastAsia="Verdana" w:cs="Verdana"/>
          <w:sz w:val="18"/>
          <w:szCs w:val="18"/>
        </w:rPr>
        <w:t xml:space="preserve">beschikbare ex-post </w:t>
      </w:r>
      <w:r w:rsidRPr="75F7F395" w:rsidR="00E622F5">
        <w:rPr>
          <w:rFonts w:ascii="Verdana" w:hAnsi="Verdana" w:eastAsia="Verdana" w:cs="Verdana"/>
          <w:sz w:val="18"/>
          <w:szCs w:val="18"/>
        </w:rPr>
        <w:t>evaluaties</w:t>
      </w:r>
      <w:r w:rsidR="009B017D">
        <w:rPr>
          <w:rStyle w:val="FootnoteReference"/>
          <w:rFonts w:ascii="Verdana" w:hAnsi="Verdana" w:eastAsia="Verdana" w:cs="Verdana"/>
          <w:sz w:val="18"/>
          <w:szCs w:val="18"/>
        </w:rPr>
        <w:footnoteReference w:id="4"/>
      </w:r>
      <w:r w:rsidRPr="75F7F395" w:rsidR="00E622F5">
        <w:rPr>
          <w:rFonts w:ascii="Verdana" w:hAnsi="Verdana" w:eastAsia="Verdana" w:cs="Verdana"/>
          <w:sz w:val="18"/>
          <w:szCs w:val="18"/>
        </w:rPr>
        <w:t xml:space="preserve"> van </w:t>
      </w:r>
      <w:r w:rsidR="00E622F5">
        <w:rPr>
          <w:rFonts w:ascii="Verdana" w:hAnsi="Verdana" w:eastAsia="Verdana" w:cs="Verdana"/>
          <w:sz w:val="18"/>
          <w:szCs w:val="18"/>
        </w:rPr>
        <w:t>CEF 2014-2020 en de tussentijdse evaluatie van CEF 2021-2027</w:t>
      </w:r>
      <w:r w:rsidR="009E44C3">
        <w:rPr>
          <w:rFonts w:ascii="Verdana" w:hAnsi="Verdana" w:eastAsia="Verdana" w:cs="Verdana"/>
          <w:sz w:val="18"/>
          <w:szCs w:val="18"/>
        </w:rPr>
        <w:t xml:space="preserve">. Het CEF heeft een absorptiegraad </w:t>
      </w:r>
      <w:r w:rsidR="00AA5C74">
        <w:rPr>
          <w:rFonts w:ascii="Verdana" w:hAnsi="Verdana" w:eastAsia="Verdana" w:cs="Verdana"/>
          <w:sz w:val="18"/>
          <w:szCs w:val="18"/>
        </w:rPr>
        <w:t xml:space="preserve">van meer dan negentig procent </w:t>
      </w:r>
      <w:r w:rsidR="009E44C3">
        <w:rPr>
          <w:rFonts w:ascii="Verdana" w:hAnsi="Verdana" w:eastAsia="Verdana" w:cs="Verdana"/>
          <w:sz w:val="18"/>
          <w:szCs w:val="18"/>
        </w:rPr>
        <w:t>gerealiseerd in de vorige MFK-periode</w:t>
      </w:r>
      <w:r w:rsidR="00AA5C74">
        <w:rPr>
          <w:rFonts w:ascii="Verdana" w:hAnsi="Verdana" w:eastAsia="Verdana" w:cs="Verdana"/>
          <w:sz w:val="18"/>
          <w:szCs w:val="18"/>
        </w:rPr>
        <w:t xml:space="preserve">, wat betekent dat nagenoeg het volledige budget is ingezet voor de doelen van </w:t>
      </w:r>
      <w:r w:rsidR="00BB563C">
        <w:rPr>
          <w:rFonts w:ascii="Verdana" w:hAnsi="Verdana" w:eastAsia="Verdana" w:cs="Verdana"/>
          <w:sz w:val="18"/>
          <w:szCs w:val="18"/>
        </w:rPr>
        <w:t xml:space="preserve">de </w:t>
      </w:r>
      <w:r w:rsidR="00AA5C74">
        <w:rPr>
          <w:rFonts w:ascii="Verdana" w:hAnsi="Verdana" w:eastAsia="Verdana" w:cs="Verdana"/>
          <w:sz w:val="18"/>
          <w:szCs w:val="18"/>
        </w:rPr>
        <w:t>CEF</w:t>
      </w:r>
      <w:r w:rsidR="00BB563C">
        <w:rPr>
          <w:rFonts w:ascii="Verdana" w:hAnsi="Verdana" w:eastAsia="Verdana" w:cs="Verdana"/>
          <w:sz w:val="18"/>
          <w:szCs w:val="18"/>
        </w:rPr>
        <w:t>-projecten</w:t>
      </w:r>
      <w:r w:rsidR="009E44C3">
        <w:rPr>
          <w:rFonts w:ascii="Verdana" w:hAnsi="Verdana" w:eastAsia="Verdana" w:cs="Verdana"/>
          <w:sz w:val="18"/>
          <w:szCs w:val="18"/>
        </w:rPr>
        <w:t xml:space="preserve">. Bovendien is het </w:t>
      </w:r>
      <w:r w:rsidR="00721544">
        <w:rPr>
          <w:rFonts w:ascii="Verdana" w:hAnsi="Verdana" w:eastAsia="Verdana" w:cs="Verdana"/>
          <w:sz w:val="18"/>
          <w:szCs w:val="18"/>
        </w:rPr>
        <w:t>CEF-</w:t>
      </w:r>
      <w:r w:rsidR="009E44C3">
        <w:rPr>
          <w:rFonts w:ascii="Verdana" w:hAnsi="Verdana" w:eastAsia="Verdana" w:cs="Verdana"/>
          <w:sz w:val="18"/>
          <w:szCs w:val="18"/>
        </w:rPr>
        <w:t>budget voor militaire mobiliteit in de huidige MFK-periode al volledig toegewezen en daarmee uitgeput. De Commissie geeft aan dat het op dit moment nog te vroeg is om conclusies te trekken over de huidige CEF-periode, gezien het langetermijnproces bij infrastructurele investeringen. Wel concludeert de Commissie dat het CEF goed functioneert o</w:t>
      </w:r>
      <w:r w:rsidR="4EF23B61">
        <w:rPr>
          <w:rFonts w:ascii="Verdana" w:hAnsi="Verdana" w:eastAsia="Verdana" w:cs="Verdana"/>
          <w:sz w:val="18"/>
          <w:szCs w:val="18"/>
        </w:rPr>
        <w:t>m</w:t>
      </w:r>
      <w:r w:rsidR="009E44C3">
        <w:rPr>
          <w:rFonts w:ascii="Verdana" w:hAnsi="Verdana" w:eastAsia="Verdana" w:cs="Verdana"/>
          <w:sz w:val="18"/>
          <w:szCs w:val="18"/>
        </w:rPr>
        <w:t xml:space="preserve"> grensoverschrijdende infrastructurele projecten te stimuleren en </w:t>
      </w:r>
      <w:r w:rsidR="004A4AEC">
        <w:rPr>
          <w:rFonts w:ascii="Verdana" w:hAnsi="Verdana" w:eastAsia="Verdana" w:cs="Verdana"/>
          <w:sz w:val="18"/>
          <w:szCs w:val="18"/>
        </w:rPr>
        <w:t xml:space="preserve">dat het </w:t>
      </w:r>
      <w:r w:rsidR="009E44C3">
        <w:rPr>
          <w:rFonts w:ascii="Verdana" w:hAnsi="Verdana" w:eastAsia="Verdana" w:cs="Verdana"/>
          <w:sz w:val="18"/>
          <w:szCs w:val="18"/>
        </w:rPr>
        <w:t xml:space="preserve">de verwachting </w:t>
      </w:r>
      <w:r w:rsidR="004A4AEC">
        <w:rPr>
          <w:rFonts w:ascii="Verdana" w:hAnsi="Verdana" w:eastAsia="Verdana" w:cs="Verdana"/>
          <w:sz w:val="18"/>
          <w:szCs w:val="18"/>
        </w:rPr>
        <w:t xml:space="preserve">is </w:t>
      </w:r>
      <w:r w:rsidR="009E44C3">
        <w:rPr>
          <w:rFonts w:ascii="Verdana" w:hAnsi="Verdana" w:eastAsia="Verdana" w:cs="Verdana"/>
          <w:sz w:val="18"/>
          <w:szCs w:val="18"/>
        </w:rPr>
        <w:t xml:space="preserve">dat er positieve resultaten op de output van het </w:t>
      </w:r>
      <w:r w:rsidR="00721544">
        <w:rPr>
          <w:rFonts w:ascii="Verdana" w:hAnsi="Verdana" w:eastAsia="Verdana" w:cs="Verdana"/>
          <w:sz w:val="18"/>
          <w:szCs w:val="18"/>
        </w:rPr>
        <w:t>CEF-</w:t>
      </w:r>
      <w:r w:rsidR="009E44C3">
        <w:rPr>
          <w:rFonts w:ascii="Verdana" w:hAnsi="Verdana" w:eastAsia="Verdana" w:cs="Verdana"/>
          <w:sz w:val="18"/>
          <w:szCs w:val="18"/>
        </w:rPr>
        <w:t xml:space="preserve">programma volgen. Verder is het voorstel ook gebaseerd op een impact assessment. Daarin heeft de Commissie gewogen of de doelen van de trans-Europese netwerken gerealiseerd kunnen worden wanneer de verordeningen geïmplementeerd zouden worden met financiering uit de nationale enveloppen. De Commissie concludeerde dat een Europees programma nodig is om de voorspelbaarheid en stabiliteit van financiering voor grensoverschrijdende projecten te garanderen. Bovendien zouden de administratieve lasten </w:t>
      </w:r>
      <w:r w:rsidR="0009405A">
        <w:rPr>
          <w:rFonts w:ascii="Verdana" w:hAnsi="Verdana" w:eastAsia="Verdana" w:cs="Verdana"/>
          <w:sz w:val="18"/>
          <w:szCs w:val="18"/>
        </w:rPr>
        <w:t xml:space="preserve">significant toenemen voor de lidstaten, en zouden grensoverschrijdende projecten het afleggen tegen andere nationale belangen. </w:t>
      </w:r>
      <w:r w:rsidR="00721544">
        <w:rPr>
          <w:rFonts w:ascii="Verdana" w:hAnsi="Verdana" w:eastAsia="Verdana" w:cs="Verdana"/>
          <w:sz w:val="18"/>
          <w:szCs w:val="18"/>
        </w:rPr>
        <w:t>D</w:t>
      </w:r>
      <w:r w:rsidR="0009405A">
        <w:rPr>
          <w:rFonts w:ascii="Verdana" w:hAnsi="Verdana" w:eastAsia="Verdana" w:cs="Verdana"/>
          <w:sz w:val="18"/>
          <w:szCs w:val="18"/>
        </w:rPr>
        <w:t xml:space="preserve">e Commissie </w:t>
      </w:r>
      <w:r w:rsidR="00721544">
        <w:rPr>
          <w:rFonts w:ascii="Verdana" w:hAnsi="Verdana" w:eastAsia="Verdana" w:cs="Verdana"/>
          <w:sz w:val="18"/>
          <w:szCs w:val="18"/>
        </w:rPr>
        <w:t xml:space="preserve">ziet </w:t>
      </w:r>
      <w:r w:rsidR="00417386">
        <w:rPr>
          <w:rFonts w:ascii="Verdana" w:hAnsi="Verdana" w:eastAsia="Verdana" w:cs="Verdana"/>
          <w:sz w:val="18"/>
          <w:szCs w:val="18"/>
        </w:rPr>
        <w:t xml:space="preserve">het </w:t>
      </w:r>
      <w:r w:rsidR="00482063">
        <w:rPr>
          <w:rFonts w:ascii="Verdana" w:hAnsi="Verdana" w:eastAsia="Verdana" w:cs="Verdana"/>
          <w:sz w:val="18"/>
          <w:szCs w:val="18"/>
        </w:rPr>
        <w:t xml:space="preserve">NRPP </w:t>
      </w:r>
      <w:r w:rsidR="00721544">
        <w:rPr>
          <w:rFonts w:ascii="Verdana" w:hAnsi="Verdana" w:eastAsia="Verdana" w:cs="Verdana"/>
          <w:sz w:val="18"/>
          <w:szCs w:val="18"/>
        </w:rPr>
        <w:t xml:space="preserve">als </w:t>
      </w:r>
      <w:r w:rsidR="0009405A">
        <w:rPr>
          <w:rFonts w:ascii="Verdana" w:hAnsi="Verdana" w:eastAsia="Verdana" w:cs="Verdana"/>
          <w:sz w:val="18"/>
          <w:szCs w:val="18"/>
        </w:rPr>
        <w:t>aanvullend op de EU-financiering voor de trans-Europese netwerken. Op grond van bovenstaande is h</w:t>
      </w:r>
      <w:r w:rsidRPr="4ACD91DA">
        <w:rPr>
          <w:rFonts w:ascii="Verdana" w:hAnsi="Verdana" w:eastAsia="Verdana" w:cs="Verdana"/>
          <w:sz w:val="18"/>
          <w:szCs w:val="18"/>
        </w:rPr>
        <w:t>et</w:t>
      </w:r>
      <w:r w:rsidRPr="0E0A2720">
        <w:rPr>
          <w:rFonts w:ascii="Verdana" w:hAnsi="Verdana" w:eastAsia="Verdana" w:cs="Verdana"/>
          <w:sz w:val="18"/>
          <w:szCs w:val="18"/>
        </w:rPr>
        <w:t xml:space="preserve"> kabinet</w:t>
      </w:r>
      <w:r w:rsidR="0009405A">
        <w:rPr>
          <w:rFonts w:ascii="Verdana" w:hAnsi="Verdana" w:eastAsia="Verdana" w:cs="Verdana"/>
          <w:sz w:val="18"/>
          <w:szCs w:val="18"/>
        </w:rPr>
        <w:t xml:space="preserve"> </w:t>
      </w:r>
      <w:r w:rsidRPr="0E0A2720">
        <w:rPr>
          <w:rFonts w:ascii="Verdana" w:hAnsi="Verdana" w:eastAsia="Verdana" w:cs="Verdana"/>
          <w:sz w:val="18"/>
          <w:szCs w:val="18"/>
        </w:rPr>
        <w:t>van mening dat de</w:t>
      </w:r>
      <w:r>
        <w:rPr>
          <w:rFonts w:ascii="Verdana" w:hAnsi="Verdana" w:eastAsia="Verdana" w:cs="Verdana"/>
          <w:sz w:val="18"/>
          <w:szCs w:val="18"/>
        </w:rPr>
        <w:t xml:space="preserve"> impact assessment </w:t>
      </w:r>
      <w:r w:rsidRPr="16F858AB">
        <w:rPr>
          <w:rFonts w:ascii="Verdana" w:hAnsi="Verdana" w:eastAsia="Verdana" w:cs="Verdana"/>
          <w:sz w:val="18"/>
          <w:szCs w:val="18"/>
        </w:rPr>
        <w:t>en evaluaties</w:t>
      </w:r>
      <w:r w:rsidRPr="68F08AEF">
        <w:rPr>
          <w:rFonts w:ascii="Verdana" w:hAnsi="Verdana" w:eastAsia="Verdana" w:cs="Verdana"/>
          <w:sz w:val="18"/>
          <w:szCs w:val="18"/>
        </w:rPr>
        <w:t xml:space="preserve"> </w:t>
      </w:r>
      <w:r w:rsidRPr="0E0A2720">
        <w:rPr>
          <w:rFonts w:ascii="Verdana" w:hAnsi="Verdana" w:eastAsia="Verdana" w:cs="Verdana"/>
          <w:sz w:val="18"/>
          <w:szCs w:val="18"/>
        </w:rPr>
        <w:t>voldoende basis bied</w:t>
      </w:r>
      <w:r>
        <w:rPr>
          <w:rFonts w:ascii="Verdana" w:hAnsi="Verdana" w:eastAsia="Verdana" w:cs="Verdana"/>
          <w:sz w:val="18"/>
          <w:szCs w:val="18"/>
        </w:rPr>
        <w:t xml:space="preserve">en </w:t>
      </w:r>
      <w:r w:rsidRPr="0E0A2720">
        <w:rPr>
          <w:rFonts w:ascii="Verdana" w:hAnsi="Verdana" w:eastAsia="Verdana" w:cs="Verdana"/>
          <w:sz w:val="18"/>
          <w:szCs w:val="18"/>
        </w:rPr>
        <w:t xml:space="preserve">voor </w:t>
      </w:r>
      <w:r>
        <w:rPr>
          <w:rFonts w:ascii="Verdana" w:hAnsi="Verdana" w:eastAsia="Verdana" w:cs="Verdana"/>
          <w:sz w:val="18"/>
          <w:szCs w:val="18"/>
        </w:rPr>
        <w:t>het voorstel</w:t>
      </w:r>
      <w:r w:rsidRPr="70AC2E3E">
        <w:rPr>
          <w:rFonts w:ascii="Verdana" w:hAnsi="Verdana" w:eastAsia="Verdana" w:cs="Verdana"/>
          <w:sz w:val="18"/>
          <w:szCs w:val="18"/>
        </w:rPr>
        <w:t xml:space="preserve">. </w:t>
      </w:r>
    </w:p>
    <w:p w:rsidRPr="0084323F" w:rsidR="003B3DB3" w:rsidP="0084323F" w:rsidRDefault="003B3DB3" w14:paraId="5E437261" w14:textId="77777777">
      <w:pPr>
        <w:numPr>
          <w:ilvl w:val="0"/>
          <w:numId w:val="2"/>
        </w:numPr>
        <w:spacing w:line="360" w:lineRule="auto"/>
        <w:rPr>
          <w:rFonts w:ascii="Verdana" w:hAnsi="Verdana"/>
          <w:b/>
          <w:bCs/>
          <w:sz w:val="18"/>
          <w:szCs w:val="18"/>
        </w:rPr>
      </w:pPr>
      <w:r w:rsidRPr="00405448">
        <w:rPr>
          <w:rFonts w:ascii="Verdana" w:hAnsi="Verdana"/>
          <w:b/>
          <w:bCs/>
          <w:sz w:val="18"/>
          <w:szCs w:val="18"/>
        </w:rPr>
        <w:t xml:space="preserve">Nederlandse positie ten aanzien van het voorstel </w:t>
      </w:r>
    </w:p>
    <w:p w:rsidRPr="0084323F" w:rsidR="003B3DB3" w:rsidP="203A7120" w:rsidRDefault="003B3DB3" w14:paraId="5C87ECB2" w14:textId="77777777">
      <w:pPr>
        <w:numPr>
          <w:ilvl w:val="0"/>
          <w:numId w:val="4"/>
        </w:numPr>
        <w:spacing w:line="360" w:lineRule="auto"/>
        <w:rPr>
          <w:rFonts w:ascii="Verdana" w:hAnsi="Verdana"/>
          <w:i/>
          <w:iCs/>
          <w:sz w:val="18"/>
          <w:szCs w:val="18"/>
        </w:rPr>
      </w:pPr>
      <w:r w:rsidRPr="203A7120">
        <w:rPr>
          <w:rFonts w:ascii="Verdana" w:hAnsi="Verdana"/>
          <w:i/>
          <w:iCs/>
          <w:sz w:val="18"/>
          <w:szCs w:val="18"/>
        </w:rPr>
        <w:t>Essentie Nederlands beleid op dit terrein</w:t>
      </w:r>
    </w:p>
    <w:p w:rsidRPr="000C0045" w:rsidR="000C0045" w:rsidP="000C0045" w:rsidRDefault="000C0045" w14:paraId="55705734" w14:textId="77777777">
      <w:pPr>
        <w:spacing w:line="360" w:lineRule="auto"/>
        <w:rPr>
          <w:rFonts w:ascii="Verdana" w:hAnsi="Verdana" w:eastAsia="Verdana" w:cs="Verdana"/>
          <w:sz w:val="18"/>
          <w:szCs w:val="18"/>
        </w:rPr>
      </w:pPr>
      <w:r w:rsidRPr="000C0045">
        <w:rPr>
          <w:rFonts w:ascii="Verdana" w:hAnsi="Verdana" w:eastAsia="Verdana" w:cs="Verdana"/>
          <w:sz w:val="18"/>
          <w:szCs w:val="18"/>
        </w:rPr>
        <w:t xml:space="preserve">De Kamerbrief van 28 maart 20251 over de Nederlandse inzet voor het volgend MFK en de Kamerbrief met kabinetsappreciatie van de MFK-voorstellen van de Commissie voor het volgend 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0C0045">
        <w:rPr>
          <w:rFonts w:ascii="Verdana" w:hAnsi="Verdana" w:eastAsia="Verdana" w:cs="Verdana"/>
          <w:sz w:val="18"/>
          <w:szCs w:val="18"/>
        </w:rPr>
        <w:t>herprioriteren</w:t>
      </w:r>
      <w:proofErr w:type="spellEnd"/>
      <w:r w:rsidRPr="000C0045">
        <w:rPr>
          <w:rFonts w:ascii="Verdana" w:hAnsi="Verdana" w:eastAsia="Verdana" w:cs="Verdana"/>
          <w:sz w:val="18"/>
          <w:szCs w:val="18"/>
        </w:rPr>
        <w:t xml:space="preserve"> en kritisch moet kijken naar de besteding van Europese publieke middelen.</w:t>
      </w:r>
    </w:p>
    <w:p w:rsidR="000C0045" w:rsidP="000C0045" w:rsidRDefault="000C0045" w14:paraId="1DECBC22" w14:textId="77777777">
      <w:pPr>
        <w:spacing w:line="360" w:lineRule="auto"/>
        <w:rPr>
          <w:rFonts w:ascii="Verdana" w:hAnsi="Verdana" w:eastAsia="Verdana" w:cs="Verdana"/>
          <w:sz w:val="18"/>
          <w:szCs w:val="18"/>
        </w:rPr>
      </w:pPr>
    </w:p>
    <w:p w:rsidR="000C0045" w:rsidP="000C0045" w:rsidRDefault="000C0045" w14:paraId="621DE764" w14:textId="3BA0ABD4">
      <w:pPr>
        <w:spacing w:line="360" w:lineRule="auto"/>
        <w:rPr>
          <w:rFonts w:ascii="Verdana" w:hAnsi="Verdana" w:eastAsia="Verdana" w:cs="Verdana"/>
          <w:sz w:val="18"/>
          <w:szCs w:val="18"/>
        </w:rPr>
      </w:pPr>
      <w:r w:rsidRPr="000C0045">
        <w:rPr>
          <w:rFonts w:ascii="Verdana" w:hAnsi="Verdana" w:eastAsia="Verdana" w:cs="Verdana"/>
          <w:sz w:val="18"/>
          <w:szCs w:val="18"/>
        </w:rPr>
        <w:lastRenderedPageBreak/>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0C0045" w:rsidP="000C0045" w:rsidRDefault="000C0045" w14:paraId="6D889456" w14:textId="77777777">
      <w:pPr>
        <w:spacing w:line="360" w:lineRule="auto"/>
        <w:rPr>
          <w:rFonts w:ascii="Verdana" w:hAnsi="Verdana" w:eastAsia="Verdana" w:cs="Verdana"/>
          <w:sz w:val="18"/>
          <w:szCs w:val="18"/>
        </w:rPr>
      </w:pPr>
    </w:p>
    <w:p w:rsidR="009C1448" w:rsidP="003B3DB3" w:rsidRDefault="009C1448" w14:paraId="301A4283" w14:textId="31EE94CB">
      <w:pPr>
        <w:spacing w:line="360" w:lineRule="auto"/>
        <w:rPr>
          <w:rFonts w:ascii="Verdana" w:hAnsi="Verdana" w:eastAsia="Verdana" w:cs="Verdana"/>
          <w:sz w:val="18"/>
          <w:szCs w:val="18"/>
        </w:rPr>
      </w:pPr>
      <w:r>
        <w:rPr>
          <w:rFonts w:ascii="Verdana" w:hAnsi="Verdana" w:eastAsia="Verdana" w:cs="Verdana"/>
          <w:sz w:val="18"/>
          <w:szCs w:val="18"/>
        </w:rPr>
        <w:t xml:space="preserve">De Nederlandse positie ten aanzien van </w:t>
      </w:r>
      <w:r w:rsidR="00EF37D7">
        <w:rPr>
          <w:rFonts w:ascii="Verdana" w:hAnsi="Verdana" w:eastAsia="Verdana" w:cs="Verdana"/>
          <w:sz w:val="18"/>
          <w:szCs w:val="18"/>
        </w:rPr>
        <w:t xml:space="preserve">de transport-pijler van het </w:t>
      </w:r>
      <w:r>
        <w:rPr>
          <w:rFonts w:ascii="Verdana" w:hAnsi="Verdana" w:eastAsia="Verdana" w:cs="Verdana"/>
          <w:sz w:val="18"/>
          <w:szCs w:val="18"/>
        </w:rPr>
        <w:t xml:space="preserve">CEF is vastgesteld </w:t>
      </w:r>
      <w:r w:rsidR="00EF37D7">
        <w:rPr>
          <w:rFonts w:ascii="Verdana" w:hAnsi="Verdana" w:eastAsia="Verdana" w:cs="Verdana"/>
          <w:sz w:val="18"/>
          <w:szCs w:val="18"/>
        </w:rPr>
        <w:t xml:space="preserve">in een recent non-paper </w:t>
      </w:r>
      <w:r>
        <w:rPr>
          <w:rFonts w:ascii="Verdana" w:hAnsi="Verdana" w:eastAsia="Verdana" w:cs="Verdana"/>
          <w:sz w:val="18"/>
          <w:szCs w:val="18"/>
        </w:rPr>
        <w:t>en zet in op vier essentiële investeringsrichtingen: (i) connectiviteit als uitgangspunt, (ii) militaire mobiliteit met mogelijkheid om</w:t>
      </w:r>
      <w:r w:rsidR="00361923">
        <w:rPr>
          <w:rFonts w:ascii="Verdana" w:hAnsi="Verdana" w:eastAsia="Verdana" w:cs="Verdana"/>
          <w:sz w:val="18"/>
          <w:szCs w:val="18"/>
        </w:rPr>
        <w:t xml:space="preserve"> </w:t>
      </w:r>
      <w:r w:rsidRPr="00357563" w:rsidR="00361923">
        <w:rPr>
          <w:rFonts w:ascii="Verdana" w:hAnsi="Verdana" w:eastAsia="Verdana" w:cs="Verdana"/>
          <w:sz w:val="18"/>
          <w:szCs w:val="18"/>
        </w:rPr>
        <w:t>de extra kosten die gemaakt worden om kunstwerken</w:t>
      </w:r>
      <w:r w:rsidR="002B63D6">
        <w:rPr>
          <w:rStyle w:val="FootnoteReference"/>
          <w:rFonts w:ascii="Verdana" w:hAnsi="Verdana" w:eastAsia="Verdana" w:cs="Verdana"/>
          <w:sz w:val="18"/>
          <w:szCs w:val="18"/>
        </w:rPr>
        <w:footnoteReference w:id="5"/>
      </w:r>
      <w:r w:rsidRPr="00357563" w:rsidR="00361923">
        <w:rPr>
          <w:rFonts w:ascii="Verdana" w:hAnsi="Verdana" w:eastAsia="Verdana" w:cs="Verdana"/>
          <w:sz w:val="18"/>
          <w:szCs w:val="18"/>
        </w:rPr>
        <w:t xml:space="preserve"> te laten voldoen aan de militaire eisen meegefinancierd kunnen worden</w:t>
      </w:r>
      <w:r>
        <w:rPr>
          <w:rFonts w:ascii="Verdana" w:hAnsi="Verdana" w:eastAsia="Verdana" w:cs="Verdana"/>
          <w:sz w:val="18"/>
          <w:szCs w:val="18"/>
        </w:rPr>
        <w:t xml:space="preserve">, (iii) toekomstbestendige en klimaatweerbare netwerken, en (iv) modernisering en digitalisering. </w:t>
      </w:r>
    </w:p>
    <w:p w:rsidR="009C1448" w:rsidP="003B3DB3" w:rsidRDefault="009C1448" w14:paraId="60D83645" w14:textId="77777777">
      <w:pPr>
        <w:spacing w:line="360" w:lineRule="auto"/>
        <w:rPr>
          <w:rFonts w:ascii="Verdana" w:hAnsi="Verdana" w:eastAsia="Verdana" w:cs="Verdana"/>
          <w:sz w:val="18"/>
          <w:szCs w:val="18"/>
        </w:rPr>
      </w:pPr>
    </w:p>
    <w:p w:rsidR="00570752" w:rsidP="00615607" w:rsidRDefault="00E82A91" w14:paraId="09CF11E4" w14:textId="2E95CF16">
      <w:pPr>
        <w:spacing w:line="360" w:lineRule="auto"/>
        <w:rPr>
          <w:rFonts w:ascii="Verdana" w:hAnsi="Verdana" w:eastAsia="Verdana" w:cs="Verdana"/>
          <w:sz w:val="18"/>
          <w:szCs w:val="18"/>
        </w:rPr>
      </w:pPr>
      <w:r>
        <w:rPr>
          <w:rFonts w:ascii="Verdana" w:hAnsi="Verdana" w:eastAsia="Verdana" w:cs="Verdana"/>
          <w:sz w:val="18"/>
          <w:szCs w:val="18"/>
        </w:rPr>
        <w:t xml:space="preserve">Op meerdere beleidsterreinen op transportvlak wordt gewerkt aan een implementatiestrategie voor het TEN-T netwerk. Op gebied van spoor hangt het voorstel nauw samen met </w:t>
      </w:r>
      <w:r w:rsidR="00952DCC">
        <w:rPr>
          <w:rFonts w:ascii="Verdana" w:hAnsi="Verdana" w:eastAsia="Verdana" w:cs="Verdana"/>
          <w:sz w:val="18"/>
          <w:szCs w:val="18"/>
        </w:rPr>
        <w:t xml:space="preserve">onder andere </w:t>
      </w:r>
      <w:r>
        <w:rPr>
          <w:rFonts w:ascii="Verdana" w:hAnsi="Verdana" w:eastAsia="Verdana" w:cs="Verdana"/>
          <w:sz w:val="18"/>
          <w:szCs w:val="18"/>
        </w:rPr>
        <w:t xml:space="preserve">het </w:t>
      </w:r>
      <w:r w:rsidRPr="00952DCC" w:rsidR="00952DCC">
        <w:rPr>
          <w:rFonts w:ascii="Verdana" w:hAnsi="Verdana" w:eastAsia="Verdana" w:cs="Verdana"/>
          <w:sz w:val="18"/>
          <w:szCs w:val="18"/>
        </w:rPr>
        <w:t>Programma Hoogfrequent Spoorvervoer</w:t>
      </w:r>
      <w:r w:rsidR="00952DCC">
        <w:rPr>
          <w:rFonts w:ascii="Verdana" w:hAnsi="Verdana" w:eastAsia="Verdana" w:cs="Verdana"/>
          <w:sz w:val="18"/>
          <w:szCs w:val="18"/>
        </w:rPr>
        <w:t xml:space="preserve">, Programma Toekomstbeeld Openbaar Vervoer 2040, </w:t>
      </w:r>
      <w:r w:rsidR="00B26AE7">
        <w:rPr>
          <w:rFonts w:ascii="Verdana" w:hAnsi="Verdana" w:eastAsia="Verdana" w:cs="Verdana"/>
          <w:sz w:val="18"/>
          <w:szCs w:val="18"/>
        </w:rPr>
        <w:t xml:space="preserve">de ontwikkeling van spoorgoederencorridors, internationaal personenvervoer </w:t>
      </w:r>
      <w:r w:rsidR="00952DCC">
        <w:rPr>
          <w:rFonts w:ascii="Verdana" w:hAnsi="Verdana" w:eastAsia="Verdana" w:cs="Verdana"/>
          <w:sz w:val="18"/>
          <w:szCs w:val="18"/>
        </w:rPr>
        <w:t xml:space="preserve">en </w:t>
      </w:r>
      <w:r w:rsidR="00B26AE7">
        <w:rPr>
          <w:rFonts w:ascii="Verdana" w:hAnsi="Verdana" w:eastAsia="Verdana" w:cs="Verdana"/>
          <w:sz w:val="18"/>
          <w:szCs w:val="18"/>
        </w:rPr>
        <w:t xml:space="preserve">diverse </w:t>
      </w:r>
      <w:r w:rsidR="00952DCC">
        <w:rPr>
          <w:rFonts w:ascii="Verdana" w:hAnsi="Verdana" w:eastAsia="Verdana" w:cs="Verdana"/>
          <w:sz w:val="18"/>
          <w:szCs w:val="18"/>
        </w:rPr>
        <w:t>implementatiep</w:t>
      </w:r>
      <w:r w:rsidR="00B26AE7">
        <w:rPr>
          <w:rFonts w:ascii="Verdana" w:hAnsi="Verdana" w:eastAsia="Verdana" w:cs="Verdana"/>
          <w:sz w:val="18"/>
          <w:szCs w:val="18"/>
        </w:rPr>
        <w:t>rojecten voor de exploitatie van</w:t>
      </w:r>
      <w:r w:rsidR="00952DCC">
        <w:rPr>
          <w:rFonts w:ascii="Verdana" w:hAnsi="Verdana" w:eastAsia="Verdana" w:cs="Verdana"/>
          <w:sz w:val="18"/>
          <w:szCs w:val="18"/>
        </w:rPr>
        <w:t xml:space="preserve"> 740-meter </w:t>
      </w:r>
      <w:r w:rsidR="00B26AE7">
        <w:rPr>
          <w:rFonts w:ascii="Verdana" w:hAnsi="Verdana" w:eastAsia="Verdana" w:cs="Verdana"/>
          <w:sz w:val="18"/>
          <w:szCs w:val="18"/>
        </w:rPr>
        <w:t>goederen</w:t>
      </w:r>
      <w:r w:rsidR="00952DCC">
        <w:rPr>
          <w:rFonts w:ascii="Verdana" w:hAnsi="Verdana" w:eastAsia="Verdana" w:cs="Verdana"/>
          <w:sz w:val="18"/>
          <w:szCs w:val="18"/>
        </w:rPr>
        <w:t xml:space="preserve">treinen. Op gebied van luchtvaart </w:t>
      </w:r>
      <w:r w:rsidR="007A756A">
        <w:rPr>
          <w:rFonts w:ascii="Verdana" w:hAnsi="Verdana" w:eastAsia="Verdana" w:cs="Verdana"/>
          <w:sz w:val="18"/>
          <w:szCs w:val="18"/>
        </w:rPr>
        <w:t>gaat dit onder andere over de aanleg van infrastructuur voor alternatieve brandstoffen</w:t>
      </w:r>
      <w:r w:rsidR="00B26AE7">
        <w:rPr>
          <w:rFonts w:ascii="Verdana" w:hAnsi="Verdana" w:eastAsia="Verdana" w:cs="Verdana"/>
          <w:sz w:val="18"/>
          <w:szCs w:val="18"/>
        </w:rPr>
        <w:t xml:space="preserve"> en duurzame vliegtuigvoorzieningen</w:t>
      </w:r>
      <w:r w:rsidR="007A756A">
        <w:rPr>
          <w:rFonts w:ascii="Verdana" w:hAnsi="Verdana" w:eastAsia="Verdana" w:cs="Verdana"/>
          <w:sz w:val="18"/>
          <w:szCs w:val="18"/>
        </w:rPr>
        <w:t xml:space="preserve">. </w:t>
      </w:r>
      <w:r w:rsidR="00952DCC">
        <w:rPr>
          <w:rFonts w:ascii="Verdana" w:hAnsi="Verdana" w:eastAsia="Verdana" w:cs="Verdana"/>
          <w:sz w:val="18"/>
          <w:szCs w:val="18"/>
        </w:rPr>
        <w:t xml:space="preserve">Daarnaast houdt Nederland zich actief bezig met de implementatie van </w:t>
      </w:r>
      <w:r w:rsidRPr="572A4AC8" w:rsidR="00952DCC">
        <w:rPr>
          <w:rFonts w:ascii="Verdana" w:hAnsi="Verdana" w:eastAsia="Verdana" w:cs="Verdana"/>
          <w:i/>
          <w:iCs/>
          <w:sz w:val="18"/>
          <w:szCs w:val="18"/>
        </w:rPr>
        <w:t xml:space="preserve">Single European </w:t>
      </w:r>
      <w:proofErr w:type="spellStart"/>
      <w:r w:rsidRPr="572A4AC8" w:rsidR="00952DCC">
        <w:rPr>
          <w:rFonts w:ascii="Verdana" w:hAnsi="Verdana" w:eastAsia="Verdana" w:cs="Verdana"/>
          <w:i/>
          <w:iCs/>
          <w:sz w:val="18"/>
          <w:szCs w:val="18"/>
        </w:rPr>
        <w:t>Sky</w:t>
      </w:r>
      <w:proofErr w:type="spellEnd"/>
      <w:r w:rsidR="00952DCC">
        <w:rPr>
          <w:rFonts w:ascii="Verdana" w:hAnsi="Verdana" w:eastAsia="Verdana" w:cs="Verdana"/>
          <w:sz w:val="18"/>
          <w:szCs w:val="18"/>
        </w:rPr>
        <w:t xml:space="preserve">, wat zich onder andere richt op </w:t>
      </w:r>
      <w:r w:rsidR="007A756A">
        <w:rPr>
          <w:rFonts w:ascii="Verdana" w:hAnsi="Verdana" w:eastAsia="Verdana" w:cs="Verdana"/>
          <w:sz w:val="18"/>
          <w:szCs w:val="18"/>
        </w:rPr>
        <w:t xml:space="preserve">de digitalisering van de </w:t>
      </w:r>
      <w:r w:rsidR="00952DCC">
        <w:rPr>
          <w:rFonts w:ascii="Verdana" w:hAnsi="Verdana" w:eastAsia="Verdana" w:cs="Verdana"/>
          <w:sz w:val="18"/>
          <w:szCs w:val="18"/>
        </w:rPr>
        <w:t>luchtverkeersleiding</w:t>
      </w:r>
      <w:r w:rsidR="007A756A">
        <w:rPr>
          <w:rFonts w:ascii="Verdana" w:hAnsi="Verdana" w:eastAsia="Verdana" w:cs="Verdana"/>
          <w:sz w:val="18"/>
          <w:szCs w:val="18"/>
        </w:rPr>
        <w:t xml:space="preserve"> in Europa</w:t>
      </w:r>
      <w:r w:rsidR="00952DCC">
        <w:rPr>
          <w:rFonts w:ascii="Verdana" w:hAnsi="Verdana" w:eastAsia="Verdana" w:cs="Verdana"/>
          <w:sz w:val="18"/>
          <w:szCs w:val="18"/>
        </w:rPr>
        <w:t xml:space="preserve">. </w:t>
      </w:r>
      <w:r w:rsidR="00B001E8">
        <w:rPr>
          <w:rFonts w:ascii="Verdana" w:hAnsi="Verdana" w:eastAsia="Verdana" w:cs="Verdana"/>
          <w:sz w:val="18"/>
          <w:szCs w:val="18"/>
        </w:rPr>
        <w:t>Op gebied van vaarwegen wordt gewerkt aan de instandhoudingsopgave om het vaarwegennetwerk voldoende beschikbaar en betrouwbaar te maken en houden in de toekomst. Daarnaast is klimaatadaptatie een forse opgave waaraan wordt gewerkt om ook in de toekomst te zorgen voor een robuust netwerk, o.a. via de programma’s Ruimte voor de Rivier</w:t>
      </w:r>
      <w:r w:rsidR="5E31292C">
        <w:rPr>
          <w:rFonts w:ascii="Verdana" w:hAnsi="Verdana" w:eastAsia="Verdana" w:cs="Verdana"/>
          <w:sz w:val="18"/>
          <w:szCs w:val="18"/>
        </w:rPr>
        <w:t xml:space="preserve"> </w:t>
      </w:r>
      <w:r w:rsidR="00B001E8">
        <w:rPr>
          <w:rFonts w:ascii="Verdana" w:hAnsi="Verdana" w:eastAsia="Verdana" w:cs="Verdana"/>
          <w:sz w:val="18"/>
          <w:szCs w:val="18"/>
        </w:rPr>
        <w:t>2.0 en Klimaatbestendige Netwerken (KBN).</w:t>
      </w:r>
      <w:r w:rsidR="009C3019">
        <w:rPr>
          <w:rFonts w:ascii="Verdana" w:hAnsi="Verdana" w:eastAsia="Verdana" w:cs="Verdana"/>
          <w:sz w:val="18"/>
          <w:szCs w:val="18"/>
        </w:rPr>
        <w:t xml:space="preserve"> Nederland houdt zich ook bezig met een digitaliseringsslag in de transportsector, </w:t>
      </w:r>
      <w:r w:rsidR="00A24072">
        <w:rPr>
          <w:rFonts w:ascii="Verdana" w:hAnsi="Verdana" w:eastAsia="Verdana" w:cs="Verdana"/>
          <w:sz w:val="18"/>
          <w:szCs w:val="18"/>
        </w:rPr>
        <w:t xml:space="preserve">onder andere </w:t>
      </w:r>
      <w:r w:rsidR="009C3019">
        <w:rPr>
          <w:rFonts w:ascii="Verdana" w:hAnsi="Verdana" w:eastAsia="Verdana" w:cs="Verdana"/>
          <w:sz w:val="18"/>
          <w:szCs w:val="18"/>
        </w:rPr>
        <w:t>door de uitrol van</w:t>
      </w:r>
      <w:r w:rsidR="00D6118D">
        <w:rPr>
          <w:rFonts w:ascii="Verdana" w:hAnsi="Verdana" w:eastAsia="Verdana" w:cs="Verdana"/>
          <w:sz w:val="18"/>
          <w:szCs w:val="18"/>
        </w:rPr>
        <w:t xml:space="preserve"> het</w:t>
      </w:r>
      <w:r w:rsidR="009C3019">
        <w:rPr>
          <w:rFonts w:ascii="Verdana" w:hAnsi="Verdana" w:eastAsia="Verdana" w:cs="Verdana"/>
          <w:sz w:val="18"/>
          <w:szCs w:val="18"/>
        </w:rPr>
        <w:t xml:space="preserve"> </w:t>
      </w:r>
      <w:r w:rsidRPr="00814966" w:rsidR="00D6118D">
        <w:rPr>
          <w:rFonts w:ascii="Verdana" w:hAnsi="Verdana" w:eastAsia="Verdana" w:cs="Verdana"/>
          <w:i/>
          <w:iCs/>
          <w:sz w:val="18"/>
          <w:szCs w:val="18"/>
        </w:rPr>
        <w:t>European Rail Traffic Management System</w:t>
      </w:r>
      <w:r w:rsidR="00D6118D">
        <w:rPr>
          <w:rFonts w:ascii="Verdana" w:hAnsi="Verdana" w:eastAsia="Verdana" w:cs="Verdana"/>
          <w:sz w:val="18"/>
          <w:szCs w:val="18"/>
        </w:rPr>
        <w:t xml:space="preserve"> (hierna: ERTMS) </w:t>
      </w:r>
      <w:r w:rsidR="009C3019">
        <w:rPr>
          <w:rFonts w:ascii="Verdana" w:hAnsi="Verdana" w:eastAsia="Verdana" w:cs="Verdana"/>
          <w:sz w:val="18"/>
          <w:szCs w:val="18"/>
        </w:rPr>
        <w:t xml:space="preserve">en de intelligente transport systemen </w:t>
      </w:r>
      <w:r w:rsidR="00D6118D">
        <w:rPr>
          <w:rFonts w:ascii="Verdana" w:hAnsi="Verdana" w:eastAsia="Verdana" w:cs="Verdana"/>
          <w:sz w:val="18"/>
          <w:szCs w:val="18"/>
        </w:rPr>
        <w:t xml:space="preserve">(hierna: ITS) </w:t>
      </w:r>
      <w:r w:rsidR="009C3019">
        <w:rPr>
          <w:rFonts w:ascii="Verdana" w:hAnsi="Verdana" w:eastAsia="Verdana" w:cs="Verdana"/>
          <w:sz w:val="18"/>
          <w:szCs w:val="18"/>
        </w:rPr>
        <w:t xml:space="preserve">op de wegen en vaarwegen. </w:t>
      </w:r>
      <w:bookmarkStart w:name="_Hlk205455195" w:id="2"/>
      <w:r w:rsidRPr="000D2CC6" w:rsidR="00A24072">
        <w:rPr>
          <w:rFonts w:ascii="Verdana" w:hAnsi="Verdana" w:eastAsia="Verdana" w:cs="Verdana"/>
          <w:sz w:val="18"/>
          <w:szCs w:val="18"/>
        </w:rPr>
        <w:t>Daarbij vindt het kabinet, naast nationale investeringen, een versnelde uitrol van duurzame laad- en tankinfrastructuur in de hele EU van groot belang, met name voor zware bedrijfsvoertuigen.</w:t>
      </w:r>
      <w:bookmarkEnd w:id="2"/>
    </w:p>
    <w:p w:rsidRPr="00615607" w:rsidR="00615607" w:rsidP="00615607" w:rsidRDefault="00615607" w14:paraId="5EE2233F" w14:textId="51580521">
      <w:pPr>
        <w:spacing w:line="360" w:lineRule="auto"/>
        <w:rPr>
          <w:rFonts w:ascii="Verdana" w:hAnsi="Verdana" w:eastAsia="Verdana" w:cs="Verdana"/>
          <w:sz w:val="18"/>
          <w:szCs w:val="18"/>
        </w:rPr>
      </w:pPr>
      <w:r>
        <w:rPr>
          <w:rFonts w:ascii="Verdana" w:hAnsi="Verdana" w:eastAsia="Verdana" w:cs="Verdana"/>
          <w:sz w:val="18"/>
          <w:szCs w:val="18"/>
        </w:rPr>
        <w:br/>
      </w:r>
      <w:r w:rsidR="00721544">
        <w:rPr>
          <w:rFonts w:ascii="Verdana" w:hAnsi="Verdana" w:eastAsia="Verdana" w:cs="Verdana"/>
          <w:sz w:val="18"/>
          <w:szCs w:val="18"/>
        </w:rPr>
        <w:t>Op vlak van energie h</w:t>
      </w:r>
      <w:r w:rsidRPr="00615607">
        <w:rPr>
          <w:rFonts w:ascii="Verdana" w:hAnsi="Verdana" w:eastAsia="Verdana" w:cs="Verdana"/>
          <w:sz w:val="18"/>
          <w:szCs w:val="18"/>
        </w:rPr>
        <w:t>e</w:t>
      </w:r>
      <w:r w:rsidR="00721544">
        <w:rPr>
          <w:rFonts w:ascii="Verdana" w:hAnsi="Verdana" w:eastAsia="Verdana" w:cs="Verdana"/>
          <w:sz w:val="18"/>
          <w:szCs w:val="18"/>
        </w:rPr>
        <w:t>ch</w:t>
      </w:r>
      <w:r w:rsidRPr="00615607">
        <w:rPr>
          <w:rFonts w:ascii="Verdana" w:hAnsi="Verdana" w:eastAsia="Verdana" w:cs="Verdana"/>
          <w:sz w:val="18"/>
          <w:szCs w:val="18"/>
        </w:rPr>
        <w:t>t</w:t>
      </w:r>
      <w:r w:rsidR="00721544">
        <w:rPr>
          <w:rFonts w:ascii="Verdana" w:hAnsi="Verdana" w:eastAsia="Verdana" w:cs="Verdana"/>
          <w:sz w:val="18"/>
          <w:szCs w:val="18"/>
        </w:rPr>
        <w:t xml:space="preserve"> het</w:t>
      </w:r>
      <w:r w:rsidRPr="00615607">
        <w:rPr>
          <w:rFonts w:ascii="Verdana" w:hAnsi="Verdana" w:eastAsia="Verdana" w:cs="Verdana"/>
          <w:sz w:val="18"/>
          <w:szCs w:val="18"/>
        </w:rPr>
        <w:t xml:space="preserve"> kabinet belang aan de realisatie van de trans-Europese Netwerken voor energie. </w:t>
      </w:r>
      <w:r w:rsidRPr="00570752" w:rsidR="00EF37D7">
        <w:rPr>
          <w:rFonts w:ascii="Verdana" w:hAnsi="Verdana" w:eastAsia="Verdana" w:cs="Verdana"/>
          <w:sz w:val="18"/>
          <w:szCs w:val="18"/>
        </w:rPr>
        <w:t xml:space="preserve">In de recente Kamerbrief over EU concurrentievermogen </w:t>
      </w:r>
      <w:r w:rsidRPr="00570752" w:rsidR="00570752">
        <w:rPr>
          <w:rFonts w:ascii="Verdana" w:hAnsi="Verdana" w:eastAsia="Verdana" w:cs="Verdana"/>
          <w:sz w:val="18"/>
          <w:szCs w:val="18"/>
        </w:rPr>
        <w:t xml:space="preserve">zegt </w:t>
      </w:r>
      <w:r w:rsidRPr="00570752" w:rsidR="00EF37D7">
        <w:rPr>
          <w:rFonts w:ascii="Verdana" w:hAnsi="Verdana" w:eastAsia="Verdana" w:cs="Verdana"/>
          <w:sz w:val="18"/>
          <w:szCs w:val="18"/>
        </w:rPr>
        <w:t>het kabinet in</w:t>
      </w:r>
      <w:r w:rsidRPr="00570752" w:rsidR="00570752">
        <w:rPr>
          <w:rFonts w:ascii="Verdana" w:hAnsi="Verdana" w:eastAsia="Verdana" w:cs="Verdana"/>
          <w:sz w:val="18"/>
          <w:szCs w:val="18"/>
        </w:rPr>
        <w:t xml:space="preserve"> te </w:t>
      </w:r>
      <w:r w:rsidRPr="00570752" w:rsidR="00EF37D7">
        <w:rPr>
          <w:rFonts w:ascii="Verdana" w:hAnsi="Verdana" w:eastAsia="Verdana" w:cs="Verdana"/>
          <w:sz w:val="18"/>
          <w:szCs w:val="18"/>
        </w:rPr>
        <w:t>zetten op de juiste voorwaarden voor de concurrerende economie.</w:t>
      </w:r>
      <w:r w:rsidRPr="00B72723" w:rsidR="00B72723">
        <w:rPr>
          <w:rFonts w:ascii="Verdana" w:hAnsi="Verdana" w:eastAsia="Verdana" w:cs="Verdana"/>
          <w:sz w:val="18"/>
          <w:szCs w:val="18"/>
          <w:vertAlign w:val="superscript"/>
        </w:rPr>
        <w:t xml:space="preserve"> </w:t>
      </w:r>
      <w:r w:rsidRPr="00570752" w:rsidR="00B72723">
        <w:rPr>
          <w:rFonts w:ascii="Verdana" w:hAnsi="Verdana" w:eastAsia="Verdana" w:cs="Verdana"/>
          <w:sz w:val="18"/>
          <w:szCs w:val="18"/>
          <w:vertAlign w:val="superscript"/>
        </w:rPr>
        <w:t>5</w:t>
      </w:r>
      <w:r w:rsidRPr="00570752" w:rsidR="00EF37D7">
        <w:rPr>
          <w:rFonts w:ascii="Verdana" w:hAnsi="Verdana" w:eastAsia="Verdana" w:cs="Verdana"/>
          <w:sz w:val="18"/>
          <w:szCs w:val="18"/>
        </w:rPr>
        <w:t xml:space="preserve"> In dat kader wil het kabinet </w:t>
      </w:r>
      <w:r w:rsidR="00721544">
        <w:rPr>
          <w:rFonts w:ascii="Verdana" w:hAnsi="Verdana" w:eastAsia="Verdana" w:cs="Verdana"/>
          <w:sz w:val="18"/>
          <w:szCs w:val="18"/>
        </w:rPr>
        <w:t xml:space="preserve">zich richten </w:t>
      </w:r>
      <w:r w:rsidRPr="00570752" w:rsidR="00EF37D7">
        <w:rPr>
          <w:rFonts w:ascii="Verdana" w:hAnsi="Verdana" w:eastAsia="Verdana" w:cs="Verdana"/>
          <w:sz w:val="18"/>
          <w:szCs w:val="18"/>
        </w:rPr>
        <w:t xml:space="preserve">op betere integratie van de Europese energiemarkt om de energiekosten te verlagen en op </w:t>
      </w:r>
      <w:r w:rsidR="00721544">
        <w:rPr>
          <w:rFonts w:ascii="Verdana" w:hAnsi="Verdana" w:eastAsia="Verdana" w:cs="Verdana"/>
          <w:sz w:val="18"/>
          <w:szCs w:val="18"/>
        </w:rPr>
        <w:t xml:space="preserve">een </w:t>
      </w:r>
      <w:r w:rsidRPr="00570752" w:rsidR="00EF37D7">
        <w:rPr>
          <w:rFonts w:ascii="Verdana" w:hAnsi="Verdana" w:eastAsia="Verdana" w:cs="Verdana"/>
          <w:sz w:val="18"/>
          <w:szCs w:val="18"/>
        </w:rPr>
        <w:t>duurzame EU</w:t>
      </w:r>
      <w:r w:rsidR="00721544">
        <w:rPr>
          <w:rFonts w:ascii="Verdana" w:hAnsi="Verdana" w:eastAsia="Verdana" w:cs="Verdana"/>
          <w:sz w:val="18"/>
          <w:szCs w:val="18"/>
        </w:rPr>
        <w:t>, die</w:t>
      </w:r>
      <w:r w:rsidRPr="00570752" w:rsidR="00EF37D7">
        <w:rPr>
          <w:rFonts w:ascii="Verdana" w:hAnsi="Verdana" w:eastAsia="Verdana" w:cs="Verdana"/>
          <w:sz w:val="18"/>
          <w:szCs w:val="18"/>
        </w:rPr>
        <w:t xml:space="preserve"> de afgesproken doelen voor</w:t>
      </w:r>
      <w:r w:rsidR="00721544">
        <w:rPr>
          <w:rFonts w:ascii="Verdana" w:hAnsi="Verdana" w:eastAsia="Verdana" w:cs="Verdana"/>
          <w:sz w:val="18"/>
          <w:szCs w:val="18"/>
        </w:rPr>
        <w:t xml:space="preserve"> onder andere</w:t>
      </w:r>
      <w:r w:rsidRPr="00570752" w:rsidR="00EF37D7">
        <w:rPr>
          <w:rFonts w:ascii="Verdana" w:hAnsi="Verdana" w:eastAsia="Verdana" w:cs="Verdana"/>
          <w:sz w:val="18"/>
          <w:szCs w:val="18"/>
        </w:rPr>
        <w:t xml:space="preserve"> energie en klimaat behaal</w:t>
      </w:r>
      <w:r w:rsidR="00721544">
        <w:rPr>
          <w:rFonts w:ascii="Verdana" w:hAnsi="Verdana" w:eastAsia="Verdana" w:cs="Verdana"/>
          <w:sz w:val="18"/>
          <w:szCs w:val="18"/>
        </w:rPr>
        <w:t>t</w:t>
      </w:r>
      <w:r w:rsidRPr="00570752" w:rsidR="00EF37D7">
        <w:rPr>
          <w:rFonts w:ascii="Verdana" w:hAnsi="Verdana" w:eastAsia="Verdana" w:cs="Verdana"/>
          <w:sz w:val="18"/>
          <w:szCs w:val="18"/>
        </w:rPr>
        <w:t>.</w:t>
      </w:r>
      <w:r w:rsidRPr="00570752">
        <w:rPr>
          <w:rFonts w:ascii="Verdana" w:hAnsi="Verdana" w:eastAsia="Verdana" w:cs="Verdana"/>
          <w:sz w:val="18"/>
          <w:szCs w:val="18"/>
        </w:rPr>
        <w:t xml:space="preserve"> </w:t>
      </w:r>
      <w:r w:rsidRPr="00615607">
        <w:rPr>
          <w:rFonts w:ascii="Verdana" w:hAnsi="Verdana" w:eastAsia="Verdana" w:cs="Verdana"/>
          <w:sz w:val="18"/>
          <w:szCs w:val="18"/>
        </w:rPr>
        <w:t>In de komende jaren liggen er grote en belangrijke uitdagingen op het gebied van uitbreiding en modernisering van de energie-infrastructuur en van de grensoverschrijdende verbindingen in Europa om de energietransitie en CO</w:t>
      </w:r>
      <w:r w:rsidRPr="00615607">
        <w:rPr>
          <w:rFonts w:ascii="Verdana" w:hAnsi="Verdana" w:eastAsia="Verdana" w:cs="Verdana"/>
          <w:sz w:val="18"/>
          <w:szCs w:val="18"/>
          <w:vertAlign w:val="subscript"/>
        </w:rPr>
        <w:t>2</w:t>
      </w:r>
      <w:r w:rsidRPr="00615607">
        <w:rPr>
          <w:rFonts w:ascii="Verdana" w:hAnsi="Verdana" w:eastAsia="Verdana" w:cs="Verdana"/>
          <w:sz w:val="18"/>
          <w:szCs w:val="18"/>
        </w:rPr>
        <w:t>-reductie te bevorderen</w:t>
      </w:r>
      <w:r w:rsidR="00EF37D7">
        <w:rPr>
          <w:rFonts w:ascii="Verdana" w:hAnsi="Verdana" w:eastAsia="Verdana" w:cs="Verdana"/>
          <w:sz w:val="18"/>
          <w:szCs w:val="18"/>
        </w:rPr>
        <w:t>,</w:t>
      </w:r>
      <w:r w:rsidRPr="00615607">
        <w:rPr>
          <w:rFonts w:ascii="Verdana" w:hAnsi="Verdana" w:eastAsia="Verdana" w:cs="Verdana"/>
          <w:sz w:val="18"/>
          <w:szCs w:val="18"/>
        </w:rPr>
        <w:t xml:space="preserve"> verduurzaming </w:t>
      </w:r>
      <w:r w:rsidR="00EF37D7">
        <w:rPr>
          <w:rFonts w:ascii="Verdana" w:hAnsi="Verdana" w:eastAsia="Verdana" w:cs="Verdana"/>
          <w:sz w:val="18"/>
          <w:szCs w:val="18"/>
        </w:rPr>
        <w:t xml:space="preserve">en concurrentievermogen </w:t>
      </w:r>
      <w:r w:rsidRPr="00615607">
        <w:rPr>
          <w:rFonts w:ascii="Verdana" w:hAnsi="Verdana" w:eastAsia="Verdana" w:cs="Verdana"/>
          <w:sz w:val="18"/>
          <w:szCs w:val="18"/>
        </w:rPr>
        <w:t>van de Europese industrie te bewerkstelligen</w:t>
      </w:r>
      <w:r w:rsidR="00594E32">
        <w:rPr>
          <w:rFonts w:ascii="Verdana" w:hAnsi="Verdana" w:eastAsia="Verdana" w:cs="Verdana"/>
          <w:sz w:val="18"/>
          <w:szCs w:val="18"/>
        </w:rPr>
        <w:t xml:space="preserve">, </w:t>
      </w:r>
      <w:r w:rsidR="00EF37D7">
        <w:rPr>
          <w:rFonts w:ascii="Verdana" w:hAnsi="Verdana" w:eastAsia="Verdana" w:cs="Verdana"/>
          <w:sz w:val="18"/>
          <w:szCs w:val="18"/>
        </w:rPr>
        <w:t xml:space="preserve">leveringszekerheid te </w:t>
      </w:r>
      <w:r w:rsidR="00EF37D7">
        <w:rPr>
          <w:rFonts w:ascii="Verdana" w:hAnsi="Verdana" w:eastAsia="Verdana" w:cs="Verdana"/>
          <w:sz w:val="18"/>
          <w:szCs w:val="18"/>
        </w:rPr>
        <w:lastRenderedPageBreak/>
        <w:t>waarborgen</w:t>
      </w:r>
      <w:r w:rsidR="00594E32">
        <w:rPr>
          <w:rFonts w:ascii="Verdana" w:hAnsi="Verdana" w:eastAsia="Verdana" w:cs="Verdana"/>
          <w:sz w:val="18"/>
          <w:szCs w:val="18"/>
        </w:rPr>
        <w:t xml:space="preserve"> en zo bij te dragen aan de weerbaarheid van de EU</w:t>
      </w:r>
      <w:r w:rsidRPr="00615607">
        <w:rPr>
          <w:rFonts w:ascii="Verdana" w:hAnsi="Verdana" w:eastAsia="Verdana" w:cs="Verdana"/>
          <w:sz w:val="18"/>
          <w:szCs w:val="18"/>
        </w:rPr>
        <w:t xml:space="preserve">. Dit gaat ook gepaard met grote financiële uitdagingen voor de komende jaren. Het CEF kan hierin een ondersteunende rol spelen door de realisatie van belangrijke grensoverschrijdende energieprojecten te </w:t>
      </w:r>
      <w:r w:rsidR="00EF37D7">
        <w:rPr>
          <w:rFonts w:ascii="Verdana" w:hAnsi="Verdana" w:eastAsia="Verdana" w:cs="Verdana"/>
          <w:sz w:val="18"/>
          <w:szCs w:val="18"/>
        </w:rPr>
        <w:t>ondersteunen en te</w:t>
      </w:r>
      <w:r w:rsidRPr="00615607">
        <w:rPr>
          <w:rFonts w:ascii="Verdana" w:hAnsi="Verdana" w:eastAsia="Verdana" w:cs="Verdana"/>
          <w:sz w:val="18"/>
          <w:szCs w:val="18"/>
        </w:rPr>
        <w:t xml:space="preserve"> versnellen</w:t>
      </w:r>
      <w:r w:rsidR="00E66546">
        <w:rPr>
          <w:rFonts w:ascii="Verdana" w:hAnsi="Verdana" w:eastAsia="Verdana" w:cs="Verdana"/>
          <w:sz w:val="18"/>
          <w:szCs w:val="18"/>
        </w:rPr>
        <w:t>, die een hoge Europese meerwaarde hebben en anders niet van de grond</w:t>
      </w:r>
      <w:r w:rsidR="00EC62AE">
        <w:rPr>
          <w:rFonts w:ascii="Verdana" w:hAnsi="Verdana" w:eastAsia="Verdana" w:cs="Verdana"/>
          <w:sz w:val="18"/>
          <w:szCs w:val="18"/>
        </w:rPr>
        <w:t xml:space="preserve"> </w:t>
      </w:r>
      <w:r w:rsidR="00E66546">
        <w:rPr>
          <w:rFonts w:ascii="Verdana" w:hAnsi="Verdana" w:eastAsia="Verdana" w:cs="Verdana"/>
          <w:sz w:val="18"/>
          <w:szCs w:val="18"/>
        </w:rPr>
        <w:t>zouden komen</w:t>
      </w:r>
      <w:r w:rsidRPr="00615607">
        <w:rPr>
          <w:rFonts w:ascii="Verdana" w:hAnsi="Verdana" w:eastAsia="Verdana" w:cs="Verdana"/>
          <w:sz w:val="18"/>
          <w:szCs w:val="18"/>
        </w:rPr>
        <w:t xml:space="preserve">. </w:t>
      </w:r>
    </w:p>
    <w:p w:rsidRPr="00FD0CBD" w:rsidR="00952DCC" w:rsidP="003B3DB3" w:rsidRDefault="00952DCC" w14:paraId="7E0A0DE1" w14:textId="77777777">
      <w:pPr>
        <w:spacing w:line="360" w:lineRule="auto"/>
        <w:rPr>
          <w:rFonts w:ascii="Verdana" w:hAnsi="Verdana" w:eastAsia="Verdana" w:cs="Verdana"/>
          <w:sz w:val="18"/>
          <w:szCs w:val="18"/>
        </w:rPr>
      </w:pPr>
    </w:p>
    <w:p w:rsidRPr="00570752" w:rsidR="00E66546" w:rsidP="003B3DB3" w:rsidRDefault="00E66546" w14:paraId="68C458BB" w14:textId="1B01245D">
      <w:pPr>
        <w:spacing w:line="360" w:lineRule="auto"/>
        <w:rPr>
          <w:rFonts w:ascii="Verdana" w:hAnsi="Verdana" w:eastAsia="Verdana" w:cs="Verdana"/>
          <w:sz w:val="18"/>
          <w:szCs w:val="18"/>
        </w:rPr>
      </w:pPr>
      <w:r w:rsidRPr="00570752">
        <w:rPr>
          <w:rFonts w:ascii="Verdana" w:hAnsi="Verdana" w:eastAsia="Verdana" w:cs="Verdana"/>
          <w:sz w:val="18"/>
          <w:szCs w:val="18"/>
        </w:rPr>
        <w:t xml:space="preserve">De totstandkoming en financiering van </w:t>
      </w:r>
      <w:r w:rsidR="00721544">
        <w:rPr>
          <w:rFonts w:ascii="Verdana" w:hAnsi="Verdana" w:eastAsia="Verdana" w:cs="Verdana"/>
          <w:sz w:val="18"/>
          <w:szCs w:val="18"/>
        </w:rPr>
        <w:t>energieprojecten</w:t>
      </w:r>
      <w:r w:rsidRPr="00570752" w:rsidR="00721544">
        <w:rPr>
          <w:rFonts w:ascii="Verdana" w:hAnsi="Verdana" w:eastAsia="Verdana" w:cs="Verdana"/>
          <w:sz w:val="18"/>
          <w:szCs w:val="18"/>
        </w:rPr>
        <w:t xml:space="preserve"> </w:t>
      </w:r>
      <w:r w:rsidRPr="00570752">
        <w:rPr>
          <w:rFonts w:ascii="Verdana" w:hAnsi="Verdana" w:eastAsia="Verdana" w:cs="Verdana"/>
          <w:sz w:val="18"/>
          <w:szCs w:val="18"/>
        </w:rPr>
        <w:t>moet in eerste instantie bij (gereguleerde) marktpartijen liggen. De inzet van EU</w:t>
      </w:r>
      <w:r w:rsidRPr="00570752" w:rsidR="00866F8A">
        <w:rPr>
          <w:rFonts w:ascii="Verdana" w:hAnsi="Verdana" w:eastAsia="Verdana" w:cs="Verdana"/>
          <w:sz w:val="18"/>
          <w:szCs w:val="18"/>
        </w:rPr>
        <w:t>-</w:t>
      </w:r>
      <w:r w:rsidRPr="00570752">
        <w:rPr>
          <w:rFonts w:ascii="Verdana" w:hAnsi="Verdana" w:eastAsia="Verdana" w:cs="Verdana"/>
          <w:sz w:val="18"/>
          <w:szCs w:val="18"/>
        </w:rPr>
        <w:t xml:space="preserve">middelen mag niet leiden tot marktverstoring en moet een Europese toegevoegde waarde hebben. Daarom </w:t>
      </w:r>
      <w:r w:rsidR="00721544">
        <w:rPr>
          <w:rFonts w:ascii="Verdana" w:hAnsi="Verdana" w:eastAsia="Verdana" w:cs="Verdana"/>
          <w:sz w:val="18"/>
          <w:szCs w:val="18"/>
        </w:rPr>
        <w:t>beschouwt</w:t>
      </w:r>
      <w:r w:rsidRPr="00570752" w:rsidR="00721544">
        <w:rPr>
          <w:rFonts w:ascii="Verdana" w:hAnsi="Verdana" w:eastAsia="Verdana" w:cs="Verdana"/>
          <w:sz w:val="18"/>
          <w:szCs w:val="18"/>
        </w:rPr>
        <w:t xml:space="preserve"> </w:t>
      </w:r>
      <w:r w:rsidRPr="00570752">
        <w:rPr>
          <w:rFonts w:ascii="Verdana" w:hAnsi="Verdana" w:eastAsia="Verdana" w:cs="Verdana"/>
          <w:sz w:val="18"/>
          <w:szCs w:val="18"/>
        </w:rPr>
        <w:t xml:space="preserve">het kabinet behoud van cofinanciering door de initiatiefnemers van de projecten </w:t>
      </w:r>
      <w:r w:rsidR="00721544">
        <w:rPr>
          <w:rFonts w:ascii="Verdana" w:hAnsi="Verdana" w:eastAsia="Verdana" w:cs="Verdana"/>
          <w:sz w:val="18"/>
          <w:szCs w:val="18"/>
        </w:rPr>
        <w:t xml:space="preserve">als belangrijk </w:t>
      </w:r>
      <w:r w:rsidRPr="00570752">
        <w:rPr>
          <w:rFonts w:ascii="Verdana" w:hAnsi="Verdana" w:eastAsia="Verdana" w:cs="Verdana"/>
          <w:sz w:val="18"/>
          <w:szCs w:val="18"/>
        </w:rPr>
        <w:t>om de juiste prikkels bij deze partijen te houden. </w:t>
      </w:r>
    </w:p>
    <w:p w:rsidRPr="00FD0CBD" w:rsidR="00E66546" w:rsidP="003B3DB3" w:rsidRDefault="00E66546" w14:paraId="70FD5371" w14:textId="77777777">
      <w:pPr>
        <w:spacing w:line="360" w:lineRule="auto"/>
        <w:rPr>
          <w:rFonts w:ascii="Verdana" w:hAnsi="Verdana" w:eastAsia="Verdana" w:cs="Verdana"/>
          <w:sz w:val="18"/>
          <w:szCs w:val="18"/>
        </w:rPr>
      </w:pPr>
    </w:p>
    <w:p w:rsidRPr="0084323F" w:rsidR="003B3DB3" w:rsidP="203A7120" w:rsidRDefault="003B3DB3" w14:paraId="3E2CEDE1" w14:textId="77777777">
      <w:pPr>
        <w:numPr>
          <w:ilvl w:val="0"/>
          <w:numId w:val="4"/>
        </w:numPr>
        <w:spacing w:line="360" w:lineRule="auto"/>
        <w:rPr>
          <w:rFonts w:ascii="Verdana" w:hAnsi="Verdana"/>
          <w:i/>
          <w:iCs/>
          <w:sz w:val="18"/>
          <w:szCs w:val="18"/>
        </w:rPr>
      </w:pPr>
      <w:r w:rsidRPr="203A7120">
        <w:rPr>
          <w:rFonts w:ascii="Verdana" w:hAnsi="Verdana"/>
          <w:i/>
          <w:iCs/>
          <w:sz w:val="18"/>
          <w:szCs w:val="18"/>
        </w:rPr>
        <w:t>Beoordeling + inzet ten aanzien van dit voorstel</w:t>
      </w:r>
    </w:p>
    <w:p w:rsidR="00DB6E6F" w:rsidP="003B3DB3" w:rsidRDefault="006E5EAB" w14:paraId="520B48C8" w14:textId="2180BD68">
      <w:pPr>
        <w:spacing w:line="360" w:lineRule="auto"/>
        <w:rPr>
          <w:rFonts w:ascii="Verdana" w:hAnsi="Verdana" w:eastAsia="Verdana" w:cs="Verdana"/>
          <w:sz w:val="18"/>
          <w:szCs w:val="18"/>
        </w:rPr>
      </w:pPr>
      <w:r>
        <w:rPr>
          <w:rFonts w:ascii="Verdana" w:hAnsi="Verdana" w:eastAsia="Verdana" w:cs="Verdana"/>
          <w:sz w:val="18"/>
          <w:szCs w:val="18"/>
        </w:rPr>
        <w:t>Het kabinet verwelkom</w:t>
      </w:r>
      <w:r w:rsidR="001638A0">
        <w:rPr>
          <w:rFonts w:ascii="Verdana" w:hAnsi="Verdana" w:eastAsia="Verdana" w:cs="Verdana"/>
          <w:sz w:val="18"/>
          <w:szCs w:val="18"/>
        </w:rPr>
        <w:t>t</w:t>
      </w:r>
      <w:r>
        <w:rPr>
          <w:rFonts w:ascii="Verdana" w:hAnsi="Verdana" w:eastAsia="Verdana" w:cs="Verdana"/>
          <w:sz w:val="18"/>
          <w:szCs w:val="18"/>
        </w:rPr>
        <w:t xml:space="preserve"> het voorstel</w:t>
      </w:r>
      <w:r w:rsidR="001638A0">
        <w:rPr>
          <w:rFonts w:ascii="Verdana" w:hAnsi="Verdana" w:eastAsia="Verdana" w:cs="Verdana"/>
          <w:sz w:val="18"/>
          <w:szCs w:val="18"/>
        </w:rPr>
        <w:t xml:space="preserve"> en beoordeelt het voorstel positief met </w:t>
      </w:r>
      <w:r w:rsidR="00E66546">
        <w:rPr>
          <w:rFonts w:ascii="Verdana" w:hAnsi="Verdana" w:eastAsia="Verdana" w:cs="Verdana"/>
          <w:sz w:val="18"/>
          <w:szCs w:val="18"/>
        </w:rPr>
        <w:t>een aantal aandachtspunten</w:t>
      </w:r>
      <w:r w:rsidR="001638A0">
        <w:rPr>
          <w:rFonts w:ascii="Verdana" w:hAnsi="Verdana" w:eastAsia="Verdana" w:cs="Verdana"/>
          <w:sz w:val="18"/>
          <w:szCs w:val="18"/>
        </w:rPr>
        <w:t xml:space="preserve">. </w:t>
      </w:r>
      <w:r w:rsidR="00ED347F">
        <w:rPr>
          <w:rFonts w:ascii="Verdana" w:hAnsi="Verdana"/>
          <w:sz w:val="18"/>
          <w:szCs w:val="18"/>
        </w:rPr>
        <w:t xml:space="preserve">Deze </w:t>
      </w:r>
      <w:r w:rsidR="00E66546">
        <w:rPr>
          <w:rFonts w:ascii="Verdana" w:hAnsi="Verdana"/>
          <w:sz w:val="18"/>
          <w:szCs w:val="18"/>
        </w:rPr>
        <w:t>aandachtspunten</w:t>
      </w:r>
      <w:r w:rsidR="00570752">
        <w:rPr>
          <w:rFonts w:ascii="Verdana" w:hAnsi="Verdana"/>
          <w:sz w:val="18"/>
          <w:szCs w:val="18"/>
        </w:rPr>
        <w:t xml:space="preserve"> </w:t>
      </w:r>
      <w:r w:rsidR="00ED347F">
        <w:rPr>
          <w:rFonts w:ascii="Verdana" w:hAnsi="Verdana"/>
          <w:sz w:val="18"/>
          <w:szCs w:val="18"/>
        </w:rPr>
        <w:t>hebben betrekking op het gebrek aan concrete coördinatie met andere fondsen en MFK-voorstellen,</w:t>
      </w:r>
      <w:r w:rsidR="00721544">
        <w:rPr>
          <w:rFonts w:ascii="Verdana" w:hAnsi="Verdana"/>
          <w:sz w:val="18"/>
          <w:szCs w:val="18"/>
        </w:rPr>
        <w:t xml:space="preserve"> onvoorspelbare financiering voor transport</w:t>
      </w:r>
      <w:r w:rsidR="00ED347F">
        <w:rPr>
          <w:rFonts w:ascii="Verdana" w:hAnsi="Verdana"/>
          <w:sz w:val="18"/>
          <w:szCs w:val="18"/>
        </w:rPr>
        <w:t xml:space="preserve"> en het vooruitschuiven van het maken van keuzes naar de werkprogramma’s (verderop in de tekst toegelicht). </w:t>
      </w:r>
      <w:r w:rsidR="001638A0">
        <w:rPr>
          <w:rFonts w:ascii="Verdana" w:hAnsi="Verdana" w:eastAsia="Verdana" w:cs="Verdana"/>
          <w:sz w:val="18"/>
          <w:szCs w:val="18"/>
        </w:rPr>
        <w:t xml:space="preserve">Het kabinet deelt de analyse van de Commissie zoals deze gemaakt is in de impact assessment. </w:t>
      </w:r>
      <w:bookmarkStart w:name="_Hlk204095519" w:id="3"/>
      <w:r w:rsidR="001638A0">
        <w:rPr>
          <w:rFonts w:ascii="Verdana" w:hAnsi="Verdana" w:eastAsia="Verdana" w:cs="Verdana"/>
          <w:sz w:val="18"/>
          <w:szCs w:val="18"/>
        </w:rPr>
        <w:t xml:space="preserve">Het CEF is nodig om grensoverschrijdende projecten </w:t>
      </w:r>
      <w:r w:rsidR="00E66546">
        <w:rPr>
          <w:rFonts w:ascii="Verdana" w:hAnsi="Verdana" w:eastAsia="Verdana" w:cs="Verdana"/>
          <w:sz w:val="18"/>
          <w:szCs w:val="18"/>
        </w:rPr>
        <w:t xml:space="preserve">op gebied van transport en energie </w:t>
      </w:r>
      <w:r w:rsidR="001638A0">
        <w:rPr>
          <w:rFonts w:ascii="Verdana" w:hAnsi="Verdana" w:eastAsia="Verdana" w:cs="Verdana"/>
          <w:sz w:val="18"/>
          <w:szCs w:val="18"/>
        </w:rPr>
        <w:t xml:space="preserve">te stimuleren en daarmee bij te dragen aan de realisatie van de trans-Europese netwerken. </w:t>
      </w:r>
      <w:r w:rsidR="0039530F">
        <w:rPr>
          <w:rFonts w:ascii="Verdana" w:hAnsi="Verdana" w:eastAsia="Verdana" w:cs="Verdana"/>
          <w:sz w:val="18"/>
          <w:szCs w:val="18"/>
        </w:rPr>
        <w:t>De doelen in het CEF dragen tevens bij aan het versterken van de weerbaarheid en veiligheid van de EU</w:t>
      </w:r>
      <w:r w:rsidR="00DF7DDA">
        <w:rPr>
          <w:rFonts w:ascii="Verdana" w:hAnsi="Verdana" w:eastAsia="Verdana" w:cs="Verdana"/>
          <w:sz w:val="18"/>
          <w:szCs w:val="18"/>
        </w:rPr>
        <w:t xml:space="preserve"> en het behalen van de klimaatdoelen voor mobiliteit</w:t>
      </w:r>
      <w:r w:rsidR="0039530F">
        <w:rPr>
          <w:rFonts w:ascii="Verdana" w:hAnsi="Verdana" w:eastAsia="Verdana" w:cs="Verdana"/>
          <w:sz w:val="18"/>
          <w:szCs w:val="18"/>
        </w:rPr>
        <w:t xml:space="preserve">. </w:t>
      </w:r>
      <w:r w:rsidR="004C35B1">
        <w:rPr>
          <w:rFonts w:ascii="Verdana" w:hAnsi="Verdana" w:eastAsia="Verdana" w:cs="Verdana"/>
          <w:sz w:val="18"/>
          <w:szCs w:val="18"/>
        </w:rPr>
        <w:t xml:space="preserve">Daarom wordt het </w:t>
      </w:r>
      <w:r w:rsidRPr="004C35B1" w:rsidR="004C35B1">
        <w:rPr>
          <w:rFonts w:ascii="Verdana" w:hAnsi="Verdana" w:eastAsia="Verdana" w:cs="Verdana"/>
          <w:sz w:val="18"/>
          <w:szCs w:val="18"/>
        </w:rPr>
        <w:t>CEF door het kabinet beschouwd als een programma met een hoge Europese</w:t>
      </w:r>
      <w:r w:rsidR="00570752">
        <w:rPr>
          <w:rFonts w:ascii="Verdana" w:hAnsi="Verdana" w:eastAsia="Verdana" w:cs="Verdana"/>
          <w:sz w:val="18"/>
          <w:szCs w:val="18"/>
        </w:rPr>
        <w:t xml:space="preserve"> </w:t>
      </w:r>
      <w:r w:rsidR="00AB2B4F">
        <w:rPr>
          <w:rFonts w:ascii="Verdana" w:hAnsi="Verdana" w:eastAsia="Verdana" w:cs="Verdana"/>
          <w:sz w:val="18"/>
          <w:szCs w:val="18"/>
        </w:rPr>
        <w:t>toegevoegde waarde</w:t>
      </w:r>
      <w:r w:rsidRPr="004C35B1" w:rsidR="004C35B1">
        <w:rPr>
          <w:rFonts w:ascii="Verdana" w:hAnsi="Verdana" w:eastAsia="Verdana" w:cs="Verdana"/>
          <w:sz w:val="18"/>
          <w:szCs w:val="18"/>
        </w:rPr>
        <w:t xml:space="preserve">. </w:t>
      </w:r>
      <w:bookmarkEnd w:id="3"/>
      <w:r w:rsidR="001638A0">
        <w:rPr>
          <w:rFonts w:ascii="Verdana" w:hAnsi="Verdana" w:eastAsia="Verdana" w:cs="Verdana"/>
          <w:sz w:val="18"/>
          <w:szCs w:val="18"/>
        </w:rPr>
        <w:t xml:space="preserve">Het kabinet </w:t>
      </w:r>
      <w:r w:rsidR="00A71109">
        <w:rPr>
          <w:rFonts w:ascii="Verdana" w:hAnsi="Verdana" w:eastAsia="Verdana" w:cs="Verdana"/>
          <w:sz w:val="18"/>
          <w:szCs w:val="18"/>
        </w:rPr>
        <w:t xml:space="preserve">deelt en steunt </w:t>
      </w:r>
      <w:r w:rsidR="001638A0">
        <w:rPr>
          <w:rFonts w:ascii="Verdana" w:hAnsi="Verdana" w:eastAsia="Verdana" w:cs="Verdana"/>
          <w:sz w:val="18"/>
          <w:szCs w:val="18"/>
        </w:rPr>
        <w:t xml:space="preserve">de </w:t>
      </w:r>
      <w:r w:rsidR="00A71109">
        <w:rPr>
          <w:rFonts w:ascii="Verdana" w:hAnsi="Verdana" w:eastAsia="Verdana" w:cs="Verdana"/>
          <w:sz w:val="18"/>
          <w:szCs w:val="18"/>
        </w:rPr>
        <w:t xml:space="preserve">overkoepelende </w:t>
      </w:r>
      <w:r w:rsidR="001638A0">
        <w:rPr>
          <w:rFonts w:ascii="Verdana" w:hAnsi="Verdana" w:eastAsia="Verdana" w:cs="Verdana"/>
          <w:sz w:val="18"/>
          <w:szCs w:val="18"/>
        </w:rPr>
        <w:t>doelen van het voorstel. In het bijzonder verwelkomt het kabinet de nadruk op de synergiën tussen de transport</w:t>
      </w:r>
      <w:r w:rsidR="002A2C68">
        <w:rPr>
          <w:rFonts w:ascii="Verdana" w:hAnsi="Verdana" w:eastAsia="Verdana" w:cs="Verdana"/>
          <w:sz w:val="18"/>
          <w:szCs w:val="18"/>
        </w:rPr>
        <w:t>-</w:t>
      </w:r>
      <w:r w:rsidR="001638A0">
        <w:rPr>
          <w:rFonts w:ascii="Verdana" w:hAnsi="Verdana" w:eastAsia="Verdana" w:cs="Verdana"/>
          <w:sz w:val="18"/>
          <w:szCs w:val="18"/>
        </w:rPr>
        <w:t xml:space="preserve"> en energiesector om zo tot een kosten-efficiënte manier van uitgaven te komen.</w:t>
      </w:r>
      <w:r w:rsidR="004C35B1">
        <w:rPr>
          <w:rFonts w:ascii="Verdana" w:hAnsi="Verdana" w:eastAsia="Verdana" w:cs="Verdana"/>
          <w:sz w:val="18"/>
          <w:szCs w:val="18"/>
        </w:rPr>
        <w:t xml:space="preserve"> </w:t>
      </w:r>
      <w:r w:rsidR="00DB6E6F">
        <w:rPr>
          <w:rFonts w:ascii="Verdana" w:hAnsi="Verdana" w:eastAsia="Verdana" w:cs="Verdana"/>
          <w:sz w:val="18"/>
          <w:szCs w:val="18"/>
        </w:rPr>
        <w:t>Het kabinet vindt het echter teleurstellend dat de digitaliseringscomponent, welke onderdeel uitmaakte van de drie synergetische sectoren in CEF 2021-2027, beperkte aandacht krijgt in dit voorstel</w:t>
      </w:r>
      <w:r w:rsidR="00B26AE7">
        <w:rPr>
          <w:rFonts w:ascii="Verdana" w:hAnsi="Verdana" w:eastAsia="Verdana" w:cs="Verdana"/>
          <w:sz w:val="18"/>
          <w:szCs w:val="18"/>
        </w:rPr>
        <w:t>, terwijl de digitaliseringsopgave in de transportsector aanzienlijk is</w:t>
      </w:r>
      <w:r w:rsidR="00DB6E6F">
        <w:rPr>
          <w:rFonts w:ascii="Verdana" w:hAnsi="Verdana" w:eastAsia="Verdana" w:cs="Verdana"/>
          <w:sz w:val="18"/>
          <w:szCs w:val="18"/>
        </w:rPr>
        <w:t xml:space="preserve">. </w:t>
      </w:r>
      <w:r w:rsidRPr="00D162C4" w:rsidR="00D162C4">
        <w:rPr>
          <w:rFonts w:ascii="Verdana" w:hAnsi="Verdana" w:eastAsia="Verdana" w:cs="Verdana"/>
          <w:sz w:val="18"/>
          <w:szCs w:val="18"/>
        </w:rPr>
        <w:t>Een voorbeeld van die opgave is de implementatie van ERTMS op het spoor.</w:t>
      </w:r>
      <w:r w:rsidR="00D162C4">
        <w:rPr>
          <w:rFonts w:ascii="Verdana" w:hAnsi="Verdana" w:eastAsia="Verdana" w:cs="Verdana"/>
          <w:sz w:val="18"/>
          <w:szCs w:val="18"/>
        </w:rPr>
        <w:t xml:space="preserve"> </w:t>
      </w:r>
      <w:r w:rsidR="006A4945">
        <w:rPr>
          <w:rFonts w:ascii="Verdana" w:hAnsi="Verdana" w:eastAsia="Verdana" w:cs="Verdana"/>
          <w:sz w:val="18"/>
          <w:szCs w:val="18"/>
        </w:rPr>
        <w:t xml:space="preserve">Specifieke aandacht voor digitalisering lijkt te zijn </w:t>
      </w:r>
      <w:r w:rsidR="00DB6E6F">
        <w:rPr>
          <w:rFonts w:ascii="Verdana" w:hAnsi="Verdana" w:eastAsia="Verdana" w:cs="Verdana"/>
          <w:sz w:val="18"/>
          <w:szCs w:val="18"/>
        </w:rPr>
        <w:t xml:space="preserve">verplaatst naar het ECF, waardoor het kabinet zal inzetten op een sterkte samenhang met het ECF om digitaliseringsontwikkelingen op het terrein van mobiliteit en transport te ondersteunen. </w:t>
      </w:r>
      <w:r w:rsidRPr="004C35B1" w:rsidR="004C35B1">
        <w:rPr>
          <w:rFonts w:ascii="Verdana" w:hAnsi="Verdana" w:eastAsia="Verdana" w:cs="Verdana"/>
          <w:sz w:val="18"/>
          <w:szCs w:val="18"/>
        </w:rPr>
        <w:t xml:space="preserve">Het kabinet zet in Europees verband in </w:t>
      </w:r>
      <w:r w:rsidR="007B0460">
        <w:rPr>
          <w:rFonts w:ascii="Verdana" w:hAnsi="Verdana" w:eastAsia="Verdana" w:cs="Verdana"/>
          <w:sz w:val="18"/>
          <w:szCs w:val="18"/>
        </w:rPr>
        <w:t>op</w:t>
      </w:r>
      <w:r w:rsidRPr="004C35B1" w:rsidR="007B0460">
        <w:rPr>
          <w:rFonts w:ascii="Verdana" w:hAnsi="Verdana" w:eastAsia="Verdana" w:cs="Verdana"/>
          <w:sz w:val="18"/>
          <w:szCs w:val="18"/>
        </w:rPr>
        <w:t xml:space="preserve"> </w:t>
      </w:r>
      <w:r w:rsidRPr="004C35B1" w:rsidR="004C35B1">
        <w:rPr>
          <w:rFonts w:ascii="Verdana" w:hAnsi="Verdana" w:eastAsia="Verdana" w:cs="Verdana"/>
          <w:sz w:val="18"/>
          <w:szCs w:val="18"/>
        </w:rPr>
        <w:t xml:space="preserve">versterking van het concurrentievermogen, waar ook de fysieke energie-infrastructuur deel van uitmaakt. </w:t>
      </w:r>
      <w:r w:rsidR="006A4945">
        <w:rPr>
          <w:rFonts w:ascii="Verdana" w:hAnsi="Verdana" w:eastAsia="Verdana" w:cs="Verdana"/>
          <w:sz w:val="18"/>
          <w:szCs w:val="18"/>
        </w:rPr>
        <w:t xml:space="preserve">Het kabinet erkent ook de meerwaarde van het gebruik van plaats- en tijdbepaling met </w:t>
      </w:r>
      <w:r w:rsidRPr="004F5BA4" w:rsidR="008F28C1">
        <w:rPr>
          <w:rFonts w:ascii="Verdana" w:hAnsi="Verdana" w:eastAsia="Verdana" w:cs="Verdana"/>
          <w:i/>
          <w:iCs/>
          <w:sz w:val="18"/>
          <w:szCs w:val="18"/>
        </w:rPr>
        <w:t xml:space="preserve">Global </w:t>
      </w:r>
      <w:proofErr w:type="spellStart"/>
      <w:r w:rsidRPr="004F5BA4" w:rsidR="008F28C1">
        <w:rPr>
          <w:rFonts w:ascii="Verdana" w:hAnsi="Verdana" w:eastAsia="Verdana" w:cs="Verdana"/>
          <w:i/>
          <w:iCs/>
          <w:sz w:val="18"/>
          <w:szCs w:val="18"/>
        </w:rPr>
        <w:t>Navigation</w:t>
      </w:r>
      <w:proofErr w:type="spellEnd"/>
      <w:r w:rsidRPr="004F5BA4" w:rsidR="008F28C1">
        <w:rPr>
          <w:rFonts w:ascii="Verdana" w:hAnsi="Verdana" w:eastAsia="Verdana" w:cs="Verdana"/>
          <w:i/>
          <w:iCs/>
          <w:sz w:val="18"/>
          <w:szCs w:val="18"/>
        </w:rPr>
        <w:t xml:space="preserve"> </w:t>
      </w:r>
      <w:proofErr w:type="spellStart"/>
      <w:r w:rsidRPr="004F5BA4" w:rsidR="008F28C1">
        <w:rPr>
          <w:rFonts w:ascii="Verdana" w:hAnsi="Verdana" w:eastAsia="Verdana" w:cs="Verdana"/>
          <w:i/>
          <w:iCs/>
          <w:sz w:val="18"/>
          <w:szCs w:val="18"/>
        </w:rPr>
        <w:t>Satellite</w:t>
      </w:r>
      <w:proofErr w:type="spellEnd"/>
      <w:r w:rsidRPr="004F5BA4" w:rsidR="008F28C1">
        <w:rPr>
          <w:rFonts w:ascii="Verdana" w:hAnsi="Verdana" w:eastAsia="Verdana" w:cs="Verdana"/>
          <w:i/>
          <w:iCs/>
          <w:sz w:val="18"/>
          <w:szCs w:val="18"/>
        </w:rPr>
        <w:t xml:space="preserve"> System</w:t>
      </w:r>
      <w:r w:rsidR="008F28C1">
        <w:rPr>
          <w:rFonts w:ascii="Verdana" w:hAnsi="Verdana" w:eastAsia="Verdana" w:cs="Verdana"/>
          <w:sz w:val="18"/>
          <w:szCs w:val="18"/>
        </w:rPr>
        <w:t xml:space="preserve"> door zogenaamde </w:t>
      </w:r>
      <w:r w:rsidRPr="004F5BA4" w:rsidR="008F28C1">
        <w:rPr>
          <w:rFonts w:ascii="Verdana" w:hAnsi="Verdana" w:eastAsia="Verdana" w:cs="Verdana"/>
          <w:i/>
          <w:iCs/>
          <w:sz w:val="18"/>
          <w:szCs w:val="18"/>
        </w:rPr>
        <w:t xml:space="preserve">positioning, </w:t>
      </w:r>
      <w:proofErr w:type="spellStart"/>
      <w:r w:rsidRPr="004F5BA4" w:rsidR="008F28C1">
        <w:rPr>
          <w:rFonts w:ascii="Verdana" w:hAnsi="Verdana" w:eastAsia="Verdana" w:cs="Verdana"/>
          <w:i/>
          <w:iCs/>
          <w:sz w:val="18"/>
          <w:szCs w:val="18"/>
        </w:rPr>
        <w:t>navigation</w:t>
      </w:r>
      <w:proofErr w:type="spellEnd"/>
      <w:r w:rsidRPr="004F5BA4" w:rsidR="008F28C1">
        <w:rPr>
          <w:rFonts w:ascii="Verdana" w:hAnsi="Verdana" w:eastAsia="Verdana" w:cs="Verdana"/>
          <w:i/>
          <w:iCs/>
          <w:sz w:val="18"/>
          <w:szCs w:val="18"/>
        </w:rPr>
        <w:t>,</w:t>
      </w:r>
      <w:r w:rsidR="00B72723">
        <w:rPr>
          <w:rFonts w:ascii="Verdana" w:hAnsi="Verdana" w:eastAsia="Verdana" w:cs="Verdana"/>
          <w:i/>
          <w:iCs/>
          <w:sz w:val="18"/>
          <w:szCs w:val="18"/>
        </w:rPr>
        <w:t xml:space="preserve"> </w:t>
      </w:r>
      <w:r w:rsidRPr="004F5BA4" w:rsidR="008F28C1">
        <w:rPr>
          <w:rFonts w:ascii="Verdana" w:hAnsi="Verdana" w:eastAsia="Verdana" w:cs="Verdana"/>
          <w:i/>
          <w:iCs/>
          <w:sz w:val="18"/>
          <w:szCs w:val="18"/>
        </w:rPr>
        <w:t>and timing</w:t>
      </w:r>
      <w:r w:rsidRPr="00DB7AA4" w:rsidR="008F28C1">
        <w:rPr>
          <w:rFonts w:ascii="Verdana" w:hAnsi="Verdana" w:eastAsia="Verdana" w:cs="Verdana"/>
          <w:sz w:val="18"/>
          <w:szCs w:val="18"/>
        </w:rPr>
        <w:t xml:space="preserve"> </w:t>
      </w:r>
      <w:r w:rsidR="006A4945">
        <w:rPr>
          <w:rFonts w:ascii="Verdana" w:hAnsi="Verdana" w:eastAsia="Verdana" w:cs="Verdana"/>
          <w:sz w:val="18"/>
          <w:szCs w:val="18"/>
        </w:rPr>
        <w:t xml:space="preserve">en van aardobservatie voor monitoring en zal inzetten op het expliciete gebruik van </w:t>
      </w:r>
      <w:proofErr w:type="spellStart"/>
      <w:r w:rsidR="006A4945">
        <w:rPr>
          <w:rFonts w:ascii="Verdana" w:hAnsi="Verdana" w:eastAsia="Verdana" w:cs="Verdana"/>
          <w:sz w:val="18"/>
          <w:szCs w:val="18"/>
        </w:rPr>
        <w:t>Galileo</w:t>
      </w:r>
      <w:proofErr w:type="spellEnd"/>
      <w:r w:rsidR="006A4945">
        <w:rPr>
          <w:rFonts w:ascii="Verdana" w:hAnsi="Verdana" w:eastAsia="Verdana" w:cs="Verdana"/>
          <w:sz w:val="18"/>
          <w:szCs w:val="18"/>
        </w:rPr>
        <w:t xml:space="preserve"> dan wel Copernicus-data in de monitoring. </w:t>
      </w:r>
    </w:p>
    <w:p w:rsidR="00EF7526" w:rsidP="003B3DB3" w:rsidRDefault="00EF7526" w14:paraId="3EFC649B" w14:textId="42F098AD">
      <w:pPr>
        <w:spacing w:line="360" w:lineRule="auto"/>
        <w:rPr>
          <w:rFonts w:ascii="Verdana" w:hAnsi="Verdana" w:eastAsia="Verdana" w:cs="Verdana"/>
          <w:sz w:val="18"/>
          <w:szCs w:val="18"/>
        </w:rPr>
      </w:pPr>
    </w:p>
    <w:p w:rsidR="00EF7526" w:rsidP="00EF7526" w:rsidRDefault="00EF7526" w14:paraId="638F7DE4" w14:textId="0410A426">
      <w:pPr>
        <w:spacing w:line="360" w:lineRule="auto"/>
        <w:rPr>
          <w:rFonts w:ascii="Verdana" w:hAnsi="Verdana" w:eastAsia="Verdana" w:cs="Verdana"/>
          <w:sz w:val="18"/>
          <w:szCs w:val="18"/>
        </w:rPr>
      </w:pPr>
      <w:r>
        <w:rPr>
          <w:rFonts w:ascii="Verdana" w:hAnsi="Verdana" w:eastAsia="Verdana" w:cs="Verdana"/>
          <w:sz w:val="18"/>
          <w:szCs w:val="18"/>
        </w:rPr>
        <w:t xml:space="preserve">Het kabinet staat positief tegenover het behoud van het competitieve selectiesysteem om </w:t>
      </w:r>
      <w:r w:rsidR="00E66546">
        <w:rPr>
          <w:rFonts w:ascii="Verdana" w:hAnsi="Verdana" w:eastAsia="Verdana" w:cs="Verdana"/>
          <w:sz w:val="18"/>
          <w:szCs w:val="18"/>
        </w:rPr>
        <w:t>transport en energie</w:t>
      </w:r>
      <w:r w:rsidR="00570752">
        <w:rPr>
          <w:rFonts w:ascii="Verdana" w:hAnsi="Verdana" w:eastAsia="Verdana" w:cs="Verdana"/>
          <w:sz w:val="18"/>
          <w:szCs w:val="18"/>
        </w:rPr>
        <w:t xml:space="preserve"> </w:t>
      </w:r>
      <w:r>
        <w:rPr>
          <w:rFonts w:ascii="Verdana" w:hAnsi="Verdana" w:eastAsia="Verdana" w:cs="Verdana"/>
          <w:sz w:val="18"/>
          <w:szCs w:val="18"/>
        </w:rPr>
        <w:t xml:space="preserve">projectaanvragen goed te keuren. De Commissie beargumenteert dat dit systeem het mogelijk maakt om de meest ‘volwassen’ projecten te selecteren en op die manier het beste bijdraagt aan de uitrol van het trans-Europe netwerk. Het kabinet zal zich wel inzetten voor </w:t>
      </w:r>
      <w:r>
        <w:rPr>
          <w:rFonts w:ascii="Verdana" w:hAnsi="Verdana" w:eastAsia="Verdana" w:cs="Verdana"/>
          <w:sz w:val="18"/>
          <w:szCs w:val="18"/>
        </w:rPr>
        <w:lastRenderedPageBreak/>
        <w:t>een efficiënte uitwerking van het versimpelingsvoorstel voor projectenaanvragen</w:t>
      </w:r>
      <w:r w:rsidR="00C2482E">
        <w:rPr>
          <w:rFonts w:ascii="Verdana" w:hAnsi="Verdana" w:eastAsia="Verdana" w:cs="Verdana"/>
          <w:sz w:val="18"/>
          <w:szCs w:val="18"/>
        </w:rPr>
        <w:t xml:space="preserve"> en voor een verduidelijking van de inrichting van het selectiesysteem</w:t>
      </w:r>
      <w:r w:rsidR="004F4C01">
        <w:rPr>
          <w:rFonts w:ascii="Verdana" w:hAnsi="Verdana" w:eastAsia="Verdana" w:cs="Verdana"/>
          <w:sz w:val="18"/>
          <w:szCs w:val="18"/>
        </w:rPr>
        <w:t xml:space="preserve"> in deze MFK-periode.</w:t>
      </w:r>
    </w:p>
    <w:p w:rsidR="003B3DB3" w:rsidP="003B3DB3" w:rsidRDefault="003B3DB3" w14:paraId="7EFBBD3A" w14:textId="2108C288">
      <w:pPr>
        <w:spacing w:line="360" w:lineRule="auto"/>
        <w:rPr>
          <w:rFonts w:ascii="Verdana" w:hAnsi="Verdana" w:eastAsia="Verdana" w:cs="Verdana"/>
          <w:sz w:val="18"/>
          <w:szCs w:val="18"/>
        </w:rPr>
      </w:pPr>
    </w:p>
    <w:p w:rsidR="001638A0" w:rsidP="003B3DB3" w:rsidRDefault="00222EBE" w14:paraId="43BC64A3" w14:textId="38F4C6B1">
      <w:pPr>
        <w:spacing w:line="360" w:lineRule="auto"/>
        <w:rPr>
          <w:rFonts w:ascii="Verdana" w:hAnsi="Verdana" w:eastAsia="Verdana" w:cs="Verdana"/>
          <w:sz w:val="18"/>
          <w:szCs w:val="18"/>
        </w:rPr>
      </w:pPr>
      <w:bookmarkStart w:name="_Hlk204095531" w:id="4"/>
      <w:r>
        <w:rPr>
          <w:rFonts w:ascii="Verdana" w:hAnsi="Verdana" w:eastAsia="Verdana" w:cs="Verdana"/>
          <w:sz w:val="18"/>
          <w:szCs w:val="18"/>
        </w:rPr>
        <w:t xml:space="preserve">De TEN-T </w:t>
      </w:r>
      <w:r w:rsidR="00E66546">
        <w:rPr>
          <w:rFonts w:ascii="Verdana" w:hAnsi="Verdana" w:eastAsia="Verdana" w:cs="Verdana"/>
          <w:sz w:val="18"/>
          <w:szCs w:val="18"/>
        </w:rPr>
        <w:t>en TEN-E</w:t>
      </w:r>
      <w:r>
        <w:rPr>
          <w:rFonts w:ascii="Verdana" w:hAnsi="Verdana" w:eastAsia="Verdana" w:cs="Verdana"/>
          <w:sz w:val="18"/>
          <w:szCs w:val="18"/>
        </w:rPr>
        <w:t xml:space="preserve"> opgave</w:t>
      </w:r>
      <w:r w:rsidR="00E66546">
        <w:rPr>
          <w:rFonts w:ascii="Verdana" w:hAnsi="Verdana" w:eastAsia="Verdana" w:cs="Verdana"/>
          <w:sz w:val="18"/>
          <w:szCs w:val="18"/>
        </w:rPr>
        <w:t>n</w:t>
      </w:r>
      <w:r>
        <w:rPr>
          <w:rFonts w:ascii="Verdana" w:hAnsi="Verdana" w:eastAsia="Verdana" w:cs="Verdana"/>
          <w:sz w:val="18"/>
          <w:szCs w:val="18"/>
        </w:rPr>
        <w:t xml:space="preserve"> </w:t>
      </w:r>
      <w:r w:rsidR="00E66546">
        <w:rPr>
          <w:rFonts w:ascii="Verdana" w:hAnsi="Verdana" w:eastAsia="Verdana" w:cs="Verdana"/>
          <w:sz w:val="18"/>
          <w:szCs w:val="18"/>
        </w:rPr>
        <w:t>zijn</w:t>
      </w:r>
      <w:r w:rsidR="00AB2B4F">
        <w:rPr>
          <w:rFonts w:ascii="Verdana" w:hAnsi="Verdana" w:eastAsia="Verdana" w:cs="Verdana"/>
          <w:sz w:val="18"/>
          <w:szCs w:val="18"/>
        </w:rPr>
        <w:t xml:space="preserve"> groot</w:t>
      </w:r>
      <w:r>
        <w:rPr>
          <w:rFonts w:ascii="Verdana" w:hAnsi="Verdana" w:eastAsia="Verdana" w:cs="Verdana"/>
          <w:sz w:val="18"/>
          <w:szCs w:val="18"/>
        </w:rPr>
        <w:t xml:space="preserve">, zowel financieel als geografisch, waardoor </w:t>
      </w:r>
      <w:bookmarkStart w:name="_Hlk207097672" w:id="5"/>
      <w:r w:rsidR="006A4945">
        <w:rPr>
          <w:rFonts w:ascii="Verdana" w:hAnsi="Verdana" w:eastAsia="Verdana" w:cs="Verdana"/>
          <w:sz w:val="18"/>
          <w:szCs w:val="18"/>
        </w:rPr>
        <w:t xml:space="preserve">naast nationale inzet, </w:t>
      </w:r>
      <w:r>
        <w:rPr>
          <w:rFonts w:ascii="Verdana" w:hAnsi="Verdana" w:eastAsia="Verdana" w:cs="Verdana"/>
          <w:sz w:val="18"/>
          <w:szCs w:val="18"/>
        </w:rPr>
        <w:t xml:space="preserve">een Europese aanpak voor het CEF essentieel is. Het </w:t>
      </w:r>
      <w:r w:rsidR="00E66546">
        <w:rPr>
          <w:rFonts w:ascii="Verdana" w:hAnsi="Verdana" w:eastAsia="Verdana" w:cs="Verdana"/>
          <w:sz w:val="18"/>
          <w:szCs w:val="18"/>
        </w:rPr>
        <w:t xml:space="preserve">direct </w:t>
      </w:r>
      <w:r>
        <w:rPr>
          <w:rFonts w:ascii="Verdana" w:hAnsi="Verdana" w:eastAsia="Verdana" w:cs="Verdana"/>
          <w:sz w:val="18"/>
          <w:szCs w:val="18"/>
        </w:rPr>
        <w:t>beheer van het CEF door de Commissie, ondersteund door CINEA is nodig vanwege</w:t>
      </w:r>
      <w:r w:rsidR="00570752">
        <w:rPr>
          <w:rFonts w:ascii="Verdana" w:hAnsi="Verdana" w:eastAsia="Verdana" w:cs="Verdana"/>
          <w:sz w:val="18"/>
          <w:szCs w:val="18"/>
        </w:rPr>
        <w:t xml:space="preserve"> </w:t>
      </w:r>
      <w:r>
        <w:rPr>
          <w:rFonts w:ascii="Verdana" w:hAnsi="Verdana" w:eastAsia="Verdana" w:cs="Verdana"/>
          <w:sz w:val="18"/>
          <w:szCs w:val="18"/>
        </w:rPr>
        <w:t>de bestaande kennis binnen beide instanties</w:t>
      </w:r>
      <w:r w:rsidR="002A2C68">
        <w:rPr>
          <w:rFonts w:ascii="Verdana" w:hAnsi="Verdana" w:eastAsia="Verdana" w:cs="Verdana"/>
          <w:sz w:val="18"/>
          <w:szCs w:val="18"/>
        </w:rPr>
        <w:t xml:space="preserve"> en </w:t>
      </w:r>
      <w:r w:rsidR="00570752">
        <w:rPr>
          <w:rFonts w:ascii="Verdana" w:hAnsi="Verdana" w:eastAsia="Verdana" w:cs="Verdana"/>
          <w:sz w:val="18"/>
          <w:szCs w:val="18"/>
        </w:rPr>
        <w:t>de</w:t>
      </w:r>
      <w:r w:rsidR="002A2C68">
        <w:rPr>
          <w:rFonts w:ascii="Verdana" w:hAnsi="Verdana" w:eastAsia="Verdana" w:cs="Verdana"/>
          <w:sz w:val="18"/>
          <w:szCs w:val="18"/>
        </w:rPr>
        <w:t xml:space="preserve"> gezamenlijke Europese aanpak</w:t>
      </w:r>
      <w:r>
        <w:rPr>
          <w:rFonts w:ascii="Verdana" w:hAnsi="Verdana" w:eastAsia="Verdana" w:cs="Verdana"/>
          <w:sz w:val="18"/>
          <w:szCs w:val="18"/>
        </w:rPr>
        <w:t>.</w:t>
      </w:r>
      <w:bookmarkEnd w:id="5"/>
      <w:r>
        <w:rPr>
          <w:rFonts w:ascii="Verdana" w:hAnsi="Verdana" w:eastAsia="Verdana" w:cs="Verdana"/>
          <w:sz w:val="18"/>
          <w:szCs w:val="18"/>
        </w:rPr>
        <w:t xml:space="preserve"> </w:t>
      </w:r>
      <w:bookmarkEnd w:id="4"/>
      <w:r>
        <w:rPr>
          <w:rFonts w:ascii="Verdana" w:hAnsi="Verdana" w:eastAsia="Verdana" w:cs="Verdana"/>
          <w:sz w:val="18"/>
          <w:szCs w:val="18"/>
        </w:rPr>
        <w:t xml:space="preserve">Het is ook positief dat de Commissie breder kijkt dan het CEF voor het financieren van de TEN-T </w:t>
      </w:r>
      <w:r w:rsidR="00E66546">
        <w:rPr>
          <w:rFonts w:ascii="Verdana" w:hAnsi="Verdana" w:eastAsia="Verdana" w:cs="Verdana"/>
          <w:sz w:val="18"/>
          <w:szCs w:val="18"/>
        </w:rPr>
        <w:t>en TEN-E</w:t>
      </w:r>
      <w:r>
        <w:rPr>
          <w:rFonts w:ascii="Verdana" w:hAnsi="Verdana" w:eastAsia="Verdana" w:cs="Verdana"/>
          <w:sz w:val="18"/>
          <w:szCs w:val="18"/>
        </w:rPr>
        <w:t xml:space="preserve"> opgave. De ingebouwde flexibiliteit </w:t>
      </w:r>
      <w:r w:rsidR="0066230E">
        <w:rPr>
          <w:rFonts w:ascii="Verdana" w:hAnsi="Verdana" w:eastAsia="Verdana" w:cs="Verdana"/>
          <w:sz w:val="18"/>
          <w:szCs w:val="18"/>
        </w:rPr>
        <w:t xml:space="preserve">door </w:t>
      </w:r>
      <w:r w:rsidR="00AB2B4F">
        <w:rPr>
          <w:rFonts w:ascii="Verdana" w:hAnsi="Verdana" w:eastAsia="Verdana" w:cs="Verdana"/>
          <w:sz w:val="18"/>
          <w:szCs w:val="18"/>
        </w:rPr>
        <w:t xml:space="preserve">het mogelijk maken van financiering uit verschillende </w:t>
      </w:r>
      <w:r w:rsidR="007E5815">
        <w:rPr>
          <w:rFonts w:ascii="Verdana" w:hAnsi="Verdana" w:eastAsia="Verdana" w:cs="Verdana"/>
          <w:sz w:val="18"/>
          <w:szCs w:val="18"/>
        </w:rPr>
        <w:t xml:space="preserve">MFK-programma’s </w:t>
      </w:r>
      <w:r>
        <w:rPr>
          <w:rFonts w:ascii="Verdana" w:hAnsi="Verdana" w:eastAsia="Verdana" w:cs="Verdana"/>
          <w:sz w:val="18"/>
          <w:szCs w:val="18"/>
        </w:rPr>
        <w:t xml:space="preserve">draagt daaraan bij, waardoor potentieel meer </w:t>
      </w:r>
      <w:r w:rsidR="0066230E">
        <w:rPr>
          <w:rFonts w:ascii="Verdana" w:hAnsi="Verdana" w:eastAsia="Verdana" w:cs="Verdana"/>
          <w:sz w:val="18"/>
          <w:szCs w:val="18"/>
        </w:rPr>
        <w:t>middelen</w:t>
      </w:r>
      <w:r>
        <w:rPr>
          <w:rFonts w:ascii="Verdana" w:hAnsi="Verdana" w:eastAsia="Verdana" w:cs="Verdana"/>
          <w:sz w:val="18"/>
          <w:szCs w:val="18"/>
        </w:rPr>
        <w:t xml:space="preserve"> </w:t>
      </w:r>
      <w:r w:rsidR="0066230E">
        <w:rPr>
          <w:rFonts w:ascii="Verdana" w:hAnsi="Verdana" w:eastAsia="Verdana" w:cs="Verdana"/>
          <w:sz w:val="18"/>
          <w:szCs w:val="18"/>
        </w:rPr>
        <w:t>gemobiliseerd</w:t>
      </w:r>
      <w:r>
        <w:rPr>
          <w:rFonts w:ascii="Verdana" w:hAnsi="Verdana" w:eastAsia="Verdana" w:cs="Verdana"/>
          <w:sz w:val="18"/>
          <w:szCs w:val="18"/>
        </w:rPr>
        <w:t xml:space="preserve"> k</w:t>
      </w:r>
      <w:r w:rsidR="0066230E">
        <w:rPr>
          <w:rFonts w:ascii="Verdana" w:hAnsi="Verdana" w:eastAsia="Verdana" w:cs="Verdana"/>
          <w:sz w:val="18"/>
          <w:szCs w:val="18"/>
        </w:rPr>
        <w:t>u</w:t>
      </w:r>
      <w:r>
        <w:rPr>
          <w:rFonts w:ascii="Verdana" w:hAnsi="Verdana" w:eastAsia="Verdana" w:cs="Verdana"/>
          <w:sz w:val="18"/>
          <w:szCs w:val="18"/>
        </w:rPr>
        <w:t>n</w:t>
      </w:r>
      <w:r w:rsidR="0066230E">
        <w:rPr>
          <w:rFonts w:ascii="Verdana" w:hAnsi="Verdana" w:eastAsia="Verdana" w:cs="Verdana"/>
          <w:sz w:val="18"/>
          <w:szCs w:val="18"/>
        </w:rPr>
        <w:t>nen</w:t>
      </w:r>
      <w:r>
        <w:rPr>
          <w:rFonts w:ascii="Verdana" w:hAnsi="Verdana" w:eastAsia="Verdana" w:cs="Verdana"/>
          <w:sz w:val="18"/>
          <w:szCs w:val="18"/>
        </w:rPr>
        <w:t xml:space="preserve"> worden voor het realiseren van </w:t>
      </w:r>
      <w:r w:rsidR="00870339">
        <w:rPr>
          <w:rFonts w:ascii="Verdana" w:hAnsi="Verdana" w:eastAsia="Verdana" w:cs="Verdana"/>
          <w:sz w:val="18"/>
          <w:szCs w:val="18"/>
        </w:rPr>
        <w:t xml:space="preserve">de </w:t>
      </w:r>
      <w:r>
        <w:rPr>
          <w:rFonts w:ascii="Verdana" w:hAnsi="Verdana" w:eastAsia="Verdana" w:cs="Verdana"/>
          <w:sz w:val="18"/>
          <w:szCs w:val="18"/>
        </w:rPr>
        <w:t xml:space="preserve">TEN-T </w:t>
      </w:r>
      <w:r w:rsidR="00E66546">
        <w:rPr>
          <w:rFonts w:ascii="Verdana" w:hAnsi="Verdana" w:eastAsia="Verdana" w:cs="Verdana"/>
          <w:sz w:val="18"/>
          <w:szCs w:val="18"/>
        </w:rPr>
        <w:t xml:space="preserve">en TEN-E </w:t>
      </w:r>
      <w:r>
        <w:rPr>
          <w:rFonts w:ascii="Verdana" w:hAnsi="Verdana" w:eastAsia="Verdana" w:cs="Verdana"/>
          <w:sz w:val="18"/>
          <w:szCs w:val="18"/>
        </w:rPr>
        <w:t>netwerk</w:t>
      </w:r>
      <w:r w:rsidR="00E66546">
        <w:rPr>
          <w:rFonts w:ascii="Verdana" w:hAnsi="Verdana" w:eastAsia="Verdana" w:cs="Verdana"/>
          <w:sz w:val="18"/>
          <w:szCs w:val="18"/>
        </w:rPr>
        <w:t>en</w:t>
      </w:r>
      <w:r>
        <w:rPr>
          <w:rFonts w:ascii="Verdana" w:hAnsi="Verdana" w:eastAsia="Verdana" w:cs="Verdana"/>
          <w:sz w:val="18"/>
          <w:szCs w:val="18"/>
        </w:rPr>
        <w:t>.</w:t>
      </w:r>
      <w:r w:rsidR="00570752">
        <w:rPr>
          <w:rFonts w:ascii="Verdana" w:hAnsi="Verdana" w:eastAsia="Verdana" w:cs="Verdana"/>
          <w:sz w:val="18"/>
          <w:szCs w:val="18"/>
        </w:rPr>
        <w:t xml:space="preserve"> Het vergroten van de samenhang met andere MFK-programma’s, </w:t>
      </w:r>
      <w:r w:rsidRPr="0028212E" w:rsidR="00570752">
        <w:rPr>
          <w:rFonts w:ascii="Verdana" w:hAnsi="Verdana" w:eastAsia="Verdana" w:cs="Verdana"/>
          <w:sz w:val="18"/>
          <w:szCs w:val="18"/>
        </w:rPr>
        <w:t xml:space="preserve">zoals het </w:t>
      </w:r>
      <w:r w:rsidRPr="203A7120" w:rsidR="00570752">
        <w:rPr>
          <w:rFonts w:ascii="Verdana" w:hAnsi="Verdana" w:eastAsia="Verdana" w:cs="Verdana"/>
          <w:i/>
          <w:iCs/>
          <w:sz w:val="18"/>
          <w:szCs w:val="18"/>
        </w:rPr>
        <w:t>Performance Framework</w:t>
      </w:r>
      <w:r w:rsidR="00570752">
        <w:rPr>
          <w:rFonts w:ascii="Verdana" w:hAnsi="Verdana" w:eastAsia="Verdana" w:cs="Verdana"/>
          <w:sz w:val="18"/>
          <w:szCs w:val="18"/>
        </w:rPr>
        <w:t xml:space="preserve"> </w:t>
      </w:r>
      <w:r w:rsidR="00570752">
        <w:rPr>
          <w:rStyle w:val="FootnoteReference"/>
          <w:rFonts w:ascii="Verdana" w:hAnsi="Verdana" w:eastAsia="Verdana" w:cs="Verdana"/>
          <w:sz w:val="18"/>
          <w:szCs w:val="18"/>
        </w:rPr>
        <w:footnoteReference w:id="6"/>
      </w:r>
      <w:r w:rsidR="00570752">
        <w:rPr>
          <w:rFonts w:ascii="Verdana" w:hAnsi="Verdana" w:eastAsia="Verdana" w:cs="Verdana"/>
          <w:sz w:val="18"/>
          <w:szCs w:val="18"/>
        </w:rPr>
        <w:t xml:space="preserve"> en het NRPP acht het kabinet positief. Het NRPP kan daarbij complementair zijn aan het CEF om projecten op de netwerken uit te voeren. Ook kan het kabinet zich goed vinden in de voorgestelde nauwe samenhang met het ECF en GE. Een versterking van de samenhang van CEF tussen het LIFE-programma en </w:t>
      </w:r>
      <w:r w:rsidRPr="00570752" w:rsidR="00570752">
        <w:rPr>
          <w:rFonts w:ascii="Verdana" w:hAnsi="Verdana" w:eastAsia="Verdana" w:cs="Verdana"/>
          <w:i/>
          <w:iCs/>
          <w:sz w:val="18"/>
          <w:szCs w:val="18"/>
        </w:rPr>
        <w:t xml:space="preserve">European </w:t>
      </w:r>
      <w:proofErr w:type="spellStart"/>
      <w:r w:rsidRPr="00570752" w:rsidR="00570752">
        <w:rPr>
          <w:rFonts w:ascii="Verdana" w:hAnsi="Verdana" w:eastAsia="Verdana" w:cs="Verdana"/>
          <w:i/>
          <w:iCs/>
          <w:sz w:val="18"/>
          <w:szCs w:val="18"/>
        </w:rPr>
        <w:t>Maritime</w:t>
      </w:r>
      <w:proofErr w:type="spellEnd"/>
      <w:r w:rsidRPr="00570752" w:rsidR="00570752">
        <w:rPr>
          <w:rFonts w:ascii="Verdana" w:hAnsi="Verdana" w:eastAsia="Verdana" w:cs="Verdana"/>
          <w:i/>
          <w:iCs/>
          <w:sz w:val="18"/>
          <w:szCs w:val="18"/>
        </w:rPr>
        <w:t xml:space="preserve"> </w:t>
      </w:r>
      <w:proofErr w:type="spellStart"/>
      <w:r w:rsidRPr="00570752" w:rsidR="00570752">
        <w:rPr>
          <w:rFonts w:ascii="Verdana" w:hAnsi="Verdana" w:eastAsia="Verdana" w:cs="Verdana"/>
          <w:i/>
          <w:iCs/>
          <w:sz w:val="18"/>
          <w:szCs w:val="18"/>
        </w:rPr>
        <w:t>Fisheries</w:t>
      </w:r>
      <w:proofErr w:type="spellEnd"/>
      <w:r w:rsidRPr="00570752" w:rsidR="00570752">
        <w:rPr>
          <w:rFonts w:ascii="Verdana" w:hAnsi="Verdana" w:eastAsia="Verdana" w:cs="Verdana"/>
          <w:i/>
          <w:iCs/>
          <w:sz w:val="18"/>
          <w:szCs w:val="18"/>
        </w:rPr>
        <w:t xml:space="preserve"> and Aquaculture Fund</w:t>
      </w:r>
      <w:r w:rsidRPr="00870339" w:rsidR="00570752">
        <w:rPr>
          <w:rFonts w:ascii="Verdana" w:hAnsi="Verdana" w:eastAsia="Verdana" w:cs="Verdana"/>
          <w:sz w:val="18"/>
          <w:szCs w:val="18"/>
        </w:rPr>
        <w:t xml:space="preserve"> </w:t>
      </w:r>
      <w:r w:rsidR="00570752">
        <w:rPr>
          <w:rFonts w:ascii="Verdana" w:hAnsi="Verdana" w:eastAsia="Verdana" w:cs="Verdana"/>
          <w:sz w:val="18"/>
          <w:szCs w:val="18"/>
        </w:rPr>
        <w:t xml:space="preserve">zal ook deel uitmaken van de kabinetsinzet in de onderhandelingen. </w:t>
      </w:r>
      <w:r w:rsidR="00870339">
        <w:rPr>
          <w:rFonts w:ascii="Verdana" w:hAnsi="Verdana" w:eastAsia="Verdana" w:cs="Verdana"/>
          <w:sz w:val="18"/>
          <w:szCs w:val="18"/>
        </w:rPr>
        <w:t>Wel ziet het kabinet een aandachtspunt in de nadruk die de Commissie legt op de complementariteit van het NRPP op het CEF. De mogelijkheden binnen het NRPP om transport</w:t>
      </w:r>
      <w:r w:rsidR="006A4945">
        <w:rPr>
          <w:rFonts w:ascii="Verdana" w:hAnsi="Verdana" w:eastAsia="Verdana" w:cs="Verdana"/>
          <w:sz w:val="18"/>
          <w:szCs w:val="18"/>
        </w:rPr>
        <w:t>,</w:t>
      </w:r>
      <w:r w:rsidR="00BC3691">
        <w:rPr>
          <w:rFonts w:ascii="Verdana" w:hAnsi="Verdana" w:eastAsia="Verdana" w:cs="Verdana"/>
          <w:sz w:val="18"/>
          <w:szCs w:val="18"/>
        </w:rPr>
        <w:t xml:space="preserve"> </w:t>
      </w:r>
      <w:r w:rsidR="00870339">
        <w:rPr>
          <w:rFonts w:ascii="Verdana" w:hAnsi="Verdana" w:eastAsia="Verdana" w:cs="Verdana"/>
          <w:sz w:val="18"/>
          <w:szCs w:val="18"/>
        </w:rPr>
        <w:t>mobiliteits</w:t>
      </w:r>
      <w:r w:rsidR="006A4945">
        <w:rPr>
          <w:rFonts w:ascii="Verdana" w:hAnsi="Verdana" w:eastAsia="Verdana" w:cs="Verdana"/>
          <w:sz w:val="18"/>
          <w:szCs w:val="18"/>
        </w:rPr>
        <w:t>- en energiedoelen</w:t>
      </w:r>
      <w:r w:rsidR="00870339">
        <w:rPr>
          <w:rFonts w:ascii="Verdana" w:hAnsi="Verdana" w:eastAsia="Verdana" w:cs="Verdana"/>
          <w:sz w:val="18"/>
          <w:szCs w:val="18"/>
        </w:rPr>
        <w:t xml:space="preserve"> te financieren lijken beperkt, terwijl de CEF-verordening stelt dat nationale opgaves uit dat instrument gefinancierd kunnen worden</w:t>
      </w:r>
      <w:r>
        <w:rPr>
          <w:rFonts w:ascii="Verdana" w:hAnsi="Verdana" w:eastAsia="Verdana" w:cs="Verdana"/>
          <w:sz w:val="18"/>
          <w:szCs w:val="18"/>
        </w:rPr>
        <w:t xml:space="preserve">. </w:t>
      </w:r>
      <w:r w:rsidR="00870339">
        <w:rPr>
          <w:rFonts w:ascii="Verdana" w:hAnsi="Verdana" w:eastAsia="Verdana" w:cs="Verdana"/>
          <w:sz w:val="18"/>
          <w:szCs w:val="18"/>
        </w:rPr>
        <w:t>In de onderhandeling</w:t>
      </w:r>
      <w:r w:rsidR="006A4945">
        <w:rPr>
          <w:rFonts w:ascii="Verdana" w:hAnsi="Verdana" w:eastAsia="Verdana" w:cs="Verdana"/>
          <w:sz w:val="18"/>
          <w:szCs w:val="18"/>
        </w:rPr>
        <w:t>en</w:t>
      </w:r>
      <w:r w:rsidR="00870339">
        <w:rPr>
          <w:rFonts w:ascii="Verdana" w:hAnsi="Verdana" w:eastAsia="Verdana" w:cs="Verdana"/>
          <w:sz w:val="18"/>
          <w:szCs w:val="18"/>
        </w:rPr>
        <w:t xml:space="preserve"> zal het kabinet zich inzetten om hier duidelijkheid over te verkrijgen. </w:t>
      </w:r>
    </w:p>
    <w:p w:rsidR="0028212E" w:rsidP="003B3DB3" w:rsidRDefault="0028212E" w14:paraId="65FEF5C4" w14:textId="77777777">
      <w:pPr>
        <w:spacing w:line="360" w:lineRule="auto"/>
        <w:rPr>
          <w:rFonts w:ascii="Verdana" w:hAnsi="Verdana" w:eastAsia="Verdana" w:cs="Verdana"/>
          <w:sz w:val="18"/>
          <w:szCs w:val="18"/>
        </w:rPr>
      </w:pPr>
    </w:p>
    <w:p w:rsidR="005621FC" w:rsidP="003B3DB3" w:rsidRDefault="008F56CC" w14:paraId="6CC6E3AA" w14:textId="77777777">
      <w:pPr>
        <w:spacing w:line="360" w:lineRule="auto"/>
        <w:rPr>
          <w:rFonts w:ascii="Verdana" w:hAnsi="Verdana"/>
          <w:sz w:val="18"/>
          <w:szCs w:val="18"/>
        </w:rPr>
      </w:pPr>
      <w:r>
        <w:rPr>
          <w:rFonts w:ascii="Verdana" w:hAnsi="Verdana"/>
          <w:sz w:val="18"/>
          <w:szCs w:val="18"/>
        </w:rPr>
        <w:t>Het kabinet deelt de</w:t>
      </w:r>
      <w:r w:rsidR="008358D5">
        <w:rPr>
          <w:rFonts w:ascii="Verdana" w:hAnsi="Verdana"/>
          <w:sz w:val="18"/>
          <w:szCs w:val="18"/>
        </w:rPr>
        <w:t xml:space="preserve"> </w:t>
      </w:r>
      <w:r>
        <w:rPr>
          <w:rFonts w:ascii="Verdana" w:hAnsi="Verdana"/>
          <w:sz w:val="18"/>
          <w:szCs w:val="18"/>
        </w:rPr>
        <w:t>overkoepelende doelen</w:t>
      </w:r>
      <w:r w:rsidR="00A01EA9">
        <w:rPr>
          <w:rFonts w:ascii="Verdana" w:hAnsi="Verdana"/>
          <w:sz w:val="18"/>
          <w:szCs w:val="18"/>
        </w:rPr>
        <w:t xml:space="preserve"> omtrent transport in het voorstel</w:t>
      </w:r>
      <w:r>
        <w:rPr>
          <w:rFonts w:ascii="Verdana" w:hAnsi="Verdana"/>
          <w:sz w:val="18"/>
          <w:szCs w:val="18"/>
        </w:rPr>
        <w:t xml:space="preserve">, echter ziet het wel waarde in het </w:t>
      </w:r>
      <w:r w:rsidR="00137009">
        <w:rPr>
          <w:rFonts w:ascii="Verdana" w:hAnsi="Verdana"/>
          <w:sz w:val="18"/>
          <w:szCs w:val="18"/>
        </w:rPr>
        <w:t>specificeren van de term ‘grensoverschrijdend karakter’</w:t>
      </w:r>
      <w:r>
        <w:rPr>
          <w:rFonts w:ascii="Verdana" w:hAnsi="Verdana"/>
          <w:sz w:val="18"/>
          <w:szCs w:val="18"/>
        </w:rPr>
        <w:t xml:space="preserve">. Conform de inzet in eerdergenoemd non-paper, zal het kabinet zich inzetten voor een brede interpretatie van projecten met een grensoverschrijdend karakter. De redenatie vanuit het connectiviteitsbeginsel zou moeten leiden tot het toekennen van financiering aan projecten die in een lidstaat uitgevoerd worden, maar van dusdanig gemeenschappelijk belang zijn </w:t>
      </w:r>
      <w:r w:rsidR="003959B8">
        <w:rPr>
          <w:rFonts w:ascii="Verdana" w:hAnsi="Verdana"/>
          <w:sz w:val="18"/>
          <w:szCs w:val="18"/>
        </w:rPr>
        <w:t xml:space="preserve">omdat ze een systeemversterkende werking hebben op het </w:t>
      </w:r>
      <w:r w:rsidR="00B26AE7">
        <w:rPr>
          <w:rFonts w:ascii="Verdana" w:hAnsi="Verdana"/>
          <w:sz w:val="18"/>
          <w:szCs w:val="18"/>
        </w:rPr>
        <w:t xml:space="preserve">internationale </w:t>
      </w:r>
      <w:r w:rsidR="003959B8">
        <w:rPr>
          <w:rFonts w:ascii="Verdana" w:hAnsi="Verdana"/>
          <w:sz w:val="18"/>
          <w:szCs w:val="18"/>
        </w:rPr>
        <w:t xml:space="preserve">TEN-T netwerk. </w:t>
      </w:r>
      <w:r w:rsidR="00F23287">
        <w:rPr>
          <w:rFonts w:ascii="Verdana" w:hAnsi="Verdana"/>
          <w:sz w:val="18"/>
          <w:szCs w:val="18"/>
        </w:rPr>
        <w:t>Het kabinet verwelkomt dan ook het benoemen van de ontwikkeling van achterlandverbindingen van TEN-T netwerken als projecten met een sterke grensoverschrijdende dimensie. Aanvullend zou het kabinet graag zien dat ook spoor- en vaarwegprojecten</w:t>
      </w:r>
      <w:r w:rsidR="006A4945">
        <w:rPr>
          <w:rFonts w:ascii="Verdana" w:hAnsi="Verdana"/>
          <w:sz w:val="18"/>
          <w:szCs w:val="18"/>
        </w:rPr>
        <w:t>,</w:t>
      </w:r>
      <w:r w:rsidR="00F23287">
        <w:rPr>
          <w:rFonts w:ascii="Verdana" w:hAnsi="Verdana"/>
          <w:sz w:val="18"/>
          <w:szCs w:val="18"/>
        </w:rPr>
        <w:t xml:space="preserve"> </w:t>
      </w:r>
      <w:r w:rsidR="006A4945">
        <w:rPr>
          <w:rFonts w:ascii="Verdana" w:hAnsi="Verdana"/>
          <w:sz w:val="18"/>
          <w:szCs w:val="18"/>
        </w:rPr>
        <w:t xml:space="preserve">die </w:t>
      </w:r>
      <w:r w:rsidR="00F23287">
        <w:rPr>
          <w:rFonts w:ascii="Verdana" w:hAnsi="Verdana"/>
          <w:sz w:val="18"/>
          <w:szCs w:val="18"/>
        </w:rPr>
        <w:t>bijdragen aan een sterk TEN-T netwerk als grensoverschrijdend worden beschouwd. Het kabinet zal zich inzetten om</w:t>
      </w:r>
      <w:r w:rsidR="008358D5">
        <w:rPr>
          <w:rFonts w:ascii="Verdana" w:hAnsi="Verdana"/>
          <w:sz w:val="18"/>
          <w:szCs w:val="18"/>
        </w:rPr>
        <w:t xml:space="preserve"> de</w:t>
      </w:r>
      <w:r w:rsidR="00F23287">
        <w:rPr>
          <w:rFonts w:ascii="Verdana" w:hAnsi="Verdana"/>
          <w:sz w:val="18"/>
          <w:szCs w:val="18"/>
        </w:rPr>
        <w:t xml:space="preserve"> indicatieve lijst </w:t>
      </w:r>
      <w:r w:rsidR="008358D5">
        <w:rPr>
          <w:rFonts w:ascii="Verdana" w:hAnsi="Verdana"/>
          <w:sz w:val="18"/>
          <w:szCs w:val="18"/>
        </w:rPr>
        <w:t xml:space="preserve">in de bijlage </w:t>
      </w:r>
      <w:r w:rsidR="00DF7DDA">
        <w:rPr>
          <w:rFonts w:ascii="Verdana" w:hAnsi="Verdana"/>
          <w:sz w:val="18"/>
          <w:szCs w:val="18"/>
        </w:rPr>
        <w:t xml:space="preserve">van de verordening </w:t>
      </w:r>
      <w:r w:rsidR="008358D5">
        <w:rPr>
          <w:rFonts w:ascii="Verdana" w:hAnsi="Verdana"/>
          <w:sz w:val="18"/>
          <w:szCs w:val="18"/>
        </w:rPr>
        <w:t xml:space="preserve">met </w:t>
      </w:r>
      <w:r w:rsidR="00483F99">
        <w:rPr>
          <w:rFonts w:ascii="Verdana" w:hAnsi="Verdana"/>
          <w:sz w:val="18"/>
          <w:szCs w:val="18"/>
        </w:rPr>
        <w:t xml:space="preserve">projecten van gemeenschappelijk belang, met </w:t>
      </w:r>
      <w:r w:rsidR="00F23287">
        <w:rPr>
          <w:rFonts w:ascii="Verdana" w:hAnsi="Verdana"/>
          <w:sz w:val="18"/>
          <w:szCs w:val="18"/>
        </w:rPr>
        <w:t xml:space="preserve">grensoverschrijdende trajecten </w:t>
      </w:r>
      <w:r w:rsidR="00483F99">
        <w:rPr>
          <w:rFonts w:ascii="Verdana" w:hAnsi="Verdana"/>
          <w:sz w:val="18"/>
          <w:szCs w:val="18"/>
        </w:rPr>
        <w:t>aan</w:t>
      </w:r>
      <w:r w:rsidR="008358D5">
        <w:rPr>
          <w:rFonts w:ascii="Verdana" w:hAnsi="Verdana"/>
          <w:sz w:val="18"/>
          <w:szCs w:val="18"/>
        </w:rPr>
        <w:t xml:space="preserve"> te kunnen aanvullen</w:t>
      </w:r>
      <w:r w:rsidR="00771421">
        <w:rPr>
          <w:rFonts w:ascii="Verdana" w:hAnsi="Verdana"/>
          <w:sz w:val="18"/>
          <w:szCs w:val="18"/>
        </w:rPr>
        <w:t xml:space="preserve"> in de onderhandelingen</w:t>
      </w:r>
      <w:r w:rsidR="00F23287">
        <w:rPr>
          <w:rFonts w:ascii="Verdana" w:hAnsi="Verdana"/>
          <w:sz w:val="18"/>
          <w:szCs w:val="18"/>
        </w:rPr>
        <w:t>.</w:t>
      </w:r>
      <w:r w:rsidR="008358D5">
        <w:rPr>
          <w:rFonts w:ascii="Verdana" w:hAnsi="Verdana"/>
          <w:sz w:val="18"/>
          <w:szCs w:val="18"/>
        </w:rPr>
        <w:t xml:space="preserve"> </w:t>
      </w:r>
      <w:r w:rsidR="00483F99">
        <w:rPr>
          <w:rFonts w:ascii="Verdana" w:hAnsi="Verdana"/>
          <w:sz w:val="18"/>
          <w:szCs w:val="18"/>
        </w:rPr>
        <w:t>Positief is dat de verbindingen Groningen – Oldenburg, Arnhem – Emmerich – Oberhausen, Antwerpen – Venlo – Mönchengladbach en Gent – Terneuzen reeds op deze lijst zijn opgenomen.</w:t>
      </w:r>
      <w:r w:rsidR="008358D5">
        <w:rPr>
          <w:rFonts w:ascii="Verdana" w:hAnsi="Verdana"/>
          <w:sz w:val="18"/>
          <w:szCs w:val="18"/>
        </w:rPr>
        <w:t xml:space="preserve"> </w:t>
      </w:r>
      <w:r w:rsidR="0064249A">
        <w:rPr>
          <w:rFonts w:ascii="Verdana" w:hAnsi="Verdana"/>
          <w:sz w:val="18"/>
          <w:szCs w:val="18"/>
        </w:rPr>
        <w:t xml:space="preserve">Daarnaast ondersteunt het kabinet maatregelen om onder andere de </w:t>
      </w:r>
      <w:proofErr w:type="spellStart"/>
      <w:r w:rsidR="0064249A">
        <w:rPr>
          <w:rFonts w:ascii="Verdana" w:hAnsi="Verdana"/>
          <w:sz w:val="18"/>
          <w:szCs w:val="18"/>
        </w:rPr>
        <w:t>governance</w:t>
      </w:r>
      <w:proofErr w:type="spellEnd"/>
      <w:r w:rsidR="0064249A">
        <w:rPr>
          <w:rFonts w:ascii="Verdana" w:hAnsi="Verdana"/>
          <w:sz w:val="18"/>
          <w:szCs w:val="18"/>
        </w:rPr>
        <w:t xml:space="preserve"> van de spoorgoederencorridors inclusief verbindingen voor internationale personenvervoer te faciliteren om de connectiviteit van de dienstverlening op het TEN-T netwerk te bevorderen. Dit kan bijvoorbeeld door pilot projecten binnen het CEF. </w:t>
      </w:r>
    </w:p>
    <w:p w:rsidR="00D80413" w:rsidP="003B3DB3" w:rsidRDefault="00137009" w14:paraId="2822847C" w14:textId="4CF84DA0">
      <w:pPr>
        <w:spacing w:line="360" w:lineRule="auto"/>
        <w:rPr>
          <w:rFonts w:ascii="Verdana" w:hAnsi="Verdana"/>
          <w:sz w:val="18"/>
          <w:szCs w:val="18"/>
        </w:rPr>
      </w:pPr>
      <w:r>
        <w:rPr>
          <w:rFonts w:ascii="Verdana" w:hAnsi="Verdana"/>
          <w:sz w:val="18"/>
          <w:szCs w:val="18"/>
        </w:rPr>
        <w:lastRenderedPageBreak/>
        <w:t>Het kabinet verwelkomt de nadruk op militaire mobiliteit</w:t>
      </w:r>
      <w:r w:rsidR="009824D7">
        <w:rPr>
          <w:rFonts w:ascii="Verdana" w:hAnsi="Verdana"/>
          <w:sz w:val="18"/>
          <w:szCs w:val="18"/>
        </w:rPr>
        <w:t xml:space="preserve"> en de noodzaak in investeringen</w:t>
      </w:r>
      <w:r w:rsidR="00A01EA9">
        <w:rPr>
          <w:rFonts w:ascii="Verdana" w:hAnsi="Verdana"/>
          <w:sz w:val="18"/>
          <w:szCs w:val="18"/>
        </w:rPr>
        <w:t xml:space="preserve"> om infrastructuur </w:t>
      </w:r>
      <w:proofErr w:type="spellStart"/>
      <w:r w:rsidRPr="00BC3691" w:rsidR="00A01EA9">
        <w:rPr>
          <w:rFonts w:ascii="Verdana" w:hAnsi="Verdana"/>
          <w:i/>
          <w:iCs/>
          <w:sz w:val="18"/>
          <w:szCs w:val="18"/>
        </w:rPr>
        <w:t>dual-use</w:t>
      </w:r>
      <w:proofErr w:type="spellEnd"/>
      <w:r w:rsidR="00A01EA9">
        <w:rPr>
          <w:rFonts w:ascii="Verdana" w:hAnsi="Verdana"/>
          <w:sz w:val="18"/>
          <w:szCs w:val="18"/>
        </w:rPr>
        <w:t xml:space="preserve"> te </w:t>
      </w:r>
      <w:r w:rsidR="001B4F65">
        <w:rPr>
          <w:rFonts w:ascii="Verdana" w:hAnsi="Verdana"/>
          <w:sz w:val="18"/>
          <w:szCs w:val="18"/>
        </w:rPr>
        <w:t>gebruiken</w:t>
      </w:r>
      <w:r>
        <w:rPr>
          <w:rFonts w:ascii="Verdana" w:hAnsi="Verdana"/>
          <w:sz w:val="18"/>
          <w:szCs w:val="18"/>
        </w:rPr>
        <w:t xml:space="preserve">. </w:t>
      </w:r>
      <w:r w:rsidR="001B4F65">
        <w:rPr>
          <w:rFonts w:ascii="Verdana" w:hAnsi="Verdana"/>
          <w:sz w:val="18"/>
          <w:szCs w:val="18"/>
        </w:rPr>
        <w:t xml:space="preserve">Het kabinet zal tijdens de onderhandelingen inzetten op de inrichting van het selectieproces voor </w:t>
      </w:r>
      <w:proofErr w:type="spellStart"/>
      <w:r w:rsidRPr="00BC3691" w:rsidR="001B4F65">
        <w:rPr>
          <w:rFonts w:ascii="Verdana" w:hAnsi="Verdana"/>
          <w:i/>
          <w:iCs/>
          <w:sz w:val="18"/>
          <w:szCs w:val="18"/>
        </w:rPr>
        <w:t>dual-use</w:t>
      </w:r>
      <w:proofErr w:type="spellEnd"/>
      <w:r w:rsidR="001B4F65">
        <w:rPr>
          <w:rFonts w:ascii="Verdana" w:hAnsi="Verdana"/>
          <w:sz w:val="18"/>
          <w:szCs w:val="18"/>
        </w:rPr>
        <w:t xml:space="preserve"> infrastructuurprojecten, zodat prioriteit wordt gegeven aan projecten die het meest urgent zijn vanuit militair oogpunt.</w:t>
      </w:r>
      <w:r w:rsidR="001B4F65">
        <w:rPr>
          <w:rStyle w:val="FootnoteReference"/>
          <w:rFonts w:ascii="Verdana" w:hAnsi="Verdana"/>
          <w:sz w:val="18"/>
          <w:szCs w:val="18"/>
        </w:rPr>
        <w:footnoteReference w:id="7"/>
      </w:r>
      <w:r w:rsidR="001B4F65">
        <w:rPr>
          <w:rFonts w:ascii="Verdana" w:hAnsi="Verdana"/>
          <w:sz w:val="18"/>
          <w:szCs w:val="18"/>
        </w:rPr>
        <w:t xml:space="preserve"> </w:t>
      </w:r>
      <w:r w:rsidR="000F22DF">
        <w:rPr>
          <w:rFonts w:ascii="Verdana" w:hAnsi="Verdana"/>
          <w:sz w:val="18"/>
          <w:szCs w:val="18"/>
        </w:rPr>
        <w:t xml:space="preserve">Bovendien is het kabinet positief over de formulering ‘aanpassen’ van het netwerk om het te prepareren voor militaire mobiliteit. Deze brede bewoording betekent dat er mogelijkheden zijn </w:t>
      </w:r>
      <w:r w:rsidR="00EC2FD7">
        <w:rPr>
          <w:rFonts w:ascii="Verdana" w:hAnsi="Verdana"/>
          <w:sz w:val="18"/>
          <w:szCs w:val="18"/>
        </w:rPr>
        <w:t>om de extra kosten die gemaakt worden om kunstwerken te laten voldoen aan de militaire eisen meegefinancierd kunnen worden.</w:t>
      </w:r>
      <w:r w:rsidR="00483F99">
        <w:rPr>
          <w:rFonts w:ascii="Verdana" w:hAnsi="Verdana"/>
          <w:sz w:val="18"/>
          <w:szCs w:val="18"/>
        </w:rPr>
        <w:t xml:space="preserve"> Instandhouding van bestaande functionaliteit van infrastructuur is een taak van de lidstaten. Het kabinet steunt het voorstel van de Commissie dat bij vernieuwing van infrastructuur alleen CEF-financiering mogelijk is indien de functionaliteiten van de infrastructuur verbeteren in relatie tot </w:t>
      </w:r>
      <w:r w:rsidR="00540949">
        <w:rPr>
          <w:rFonts w:ascii="Verdana" w:hAnsi="Verdana"/>
          <w:sz w:val="18"/>
          <w:szCs w:val="18"/>
        </w:rPr>
        <w:t xml:space="preserve">weerbaarheid, waaronder </w:t>
      </w:r>
      <w:r w:rsidR="00483F99">
        <w:rPr>
          <w:rFonts w:ascii="Verdana" w:hAnsi="Verdana"/>
          <w:sz w:val="18"/>
          <w:szCs w:val="18"/>
        </w:rPr>
        <w:t>militaire mobiliteit vereisten</w:t>
      </w:r>
      <w:r w:rsidR="00FC2157">
        <w:rPr>
          <w:rFonts w:ascii="Verdana" w:hAnsi="Verdana"/>
          <w:sz w:val="18"/>
          <w:szCs w:val="18"/>
        </w:rPr>
        <w:t>,</w:t>
      </w:r>
      <w:r w:rsidR="00483F99">
        <w:rPr>
          <w:rFonts w:ascii="Verdana" w:hAnsi="Verdana"/>
          <w:sz w:val="18"/>
          <w:szCs w:val="18"/>
        </w:rPr>
        <w:t xml:space="preserve"> en TEN-T standaarden. </w:t>
      </w:r>
    </w:p>
    <w:p w:rsidR="00D80413" w:rsidP="003B3DB3" w:rsidRDefault="00D80413" w14:paraId="159BE844" w14:textId="77777777">
      <w:pPr>
        <w:spacing w:line="360" w:lineRule="auto"/>
        <w:rPr>
          <w:rFonts w:ascii="Verdana" w:hAnsi="Verdana"/>
          <w:sz w:val="18"/>
          <w:szCs w:val="18"/>
        </w:rPr>
      </w:pPr>
    </w:p>
    <w:p w:rsidR="00137009" w:rsidP="003B3DB3" w:rsidRDefault="00060BEA" w14:paraId="1E029348" w14:textId="6243B58A">
      <w:pPr>
        <w:spacing w:line="360" w:lineRule="auto"/>
        <w:rPr>
          <w:rFonts w:ascii="Verdana" w:hAnsi="Verdana" w:eastAsia="Verdana" w:cs="Verdana"/>
          <w:sz w:val="18"/>
          <w:szCs w:val="18"/>
        </w:rPr>
      </w:pPr>
      <w:r>
        <w:rPr>
          <w:rFonts w:ascii="Verdana" w:hAnsi="Verdana"/>
          <w:sz w:val="18"/>
          <w:szCs w:val="18"/>
        </w:rPr>
        <w:t xml:space="preserve">In </w:t>
      </w:r>
      <w:r w:rsidR="00EC2FD7">
        <w:rPr>
          <w:rFonts w:ascii="Verdana" w:hAnsi="Verdana"/>
          <w:sz w:val="18"/>
          <w:szCs w:val="18"/>
        </w:rPr>
        <w:t>voorbereiding op het MFK</w:t>
      </w:r>
      <w:r>
        <w:rPr>
          <w:rFonts w:ascii="Verdana" w:hAnsi="Verdana"/>
          <w:sz w:val="18"/>
          <w:szCs w:val="18"/>
        </w:rPr>
        <w:t xml:space="preserve"> heeft de Commissie op basis van input van de lidstaten zogenoemde </w:t>
      </w:r>
      <w:r w:rsidR="00EC2FD7">
        <w:rPr>
          <w:rFonts w:ascii="Verdana" w:hAnsi="Verdana"/>
          <w:i/>
          <w:iCs/>
          <w:sz w:val="18"/>
          <w:szCs w:val="18"/>
        </w:rPr>
        <w:t>‘</w:t>
      </w:r>
      <w:proofErr w:type="spellStart"/>
      <w:r w:rsidR="00EC2FD7">
        <w:rPr>
          <w:rFonts w:ascii="Verdana" w:hAnsi="Verdana"/>
          <w:i/>
          <w:iCs/>
          <w:sz w:val="18"/>
          <w:szCs w:val="18"/>
        </w:rPr>
        <w:t>quick</w:t>
      </w:r>
      <w:proofErr w:type="spellEnd"/>
      <w:r w:rsidR="00EC2FD7">
        <w:rPr>
          <w:rFonts w:ascii="Verdana" w:hAnsi="Verdana"/>
          <w:i/>
          <w:iCs/>
          <w:sz w:val="18"/>
          <w:szCs w:val="18"/>
        </w:rPr>
        <w:t xml:space="preserve"> </w:t>
      </w:r>
      <w:proofErr w:type="spellStart"/>
      <w:r w:rsidR="00EC2FD7">
        <w:rPr>
          <w:rFonts w:ascii="Verdana" w:hAnsi="Verdana"/>
          <w:i/>
          <w:iCs/>
          <w:sz w:val="18"/>
          <w:szCs w:val="18"/>
        </w:rPr>
        <w:t>wins</w:t>
      </w:r>
      <w:proofErr w:type="spellEnd"/>
      <w:r w:rsidR="00EC2FD7">
        <w:rPr>
          <w:rFonts w:ascii="Verdana" w:hAnsi="Verdana"/>
          <w:i/>
          <w:iCs/>
          <w:sz w:val="18"/>
          <w:szCs w:val="18"/>
        </w:rPr>
        <w:t xml:space="preserve">’ </w:t>
      </w:r>
      <w:r w:rsidRPr="00E047DB">
        <w:rPr>
          <w:rFonts w:ascii="Verdana" w:hAnsi="Verdana"/>
          <w:i/>
          <w:iCs/>
          <w:sz w:val="18"/>
          <w:szCs w:val="18"/>
        </w:rPr>
        <w:t>bottlenecks</w:t>
      </w:r>
      <w:r>
        <w:rPr>
          <w:rFonts w:ascii="Verdana" w:hAnsi="Verdana"/>
          <w:sz w:val="18"/>
          <w:szCs w:val="18"/>
        </w:rPr>
        <w:t xml:space="preserve"> geïdentificeerd, </w:t>
      </w:r>
      <w:r w:rsidR="00AB2B4F">
        <w:rPr>
          <w:rFonts w:ascii="Verdana" w:hAnsi="Verdana"/>
          <w:sz w:val="18"/>
          <w:szCs w:val="18"/>
        </w:rPr>
        <w:t xml:space="preserve">die </w:t>
      </w:r>
      <w:r w:rsidR="00EC2FD7">
        <w:rPr>
          <w:rFonts w:ascii="Verdana" w:hAnsi="Verdana"/>
          <w:sz w:val="18"/>
          <w:szCs w:val="18"/>
        </w:rPr>
        <w:t xml:space="preserve">knelpunten </w:t>
      </w:r>
      <w:r>
        <w:rPr>
          <w:rFonts w:ascii="Verdana" w:hAnsi="Verdana"/>
          <w:sz w:val="18"/>
          <w:szCs w:val="18"/>
        </w:rPr>
        <w:t xml:space="preserve">vormen </w:t>
      </w:r>
      <w:r w:rsidR="00EC2FD7">
        <w:rPr>
          <w:rFonts w:ascii="Verdana" w:hAnsi="Verdana"/>
          <w:sz w:val="18"/>
          <w:szCs w:val="18"/>
        </w:rPr>
        <w:t>op de vier prioritaire militaire corridors</w:t>
      </w:r>
      <w:r>
        <w:rPr>
          <w:rFonts w:ascii="Verdana" w:hAnsi="Verdana"/>
          <w:sz w:val="18"/>
          <w:szCs w:val="18"/>
        </w:rPr>
        <w:t xml:space="preserve">. Het kabinet zal </w:t>
      </w:r>
      <w:r w:rsidR="00AB2B4F">
        <w:rPr>
          <w:rFonts w:ascii="Verdana" w:hAnsi="Verdana"/>
          <w:sz w:val="18"/>
          <w:szCs w:val="18"/>
        </w:rPr>
        <w:t>er</w:t>
      </w:r>
      <w:r w:rsidR="00F2504C">
        <w:rPr>
          <w:rFonts w:ascii="Verdana" w:hAnsi="Verdana"/>
          <w:sz w:val="18"/>
          <w:szCs w:val="18"/>
        </w:rPr>
        <w:t xml:space="preserve"> </w:t>
      </w:r>
      <w:r>
        <w:rPr>
          <w:rFonts w:ascii="Verdana" w:hAnsi="Verdana"/>
          <w:sz w:val="18"/>
          <w:szCs w:val="18"/>
        </w:rPr>
        <w:t xml:space="preserve">in de onderhandelingen </w:t>
      </w:r>
      <w:r w:rsidR="00AB2B4F">
        <w:rPr>
          <w:rFonts w:ascii="Verdana" w:hAnsi="Verdana"/>
          <w:sz w:val="18"/>
          <w:szCs w:val="18"/>
        </w:rPr>
        <w:t xml:space="preserve">op </w:t>
      </w:r>
      <w:r>
        <w:rPr>
          <w:rFonts w:ascii="Verdana" w:hAnsi="Verdana"/>
          <w:sz w:val="18"/>
          <w:szCs w:val="18"/>
        </w:rPr>
        <w:t xml:space="preserve">inzetten om </w:t>
      </w:r>
      <w:r w:rsidR="00F2504C">
        <w:rPr>
          <w:rFonts w:ascii="Verdana" w:hAnsi="Verdana"/>
          <w:sz w:val="18"/>
          <w:szCs w:val="18"/>
        </w:rPr>
        <w:t xml:space="preserve">in het voorstel te verduidelijken dat de lijst met </w:t>
      </w:r>
      <w:r w:rsidR="00F2504C">
        <w:rPr>
          <w:rFonts w:ascii="Verdana" w:hAnsi="Verdana"/>
          <w:i/>
          <w:iCs/>
          <w:sz w:val="18"/>
          <w:szCs w:val="18"/>
        </w:rPr>
        <w:t>bottlenecks</w:t>
      </w:r>
      <w:r w:rsidR="00F2504C">
        <w:rPr>
          <w:rFonts w:ascii="Verdana" w:hAnsi="Verdana"/>
          <w:sz w:val="18"/>
          <w:szCs w:val="18"/>
        </w:rPr>
        <w:t xml:space="preserve"> een levend document is, waar nieuwe opgaven en projecten aan toegevoegd kunnen worden. Dit biedt de mogelijkheid continu laatste inzichten te benutten, bijvoorbeeld volgend uit onderzoeken die </w:t>
      </w:r>
      <w:r w:rsidRPr="0027091E" w:rsidR="00F2504C">
        <w:rPr>
          <w:rFonts w:ascii="Verdana" w:hAnsi="Verdana"/>
          <w:sz w:val="18"/>
          <w:szCs w:val="18"/>
        </w:rPr>
        <w:t xml:space="preserve">o.l.v. ProRail en RWS </w:t>
      </w:r>
      <w:r w:rsidR="00F2504C">
        <w:rPr>
          <w:rFonts w:ascii="Verdana" w:hAnsi="Verdana"/>
          <w:sz w:val="18"/>
          <w:szCs w:val="18"/>
        </w:rPr>
        <w:t>worden g</w:t>
      </w:r>
      <w:r w:rsidRPr="0027091E" w:rsidR="00F2504C">
        <w:rPr>
          <w:rFonts w:ascii="Verdana" w:hAnsi="Verdana"/>
          <w:sz w:val="18"/>
          <w:szCs w:val="18"/>
        </w:rPr>
        <w:t xml:space="preserve">edaan naar knelpunten op de Nederlandse </w:t>
      </w:r>
      <w:r w:rsidRPr="00F2504C" w:rsidR="00F2504C">
        <w:rPr>
          <w:rFonts w:ascii="Verdana" w:hAnsi="Verdana"/>
          <w:sz w:val="18"/>
          <w:szCs w:val="18"/>
        </w:rPr>
        <w:t xml:space="preserve">infrastructuur </w:t>
      </w:r>
      <w:r w:rsidRPr="00E047DB" w:rsidR="00F2504C">
        <w:rPr>
          <w:rFonts w:ascii="Verdana" w:hAnsi="Verdana"/>
          <w:sz w:val="18"/>
          <w:szCs w:val="18"/>
        </w:rPr>
        <w:t>ook in relatie tot de instandhoudingsopgave.</w:t>
      </w:r>
      <w:r w:rsidR="00F2504C">
        <w:rPr>
          <w:rFonts w:ascii="Verdana" w:hAnsi="Verdana"/>
          <w:sz w:val="18"/>
          <w:szCs w:val="18"/>
        </w:rPr>
        <w:t xml:space="preserve"> Ook zal het kabinet zich inzetten om duidelijkheid te verkrijgen over welke eisen leidend zijn: de militaire eisen, zoals </w:t>
      </w:r>
      <w:r w:rsidR="00361923">
        <w:rPr>
          <w:rFonts w:ascii="Verdana" w:hAnsi="Verdana"/>
          <w:sz w:val="18"/>
          <w:szCs w:val="18"/>
        </w:rPr>
        <w:t>voor</w:t>
      </w:r>
      <w:r w:rsidR="00F2504C">
        <w:rPr>
          <w:rFonts w:ascii="Verdana" w:hAnsi="Verdana"/>
          <w:sz w:val="18"/>
          <w:szCs w:val="18"/>
        </w:rPr>
        <w:t xml:space="preserve">gesteld in de </w:t>
      </w:r>
      <w:r w:rsidR="002B570A">
        <w:rPr>
          <w:rFonts w:ascii="Verdana" w:hAnsi="Verdana"/>
          <w:sz w:val="18"/>
          <w:szCs w:val="18"/>
        </w:rPr>
        <w:t>doelen van het voorstel</w:t>
      </w:r>
      <w:r w:rsidR="007B0460">
        <w:rPr>
          <w:rFonts w:ascii="Verdana" w:hAnsi="Verdana"/>
          <w:sz w:val="18"/>
          <w:szCs w:val="18"/>
        </w:rPr>
        <w:t>,</w:t>
      </w:r>
      <w:r w:rsidR="00F2504C">
        <w:rPr>
          <w:rFonts w:ascii="Verdana" w:hAnsi="Verdana"/>
          <w:sz w:val="18"/>
          <w:szCs w:val="18"/>
        </w:rPr>
        <w:t xml:space="preserve"> of de </w:t>
      </w:r>
      <w:proofErr w:type="spellStart"/>
      <w:r w:rsidRPr="00E047DB" w:rsidR="00F2504C">
        <w:rPr>
          <w:rFonts w:ascii="Verdana" w:hAnsi="Verdana"/>
          <w:i/>
          <w:iCs/>
          <w:sz w:val="18"/>
          <w:szCs w:val="18"/>
        </w:rPr>
        <w:t>dual</w:t>
      </w:r>
      <w:r w:rsidRPr="00E047DB" w:rsidR="002B570A">
        <w:rPr>
          <w:rFonts w:ascii="Verdana" w:hAnsi="Verdana"/>
          <w:i/>
          <w:iCs/>
          <w:sz w:val="18"/>
          <w:szCs w:val="18"/>
        </w:rPr>
        <w:t>-</w:t>
      </w:r>
      <w:r w:rsidRPr="00E047DB" w:rsidR="00F2504C">
        <w:rPr>
          <w:rFonts w:ascii="Verdana" w:hAnsi="Verdana"/>
          <w:i/>
          <w:iCs/>
          <w:sz w:val="18"/>
          <w:szCs w:val="18"/>
        </w:rPr>
        <w:t>use</w:t>
      </w:r>
      <w:proofErr w:type="spellEnd"/>
      <w:r w:rsidR="00F2504C">
        <w:rPr>
          <w:rFonts w:ascii="Verdana" w:hAnsi="Verdana"/>
          <w:sz w:val="18"/>
          <w:szCs w:val="18"/>
        </w:rPr>
        <w:t xml:space="preserve"> eisen</w:t>
      </w:r>
      <w:r w:rsidR="002B570A">
        <w:rPr>
          <w:rFonts w:ascii="Verdana" w:hAnsi="Verdana"/>
          <w:sz w:val="18"/>
          <w:szCs w:val="18"/>
        </w:rPr>
        <w:t xml:space="preserve">, zoals voorgesteld in de toevoeging van lid 3 van artikel 48 van de TEN-T verordening. Deze verduidelijking is cruciaal want het verschil in grootte van de aanpassingsopgave </w:t>
      </w:r>
      <w:r w:rsidR="00A77184">
        <w:rPr>
          <w:rFonts w:ascii="Verdana" w:hAnsi="Verdana"/>
          <w:sz w:val="18"/>
          <w:szCs w:val="18"/>
        </w:rPr>
        <w:t xml:space="preserve">kan </w:t>
      </w:r>
      <w:r w:rsidR="002B570A">
        <w:rPr>
          <w:rFonts w:ascii="Verdana" w:hAnsi="Verdana"/>
          <w:sz w:val="18"/>
          <w:szCs w:val="18"/>
        </w:rPr>
        <w:t>financieel zeer significant</w:t>
      </w:r>
      <w:r w:rsidR="00A77184">
        <w:rPr>
          <w:rFonts w:ascii="Verdana" w:hAnsi="Verdana"/>
          <w:sz w:val="18"/>
          <w:szCs w:val="18"/>
        </w:rPr>
        <w:t xml:space="preserve"> zijn</w:t>
      </w:r>
      <w:r w:rsidR="002B570A">
        <w:rPr>
          <w:rFonts w:ascii="Verdana" w:hAnsi="Verdana"/>
          <w:sz w:val="18"/>
          <w:szCs w:val="18"/>
        </w:rPr>
        <w:t xml:space="preserve">. </w:t>
      </w:r>
      <w:r w:rsidR="00201D8B">
        <w:rPr>
          <w:rFonts w:ascii="Verdana" w:hAnsi="Verdana"/>
          <w:sz w:val="18"/>
          <w:szCs w:val="18"/>
        </w:rPr>
        <w:t>Een belangrijke disclaimer bij de inzet op militaire mobiliteit is dat c</w:t>
      </w:r>
      <w:r w:rsidRPr="00137009" w:rsidR="00137009">
        <w:rPr>
          <w:rFonts w:ascii="Verdana" w:hAnsi="Verdana"/>
          <w:sz w:val="18"/>
          <w:szCs w:val="18"/>
        </w:rPr>
        <w:t xml:space="preserve">iviel gebruik van het netwerk zo veel mogelijk doorgang </w:t>
      </w:r>
      <w:r w:rsidR="00201D8B">
        <w:rPr>
          <w:rFonts w:ascii="Verdana" w:hAnsi="Verdana"/>
          <w:sz w:val="18"/>
          <w:szCs w:val="18"/>
        </w:rPr>
        <w:t xml:space="preserve">moet </w:t>
      </w:r>
      <w:r w:rsidRPr="00137009" w:rsidR="00137009">
        <w:rPr>
          <w:rFonts w:ascii="Verdana" w:hAnsi="Verdana"/>
          <w:sz w:val="18"/>
          <w:szCs w:val="18"/>
        </w:rPr>
        <w:t xml:space="preserve">vinden op momenten </w:t>
      </w:r>
      <w:r w:rsidR="003E1D0D">
        <w:rPr>
          <w:rFonts w:ascii="Verdana" w:hAnsi="Verdana"/>
          <w:sz w:val="18"/>
          <w:szCs w:val="18"/>
        </w:rPr>
        <w:t>van</w:t>
      </w:r>
      <w:r w:rsidRPr="00137009" w:rsidR="003E1D0D">
        <w:rPr>
          <w:rFonts w:ascii="Verdana" w:hAnsi="Verdana"/>
          <w:sz w:val="18"/>
          <w:szCs w:val="18"/>
        </w:rPr>
        <w:t xml:space="preserve"> </w:t>
      </w:r>
      <w:r w:rsidRPr="00137009" w:rsidR="00137009">
        <w:rPr>
          <w:rFonts w:ascii="Verdana" w:hAnsi="Verdana"/>
          <w:sz w:val="18"/>
          <w:szCs w:val="18"/>
        </w:rPr>
        <w:t xml:space="preserve">grootschalige militaire </w:t>
      </w:r>
      <w:r w:rsidR="003E1D0D">
        <w:rPr>
          <w:rFonts w:ascii="Verdana" w:hAnsi="Verdana"/>
          <w:sz w:val="18"/>
          <w:szCs w:val="18"/>
        </w:rPr>
        <w:t>verplaatsingen</w:t>
      </w:r>
      <w:r w:rsidRPr="00137009" w:rsidR="00137009">
        <w:rPr>
          <w:rFonts w:ascii="Verdana" w:hAnsi="Verdana"/>
          <w:sz w:val="18"/>
          <w:szCs w:val="18"/>
        </w:rPr>
        <w:t xml:space="preserve">. </w:t>
      </w:r>
      <w:r w:rsidR="00483F99">
        <w:rPr>
          <w:rFonts w:ascii="Verdana" w:hAnsi="Verdana"/>
          <w:sz w:val="18"/>
          <w:szCs w:val="18"/>
        </w:rPr>
        <w:t xml:space="preserve">Vereisten </w:t>
      </w:r>
      <w:r w:rsidR="0064249A">
        <w:rPr>
          <w:rFonts w:ascii="Verdana" w:hAnsi="Verdana"/>
          <w:sz w:val="18"/>
          <w:szCs w:val="18"/>
        </w:rPr>
        <w:t xml:space="preserve">voor militaire mobiliteit </w:t>
      </w:r>
      <w:r w:rsidR="00483F99">
        <w:rPr>
          <w:rFonts w:ascii="Verdana" w:hAnsi="Verdana"/>
          <w:sz w:val="18"/>
          <w:szCs w:val="18"/>
        </w:rPr>
        <w:t>kunnen met deze toevoeging van art</w:t>
      </w:r>
      <w:r w:rsidR="0064249A">
        <w:rPr>
          <w:rFonts w:ascii="Verdana" w:hAnsi="Verdana"/>
          <w:sz w:val="18"/>
          <w:szCs w:val="18"/>
        </w:rPr>
        <w:t>ikel</w:t>
      </w:r>
      <w:r w:rsidR="00483F99">
        <w:rPr>
          <w:rFonts w:ascii="Verdana" w:hAnsi="Verdana"/>
          <w:sz w:val="18"/>
          <w:szCs w:val="18"/>
        </w:rPr>
        <w:t xml:space="preserve"> 48</w:t>
      </w:r>
      <w:r w:rsidR="0064249A">
        <w:rPr>
          <w:rFonts w:ascii="Verdana" w:hAnsi="Verdana"/>
          <w:sz w:val="18"/>
          <w:szCs w:val="18"/>
        </w:rPr>
        <w:t>, lid 3</w:t>
      </w:r>
      <w:r w:rsidR="00483F99">
        <w:rPr>
          <w:rFonts w:ascii="Verdana" w:hAnsi="Verdana"/>
          <w:sz w:val="18"/>
          <w:szCs w:val="18"/>
        </w:rPr>
        <w:t xml:space="preserve"> ook een Europees karakter krijgen.</w:t>
      </w:r>
    </w:p>
    <w:p w:rsidR="002A13FB" w:rsidP="003B3DB3" w:rsidRDefault="002A13FB" w14:paraId="4955CA0B" w14:textId="77777777">
      <w:pPr>
        <w:spacing w:line="360" w:lineRule="auto"/>
        <w:rPr>
          <w:rFonts w:ascii="Verdana" w:hAnsi="Verdana" w:eastAsia="Verdana" w:cs="Verdana"/>
          <w:sz w:val="18"/>
          <w:szCs w:val="18"/>
        </w:rPr>
      </w:pPr>
    </w:p>
    <w:p w:rsidR="002A13FB" w:rsidP="003B3DB3" w:rsidRDefault="002A13FB" w14:paraId="3455FC9C" w14:textId="42048B35">
      <w:pPr>
        <w:spacing w:line="360" w:lineRule="auto"/>
        <w:rPr>
          <w:rFonts w:ascii="Verdana" w:hAnsi="Verdana" w:eastAsia="Verdana" w:cs="Verdana"/>
          <w:sz w:val="18"/>
          <w:szCs w:val="18"/>
        </w:rPr>
      </w:pPr>
      <w:r>
        <w:rPr>
          <w:rFonts w:ascii="Verdana" w:hAnsi="Verdana" w:eastAsia="Verdana" w:cs="Verdana"/>
          <w:sz w:val="18"/>
          <w:szCs w:val="18"/>
        </w:rPr>
        <w:t xml:space="preserve">Wat betreft de twee </w:t>
      </w:r>
      <w:r w:rsidR="00FC401B">
        <w:rPr>
          <w:rFonts w:ascii="Verdana" w:hAnsi="Verdana" w:eastAsia="Verdana" w:cs="Verdana"/>
          <w:sz w:val="18"/>
          <w:szCs w:val="18"/>
        </w:rPr>
        <w:t>wijzigingen</w:t>
      </w:r>
      <w:r>
        <w:rPr>
          <w:rFonts w:ascii="Verdana" w:hAnsi="Verdana" w:eastAsia="Verdana" w:cs="Verdana"/>
          <w:sz w:val="18"/>
          <w:szCs w:val="18"/>
        </w:rPr>
        <w:t xml:space="preserve"> in het voorstel heeft het kabinet een aantal opmerkingen. </w:t>
      </w:r>
      <w:r w:rsidR="00E62248">
        <w:rPr>
          <w:rFonts w:ascii="Verdana" w:hAnsi="Verdana" w:eastAsia="Verdana" w:cs="Verdana"/>
          <w:sz w:val="18"/>
          <w:szCs w:val="18"/>
        </w:rPr>
        <w:t xml:space="preserve">De wijziging van Artikel 48 door de toevoeging van </w:t>
      </w:r>
      <w:r w:rsidR="00FC401B">
        <w:rPr>
          <w:rFonts w:ascii="Verdana" w:hAnsi="Verdana" w:eastAsia="Verdana" w:cs="Verdana"/>
          <w:sz w:val="18"/>
          <w:szCs w:val="18"/>
        </w:rPr>
        <w:t xml:space="preserve">lid </w:t>
      </w:r>
      <w:r w:rsidR="00E62248">
        <w:rPr>
          <w:rFonts w:ascii="Verdana" w:hAnsi="Verdana" w:eastAsia="Verdana" w:cs="Verdana"/>
          <w:sz w:val="18"/>
          <w:szCs w:val="18"/>
        </w:rPr>
        <w:t xml:space="preserve">drie over het opnemen van een clausule waarin lidstaten de Commissie het recht geven om een uitvoeringshandeling aan te nemen, waarin de infrastructurele vereisten voor de </w:t>
      </w:r>
      <w:proofErr w:type="spellStart"/>
      <w:r w:rsidRPr="00E047DB" w:rsidR="00E62248">
        <w:rPr>
          <w:rFonts w:ascii="Verdana" w:hAnsi="Verdana" w:eastAsia="Verdana" w:cs="Verdana"/>
          <w:i/>
          <w:iCs/>
          <w:sz w:val="18"/>
          <w:szCs w:val="18"/>
        </w:rPr>
        <w:t>dual-use</w:t>
      </w:r>
      <w:proofErr w:type="spellEnd"/>
      <w:r w:rsidR="00E62248">
        <w:rPr>
          <w:rFonts w:ascii="Verdana" w:hAnsi="Verdana" w:eastAsia="Verdana" w:cs="Verdana"/>
          <w:sz w:val="18"/>
          <w:szCs w:val="18"/>
        </w:rPr>
        <w:t xml:space="preserve"> infrastructuur worden gespecificeerd beschouwt het kabinet als positief. </w:t>
      </w:r>
      <w:r w:rsidR="00615CB4">
        <w:rPr>
          <w:rFonts w:ascii="Verdana" w:hAnsi="Verdana" w:eastAsia="Verdana" w:cs="Verdana"/>
          <w:sz w:val="18"/>
          <w:szCs w:val="18"/>
        </w:rPr>
        <w:t xml:space="preserve">De Commissie onderbouwt deze wijziging met het argument dat de bestaande infrastructurele vereisten gebaseerd zijn op de CEF-verordening 2021-2027 en dat de TEN-T-verordening uit 2024 een geschiktere </w:t>
      </w:r>
      <w:r w:rsidR="00687BCC">
        <w:rPr>
          <w:rFonts w:ascii="Verdana" w:hAnsi="Verdana" w:eastAsia="Verdana" w:cs="Verdana"/>
          <w:sz w:val="18"/>
          <w:szCs w:val="18"/>
        </w:rPr>
        <w:t>rechts</w:t>
      </w:r>
      <w:r w:rsidR="00615CB4">
        <w:rPr>
          <w:rFonts w:ascii="Verdana" w:hAnsi="Verdana" w:eastAsia="Verdana" w:cs="Verdana"/>
          <w:sz w:val="18"/>
          <w:szCs w:val="18"/>
        </w:rPr>
        <w:t xml:space="preserve">grondslag biedt. De wijziging van de </w:t>
      </w:r>
      <w:r w:rsidR="00687BCC">
        <w:rPr>
          <w:rFonts w:ascii="Verdana" w:hAnsi="Verdana" w:eastAsia="Verdana" w:cs="Verdana"/>
          <w:sz w:val="18"/>
          <w:szCs w:val="18"/>
        </w:rPr>
        <w:t>rechts</w:t>
      </w:r>
      <w:r w:rsidR="00615CB4">
        <w:rPr>
          <w:rFonts w:ascii="Verdana" w:hAnsi="Verdana" w:eastAsia="Verdana" w:cs="Verdana"/>
          <w:sz w:val="18"/>
          <w:szCs w:val="18"/>
        </w:rPr>
        <w:t xml:space="preserve">grondslag heeft niet automatisch als gevolg dat de inhoud van de infrastructurele vereisten </w:t>
      </w:r>
      <w:r w:rsidR="00483F99">
        <w:rPr>
          <w:rFonts w:ascii="Verdana" w:hAnsi="Verdana" w:eastAsia="Verdana" w:cs="Verdana"/>
          <w:sz w:val="18"/>
          <w:szCs w:val="18"/>
        </w:rPr>
        <w:t xml:space="preserve">op het TEN-T kernnetwerk, uitgebreid kernnetwerk en uitgebreid netwerk </w:t>
      </w:r>
      <w:r w:rsidR="00615CB4">
        <w:rPr>
          <w:rFonts w:ascii="Verdana" w:hAnsi="Verdana" w:eastAsia="Verdana" w:cs="Verdana"/>
          <w:sz w:val="18"/>
          <w:szCs w:val="18"/>
        </w:rPr>
        <w:t>aangepast worden. Dit gebeurt pas wanneer er een nieuwe uitvoeringshandeling wordt opgenomen op basis van het aangepaste Artikel 48(3). Het kabinet deelt en steunt deze analyse.</w:t>
      </w:r>
    </w:p>
    <w:p w:rsidR="00450FAD" w:rsidP="003B3DB3" w:rsidRDefault="00450FAD" w14:paraId="59420621" w14:textId="77777777">
      <w:pPr>
        <w:spacing w:line="360" w:lineRule="auto"/>
        <w:rPr>
          <w:rFonts w:ascii="Verdana" w:hAnsi="Verdana" w:eastAsia="Verdana" w:cs="Verdana"/>
          <w:sz w:val="18"/>
          <w:szCs w:val="18"/>
        </w:rPr>
      </w:pPr>
    </w:p>
    <w:p w:rsidR="00FE0D47" w:rsidP="003B3DB3" w:rsidRDefault="000D1949" w14:paraId="79C3E60E" w14:textId="221B11F3">
      <w:pPr>
        <w:spacing w:line="360" w:lineRule="auto"/>
        <w:rPr>
          <w:rFonts w:ascii="Verdana" w:hAnsi="Verdana" w:eastAsia="Verdana" w:cs="Verdana"/>
          <w:sz w:val="18"/>
          <w:szCs w:val="18"/>
        </w:rPr>
      </w:pPr>
      <w:r w:rsidRPr="00EC46EE">
        <w:rPr>
          <w:rFonts w:ascii="Verdana" w:hAnsi="Verdana" w:eastAsia="Verdana" w:cs="Verdana"/>
          <w:sz w:val="18"/>
          <w:szCs w:val="18"/>
        </w:rPr>
        <w:lastRenderedPageBreak/>
        <w:t xml:space="preserve">Het voorstel van de Commissie </w:t>
      </w:r>
      <w:r w:rsidRPr="00EC46EE" w:rsidR="003A0609">
        <w:rPr>
          <w:rFonts w:ascii="Verdana" w:hAnsi="Verdana" w:eastAsia="Verdana" w:cs="Verdana"/>
          <w:sz w:val="18"/>
          <w:szCs w:val="18"/>
        </w:rPr>
        <w:t>geeft minder richting aan de prioriteiten voor financiering</w:t>
      </w:r>
      <w:r w:rsidR="00A01EA9">
        <w:rPr>
          <w:rFonts w:ascii="Verdana" w:hAnsi="Verdana" w:eastAsia="Verdana" w:cs="Verdana"/>
          <w:sz w:val="18"/>
          <w:szCs w:val="18"/>
        </w:rPr>
        <w:t xml:space="preserve"> van transport en energie</w:t>
      </w:r>
      <w:r w:rsidRPr="00EC46EE" w:rsidR="003A0609">
        <w:rPr>
          <w:rFonts w:ascii="Verdana" w:hAnsi="Verdana" w:eastAsia="Verdana" w:cs="Verdana"/>
          <w:sz w:val="18"/>
          <w:szCs w:val="18"/>
        </w:rPr>
        <w:t xml:space="preserve">, </w:t>
      </w:r>
      <w:r w:rsidR="00AB2B4F">
        <w:rPr>
          <w:rFonts w:ascii="Verdana" w:hAnsi="Verdana" w:eastAsia="Verdana" w:cs="Verdana"/>
          <w:sz w:val="18"/>
          <w:szCs w:val="18"/>
        </w:rPr>
        <w:t xml:space="preserve">die </w:t>
      </w:r>
      <w:r w:rsidRPr="00EC46EE" w:rsidR="003A0609">
        <w:rPr>
          <w:rFonts w:ascii="Verdana" w:hAnsi="Verdana" w:eastAsia="Verdana" w:cs="Verdana"/>
          <w:sz w:val="18"/>
          <w:szCs w:val="18"/>
        </w:rPr>
        <w:t xml:space="preserve">nader </w:t>
      </w:r>
      <w:r w:rsidRPr="00EC46EE">
        <w:rPr>
          <w:rFonts w:ascii="Verdana" w:hAnsi="Verdana" w:eastAsia="Verdana" w:cs="Verdana"/>
          <w:sz w:val="18"/>
          <w:szCs w:val="18"/>
        </w:rPr>
        <w:t>worden uitgewerkt in de CEF</w:t>
      </w:r>
      <w:r w:rsidR="004D469F">
        <w:rPr>
          <w:rFonts w:ascii="Verdana" w:hAnsi="Verdana" w:eastAsia="Verdana" w:cs="Verdana"/>
          <w:sz w:val="18"/>
          <w:szCs w:val="18"/>
        </w:rPr>
        <w:t>-</w:t>
      </w:r>
      <w:r w:rsidRPr="00EC46EE">
        <w:rPr>
          <w:rFonts w:ascii="Verdana" w:hAnsi="Verdana" w:eastAsia="Verdana" w:cs="Verdana"/>
          <w:sz w:val="18"/>
          <w:szCs w:val="18"/>
        </w:rPr>
        <w:t>werkprogramma’s in lijn met de Financiële Regels in Verordening (EU) 2024/2509. Dit is een verandering ten opzichte van de huidige CEF-verordening</w:t>
      </w:r>
      <w:r w:rsidRPr="00EC46EE" w:rsidR="00847A75">
        <w:rPr>
          <w:rFonts w:ascii="Verdana" w:hAnsi="Verdana" w:eastAsia="Verdana" w:cs="Verdana"/>
          <w:sz w:val="18"/>
          <w:szCs w:val="18"/>
        </w:rPr>
        <w:t>, waarin nader was uitgewerkt hoe en waaraan CEF-financiering werd toegekend</w:t>
      </w:r>
      <w:r w:rsidRPr="00EC46EE">
        <w:rPr>
          <w:rFonts w:ascii="Verdana" w:hAnsi="Verdana" w:eastAsia="Verdana" w:cs="Verdana"/>
          <w:sz w:val="18"/>
          <w:szCs w:val="18"/>
        </w:rPr>
        <w:t xml:space="preserve">. Het kabinet </w:t>
      </w:r>
      <w:r w:rsidR="006A4945">
        <w:rPr>
          <w:rFonts w:ascii="Verdana" w:hAnsi="Verdana" w:eastAsia="Verdana" w:cs="Verdana"/>
          <w:sz w:val="18"/>
          <w:szCs w:val="18"/>
        </w:rPr>
        <w:t>plaats</w:t>
      </w:r>
      <w:r w:rsidR="00BC3691">
        <w:rPr>
          <w:rFonts w:ascii="Verdana" w:hAnsi="Verdana" w:eastAsia="Verdana" w:cs="Verdana"/>
          <w:sz w:val="18"/>
          <w:szCs w:val="18"/>
        </w:rPr>
        <w:t>t</w:t>
      </w:r>
      <w:r w:rsidR="006A4945">
        <w:rPr>
          <w:rFonts w:ascii="Verdana" w:hAnsi="Verdana" w:eastAsia="Verdana" w:cs="Verdana"/>
          <w:sz w:val="18"/>
          <w:szCs w:val="18"/>
        </w:rPr>
        <w:t xml:space="preserve"> hier een drietal aandachtspunten bij</w:t>
      </w:r>
      <w:r w:rsidR="00FC401B">
        <w:rPr>
          <w:rFonts w:ascii="Verdana" w:hAnsi="Verdana" w:eastAsia="Verdana" w:cs="Verdana"/>
          <w:sz w:val="18"/>
          <w:szCs w:val="18"/>
        </w:rPr>
        <w:t>, waarvan het tweede aandachtspunt alleen geldt voor het transportdeel</w:t>
      </w:r>
      <w:r w:rsidR="006A4945">
        <w:rPr>
          <w:rFonts w:ascii="Verdana" w:hAnsi="Verdana" w:eastAsia="Verdana" w:cs="Verdana"/>
          <w:sz w:val="18"/>
          <w:szCs w:val="18"/>
        </w:rPr>
        <w:t xml:space="preserve">. </w:t>
      </w:r>
    </w:p>
    <w:p w:rsidR="00FE0D47" w:rsidP="003B3DB3" w:rsidRDefault="00FE0D47" w14:paraId="044D15FB" w14:textId="77777777">
      <w:pPr>
        <w:spacing w:line="360" w:lineRule="auto"/>
        <w:rPr>
          <w:rFonts w:ascii="Verdana" w:hAnsi="Verdana" w:eastAsia="Verdana" w:cs="Verdana"/>
          <w:sz w:val="18"/>
          <w:szCs w:val="18"/>
        </w:rPr>
      </w:pPr>
    </w:p>
    <w:p w:rsidRPr="00A06EBA" w:rsidR="00CE4FF8" w:rsidP="003B3DB3" w:rsidRDefault="000D1949" w14:paraId="41197A7B" w14:textId="3D586AD3">
      <w:pPr>
        <w:spacing w:line="360" w:lineRule="auto"/>
        <w:rPr>
          <w:rFonts w:ascii="Verdana" w:hAnsi="Verdana"/>
          <w:sz w:val="18"/>
          <w:szCs w:val="18"/>
        </w:rPr>
      </w:pPr>
      <w:r w:rsidRPr="00EC46EE">
        <w:rPr>
          <w:rFonts w:ascii="Verdana" w:hAnsi="Verdana" w:eastAsia="Verdana" w:cs="Verdana"/>
          <w:sz w:val="18"/>
          <w:szCs w:val="18"/>
        </w:rPr>
        <w:t xml:space="preserve">Ten eerste, het </w:t>
      </w:r>
      <w:r w:rsidRPr="00EC46EE" w:rsidR="003A0609">
        <w:rPr>
          <w:rFonts w:ascii="Verdana" w:hAnsi="Verdana" w:eastAsia="Verdana" w:cs="Verdana"/>
          <w:sz w:val="18"/>
          <w:szCs w:val="18"/>
        </w:rPr>
        <w:t xml:space="preserve">voorstel </w:t>
      </w:r>
      <w:r w:rsidRPr="00EC46EE">
        <w:rPr>
          <w:rFonts w:ascii="Verdana" w:hAnsi="Verdana" w:eastAsia="Verdana" w:cs="Verdana"/>
          <w:sz w:val="18"/>
          <w:szCs w:val="18"/>
        </w:rPr>
        <w:t>ontbreekt afbakening van de scope van de CEF-verordening</w:t>
      </w:r>
      <w:r w:rsidR="006A4945">
        <w:rPr>
          <w:rFonts w:ascii="Verdana" w:hAnsi="Verdana" w:eastAsia="Verdana" w:cs="Verdana"/>
          <w:sz w:val="18"/>
          <w:szCs w:val="18"/>
        </w:rPr>
        <w:t xml:space="preserve"> door </w:t>
      </w:r>
      <w:r w:rsidR="006A4945">
        <w:rPr>
          <w:rFonts w:ascii="Verdana" w:hAnsi="Verdana"/>
          <w:sz w:val="18"/>
          <w:szCs w:val="18"/>
        </w:rPr>
        <w:t>het gebrek aan concrete coördinatie met andere fondsen en MFK-voorstellen</w:t>
      </w:r>
      <w:r w:rsidRPr="00EC46EE">
        <w:rPr>
          <w:rFonts w:ascii="Verdana" w:hAnsi="Verdana" w:eastAsia="Verdana" w:cs="Verdana"/>
          <w:sz w:val="18"/>
          <w:szCs w:val="18"/>
        </w:rPr>
        <w:t xml:space="preserve">. </w:t>
      </w:r>
      <w:r w:rsidR="00CE4FF8">
        <w:rPr>
          <w:rFonts w:ascii="Verdana" w:hAnsi="Verdana" w:eastAsia="Verdana" w:cs="Verdana"/>
          <w:sz w:val="18"/>
          <w:szCs w:val="18"/>
        </w:rPr>
        <w:t xml:space="preserve">Het kabinet is positief over de mogelijkheid om projecten </w:t>
      </w:r>
      <w:r w:rsidR="00A01EA9">
        <w:rPr>
          <w:rFonts w:ascii="Verdana" w:hAnsi="Verdana" w:eastAsia="Verdana" w:cs="Verdana"/>
          <w:sz w:val="18"/>
          <w:szCs w:val="18"/>
        </w:rPr>
        <w:t xml:space="preserve">voor transport en energie </w:t>
      </w:r>
      <w:r w:rsidR="00CE4FF8">
        <w:rPr>
          <w:rFonts w:ascii="Verdana" w:hAnsi="Verdana" w:eastAsia="Verdana" w:cs="Verdana"/>
          <w:sz w:val="18"/>
          <w:szCs w:val="18"/>
        </w:rPr>
        <w:t xml:space="preserve">uit verschillende </w:t>
      </w:r>
      <w:r w:rsidR="007E5815">
        <w:rPr>
          <w:rFonts w:ascii="Verdana" w:hAnsi="Verdana" w:eastAsia="Verdana" w:cs="Verdana"/>
          <w:sz w:val="18"/>
          <w:szCs w:val="18"/>
        </w:rPr>
        <w:t xml:space="preserve">MFK programma’s </w:t>
      </w:r>
      <w:r w:rsidR="00CE4FF8">
        <w:rPr>
          <w:rFonts w:ascii="Verdana" w:hAnsi="Verdana" w:eastAsia="Verdana" w:cs="Verdana"/>
          <w:sz w:val="18"/>
          <w:szCs w:val="18"/>
        </w:rPr>
        <w:t xml:space="preserve">te financieren, echter geeft het voorstel geen duidelijkheid hoe de verschillende </w:t>
      </w:r>
      <w:r w:rsidR="007E5815">
        <w:rPr>
          <w:rFonts w:ascii="Verdana" w:hAnsi="Verdana" w:eastAsia="Verdana" w:cs="Verdana"/>
          <w:sz w:val="18"/>
          <w:szCs w:val="18"/>
        </w:rPr>
        <w:t>MFK programma’s</w:t>
      </w:r>
      <w:r w:rsidR="00CE4FF8">
        <w:rPr>
          <w:rFonts w:ascii="Verdana" w:hAnsi="Verdana" w:eastAsia="Verdana" w:cs="Verdana"/>
          <w:sz w:val="18"/>
          <w:szCs w:val="18"/>
        </w:rPr>
        <w:t xml:space="preserve">, onder andere ECF, </w:t>
      </w:r>
      <w:r w:rsidRPr="008D7B53" w:rsidR="009132D9">
        <w:rPr>
          <w:rFonts w:ascii="Verdana" w:hAnsi="Verdana" w:eastAsia="Verdana" w:cs="Verdana"/>
          <w:i/>
          <w:iCs/>
          <w:sz w:val="18"/>
          <w:szCs w:val="18"/>
        </w:rPr>
        <w:t>Global Europe</w:t>
      </w:r>
      <w:r w:rsidR="009132D9">
        <w:rPr>
          <w:rFonts w:ascii="Verdana" w:hAnsi="Verdana" w:eastAsia="Verdana" w:cs="Verdana"/>
          <w:i/>
          <w:iCs/>
          <w:sz w:val="18"/>
          <w:szCs w:val="18"/>
        </w:rPr>
        <w:t xml:space="preserve"> (</w:t>
      </w:r>
      <w:r w:rsidRPr="008D7B53" w:rsidR="00F74695">
        <w:rPr>
          <w:rFonts w:ascii="Verdana" w:hAnsi="Verdana" w:eastAsia="Verdana" w:cs="Verdana"/>
          <w:i/>
          <w:iCs/>
          <w:sz w:val="18"/>
          <w:szCs w:val="18"/>
        </w:rPr>
        <w:t>GE</w:t>
      </w:r>
      <w:r w:rsidR="009132D9">
        <w:rPr>
          <w:rFonts w:ascii="Verdana" w:hAnsi="Verdana" w:eastAsia="Verdana" w:cs="Verdana"/>
          <w:i/>
          <w:iCs/>
          <w:sz w:val="18"/>
          <w:szCs w:val="18"/>
        </w:rPr>
        <w:t>)</w:t>
      </w:r>
      <w:r w:rsidR="00CE4FF8">
        <w:rPr>
          <w:rFonts w:ascii="Verdana" w:hAnsi="Verdana" w:eastAsia="Verdana" w:cs="Verdana"/>
          <w:sz w:val="18"/>
          <w:szCs w:val="18"/>
        </w:rPr>
        <w:t xml:space="preserve"> en </w:t>
      </w:r>
      <w:r w:rsidR="00A01EA9">
        <w:rPr>
          <w:rFonts w:ascii="Verdana" w:hAnsi="Verdana" w:eastAsia="Verdana" w:cs="Verdana"/>
          <w:sz w:val="18"/>
          <w:szCs w:val="18"/>
        </w:rPr>
        <w:t>specifiek voor transport</w:t>
      </w:r>
      <w:r w:rsidR="00E047DB">
        <w:rPr>
          <w:rFonts w:ascii="Verdana" w:hAnsi="Verdana" w:eastAsia="Verdana" w:cs="Verdana"/>
          <w:sz w:val="18"/>
          <w:szCs w:val="18"/>
        </w:rPr>
        <w:t xml:space="preserve"> de voormalige</w:t>
      </w:r>
      <w:r w:rsidR="00CE4FF8">
        <w:rPr>
          <w:rFonts w:ascii="Verdana" w:hAnsi="Verdana" w:eastAsia="Verdana" w:cs="Verdana"/>
          <w:sz w:val="18"/>
          <w:szCs w:val="18"/>
        </w:rPr>
        <w:t xml:space="preserve"> </w:t>
      </w:r>
      <w:proofErr w:type="spellStart"/>
      <w:r w:rsidRPr="21064A6A" w:rsidR="00CE4FF8">
        <w:rPr>
          <w:rFonts w:ascii="Verdana" w:hAnsi="Verdana" w:eastAsia="Verdana" w:cs="Verdana"/>
          <w:i/>
          <w:iCs/>
          <w:sz w:val="18"/>
          <w:szCs w:val="18"/>
        </w:rPr>
        <w:t>Alternative</w:t>
      </w:r>
      <w:proofErr w:type="spellEnd"/>
      <w:r w:rsidRPr="21064A6A" w:rsidR="00CE4FF8">
        <w:rPr>
          <w:rFonts w:ascii="Verdana" w:hAnsi="Verdana" w:eastAsia="Verdana" w:cs="Verdana"/>
          <w:i/>
          <w:iCs/>
          <w:sz w:val="18"/>
          <w:szCs w:val="18"/>
        </w:rPr>
        <w:t xml:space="preserve"> </w:t>
      </w:r>
      <w:proofErr w:type="spellStart"/>
      <w:r w:rsidRPr="21064A6A" w:rsidR="00CE4FF8">
        <w:rPr>
          <w:rFonts w:ascii="Verdana" w:hAnsi="Verdana" w:eastAsia="Verdana" w:cs="Verdana"/>
          <w:i/>
          <w:iCs/>
          <w:sz w:val="18"/>
          <w:szCs w:val="18"/>
        </w:rPr>
        <w:t>Fuel</w:t>
      </w:r>
      <w:proofErr w:type="spellEnd"/>
      <w:r w:rsidRPr="21064A6A" w:rsidR="00CE4FF8">
        <w:rPr>
          <w:rFonts w:ascii="Verdana" w:hAnsi="Verdana" w:eastAsia="Verdana" w:cs="Verdana"/>
          <w:i/>
          <w:iCs/>
          <w:sz w:val="18"/>
          <w:szCs w:val="18"/>
        </w:rPr>
        <w:t xml:space="preserve"> </w:t>
      </w:r>
      <w:proofErr w:type="spellStart"/>
      <w:r w:rsidRPr="21064A6A" w:rsidR="00CE4FF8">
        <w:rPr>
          <w:rFonts w:ascii="Verdana" w:hAnsi="Verdana" w:eastAsia="Verdana" w:cs="Verdana"/>
          <w:i/>
          <w:iCs/>
          <w:sz w:val="18"/>
          <w:szCs w:val="18"/>
        </w:rPr>
        <w:t>Infrastructure</w:t>
      </w:r>
      <w:proofErr w:type="spellEnd"/>
      <w:r w:rsidRPr="21064A6A" w:rsidR="00CE4FF8">
        <w:rPr>
          <w:rFonts w:ascii="Verdana" w:hAnsi="Verdana" w:eastAsia="Verdana" w:cs="Verdana"/>
          <w:i/>
          <w:iCs/>
          <w:sz w:val="18"/>
          <w:szCs w:val="18"/>
        </w:rPr>
        <w:t xml:space="preserve"> Facility</w:t>
      </w:r>
      <w:r w:rsidR="00CE4FF8">
        <w:rPr>
          <w:rFonts w:ascii="Verdana" w:hAnsi="Verdana" w:eastAsia="Verdana" w:cs="Verdana"/>
          <w:sz w:val="18"/>
          <w:szCs w:val="18"/>
        </w:rPr>
        <w:t xml:space="preserve"> (AFIF), zich tot elkaar verhouden</w:t>
      </w:r>
      <w:r w:rsidR="00862105">
        <w:rPr>
          <w:rFonts w:ascii="Verdana" w:hAnsi="Verdana" w:eastAsia="Verdana" w:cs="Verdana"/>
          <w:sz w:val="18"/>
          <w:szCs w:val="18"/>
        </w:rPr>
        <w:t>. Dit beperkt de mate van voorspelbaarheid van financiering, terwijl infrastructuurinvestering juist vaak lange termijn investeringen zijn</w:t>
      </w:r>
      <w:r w:rsidR="00CE4FF8">
        <w:rPr>
          <w:rFonts w:ascii="Verdana" w:hAnsi="Verdana" w:eastAsia="Verdana" w:cs="Verdana"/>
          <w:sz w:val="18"/>
          <w:szCs w:val="18"/>
        </w:rPr>
        <w:t xml:space="preserve">. Het kabinet zal zich inzetten om deze duidelijkheid te verkrijgen om te voorkomen dat projecten </w:t>
      </w:r>
      <w:r w:rsidR="005608CE">
        <w:rPr>
          <w:rFonts w:ascii="Verdana" w:hAnsi="Verdana" w:eastAsia="Verdana" w:cs="Verdana"/>
          <w:sz w:val="18"/>
          <w:szCs w:val="18"/>
        </w:rPr>
        <w:t xml:space="preserve">op gebied van duurzame brandstofinfrastructuur en </w:t>
      </w:r>
      <w:proofErr w:type="spellStart"/>
      <w:r w:rsidR="005608CE">
        <w:rPr>
          <w:rFonts w:ascii="Verdana" w:hAnsi="Verdana" w:eastAsia="Verdana" w:cs="Verdana"/>
          <w:sz w:val="18"/>
          <w:szCs w:val="18"/>
        </w:rPr>
        <w:t>interoperabele</w:t>
      </w:r>
      <w:proofErr w:type="spellEnd"/>
      <w:r w:rsidR="005608CE">
        <w:rPr>
          <w:rFonts w:ascii="Verdana" w:hAnsi="Verdana" w:eastAsia="Verdana" w:cs="Verdana"/>
          <w:sz w:val="18"/>
          <w:szCs w:val="18"/>
        </w:rPr>
        <w:t xml:space="preserve"> mobiliteit, zoals ERTMS of IT</w:t>
      </w:r>
      <w:r w:rsidR="00D6118D">
        <w:rPr>
          <w:rFonts w:ascii="Verdana" w:hAnsi="Verdana" w:eastAsia="Verdana" w:cs="Verdana"/>
          <w:sz w:val="18"/>
          <w:szCs w:val="18"/>
        </w:rPr>
        <w:t>S</w:t>
      </w:r>
      <w:r w:rsidR="005608CE">
        <w:rPr>
          <w:rFonts w:ascii="Verdana" w:hAnsi="Verdana" w:eastAsia="Verdana" w:cs="Verdana"/>
          <w:sz w:val="18"/>
          <w:szCs w:val="18"/>
        </w:rPr>
        <w:t xml:space="preserve"> </w:t>
      </w:r>
      <w:r w:rsidR="00B001E8">
        <w:rPr>
          <w:rFonts w:ascii="Verdana" w:hAnsi="Verdana" w:eastAsia="Verdana" w:cs="Verdana"/>
          <w:sz w:val="18"/>
          <w:szCs w:val="18"/>
        </w:rPr>
        <w:t>en acties voor technische bijstand</w:t>
      </w:r>
      <w:r w:rsidR="00CE6C7A">
        <w:rPr>
          <w:rFonts w:ascii="Verdana" w:hAnsi="Verdana" w:eastAsia="Verdana" w:cs="Verdana"/>
          <w:sz w:val="18"/>
          <w:szCs w:val="18"/>
        </w:rPr>
        <w:t>, z</w:t>
      </w:r>
      <w:r w:rsidRPr="00CE6C7A" w:rsidR="00CE6C7A">
        <w:rPr>
          <w:rFonts w:ascii="Verdana" w:hAnsi="Verdana" w:eastAsia="Verdana" w:cs="Verdana"/>
          <w:sz w:val="18"/>
          <w:szCs w:val="18"/>
        </w:rPr>
        <w:t xml:space="preserve">oals de financiering van het </w:t>
      </w:r>
      <w:r w:rsidR="00CE6C7A">
        <w:rPr>
          <w:rFonts w:ascii="Verdana" w:hAnsi="Verdana" w:eastAsia="Verdana" w:cs="Verdana"/>
          <w:sz w:val="18"/>
          <w:szCs w:val="18"/>
        </w:rPr>
        <w:t>comité CESNI</w:t>
      </w:r>
      <w:r w:rsidR="00B001E8">
        <w:rPr>
          <w:rStyle w:val="FootnoteReference"/>
          <w:rFonts w:ascii="Verdana" w:hAnsi="Verdana" w:eastAsia="Verdana" w:cs="Verdana"/>
          <w:sz w:val="18"/>
          <w:szCs w:val="18"/>
        </w:rPr>
        <w:footnoteReference w:id="8"/>
      </w:r>
      <w:r w:rsidR="00B001E8">
        <w:rPr>
          <w:rFonts w:ascii="Verdana" w:hAnsi="Verdana" w:eastAsia="Verdana" w:cs="Verdana"/>
          <w:sz w:val="18"/>
          <w:szCs w:val="18"/>
        </w:rPr>
        <w:t xml:space="preserve">, </w:t>
      </w:r>
      <w:r w:rsidR="00CE4FF8">
        <w:rPr>
          <w:rFonts w:ascii="Verdana" w:hAnsi="Verdana" w:eastAsia="Verdana" w:cs="Verdana"/>
          <w:sz w:val="18"/>
          <w:szCs w:val="18"/>
        </w:rPr>
        <w:t xml:space="preserve">buiten de relevante fondsen vallen. </w:t>
      </w:r>
      <w:r w:rsidR="00FE0D47">
        <w:rPr>
          <w:rFonts w:ascii="Verdana" w:hAnsi="Verdana" w:eastAsia="Verdana" w:cs="Verdana"/>
          <w:sz w:val="18"/>
          <w:szCs w:val="18"/>
        </w:rPr>
        <w:t>Het kabinet zal inbrengen dat het belangrijk is voor transport om een bredere definitie van ‘grensoverschrijdend’ te hanteren, alsook een uitwerking van de terminologie ‘slim en duurzaam’. H</w:t>
      </w:r>
      <w:r w:rsidR="00CE4FF8">
        <w:rPr>
          <w:rFonts w:ascii="Verdana" w:hAnsi="Verdana" w:eastAsia="Verdana" w:cs="Verdana"/>
          <w:sz w:val="18"/>
          <w:szCs w:val="18"/>
        </w:rPr>
        <w:t>et voorstel</w:t>
      </w:r>
      <w:r w:rsidR="00FE0D47">
        <w:rPr>
          <w:rFonts w:ascii="Verdana" w:hAnsi="Verdana" w:eastAsia="Verdana" w:cs="Verdana"/>
          <w:sz w:val="18"/>
          <w:szCs w:val="18"/>
        </w:rPr>
        <w:t xml:space="preserve"> laat</w:t>
      </w:r>
      <w:r w:rsidR="00A01EA9">
        <w:rPr>
          <w:rFonts w:ascii="Verdana" w:hAnsi="Verdana" w:eastAsia="Verdana" w:cs="Verdana"/>
          <w:sz w:val="18"/>
          <w:szCs w:val="18"/>
        </w:rPr>
        <w:t xml:space="preserve"> ten aanzien van transport </w:t>
      </w:r>
      <w:r w:rsidR="00483F99">
        <w:rPr>
          <w:rFonts w:ascii="Verdana" w:hAnsi="Verdana" w:eastAsia="Verdana" w:cs="Verdana"/>
          <w:sz w:val="18"/>
          <w:szCs w:val="18"/>
        </w:rPr>
        <w:t xml:space="preserve">en mobiliteit </w:t>
      </w:r>
      <w:r w:rsidR="00CE4FF8">
        <w:rPr>
          <w:rFonts w:ascii="Verdana" w:hAnsi="Verdana" w:eastAsia="Verdana" w:cs="Verdana"/>
          <w:sz w:val="18"/>
          <w:szCs w:val="18"/>
        </w:rPr>
        <w:t xml:space="preserve">de AFIF nu buiten beschouwing, terwijl Nederlandse aanvragen in dit fonds relatief succesvol zijn. </w:t>
      </w:r>
      <w:r w:rsidR="00A06EBA">
        <w:rPr>
          <w:rFonts w:ascii="Verdana" w:hAnsi="Verdana"/>
          <w:sz w:val="18"/>
          <w:szCs w:val="18"/>
        </w:rPr>
        <w:t xml:space="preserve">Het kabinet deelt de focus die het voorstel legt op het </w:t>
      </w:r>
      <w:r w:rsidRPr="008F56CC" w:rsidR="00A06EBA">
        <w:rPr>
          <w:rFonts w:ascii="Verdana" w:hAnsi="Verdana"/>
          <w:sz w:val="18"/>
          <w:szCs w:val="18"/>
        </w:rPr>
        <w:t>slim</w:t>
      </w:r>
      <w:r w:rsidRPr="00906398" w:rsidR="00A06EBA">
        <w:rPr>
          <w:rFonts w:ascii="Verdana" w:hAnsi="Verdana"/>
          <w:sz w:val="18"/>
          <w:szCs w:val="18"/>
        </w:rPr>
        <w:t xml:space="preserve">mer en weerbaar maken en het </w:t>
      </w:r>
      <w:r w:rsidR="00A06EBA">
        <w:rPr>
          <w:rFonts w:ascii="Verdana" w:hAnsi="Verdana"/>
          <w:sz w:val="18"/>
          <w:szCs w:val="18"/>
        </w:rPr>
        <w:t>verduurzamen van het TEN-T netwerk en zo bij te dragen aan de klimaatdoelen, en daarom zal h</w:t>
      </w:r>
      <w:r w:rsidR="00CE4FF8">
        <w:rPr>
          <w:rFonts w:ascii="Verdana" w:hAnsi="Verdana" w:eastAsia="Verdana" w:cs="Verdana"/>
          <w:sz w:val="18"/>
          <w:szCs w:val="18"/>
        </w:rPr>
        <w:t>et kabinet zich inzetten om dit instrument te behouden</w:t>
      </w:r>
      <w:r w:rsidR="003F1CC8">
        <w:rPr>
          <w:rFonts w:ascii="Verdana" w:hAnsi="Verdana" w:eastAsia="Verdana" w:cs="Verdana"/>
          <w:sz w:val="18"/>
          <w:szCs w:val="18"/>
        </w:rPr>
        <w:t xml:space="preserve"> binnen CEF</w:t>
      </w:r>
      <w:r w:rsidR="00FE0D47">
        <w:rPr>
          <w:rFonts w:ascii="Verdana" w:hAnsi="Verdana" w:eastAsia="Verdana" w:cs="Verdana"/>
          <w:sz w:val="18"/>
          <w:szCs w:val="18"/>
        </w:rPr>
        <w:t>-definitie van ‘slim en duurzaam’</w:t>
      </w:r>
      <w:r w:rsidR="00CE4FF8">
        <w:rPr>
          <w:rFonts w:ascii="Verdana" w:hAnsi="Verdana" w:eastAsia="Verdana" w:cs="Verdana"/>
          <w:sz w:val="18"/>
          <w:szCs w:val="18"/>
        </w:rPr>
        <w:t xml:space="preserve">, gezien de succesvolle bijdrage van de AFIF aan het verduurzamen en verschonen van het TEN-T netwerk. </w:t>
      </w:r>
      <w:r w:rsidRPr="000D2CC6" w:rsidR="00483F99">
        <w:rPr>
          <w:rFonts w:ascii="Verdana" w:hAnsi="Verdana"/>
          <w:sz w:val="18"/>
          <w:szCs w:val="18"/>
        </w:rPr>
        <w:t xml:space="preserve">Het kabinet acht </w:t>
      </w:r>
      <w:r w:rsidR="00483F99">
        <w:rPr>
          <w:rFonts w:ascii="Verdana" w:hAnsi="Verdana"/>
          <w:sz w:val="18"/>
          <w:szCs w:val="18"/>
        </w:rPr>
        <w:t xml:space="preserve">het </w:t>
      </w:r>
      <w:r w:rsidRPr="000D2CC6" w:rsidR="00483F99">
        <w:rPr>
          <w:rFonts w:ascii="Verdana" w:hAnsi="Verdana"/>
          <w:sz w:val="18"/>
          <w:szCs w:val="18"/>
        </w:rPr>
        <w:t xml:space="preserve">CEF essentieel voor de verdere uitrol van duurzame laad- en tankinfrastructuur om een dekkend netwerk te creëren langs het TEN-T netwerk in de EU. </w:t>
      </w:r>
      <w:r w:rsidRPr="000D2CC6" w:rsidR="00483F99">
        <w:rPr>
          <w:rFonts w:ascii="Verdana" w:hAnsi="Verdana" w:eastAsia="Verdana" w:cs="Verdana"/>
          <w:sz w:val="18"/>
          <w:szCs w:val="18"/>
        </w:rPr>
        <w:t>Publieke en private investeringen in de uitrol van zware laadinfrastructuur zijn van groot belang om de transitie naar emissievrij wegvervoer te versnellen. Dit draagt bij aan het behalen van de klimaatdoelen voor de mobiliteitssector en investeringszekerheid voor Nederlandse bedrijven</w:t>
      </w:r>
      <w:r w:rsidR="000F76CF">
        <w:rPr>
          <w:rFonts w:ascii="Verdana" w:hAnsi="Verdana" w:eastAsia="Verdana" w:cs="Verdana"/>
          <w:sz w:val="18"/>
          <w:szCs w:val="18"/>
        </w:rPr>
        <w:t>,</w:t>
      </w:r>
      <w:r w:rsidRPr="000D2CC6" w:rsidR="00483F99">
        <w:rPr>
          <w:rFonts w:ascii="Verdana" w:hAnsi="Verdana" w:eastAsia="Verdana" w:cs="Verdana"/>
          <w:sz w:val="18"/>
          <w:szCs w:val="18"/>
        </w:rPr>
        <w:t xml:space="preserve"> die zich bezighouden met de aanleg van laadinfrastructuur of de productie van elektrische zware bedrijfsvoertuigen. De versnelde uitrol van laadinfrastructuur moet gepaard gaan met mitigerende maatregelen om netcongestie te bestrijden en schaarse netcapaciteit optimaal te benutten. Maatregelen als onderdeel van </w:t>
      </w:r>
      <w:r w:rsidR="000F76CF">
        <w:rPr>
          <w:rFonts w:ascii="Verdana" w:hAnsi="Verdana" w:eastAsia="Verdana" w:cs="Verdana"/>
          <w:sz w:val="18"/>
          <w:szCs w:val="18"/>
        </w:rPr>
        <w:t xml:space="preserve">het </w:t>
      </w:r>
      <w:r w:rsidRPr="000D2CC6" w:rsidR="00483F99">
        <w:rPr>
          <w:rFonts w:ascii="Verdana" w:hAnsi="Verdana" w:eastAsia="Verdana" w:cs="Verdana"/>
          <w:sz w:val="18"/>
          <w:szCs w:val="18"/>
        </w:rPr>
        <w:t>CEF die bijvoorbeeld de installatie van lokale elektriciteitsopslag ondersteunen, kunnen een oplossing bieden voor netcongestie rond publieke en private laadinfrastructuur.</w:t>
      </w:r>
    </w:p>
    <w:p w:rsidR="0041158D" w:rsidP="003B3DB3" w:rsidRDefault="0041158D" w14:paraId="159CC13D" w14:textId="77777777">
      <w:pPr>
        <w:spacing w:line="360" w:lineRule="auto"/>
        <w:rPr>
          <w:rFonts w:ascii="Verdana" w:hAnsi="Verdana" w:eastAsia="Verdana" w:cs="Verdana"/>
          <w:sz w:val="18"/>
          <w:szCs w:val="18"/>
        </w:rPr>
      </w:pPr>
    </w:p>
    <w:p w:rsidR="0043519F" w:rsidP="0043519F" w:rsidRDefault="000D1949" w14:paraId="594AD0AC" w14:textId="326D5199">
      <w:pPr>
        <w:spacing w:line="360" w:lineRule="auto"/>
        <w:rPr>
          <w:rFonts w:ascii="Verdana" w:hAnsi="Verdana" w:eastAsia="Verdana" w:cs="Verdana"/>
          <w:sz w:val="18"/>
          <w:szCs w:val="18"/>
        </w:rPr>
      </w:pPr>
      <w:r w:rsidRPr="00EC46EE">
        <w:rPr>
          <w:rFonts w:ascii="Verdana" w:hAnsi="Verdana" w:eastAsia="Verdana" w:cs="Verdana"/>
          <w:sz w:val="18"/>
          <w:szCs w:val="18"/>
        </w:rPr>
        <w:t>Ten tweede,</w:t>
      </w:r>
      <w:r w:rsidR="003E1D0D">
        <w:rPr>
          <w:rFonts w:ascii="Verdana" w:hAnsi="Verdana" w:eastAsia="Verdana" w:cs="Verdana"/>
          <w:sz w:val="18"/>
          <w:szCs w:val="18"/>
        </w:rPr>
        <w:t xml:space="preserve"> in</w:t>
      </w:r>
      <w:r w:rsidRPr="00EC46EE">
        <w:rPr>
          <w:rFonts w:ascii="Verdana" w:hAnsi="Verdana" w:eastAsia="Verdana" w:cs="Verdana"/>
          <w:sz w:val="18"/>
          <w:szCs w:val="18"/>
        </w:rPr>
        <w:t xml:space="preserve"> </w:t>
      </w:r>
      <w:r w:rsidRPr="00EC46EE" w:rsidR="003A0609">
        <w:rPr>
          <w:rFonts w:ascii="Verdana" w:hAnsi="Verdana" w:eastAsia="Verdana" w:cs="Verdana"/>
          <w:sz w:val="18"/>
          <w:szCs w:val="18"/>
        </w:rPr>
        <w:t>het voorstel ontbreekt een plan voor de</w:t>
      </w:r>
      <w:r w:rsidRPr="00EC46EE">
        <w:rPr>
          <w:rFonts w:ascii="Verdana" w:hAnsi="Verdana" w:eastAsia="Verdana" w:cs="Verdana"/>
          <w:sz w:val="18"/>
          <w:szCs w:val="18"/>
        </w:rPr>
        <w:t xml:space="preserve"> voorspelbaarheid van financiering.</w:t>
      </w:r>
      <w:r w:rsidR="00CE4FF8">
        <w:rPr>
          <w:rFonts w:ascii="Verdana" w:hAnsi="Verdana" w:eastAsia="Verdana" w:cs="Verdana"/>
          <w:sz w:val="18"/>
          <w:szCs w:val="18"/>
        </w:rPr>
        <w:t xml:space="preserve"> </w:t>
      </w:r>
      <w:r w:rsidR="00D958D6">
        <w:rPr>
          <w:rFonts w:ascii="Verdana" w:hAnsi="Verdana" w:eastAsia="Verdana" w:cs="Verdana"/>
          <w:sz w:val="18"/>
          <w:szCs w:val="18"/>
        </w:rPr>
        <w:t xml:space="preserve">Dit punt geldt specifiek voor transport, vanwege de verschillende mate van sturing, die de TEN-E verordening wel geeft en de TEN-T verordening niet. </w:t>
      </w:r>
      <w:r w:rsidR="006A4945">
        <w:rPr>
          <w:rFonts w:ascii="Verdana" w:hAnsi="Verdana" w:eastAsia="Verdana" w:cs="Verdana"/>
          <w:sz w:val="18"/>
          <w:szCs w:val="18"/>
        </w:rPr>
        <w:t>Specifiek betekent d</w:t>
      </w:r>
      <w:r w:rsidR="00D50A63">
        <w:rPr>
          <w:rFonts w:ascii="Verdana" w:hAnsi="Verdana" w:eastAsia="Verdana" w:cs="Verdana"/>
          <w:sz w:val="18"/>
          <w:szCs w:val="18"/>
        </w:rPr>
        <w:t>i</w:t>
      </w:r>
      <w:r w:rsidR="006A4945">
        <w:rPr>
          <w:rFonts w:ascii="Verdana" w:hAnsi="Verdana" w:eastAsia="Verdana" w:cs="Verdana"/>
          <w:sz w:val="18"/>
          <w:szCs w:val="18"/>
        </w:rPr>
        <w:t xml:space="preserve">t </w:t>
      </w:r>
      <w:r w:rsidR="00B5429B">
        <w:rPr>
          <w:rFonts w:ascii="Verdana" w:hAnsi="Verdana" w:eastAsia="Verdana" w:cs="Verdana"/>
          <w:sz w:val="18"/>
          <w:szCs w:val="18"/>
        </w:rPr>
        <w:t xml:space="preserve">dat </w:t>
      </w:r>
      <w:r w:rsidR="006A4945">
        <w:rPr>
          <w:rFonts w:ascii="Verdana" w:hAnsi="Verdana" w:eastAsia="Verdana" w:cs="Verdana"/>
          <w:sz w:val="18"/>
          <w:szCs w:val="18"/>
        </w:rPr>
        <w:t xml:space="preserve">de TEN-E verordening energiecategorieën en projecten specificeert waarvoor CEF-financiering kan worden gebruikt. </w:t>
      </w:r>
      <w:r w:rsidR="00CE4FF8">
        <w:rPr>
          <w:rFonts w:ascii="Verdana" w:hAnsi="Verdana" w:eastAsia="Verdana" w:cs="Verdana"/>
          <w:sz w:val="18"/>
          <w:szCs w:val="18"/>
        </w:rPr>
        <w:t xml:space="preserve">Voortbordurend op bovenstaand argument en het vooruitschuiven van de besluiten over </w:t>
      </w:r>
      <w:r w:rsidR="00CE4FF8">
        <w:rPr>
          <w:rFonts w:ascii="Verdana" w:hAnsi="Verdana" w:eastAsia="Verdana" w:cs="Verdana"/>
          <w:sz w:val="18"/>
          <w:szCs w:val="18"/>
        </w:rPr>
        <w:lastRenderedPageBreak/>
        <w:t xml:space="preserve">financieringsprioriteiten, vormt de onvoorspelbaarheid van de financiering een grote uitdaging. </w:t>
      </w:r>
      <w:r w:rsidR="00FC401B">
        <w:rPr>
          <w:rFonts w:ascii="Verdana" w:hAnsi="Verdana" w:eastAsia="Verdana" w:cs="Verdana"/>
          <w:sz w:val="18"/>
          <w:szCs w:val="18"/>
        </w:rPr>
        <w:t xml:space="preserve">Voor transport is het voorstel niet concreet welke projecten aanspraak maken op financiering, zoals momenteel gespecificeerd in de CEF-verordening 2021-2027. </w:t>
      </w:r>
      <w:r w:rsidR="00CE4FF8">
        <w:rPr>
          <w:rFonts w:ascii="Verdana" w:hAnsi="Verdana" w:eastAsia="Verdana" w:cs="Verdana"/>
          <w:sz w:val="18"/>
          <w:szCs w:val="18"/>
        </w:rPr>
        <w:t>Op nationaal niveau worden meerjarige infrastructurele planningen gemaakt, waarvoor meerjarige financieringszekerheid nodig is. Het</w:t>
      </w:r>
      <w:r w:rsidR="0041158D">
        <w:rPr>
          <w:rFonts w:ascii="Verdana" w:hAnsi="Verdana" w:eastAsia="Verdana" w:cs="Verdana"/>
          <w:sz w:val="18"/>
          <w:szCs w:val="18"/>
        </w:rPr>
        <w:t xml:space="preserve"> kabinet staat positief tegenover het inbouwen van een</w:t>
      </w:r>
      <w:r w:rsidR="00CE4FF8">
        <w:rPr>
          <w:rFonts w:ascii="Verdana" w:hAnsi="Verdana" w:eastAsia="Verdana" w:cs="Verdana"/>
          <w:sz w:val="18"/>
          <w:szCs w:val="18"/>
        </w:rPr>
        <w:t xml:space="preserve"> bepaalde mate van flexibiliteit om bij te sturen, zoals in CEF 2021-2027 gebeurde met het uitbreken van de oorlog in Oekraïne</w:t>
      </w:r>
      <w:r w:rsidR="008B7AAA">
        <w:rPr>
          <w:rFonts w:ascii="Verdana" w:hAnsi="Verdana" w:eastAsia="Verdana" w:cs="Verdana"/>
          <w:sz w:val="18"/>
          <w:szCs w:val="18"/>
        </w:rPr>
        <w:t>. E</w:t>
      </w:r>
      <w:r w:rsidR="0041158D">
        <w:rPr>
          <w:rFonts w:ascii="Verdana" w:hAnsi="Verdana" w:eastAsia="Verdana" w:cs="Verdana"/>
          <w:sz w:val="18"/>
          <w:szCs w:val="18"/>
        </w:rPr>
        <w:t>chter, het overlaten van de financiële planning aan (mogelijk) eenjarige werkprogramma’s biedt te weinig voorspelbaarheid</w:t>
      </w:r>
      <w:r w:rsidR="000F76CF">
        <w:rPr>
          <w:rFonts w:ascii="Verdana" w:hAnsi="Verdana" w:eastAsia="Verdana" w:cs="Verdana"/>
          <w:sz w:val="18"/>
          <w:szCs w:val="18"/>
        </w:rPr>
        <w:t xml:space="preserve"> e</w:t>
      </w:r>
      <w:r w:rsidRPr="00EE33C8" w:rsidR="000F76CF">
        <w:rPr>
          <w:rFonts w:ascii="Verdana" w:hAnsi="Verdana" w:eastAsia="Verdana" w:cs="Verdana"/>
          <w:sz w:val="18"/>
          <w:szCs w:val="18"/>
        </w:rPr>
        <w:t>n bemoeilijkt daarmee de uitvoerbaarheid omdat het niet aansluit op de meerjarige planning die uitvoerders hanteren</w:t>
      </w:r>
      <w:r w:rsidR="0041158D">
        <w:rPr>
          <w:rFonts w:ascii="Verdana" w:hAnsi="Verdana" w:eastAsia="Verdana" w:cs="Verdana"/>
          <w:sz w:val="18"/>
          <w:szCs w:val="18"/>
        </w:rPr>
        <w:t xml:space="preserve">. Partijen en project promotors kunnen zich niet tijdig voorbereiden op de lange </w:t>
      </w:r>
      <w:r w:rsidR="008B7AAA">
        <w:rPr>
          <w:rFonts w:ascii="Verdana" w:hAnsi="Verdana" w:eastAsia="Verdana" w:cs="Verdana"/>
          <w:sz w:val="18"/>
          <w:szCs w:val="18"/>
        </w:rPr>
        <w:t>aanvraag</w:t>
      </w:r>
      <w:r w:rsidR="0041158D">
        <w:rPr>
          <w:rFonts w:ascii="Verdana" w:hAnsi="Verdana" w:eastAsia="Verdana" w:cs="Verdana"/>
          <w:sz w:val="18"/>
          <w:szCs w:val="18"/>
        </w:rPr>
        <w:t>procedures, en het is lastig te anticiperen voor welke thematiek en/of modaliteit geld beschikbaar komt</w:t>
      </w:r>
      <w:r w:rsidR="008B7AAA">
        <w:rPr>
          <w:rFonts w:ascii="Verdana" w:hAnsi="Verdana" w:eastAsia="Verdana" w:cs="Verdana"/>
          <w:sz w:val="18"/>
          <w:szCs w:val="18"/>
        </w:rPr>
        <w:t xml:space="preserve"> en wanneer gedurende de looptijd CEF 2028-2034</w:t>
      </w:r>
      <w:r w:rsidR="0041158D">
        <w:rPr>
          <w:rFonts w:ascii="Verdana" w:hAnsi="Verdana" w:eastAsia="Verdana" w:cs="Verdana"/>
          <w:sz w:val="18"/>
          <w:szCs w:val="18"/>
        </w:rPr>
        <w:t xml:space="preserve">. Ook potentiële wisselingen tussen de prioriteiten van de </w:t>
      </w:r>
      <w:r w:rsidR="000F76CF">
        <w:rPr>
          <w:rFonts w:ascii="Verdana" w:hAnsi="Verdana" w:eastAsia="Verdana" w:cs="Verdana"/>
          <w:sz w:val="18"/>
          <w:szCs w:val="18"/>
        </w:rPr>
        <w:t xml:space="preserve">werkprogramma’s </w:t>
      </w:r>
      <w:r w:rsidR="0041158D">
        <w:rPr>
          <w:rFonts w:ascii="Verdana" w:hAnsi="Verdana" w:eastAsia="Verdana" w:cs="Verdana"/>
          <w:sz w:val="18"/>
          <w:szCs w:val="18"/>
        </w:rPr>
        <w:t xml:space="preserve">dragen bij aan de onzekerheid. Het kabinet zal zich daarom tijdens de onderhandelingen inzetten om meer voorspelbaarheid te verkrijgen met betrekking tot </w:t>
      </w:r>
      <w:r w:rsidR="003E1D0D">
        <w:rPr>
          <w:rFonts w:ascii="Verdana" w:hAnsi="Verdana" w:eastAsia="Verdana" w:cs="Verdana"/>
          <w:sz w:val="18"/>
          <w:szCs w:val="18"/>
        </w:rPr>
        <w:t xml:space="preserve">de </w:t>
      </w:r>
      <w:r w:rsidR="0041158D">
        <w:rPr>
          <w:rFonts w:ascii="Verdana" w:hAnsi="Verdana" w:eastAsia="Verdana" w:cs="Verdana"/>
          <w:sz w:val="18"/>
          <w:szCs w:val="18"/>
        </w:rPr>
        <w:t xml:space="preserve">financiering. </w:t>
      </w:r>
    </w:p>
    <w:p w:rsidRPr="00EC46EE" w:rsidR="0041158D" w:rsidP="0043519F" w:rsidRDefault="0041158D" w14:paraId="61D986D7" w14:textId="77777777">
      <w:pPr>
        <w:spacing w:line="360" w:lineRule="auto"/>
        <w:rPr>
          <w:rFonts w:ascii="Verdana" w:hAnsi="Verdana" w:eastAsia="Verdana" w:cs="Verdana"/>
          <w:sz w:val="18"/>
          <w:szCs w:val="18"/>
        </w:rPr>
      </w:pPr>
    </w:p>
    <w:p w:rsidRPr="00862105" w:rsidR="009D197F" w:rsidP="009D197F" w:rsidRDefault="003A0609" w14:paraId="54FADCCD" w14:textId="234DC4FB">
      <w:pPr>
        <w:spacing w:line="360" w:lineRule="auto"/>
        <w:rPr>
          <w:rFonts w:ascii="Verdana" w:hAnsi="Verdana" w:eastAsia="Verdana" w:cs="Verdana"/>
          <w:sz w:val="18"/>
          <w:szCs w:val="18"/>
        </w:rPr>
      </w:pPr>
      <w:r w:rsidRPr="00531D37">
        <w:rPr>
          <w:rFonts w:ascii="Verdana" w:hAnsi="Verdana" w:eastAsia="Verdana" w:cs="Verdana"/>
          <w:sz w:val="18"/>
          <w:szCs w:val="18"/>
        </w:rPr>
        <w:t xml:space="preserve">Ten derde, </w:t>
      </w:r>
      <w:r w:rsidRPr="00531D37" w:rsidR="008078AE">
        <w:rPr>
          <w:rFonts w:ascii="Verdana" w:hAnsi="Verdana" w:eastAsia="Verdana" w:cs="Verdana"/>
          <w:sz w:val="18"/>
          <w:szCs w:val="18"/>
        </w:rPr>
        <w:t xml:space="preserve">het voorstel beperkt de </w:t>
      </w:r>
      <w:r w:rsidRPr="00531D37" w:rsidR="002C6F82">
        <w:rPr>
          <w:rFonts w:ascii="Verdana" w:hAnsi="Verdana" w:eastAsia="Verdana" w:cs="Verdana"/>
          <w:sz w:val="18"/>
          <w:szCs w:val="18"/>
        </w:rPr>
        <w:t xml:space="preserve">invloed </w:t>
      </w:r>
      <w:r w:rsidRPr="00531D37" w:rsidR="008078AE">
        <w:rPr>
          <w:rFonts w:ascii="Verdana" w:hAnsi="Verdana" w:eastAsia="Verdana" w:cs="Verdana"/>
          <w:sz w:val="18"/>
          <w:szCs w:val="18"/>
        </w:rPr>
        <w:t>van lidstaten</w:t>
      </w:r>
      <w:r w:rsidRPr="00531D37" w:rsidR="00EC46EE">
        <w:rPr>
          <w:rFonts w:ascii="Verdana" w:hAnsi="Verdana" w:eastAsia="Verdana" w:cs="Verdana"/>
          <w:sz w:val="18"/>
          <w:szCs w:val="18"/>
        </w:rPr>
        <w:t xml:space="preserve"> </w:t>
      </w:r>
      <w:r w:rsidRPr="00531D37" w:rsidR="002C6F82">
        <w:rPr>
          <w:rFonts w:ascii="Verdana" w:hAnsi="Verdana" w:eastAsia="Verdana" w:cs="Verdana"/>
          <w:sz w:val="18"/>
          <w:szCs w:val="18"/>
        </w:rPr>
        <w:t>op</w:t>
      </w:r>
      <w:r w:rsidR="002C6F82">
        <w:rPr>
          <w:rFonts w:ascii="Verdana" w:hAnsi="Verdana" w:eastAsia="Verdana" w:cs="Verdana"/>
          <w:sz w:val="18"/>
          <w:szCs w:val="18"/>
        </w:rPr>
        <w:t xml:space="preserve"> de inhoud van de werkprogramma’s </w:t>
      </w:r>
      <w:r w:rsidRPr="00862105" w:rsidR="008B7AAA">
        <w:rPr>
          <w:rFonts w:ascii="Verdana" w:hAnsi="Verdana" w:eastAsia="Verdana" w:cs="Verdana"/>
          <w:sz w:val="18"/>
          <w:szCs w:val="18"/>
        </w:rPr>
        <w:t xml:space="preserve">doordat </w:t>
      </w:r>
      <w:r w:rsidR="002C6F82">
        <w:rPr>
          <w:rFonts w:ascii="Verdana" w:hAnsi="Verdana" w:eastAsia="Verdana" w:cs="Verdana"/>
          <w:sz w:val="18"/>
          <w:szCs w:val="18"/>
        </w:rPr>
        <w:t>de uitwerking van de werkprogramma’s</w:t>
      </w:r>
      <w:r w:rsidRPr="00862105" w:rsidR="008B7AAA">
        <w:rPr>
          <w:rFonts w:ascii="Verdana" w:hAnsi="Verdana" w:eastAsia="Verdana" w:cs="Verdana"/>
          <w:sz w:val="18"/>
          <w:szCs w:val="18"/>
        </w:rPr>
        <w:t xml:space="preserve"> via </w:t>
      </w:r>
      <w:r w:rsidRPr="00862105" w:rsidR="00CB2310">
        <w:rPr>
          <w:rFonts w:ascii="Verdana" w:hAnsi="Verdana" w:eastAsia="Verdana" w:cs="Verdana"/>
          <w:sz w:val="18"/>
          <w:szCs w:val="18"/>
        </w:rPr>
        <w:t>uitvoerings</w:t>
      </w:r>
      <w:r w:rsidRPr="00862105" w:rsidR="008B7AAA">
        <w:rPr>
          <w:rFonts w:ascii="Verdana" w:hAnsi="Verdana" w:eastAsia="Verdana" w:cs="Verdana"/>
          <w:sz w:val="18"/>
          <w:szCs w:val="18"/>
        </w:rPr>
        <w:t xml:space="preserve">handelingen zal plaatsvinden </w:t>
      </w:r>
      <w:r w:rsidRPr="00862105" w:rsidR="00FC401B">
        <w:rPr>
          <w:rFonts w:ascii="Verdana" w:hAnsi="Verdana" w:eastAsia="Verdana" w:cs="Verdana"/>
          <w:sz w:val="18"/>
          <w:szCs w:val="18"/>
        </w:rPr>
        <w:t xml:space="preserve">op basis van een </w:t>
      </w:r>
      <w:r w:rsidR="00D50A63">
        <w:rPr>
          <w:rFonts w:ascii="Verdana" w:hAnsi="Verdana" w:eastAsia="Verdana" w:cs="Verdana"/>
          <w:sz w:val="18"/>
          <w:szCs w:val="18"/>
        </w:rPr>
        <w:t>raadplegings</w:t>
      </w:r>
      <w:r w:rsidRPr="00862105" w:rsidR="00D50A63">
        <w:rPr>
          <w:rFonts w:ascii="Verdana" w:hAnsi="Verdana" w:eastAsia="Verdana" w:cs="Verdana"/>
          <w:sz w:val="18"/>
          <w:szCs w:val="18"/>
        </w:rPr>
        <w:t>procedure</w:t>
      </w:r>
      <w:r w:rsidRPr="00862105" w:rsidR="00EC46EE">
        <w:rPr>
          <w:rFonts w:ascii="Verdana" w:hAnsi="Verdana" w:eastAsia="Verdana" w:cs="Verdana"/>
          <w:sz w:val="18"/>
          <w:szCs w:val="18"/>
        </w:rPr>
        <w:t xml:space="preserve">. Het kabinet heeft vraagtekens bij deze aanpak. In nauwe samenhang met het bovenstaande argument over voorspelbare financiering, maken de lidstaten een meerjarige planning voor infrastructurele investeringen. Het CEF kent een co-financieringssysteem, waarbij de CEF-financiering de nationale financiering aanvult om een project te realiseren. </w:t>
      </w:r>
      <w:r w:rsidRPr="00862105" w:rsidR="0041158D">
        <w:rPr>
          <w:rFonts w:ascii="Verdana" w:hAnsi="Verdana" w:eastAsia="Verdana" w:cs="Verdana"/>
          <w:sz w:val="18"/>
          <w:szCs w:val="18"/>
        </w:rPr>
        <w:t>Het afschalen van de rol van de lidstaten in het opstellen van de uitwerking</w:t>
      </w:r>
      <w:r w:rsidR="002C6F82">
        <w:rPr>
          <w:rFonts w:ascii="Verdana" w:hAnsi="Verdana" w:eastAsia="Verdana" w:cs="Verdana"/>
          <w:sz w:val="18"/>
          <w:szCs w:val="18"/>
        </w:rPr>
        <w:t xml:space="preserve"> van de werkprogramma’s</w:t>
      </w:r>
      <w:r w:rsidRPr="00862105" w:rsidR="0041158D">
        <w:rPr>
          <w:rFonts w:ascii="Verdana" w:hAnsi="Verdana" w:eastAsia="Verdana" w:cs="Verdana"/>
          <w:sz w:val="18"/>
          <w:szCs w:val="18"/>
        </w:rPr>
        <w:t xml:space="preserve"> is onwenselijk omdat discrepanties tussen de nationale plannen en werkprogramma’s kunnen ontstaan.</w:t>
      </w:r>
      <w:r w:rsidR="00820303">
        <w:rPr>
          <w:rFonts w:ascii="Verdana" w:hAnsi="Verdana" w:eastAsia="Verdana" w:cs="Verdana"/>
          <w:sz w:val="18"/>
          <w:szCs w:val="18"/>
        </w:rPr>
        <w:t xml:space="preserve"> Het kabinet zal </w:t>
      </w:r>
      <w:r w:rsidRPr="00862105" w:rsidR="00820303">
        <w:rPr>
          <w:rFonts w:ascii="Verdana" w:hAnsi="Verdana" w:eastAsia="Verdana" w:cs="Verdana"/>
          <w:sz w:val="18"/>
          <w:szCs w:val="18"/>
        </w:rPr>
        <w:t xml:space="preserve">een betere afstemming van de afzonderlijke nationale planningen tussen buurlanden stimuleren. </w:t>
      </w:r>
      <w:r w:rsidRPr="00862105" w:rsidR="0041158D">
        <w:rPr>
          <w:rFonts w:ascii="Verdana" w:hAnsi="Verdana" w:eastAsia="Verdana" w:cs="Verdana"/>
          <w:sz w:val="18"/>
          <w:szCs w:val="18"/>
        </w:rPr>
        <w:t xml:space="preserve">Het kabinet zal zich inzetten om voldoende inspraak van de lidstaten te garanderen </w:t>
      </w:r>
      <w:r w:rsidR="00D0597E">
        <w:rPr>
          <w:rFonts w:ascii="Verdana" w:hAnsi="Verdana" w:eastAsia="Verdana" w:cs="Verdana"/>
          <w:sz w:val="18"/>
          <w:szCs w:val="18"/>
        </w:rPr>
        <w:t>in het CEF-werkprogramma</w:t>
      </w:r>
      <w:r w:rsidR="00C92647">
        <w:rPr>
          <w:rFonts w:ascii="Verdana" w:hAnsi="Verdana" w:eastAsia="Verdana" w:cs="Verdana"/>
          <w:sz w:val="18"/>
          <w:szCs w:val="18"/>
        </w:rPr>
        <w:t xml:space="preserve"> door in de onderhandelingen in te zetten op vastleggen van keuzes</w:t>
      </w:r>
      <w:r w:rsidR="002C6F82">
        <w:rPr>
          <w:rFonts w:ascii="Verdana" w:hAnsi="Verdana" w:eastAsia="Verdana" w:cs="Verdana"/>
          <w:sz w:val="18"/>
          <w:szCs w:val="18"/>
        </w:rPr>
        <w:t xml:space="preserve"> in de verordening</w:t>
      </w:r>
      <w:r w:rsidR="00C92647">
        <w:rPr>
          <w:rFonts w:ascii="Verdana" w:hAnsi="Verdana" w:eastAsia="Verdana" w:cs="Verdana"/>
          <w:sz w:val="18"/>
          <w:szCs w:val="18"/>
        </w:rPr>
        <w:t>, die nu door de Commissie worden doorgeschoven naar de werkprogramma’s</w:t>
      </w:r>
      <w:r w:rsidR="00D0597E">
        <w:rPr>
          <w:rFonts w:ascii="Verdana" w:hAnsi="Verdana" w:eastAsia="Verdana" w:cs="Verdana"/>
          <w:sz w:val="18"/>
          <w:szCs w:val="18"/>
        </w:rPr>
        <w:t xml:space="preserve">. </w:t>
      </w:r>
      <w:r w:rsidR="00C92647">
        <w:rPr>
          <w:rFonts w:ascii="Verdana" w:hAnsi="Verdana" w:eastAsia="Verdana" w:cs="Verdana"/>
          <w:sz w:val="18"/>
          <w:szCs w:val="18"/>
        </w:rPr>
        <w:t xml:space="preserve">Tegelijkertijd zal het kabinet in de onderhandelingen ook inzetten op het aanpassen van de raadplegingsprocedure naar de onderzoeksprocedure. </w:t>
      </w:r>
      <w:r w:rsidR="002B590D">
        <w:rPr>
          <w:rFonts w:ascii="Verdana" w:hAnsi="Verdana" w:eastAsia="Verdana" w:cs="Verdana"/>
          <w:sz w:val="18"/>
          <w:szCs w:val="18"/>
        </w:rPr>
        <w:t xml:space="preserve">Met deze inzet poogt het kabinet voldoende inspraak van de lidstaten te garanderen, in plaats van dat de Commissie via een uitvoeringshandeling met een raadplegingsprocedure bepaalt hoe de werkprogramma’s worden uitgewerkt. </w:t>
      </w:r>
      <w:r w:rsidR="0035516F">
        <w:rPr>
          <w:rFonts w:ascii="Verdana" w:hAnsi="Verdana" w:eastAsia="Verdana" w:cs="Verdana"/>
          <w:sz w:val="18"/>
          <w:szCs w:val="18"/>
        </w:rPr>
        <w:t xml:space="preserve">Het kabinet zal ook inzetten op het borgen van </w:t>
      </w:r>
      <w:r w:rsidR="00D0597E">
        <w:rPr>
          <w:rFonts w:ascii="Verdana" w:hAnsi="Verdana" w:eastAsia="Verdana" w:cs="Verdana"/>
          <w:sz w:val="18"/>
          <w:szCs w:val="18"/>
        </w:rPr>
        <w:t xml:space="preserve">een </w:t>
      </w:r>
      <w:r w:rsidR="0064249A">
        <w:rPr>
          <w:rFonts w:ascii="Verdana" w:hAnsi="Verdana" w:eastAsia="Verdana" w:cs="Verdana"/>
          <w:sz w:val="18"/>
          <w:szCs w:val="18"/>
        </w:rPr>
        <w:t xml:space="preserve">sterke relatie tussen het CEF-werkprogramma en </w:t>
      </w:r>
      <w:r w:rsidR="00D0597E">
        <w:rPr>
          <w:rFonts w:ascii="Verdana" w:hAnsi="Verdana" w:eastAsia="Verdana" w:cs="Verdana"/>
          <w:sz w:val="18"/>
          <w:szCs w:val="18"/>
        </w:rPr>
        <w:t>de nog vast te stellen</w:t>
      </w:r>
      <w:r w:rsidR="0064249A">
        <w:rPr>
          <w:rFonts w:ascii="Verdana" w:hAnsi="Verdana" w:eastAsia="Verdana" w:cs="Verdana"/>
          <w:sz w:val="18"/>
          <w:szCs w:val="18"/>
        </w:rPr>
        <w:t xml:space="preserve"> </w:t>
      </w:r>
      <w:r w:rsidRPr="00862105" w:rsidR="000F76CF">
        <w:rPr>
          <w:rFonts w:ascii="Verdana" w:hAnsi="Verdana" w:eastAsia="Verdana" w:cs="Verdana"/>
          <w:sz w:val="18"/>
          <w:szCs w:val="18"/>
        </w:rPr>
        <w:t xml:space="preserve">werkplannen van de TEN-T </w:t>
      </w:r>
      <w:r w:rsidR="0064249A">
        <w:rPr>
          <w:rFonts w:ascii="Verdana" w:hAnsi="Verdana" w:eastAsia="Verdana" w:cs="Verdana"/>
          <w:sz w:val="18"/>
          <w:szCs w:val="18"/>
        </w:rPr>
        <w:t xml:space="preserve">corridors. </w:t>
      </w:r>
    </w:p>
    <w:p w:rsidR="007644F3" w:rsidP="003B3DB3" w:rsidRDefault="007644F3" w14:paraId="35101CD7" w14:textId="77777777">
      <w:pPr>
        <w:spacing w:line="360" w:lineRule="auto"/>
        <w:rPr>
          <w:rFonts w:ascii="Verdana" w:hAnsi="Verdana" w:eastAsia="Verdana" w:cs="Verdana"/>
          <w:sz w:val="18"/>
          <w:szCs w:val="18"/>
        </w:rPr>
      </w:pPr>
    </w:p>
    <w:p w:rsidRPr="004C35B1" w:rsidR="004C35B1" w:rsidP="004C35B1" w:rsidRDefault="004C35B1" w14:paraId="4F62ADC3" w14:textId="12336DEA">
      <w:pPr>
        <w:spacing w:line="360" w:lineRule="auto"/>
        <w:rPr>
          <w:rFonts w:ascii="Verdana" w:hAnsi="Verdana" w:eastAsia="Verdana" w:cs="Verdana"/>
          <w:sz w:val="18"/>
          <w:szCs w:val="18"/>
        </w:rPr>
      </w:pPr>
      <w:r w:rsidRPr="004C35B1">
        <w:rPr>
          <w:rFonts w:ascii="Verdana" w:hAnsi="Verdana" w:eastAsia="Verdana" w:cs="Verdana"/>
          <w:sz w:val="18"/>
          <w:szCs w:val="18"/>
        </w:rPr>
        <w:t xml:space="preserve">Het kabinet staat positief tegenover de doelen van CEF op het gebied van energie, waarmee invulling wordt gegeven aan de Nederlandse inzet </w:t>
      </w:r>
      <w:r w:rsidR="00FC401B">
        <w:rPr>
          <w:rFonts w:ascii="Verdana" w:hAnsi="Verdana" w:eastAsia="Verdana" w:cs="Verdana"/>
          <w:sz w:val="18"/>
          <w:szCs w:val="18"/>
        </w:rPr>
        <w:t>en</w:t>
      </w:r>
      <w:r w:rsidRPr="004C35B1" w:rsidR="00FC401B">
        <w:rPr>
          <w:rFonts w:ascii="Verdana" w:hAnsi="Verdana" w:eastAsia="Verdana" w:cs="Verdana"/>
          <w:sz w:val="18"/>
          <w:szCs w:val="18"/>
        </w:rPr>
        <w:t xml:space="preserve"> </w:t>
      </w:r>
      <w:r w:rsidRPr="004C35B1">
        <w:rPr>
          <w:rFonts w:ascii="Verdana" w:hAnsi="Verdana" w:eastAsia="Verdana" w:cs="Verdana"/>
          <w:sz w:val="18"/>
          <w:szCs w:val="18"/>
        </w:rPr>
        <w:t>prioriteiten op gebied van de energietransitie, duurzaamheid</w:t>
      </w:r>
      <w:r w:rsidR="00A01EA9">
        <w:rPr>
          <w:rFonts w:ascii="Verdana" w:hAnsi="Verdana" w:eastAsia="Verdana" w:cs="Verdana"/>
          <w:sz w:val="18"/>
          <w:szCs w:val="18"/>
        </w:rPr>
        <w:t>, weerbaarheid en versterking van het Europees concurrentievermogen, waar ook de fysieke energie-infrastructuur deel van uitmaakt</w:t>
      </w:r>
      <w:r w:rsidRPr="004C35B1">
        <w:rPr>
          <w:rFonts w:ascii="Verdana" w:hAnsi="Verdana" w:eastAsia="Verdana" w:cs="Verdana"/>
          <w:sz w:val="18"/>
          <w:szCs w:val="18"/>
        </w:rPr>
        <w:t xml:space="preserve">. Het kabinet onderschrijft het belang van </w:t>
      </w:r>
      <w:r w:rsidR="00A01EA9">
        <w:rPr>
          <w:rFonts w:ascii="Verdana" w:hAnsi="Verdana" w:eastAsia="Verdana" w:cs="Verdana"/>
          <w:sz w:val="18"/>
          <w:szCs w:val="18"/>
        </w:rPr>
        <w:t>de uitbreiding en modernisering van het Europees energienetwerk voor de integratie van de Europese interne energiemarkt en</w:t>
      </w:r>
      <w:r w:rsidRPr="004C35B1">
        <w:rPr>
          <w:rFonts w:ascii="Verdana" w:hAnsi="Verdana" w:eastAsia="Verdana" w:cs="Verdana"/>
          <w:sz w:val="18"/>
          <w:szCs w:val="18"/>
        </w:rPr>
        <w:t xml:space="preserve"> versnelling van </w:t>
      </w:r>
      <w:r w:rsidR="00A01EA9">
        <w:rPr>
          <w:rFonts w:ascii="Verdana" w:hAnsi="Verdana" w:eastAsia="Verdana" w:cs="Verdana"/>
          <w:sz w:val="18"/>
          <w:szCs w:val="18"/>
        </w:rPr>
        <w:t xml:space="preserve">de </w:t>
      </w:r>
      <w:r w:rsidRPr="004C35B1">
        <w:rPr>
          <w:rFonts w:ascii="Verdana" w:hAnsi="Verdana" w:eastAsia="Verdana" w:cs="Verdana"/>
          <w:sz w:val="18"/>
          <w:szCs w:val="18"/>
        </w:rPr>
        <w:t xml:space="preserve">verduurzaming van </w:t>
      </w:r>
      <w:r w:rsidRPr="004C35B1">
        <w:rPr>
          <w:rFonts w:ascii="Verdana" w:hAnsi="Verdana" w:eastAsia="Verdana" w:cs="Verdana"/>
          <w:sz w:val="18"/>
          <w:szCs w:val="18"/>
        </w:rPr>
        <w:lastRenderedPageBreak/>
        <w:t>het Europees energiesysteem</w:t>
      </w:r>
      <w:r w:rsidR="00A01EA9">
        <w:rPr>
          <w:rFonts w:ascii="Verdana" w:hAnsi="Verdana" w:eastAsia="Verdana" w:cs="Verdana"/>
          <w:sz w:val="18"/>
          <w:szCs w:val="18"/>
        </w:rPr>
        <w:t>.</w:t>
      </w:r>
      <w:r w:rsidR="00EC62AE">
        <w:rPr>
          <w:rFonts w:ascii="Verdana" w:hAnsi="Verdana" w:eastAsia="Verdana" w:cs="Verdana"/>
          <w:sz w:val="18"/>
          <w:szCs w:val="18"/>
        </w:rPr>
        <w:t xml:space="preserve"> </w:t>
      </w:r>
      <w:r w:rsidRPr="001F384F" w:rsidR="00EC62AE">
        <w:rPr>
          <w:rFonts w:ascii="Verdana" w:hAnsi="Verdana" w:eastAsia="Verdana" w:cs="Verdana"/>
          <w:sz w:val="18"/>
          <w:szCs w:val="18"/>
        </w:rPr>
        <w:t xml:space="preserve">Voor de realisatie van deze ambitie is </w:t>
      </w:r>
      <w:r w:rsidR="00FC401B">
        <w:rPr>
          <w:rFonts w:ascii="Verdana" w:hAnsi="Verdana" w:eastAsia="Verdana" w:cs="Verdana"/>
          <w:sz w:val="18"/>
          <w:szCs w:val="18"/>
        </w:rPr>
        <w:t xml:space="preserve">onder andere ook </w:t>
      </w:r>
      <w:r w:rsidRPr="001F384F" w:rsidR="00EC62AE">
        <w:rPr>
          <w:rFonts w:ascii="Verdana" w:hAnsi="Verdana" w:eastAsia="Verdana" w:cs="Verdana"/>
          <w:sz w:val="18"/>
          <w:szCs w:val="18"/>
        </w:rPr>
        <w:t>afstemming met de provincies essentieel.</w:t>
      </w:r>
    </w:p>
    <w:p w:rsidRPr="00767A4E" w:rsidR="003B3DB3" w:rsidP="003B3DB3" w:rsidRDefault="003B3DB3" w14:paraId="61C5456B" w14:textId="77777777">
      <w:pPr>
        <w:spacing w:line="360" w:lineRule="auto"/>
        <w:rPr>
          <w:rFonts w:ascii="Verdana" w:hAnsi="Verdana" w:eastAsia="Verdana" w:cs="Verdana"/>
          <w:sz w:val="18"/>
          <w:szCs w:val="18"/>
        </w:rPr>
      </w:pPr>
    </w:p>
    <w:p w:rsidR="00A01EA9" w:rsidP="003B3DB3" w:rsidRDefault="00A01EA9" w14:paraId="52A41770" w14:textId="0898837B">
      <w:pPr>
        <w:spacing w:line="360" w:lineRule="auto"/>
        <w:rPr>
          <w:rFonts w:ascii="Verdana" w:hAnsi="Verdana" w:eastAsia="Verdana" w:cs="Verdana"/>
          <w:sz w:val="18"/>
          <w:szCs w:val="18"/>
        </w:rPr>
      </w:pPr>
      <w:r w:rsidRPr="00E047DB">
        <w:rPr>
          <w:rFonts w:ascii="Verdana" w:hAnsi="Verdana" w:eastAsia="Verdana" w:cs="Verdana"/>
          <w:sz w:val="18"/>
          <w:szCs w:val="18"/>
        </w:rPr>
        <w:t>Het kabinet acht de voorgestelde reikwijdte</w:t>
      </w:r>
      <w:r w:rsidR="00FC401B">
        <w:rPr>
          <w:rFonts w:ascii="Verdana" w:hAnsi="Verdana" w:eastAsia="Verdana" w:cs="Verdana"/>
          <w:sz w:val="18"/>
          <w:szCs w:val="18"/>
        </w:rPr>
        <w:t xml:space="preserve"> voor het energiedeel</w:t>
      </w:r>
      <w:r w:rsidRPr="00E047DB">
        <w:rPr>
          <w:rFonts w:ascii="Verdana" w:hAnsi="Verdana" w:eastAsia="Verdana" w:cs="Verdana"/>
          <w:sz w:val="18"/>
          <w:szCs w:val="18"/>
        </w:rPr>
        <w:t xml:space="preserve"> in </w:t>
      </w:r>
      <w:r w:rsidRPr="00E047DB" w:rsidR="00E047DB">
        <w:rPr>
          <w:rFonts w:ascii="Verdana" w:hAnsi="Verdana" w:eastAsia="Verdana" w:cs="Verdana"/>
          <w:sz w:val="18"/>
          <w:szCs w:val="18"/>
        </w:rPr>
        <w:t>het</w:t>
      </w:r>
      <w:r w:rsidRPr="00E047DB">
        <w:rPr>
          <w:rFonts w:ascii="Verdana" w:hAnsi="Verdana" w:eastAsia="Verdana" w:cs="Verdana"/>
          <w:sz w:val="18"/>
          <w:szCs w:val="18"/>
        </w:rPr>
        <w:t xml:space="preserve"> CEF passend. Ook kunnen CEF-middelen onderhandelingen met andere landen over kostendeling voor grensoverschrijdende energie-infrastructuurprojecten in zekere mate bevorderen. Het kabinet is positief over de aansluiting van </w:t>
      </w:r>
      <w:r w:rsidRPr="00E047DB" w:rsidR="00E047DB">
        <w:rPr>
          <w:rFonts w:ascii="Verdana" w:hAnsi="Verdana" w:eastAsia="Verdana" w:cs="Verdana"/>
          <w:sz w:val="18"/>
          <w:szCs w:val="18"/>
        </w:rPr>
        <w:t xml:space="preserve">het </w:t>
      </w:r>
      <w:r w:rsidRPr="00E047DB">
        <w:rPr>
          <w:rFonts w:ascii="Verdana" w:hAnsi="Verdana" w:eastAsia="Verdana" w:cs="Verdana"/>
          <w:sz w:val="18"/>
          <w:szCs w:val="18"/>
        </w:rPr>
        <w:t xml:space="preserve">CEF op de TEN-E-verordening wat betreft de financiering van projecten die de status hebben van gemeenschappelijk Europees belang of van wederzijds belang onder de TEN-E-verordening. Sinds de herziening van de TEN-E </w:t>
      </w:r>
      <w:r w:rsidRPr="00E047DB" w:rsidR="00E047DB">
        <w:rPr>
          <w:rFonts w:ascii="Verdana" w:hAnsi="Verdana" w:eastAsia="Verdana" w:cs="Verdana"/>
          <w:sz w:val="18"/>
          <w:szCs w:val="18"/>
        </w:rPr>
        <w:t>v</w:t>
      </w:r>
      <w:r w:rsidRPr="00E047DB">
        <w:rPr>
          <w:rFonts w:ascii="Verdana" w:hAnsi="Verdana" w:eastAsia="Verdana" w:cs="Verdana"/>
          <w:sz w:val="18"/>
          <w:szCs w:val="18"/>
        </w:rPr>
        <w:t xml:space="preserve">erordening in 2022 is de financieringsbehoefte voor de energie projecten aanzienlijk gegroeid, dit komt mede door de toevoeging van met name waterstof en elektrolyse aan de TEN-E </w:t>
      </w:r>
      <w:r w:rsidRPr="00E047DB" w:rsidR="005608CE">
        <w:rPr>
          <w:rFonts w:ascii="Verdana" w:hAnsi="Verdana" w:eastAsia="Verdana" w:cs="Verdana"/>
          <w:sz w:val="18"/>
          <w:szCs w:val="18"/>
        </w:rPr>
        <w:t>categorieën</w:t>
      </w:r>
      <w:r w:rsidRPr="00E047DB">
        <w:rPr>
          <w:rFonts w:ascii="Verdana" w:hAnsi="Verdana" w:eastAsia="Verdana" w:cs="Verdana"/>
          <w:sz w:val="18"/>
          <w:szCs w:val="18"/>
        </w:rPr>
        <w:t xml:space="preserve"> die in aanmerking </w:t>
      </w:r>
      <w:r w:rsidRPr="00E047DB" w:rsidR="005608CE">
        <w:rPr>
          <w:rFonts w:ascii="Verdana" w:hAnsi="Verdana" w:eastAsia="Verdana" w:cs="Verdana"/>
          <w:sz w:val="18"/>
          <w:szCs w:val="18"/>
        </w:rPr>
        <w:t>kunnen</w:t>
      </w:r>
      <w:r w:rsidRPr="00E047DB">
        <w:rPr>
          <w:rFonts w:ascii="Verdana" w:hAnsi="Verdana" w:eastAsia="Verdana" w:cs="Verdana"/>
          <w:sz w:val="18"/>
          <w:szCs w:val="18"/>
        </w:rPr>
        <w:t xml:space="preserve"> komen voor CEF</w:t>
      </w:r>
      <w:r w:rsidRPr="00E047DB" w:rsidR="00E047DB">
        <w:rPr>
          <w:rFonts w:ascii="Verdana" w:hAnsi="Verdana" w:eastAsia="Verdana" w:cs="Verdana"/>
          <w:sz w:val="18"/>
          <w:szCs w:val="18"/>
        </w:rPr>
        <w:t>-</w:t>
      </w:r>
      <w:r w:rsidRPr="00E047DB">
        <w:rPr>
          <w:rFonts w:ascii="Verdana" w:hAnsi="Verdana" w:eastAsia="Verdana" w:cs="Verdana"/>
          <w:sz w:val="18"/>
          <w:szCs w:val="18"/>
        </w:rPr>
        <w:t xml:space="preserve">financiering. Ten aanzien van de selectie van </w:t>
      </w:r>
      <w:r w:rsidRPr="00E047DB" w:rsidR="005608CE">
        <w:rPr>
          <w:rFonts w:ascii="Verdana" w:hAnsi="Verdana" w:eastAsia="Verdana" w:cs="Verdana"/>
          <w:sz w:val="18"/>
          <w:szCs w:val="18"/>
        </w:rPr>
        <w:t>grensoverschrijdende</w:t>
      </w:r>
      <w:r w:rsidRPr="00E047DB">
        <w:rPr>
          <w:rFonts w:ascii="Verdana" w:hAnsi="Verdana" w:eastAsia="Verdana" w:cs="Verdana"/>
          <w:sz w:val="18"/>
          <w:szCs w:val="18"/>
        </w:rPr>
        <w:t xml:space="preserve"> projecten op het gebied van hernieuwbare energie is het kabinet positief over het voorstel uit artikel 11 waarin wordt voorzien in een jaarlijkse selectie van grensoverschrijdende hernieuwbare energieprojecten op basis van transparante criteria en procedures. Het kabinet waardeert de nadruk op projecten die bijdragen aan kostenefficiëntie, systeemintegratie, innovatie en leveringszekerheid op EU-niveau. </w:t>
      </w:r>
      <w:r w:rsidRPr="00C200D3" w:rsidR="00C200D3">
        <w:rPr>
          <w:rFonts w:ascii="Verdana" w:hAnsi="Verdana" w:eastAsia="Verdana" w:cs="Verdana"/>
          <w:sz w:val="18"/>
          <w:szCs w:val="18"/>
        </w:rPr>
        <w:t xml:space="preserve">Zoals boven genoemd wil het kabinet hoe dan ook meer duidelijkheid over de inspraak van lidstaten bij de uitvoering van </w:t>
      </w:r>
      <w:r w:rsidR="00862105">
        <w:rPr>
          <w:rFonts w:ascii="Verdana" w:hAnsi="Verdana" w:eastAsia="Verdana" w:cs="Verdana"/>
          <w:sz w:val="18"/>
          <w:szCs w:val="18"/>
        </w:rPr>
        <w:t xml:space="preserve">het </w:t>
      </w:r>
      <w:r w:rsidRPr="00C200D3" w:rsidR="00C200D3">
        <w:rPr>
          <w:rFonts w:ascii="Verdana" w:hAnsi="Verdana" w:eastAsia="Verdana" w:cs="Verdana"/>
          <w:sz w:val="18"/>
          <w:szCs w:val="18"/>
        </w:rPr>
        <w:t>CEF ten aanzien van projecten op het gebied van hernieuwbare energie.</w:t>
      </w:r>
    </w:p>
    <w:p w:rsidR="00FC401B" w:rsidP="003B3DB3" w:rsidRDefault="00FC401B" w14:paraId="00FC63D1" w14:textId="77777777">
      <w:pPr>
        <w:spacing w:line="360" w:lineRule="auto"/>
        <w:rPr>
          <w:rFonts w:ascii="Verdana" w:hAnsi="Verdana" w:eastAsia="Verdana" w:cs="Verdana"/>
          <w:sz w:val="18"/>
          <w:szCs w:val="18"/>
        </w:rPr>
      </w:pPr>
    </w:p>
    <w:p w:rsidRPr="00E047DB" w:rsidR="00FC401B" w:rsidP="003B3DB3" w:rsidRDefault="00FC401B" w14:paraId="2CA37201" w14:textId="55AD5995">
      <w:pPr>
        <w:spacing w:line="360" w:lineRule="auto"/>
        <w:rPr>
          <w:rFonts w:ascii="Verdana" w:hAnsi="Verdana" w:eastAsia="Verdana" w:cs="Verdana"/>
          <w:sz w:val="18"/>
          <w:szCs w:val="18"/>
        </w:rPr>
      </w:pPr>
      <w:r>
        <w:rPr>
          <w:rFonts w:ascii="Verdana" w:hAnsi="Verdana" w:eastAsia="Verdana" w:cs="Verdana"/>
          <w:sz w:val="18"/>
          <w:szCs w:val="18"/>
        </w:rPr>
        <w:t xml:space="preserve">Ten slotte </w:t>
      </w:r>
      <w:r w:rsidRPr="00E047DB">
        <w:rPr>
          <w:rFonts w:ascii="Verdana" w:hAnsi="Verdana" w:eastAsia="Verdana" w:cs="Verdana"/>
          <w:sz w:val="18"/>
          <w:szCs w:val="18"/>
        </w:rPr>
        <w:t>is het kabinet ook reëel over de mogelijkheden om aanvullende Europese financiering aan projecten te verbinden. Ervaringen met het CEF in de afgelopen jaren laten zien dat er voor een groot aantal projecten een beroep gedaan wordt op het CEF, ook in de toekomst houdt het kabinet er daarom rekening mee dat niet elke aanvraag zal worden gehonoreerd.</w:t>
      </w:r>
    </w:p>
    <w:p w:rsidRPr="00767A4E" w:rsidR="00A01EA9" w:rsidP="003B3DB3" w:rsidRDefault="00A01EA9" w14:paraId="71BEF1DD" w14:textId="77777777">
      <w:pPr>
        <w:spacing w:line="360" w:lineRule="auto"/>
        <w:rPr>
          <w:rFonts w:ascii="Verdana" w:hAnsi="Verdana" w:eastAsia="Verdana" w:cs="Verdana"/>
          <w:sz w:val="18"/>
          <w:szCs w:val="18"/>
        </w:rPr>
      </w:pPr>
    </w:p>
    <w:p w:rsidRPr="0084323F" w:rsidR="003B3DB3" w:rsidP="203A7120" w:rsidRDefault="003B3DB3" w14:paraId="1A974A51" w14:textId="77777777">
      <w:pPr>
        <w:numPr>
          <w:ilvl w:val="0"/>
          <w:numId w:val="4"/>
        </w:numPr>
        <w:spacing w:line="360" w:lineRule="auto"/>
        <w:rPr>
          <w:rFonts w:ascii="Verdana" w:hAnsi="Verdana"/>
          <w:i/>
          <w:iCs/>
          <w:sz w:val="18"/>
          <w:szCs w:val="18"/>
        </w:rPr>
      </w:pPr>
      <w:r w:rsidRPr="203A7120">
        <w:rPr>
          <w:rFonts w:ascii="Verdana" w:hAnsi="Verdana"/>
          <w:i/>
          <w:iCs/>
          <w:sz w:val="18"/>
          <w:szCs w:val="18"/>
        </w:rPr>
        <w:t>Eerste inschatting van krachtenveld</w:t>
      </w:r>
    </w:p>
    <w:p w:rsidR="003B3DB3" w:rsidP="003B3DB3" w:rsidRDefault="008078AE" w14:paraId="6BF9C0DD" w14:textId="73FC41EC">
      <w:pPr>
        <w:spacing w:line="360" w:lineRule="auto"/>
        <w:rPr>
          <w:rFonts w:ascii="Verdana" w:hAnsi="Verdana"/>
          <w:sz w:val="18"/>
          <w:szCs w:val="18"/>
        </w:rPr>
      </w:pPr>
      <w:r>
        <w:rPr>
          <w:rFonts w:ascii="Verdana" w:hAnsi="Verdana"/>
          <w:sz w:val="18"/>
          <w:szCs w:val="18"/>
        </w:rPr>
        <w:t xml:space="preserve">De verwachting is dat andere lidstaten positief staan tegenover de continuering van het CEF. Dit signaal werd in de aanloop naar het voorstel unaniem afgegeven, en daar is gehoor aan gegeven door de Commissie. Ook is de verwachting dat andere lidstaten de doelen van het voorstel zullen onderschrijven. Echter, het is een realistische inschatting dat andere lidstaten ook kritisch zullen kijken naar het gebrek aan concrete coördinatie met andere fondsen en MFK-voorstellen, </w:t>
      </w:r>
      <w:r w:rsidR="00C200D3">
        <w:rPr>
          <w:rFonts w:ascii="Verdana" w:hAnsi="Verdana"/>
          <w:sz w:val="18"/>
          <w:szCs w:val="18"/>
        </w:rPr>
        <w:t xml:space="preserve">de onvoorspelbaarheid van financiering voor het transportdeel, </w:t>
      </w:r>
      <w:r>
        <w:rPr>
          <w:rFonts w:ascii="Verdana" w:hAnsi="Verdana"/>
          <w:sz w:val="18"/>
          <w:szCs w:val="18"/>
        </w:rPr>
        <w:t xml:space="preserve">en het vooruitschuiven van het maken van keuzes naar de werkprogramma’s. </w:t>
      </w:r>
    </w:p>
    <w:p w:rsidR="003B3DB3" w:rsidP="003B3DB3" w:rsidRDefault="003B3DB3" w14:paraId="15B5BA1C" w14:textId="77777777">
      <w:pPr>
        <w:spacing w:line="360" w:lineRule="auto"/>
        <w:rPr>
          <w:rFonts w:ascii="Verdana" w:hAnsi="Verdana"/>
          <w:sz w:val="18"/>
          <w:szCs w:val="18"/>
        </w:rPr>
      </w:pPr>
    </w:p>
    <w:p w:rsidR="003B3DB3" w:rsidP="003B3DB3" w:rsidRDefault="00ED347F" w14:paraId="6768C78F" w14:textId="172FC914">
      <w:pPr>
        <w:spacing w:line="360" w:lineRule="auto"/>
        <w:rPr>
          <w:rFonts w:ascii="Verdana" w:hAnsi="Verdana"/>
          <w:sz w:val="18"/>
          <w:szCs w:val="18"/>
        </w:rPr>
      </w:pPr>
      <w:r>
        <w:rPr>
          <w:rFonts w:ascii="Verdana" w:hAnsi="Verdana"/>
          <w:sz w:val="18"/>
          <w:szCs w:val="18"/>
        </w:rPr>
        <w:t>De positie van het</w:t>
      </w:r>
      <w:r w:rsidRPr="46821ED6">
        <w:rPr>
          <w:rFonts w:ascii="Verdana" w:hAnsi="Verdana"/>
          <w:sz w:val="18"/>
          <w:szCs w:val="18"/>
        </w:rPr>
        <w:t xml:space="preserve"> </w:t>
      </w:r>
      <w:r w:rsidRPr="46821ED6" w:rsidR="003B3DB3">
        <w:rPr>
          <w:rFonts w:ascii="Verdana" w:hAnsi="Verdana"/>
          <w:sz w:val="18"/>
          <w:szCs w:val="18"/>
        </w:rPr>
        <w:t xml:space="preserve">Europees Parlement (EP) </w:t>
      </w:r>
      <w:r>
        <w:rPr>
          <w:rFonts w:ascii="Verdana" w:hAnsi="Verdana"/>
          <w:sz w:val="18"/>
          <w:szCs w:val="18"/>
        </w:rPr>
        <w:t xml:space="preserve">is nog niet bekend. </w:t>
      </w:r>
      <w:r w:rsidRPr="46821ED6" w:rsidR="003B3DB3">
        <w:rPr>
          <w:rFonts w:ascii="Verdana" w:hAnsi="Verdana"/>
          <w:sz w:val="18"/>
          <w:szCs w:val="18"/>
        </w:rPr>
        <w:t xml:space="preserve">Het voorstel wordt naar verwachting behandeld in de Commissie Budget (BUDG) en de </w:t>
      </w:r>
      <w:r w:rsidRPr="00E05698" w:rsidR="003B3DB3">
        <w:rPr>
          <w:rFonts w:ascii="Verdana" w:hAnsi="Verdana"/>
          <w:sz w:val="18"/>
          <w:szCs w:val="18"/>
        </w:rPr>
        <w:t xml:space="preserve">Commissie </w:t>
      </w:r>
      <w:r w:rsidRPr="00E05698" w:rsidR="00E05698">
        <w:rPr>
          <w:rFonts w:ascii="Verdana" w:hAnsi="Verdana"/>
          <w:sz w:val="18"/>
          <w:szCs w:val="18"/>
        </w:rPr>
        <w:t>vervoer en toerisme</w:t>
      </w:r>
      <w:r w:rsidRPr="00E05698" w:rsidR="003B3DB3">
        <w:rPr>
          <w:rFonts w:ascii="Verdana" w:hAnsi="Verdana"/>
          <w:sz w:val="18"/>
          <w:szCs w:val="18"/>
        </w:rPr>
        <w:t xml:space="preserve"> (</w:t>
      </w:r>
      <w:r w:rsidRPr="00E05698" w:rsidR="008078AE">
        <w:rPr>
          <w:rFonts w:ascii="Verdana" w:hAnsi="Verdana"/>
          <w:sz w:val="18"/>
          <w:szCs w:val="18"/>
        </w:rPr>
        <w:t>TRAN</w:t>
      </w:r>
      <w:r w:rsidRPr="00E05698" w:rsidR="003B3DB3">
        <w:rPr>
          <w:rFonts w:ascii="Verdana" w:hAnsi="Verdana"/>
          <w:sz w:val="18"/>
          <w:szCs w:val="18"/>
        </w:rPr>
        <w:t>).</w:t>
      </w:r>
      <w:r w:rsidRPr="46821ED6" w:rsidR="003B3DB3">
        <w:rPr>
          <w:rFonts w:ascii="Verdana" w:hAnsi="Verdana"/>
          <w:sz w:val="18"/>
          <w:szCs w:val="18"/>
        </w:rPr>
        <w:t xml:space="preserve"> Het is nog niet duidelijk wie zijn aangesteld als rapporteurs.</w:t>
      </w:r>
    </w:p>
    <w:p w:rsidR="003B3DB3" w:rsidP="003B3DB3" w:rsidRDefault="003B3DB3" w14:paraId="39BC9ABB" w14:textId="77777777">
      <w:pPr>
        <w:spacing w:line="360" w:lineRule="auto"/>
        <w:rPr>
          <w:rFonts w:ascii="Verdana" w:hAnsi="Verdana"/>
          <w:b/>
          <w:bCs/>
          <w:sz w:val="18"/>
          <w:szCs w:val="18"/>
        </w:rPr>
      </w:pPr>
    </w:p>
    <w:p w:rsidRPr="0084323F" w:rsidR="003B3DB3" w:rsidP="203A7120" w:rsidRDefault="003B3DB3" w14:paraId="1388D359" w14:textId="77777777">
      <w:pPr>
        <w:numPr>
          <w:ilvl w:val="0"/>
          <w:numId w:val="2"/>
        </w:numPr>
        <w:spacing w:line="360" w:lineRule="auto"/>
        <w:rPr>
          <w:rFonts w:ascii="Verdana" w:hAnsi="Verdana"/>
          <w:i/>
          <w:iCs/>
          <w:sz w:val="18"/>
          <w:szCs w:val="18"/>
        </w:rPr>
      </w:pPr>
      <w:r w:rsidRPr="5947261A">
        <w:rPr>
          <w:rFonts w:ascii="Verdana" w:hAnsi="Verdana"/>
          <w:b/>
          <w:bCs/>
          <w:sz w:val="18"/>
          <w:szCs w:val="18"/>
        </w:rPr>
        <w:t xml:space="preserve">Beoordeling bevoegdheid, subsidiariteit en proportionaliteit </w:t>
      </w:r>
    </w:p>
    <w:p w:rsidRPr="0084323F" w:rsidR="003B3DB3" w:rsidRDefault="003B3DB3" w14:paraId="0320C7E4" w14:textId="5DEE8006">
      <w:pPr>
        <w:pStyle w:val="Spreekpunten"/>
        <w:numPr>
          <w:ilvl w:val="0"/>
          <w:numId w:val="0"/>
        </w:numPr>
        <w:rPr>
          <w:rFonts w:ascii="Verdana" w:hAnsi="Verdana"/>
          <w:i/>
          <w:iCs/>
          <w:sz w:val="18"/>
          <w:szCs w:val="18"/>
          <w:lang w:val="nl-NL" w:eastAsia="zh-CN"/>
        </w:rPr>
      </w:pPr>
      <w:r w:rsidRPr="203A7120">
        <w:rPr>
          <w:rFonts w:ascii="Verdana" w:hAnsi="Verdana"/>
          <w:i/>
          <w:iCs/>
          <w:sz w:val="18"/>
          <w:szCs w:val="18"/>
          <w:lang w:val="nl-NL" w:eastAsia="zh-CN"/>
        </w:rPr>
        <w:t>a) Bevoegdheid</w:t>
      </w:r>
    </w:p>
    <w:p w:rsidRPr="0025680F" w:rsidR="00081FC1" w:rsidP="00081FC1" w:rsidRDefault="00081FC1" w14:paraId="0446DD52" w14:textId="611F9E75">
      <w:pPr>
        <w:spacing w:line="360" w:lineRule="auto"/>
        <w:rPr>
          <w:rFonts w:ascii="Verdana" w:hAnsi="Verdana"/>
          <w:color w:val="000000" w:themeColor="text1"/>
          <w:sz w:val="18"/>
          <w:szCs w:val="18"/>
        </w:rPr>
      </w:pPr>
      <w:r w:rsidRPr="007A739F">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w:t>
      </w:r>
      <w:r w:rsidRPr="007A739F">
        <w:rPr>
          <w:rFonts w:ascii="Verdana" w:hAnsi="Verdana"/>
          <w:sz w:val="18"/>
          <w:szCs w:val="18"/>
        </w:rPr>
        <w:lastRenderedPageBreak/>
        <w:t>van het kabinet ten aanzien van de bevoegdheid is positief.</w:t>
      </w:r>
      <w:r w:rsidRPr="00C64D39">
        <w:rPr>
          <w:rFonts w:ascii="Verdana" w:hAnsi="Verdana"/>
          <w:i/>
          <w:iCs/>
          <w:sz w:val="18"/>
          <w:szCs w:val="18"/>
        </w:rPr>
        <w:t xml:space="preserve"> </w:t>
      </w:r>
      <w:r w:rsidRPr="0025680F">
        <w:rPr>
          <w:rFonts w:ascii="Verdana" w:hAnsi="Verdana"/>
          <w:color w:val="000000" w:themeColor="text1"/>
          <w:sz w:val="18"/>
          <w:szCs w:val="18"/>
        </w:rPr>
        <w:t>Het voorstel is gebaseerd op de artikelen</w:t>
      </w:r>
      <w:r>
        <w:rPr>
          <w:rFonts w:ascii="Verdana" w:hAnsi="Verdana"/>
          <w:color w:val="000000" w:themeColor="text1"/>
          <w:sz w:val="18"/>
          <w:szCs w:val="18"/>
        </w:rPr>
        <w:t xml:space="preserve"> </w:t>
      </w:r>
      <w:r w:rsidRPr="0025680F">
        <w:rPr>
          <w:rFonts w:ascii="Verdana" w:hAnsi="Verdana"/>
          <w:color w:val="000000" w:themeColor="text1"/>
          <w:sz w:val="18"/>
          <w:szCs w:val="18"/>
        </w:rPr>
        <w:t xml:space="preserve">172, eerste paragraaf, en 194, tweede lid, van het VWEU. Artikel 172, eerste paragraaf, VWEU geeft de EU de bevoegdheid om maatregelen te nemen die bijdragen aan de totstandbrenging en ontwikkeling van trans-Europese netwerken op het gebied van vervoers-, telecommunicatie- en energie-infrastructuur. Deze maatregelen kunnen inhouden het verlenen van steun aan door de lidstaten gesteunde projecten van gemeenschappelijk belang. Artikel 194, tweede lid, VWEU geeft de EU de bevoegdheid om de werking van de energiemarkt te waarborgen; de continuïteit van de energievoorziening in de Unie te waarborgen; en energie-efficiëntie, energiebesparing en de ontwikkeling van nieuwe en duurzame energie te stimuleren. </w:t>
      </w:r>
    </w:p>
    <w:p w:rsidRPr="0025680F" w:rsidR="00081FC1" w:rsidP="00081FC1" w:rsidRDefault="00081FC1" w14:paraId="2DA548F7" w14:textId="77777777">
      <w:pPr>
        <w:spacing w:line="360" w:lineRule="auto"/>
        <w:rPr>
          <w:rFonts w:ascii="Verdana" w:hAnsi="Verdana"/>
          <w:color w:val="000000" w:themeColor="text1"/>
          <w:sz w:val="18"/>
          <w:szCs w:val="18"/>
        </w:rPr>
      </w:pPr>
    </w:p>
    <w:p w:rsidR="00081FC1" w:rsidP="00081FC1" w:rsidRDefault="00081FC1" w14:paraId="0451DE05" w14:textId="38ECEBB8">
      <w:pPr>
        <w:spacing w:line="360" w:lineRule="auto"/>
        <w:rPr>
          <w:rFonts w:ascii="Verdana" w:hAnsi="Verdana"/>
          <w:color w:val="000000" w:themeColor="text1"/>
          <w:sz w:val="18"/>
          <w:szCs w:val="18"/>
        </w:rPr>
      </w:pPr>
      <w:r w:rsidRPr="004F5BA4">
        <w:rPr>
          <w:rFonts w:ascii="Verdana" w:hAnsi="Verdana"/>
          <w:color w:val="000000" w:themeColor="text1"/>
          <w:sz w:val="18"/>
          <w:szCs w:val="18"/>
        </w:rPr>
        <w:t>Het kabinet kan zich vinden in deze rechtsgrondslagen. Zowel op het terrein van trans-Europese netwerken als op het terrein van energie is sprake van een gedeelde bevoegdheid tussen de EU en de lidstaten op grond van artikel 4, tweede lid, onder h en i, VWEU.</w:t>
      </w:r>
    </w:p>
    <w:p w:rsidR="00570D70" w:rsidP="003B3DB3" w:rsidRDefault="00570D70" w14:paraId="65D4D238" w14:textId="77777777">
      <w:pPr>
        <w:pStyle w:val="Spreekpunten"/>
        <w:numPr>
          <w:ilvl w:val="0"/>
          <w:numId w:val="0"/>
        </w:numPr>
        <w:rPr>
          <w:rFonts w:ascii="Verdana" w:hAnsi="Verdana"/>
          <w:color w:val="000000" w:themeColor="text1"/>
          <w:sz w:val="18"/>
          <w:szCs w:val="18"/>
          <w:lang w:val="nl-NL" w:eastAsia="zh-CN"/>
        </w:rPr>
      </w:pPr>
    </w:p>
    <w:p w:rsidRPr="0084323F" w:rsidR="003B3DB3" w:rsidRDefault="003B3DB3" w14:paraId="59A32442" w14:textId="77777777">
      <w:pPr>
        <w:pStyle w:val="Spreekpunten"/>
        <w:numPr>
          <w:ilvl w:val="0"/>
          <w:numId w:val="0"/>
        </w:numPr>
        <w:rPr>
          <w:rFonts w:ascii="Verdana" w:hAnsi="Verdana"/>
          <w:i/>
          <w:iCs/>
          <w:sz w:val="18"/>
          <w:szCs w:val="18"/>
          <w:lang w:val="nl-NL" w:eastAsia="zh-CN"/>
        </w:rPr>
      </w:pPr>
      <w:r w:rsidRPr="203A7120">
        <w:rPr>
          <w:rFonts w:ascii="Verdana" w:hAnsi="Verdana"/>
          <w:i/>
          <w:iCs/>
          <w:sz w:val="18"/>
          <w:szCs w:val="18"/>
          <w:lang w:val="nl-NL" w:eastAsia="zh-CN"/>
        </w:rPr>
        <w:t>b) Subsidiariteit</w:t>
      </w:r>
    </w:p>
    <w:p w:rsidR="003B3DB3" w:rsidP="00687BCC" w:rsidRDefault="006E660E" w14:paraId="026CE1FD" w14:textId="64E75EC4">
      <w:pPr>
        <w:pStyle w:val="Spreekpunten"/>
        <w:numPr>
          <w:ilvl w:val="0"/>
          <w:numId w:val="0"/>
        </w:numPr>
        <w:rPr>
          <w:rFonts w:ascii="Verdana" w:hAnsi="Verdana"/>
          <w:color w:val="000000" w:themeColor="text1"/>
          <w:sz w:val="18"/>
          <w:szCs w:val="18"/>
          <w:lang w:val="nl-NL"/>
        </w:rPr>
      </w:pPr>
      <w:r w:rsidRPr="00D51EE9">
        <w:rPr>
          <w:rFonts w:ascii="Verdana" w:hAnsi="Verdana"/>
          <w:color w:val="000000" w:themeColor="text1"/>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DD4806">
        <w:rPr>
          <w:lang w:val="nl-NL"/>
        </w:rPr>
        <w:t xml:space="preserve"> </w:t>
      </w:r>
      <w:r w:rsidRPr="00D51EE9">
        <w:rPr>
          <w:rFonts w:ascii="Verdana" w:hAnsi="Verdana"/>
          <w:color w:val="000000" w:themeColor="text1"/>
          <w:sz w:val="18"/>
          <w:szCs w:val="18"/>
          <w:lang w:val="nl-NL"/>
        </w:rPr>
        <w:t xml:space="preserve">Het oordeel van het kabinet ten aanzien van de subsidiariteit is </w:t>
      </w:r>
      <w:r>
        <w:rPr>
          <w:rFonts w:ascii="Verdana" w:hAnsi="Verdana"/>
          <w:color w:val="000000" w:themeColor="text1"/>
          <w:sz w:val="18"/>
          <w:szCs w:val="18"/>
          <w:lang w:val="nl-NL"/>
        </w:rPr>
        <w:t xml:space="preserve">positief. </w:t>
      </w:r>
      <w:r w:rsidRPr="004F5BA4" w:rsidR="009D474C">
        <w:rPr>
          <w:rFonts w:ascii="Verdana" w:hAnsi="Verdana" w:eastAsia="Verdana" w:cs="Verdana"/>
          <w:color w:val="000000" w:themeColor="text1"/>
          <w:sz w:val="18"/>
          <w:szCs w:val="18"/>
          <w:lang w:val="nl-NL"/>
        </w:rPr>
        <w:t xml:space="preserve">Het doel van het voorstel is het co-financieren van het bouwen, ontwikkelen, beveiligen, moderniseren en voltooien van </w:t>
      </w:r>
      <w:r w:rsidRPr="004F5BA4" w:rsidR="009D474C">
        <w:rPr>
          <w:rFonts w:ascii="Verdana" w:hAnsi="Verdana"/>
          <w:sz w:val="18"/>
          <w:szCs w:val="18"/>
          <w:lang w:val="nl-NL"/>
        </w:rPr>
        <w:t xml:space="preserve">de trans-Europese netwerken voor transport en energie, respectievelijk vastgelegd in Verordening (EU) 2024/1679 en Verordening (EU) 2022/869. </w:t>
      </w:r>
      <w:r w:rsidRPr="0062030F" w:rsidR="0062030F">
        <w:rPr>
          <w:rFonts w:ascii="Verdana" w:hAnsi="Verdana"/>
          <w:color w:val="000000" w:themeColor="text1"/>
          <w:sz w:val="18"/>
          <w:szCs w:val="18"/>
          <w:lang w:val="nl-NL"/>
        </w:rPr>
        <w:t xml:space="preserve">De verplichtingen die volgen uit deze verordeningen hebben vaak een grensoverschrijdend en complex karakter. </w:t>
      </w:r>
      <w:r w:rsidR="00863212">
        <w:rPr>
          <w:rFonts w:ascii="Verdana" w:hAnsi="Verdana"/>
          <w:color w:val="000000" w:themeColor="text1"/>
          <w:sz w:val="18"/>
          <w:szCs w:val="18"/>
          <w:lang w:val="nl-NL"/>
        </w:rPr>
        <w:t xml:space="preserve">Om deze reden kan </w:t>
      </w:r>
      <w:r w:rsidR="009D474C">
        <w:rPr>
          <w:rFonts w:ascii="Verdana" w:hAnsi="Verdana"/>
          <w:color w:val="000000" w:themeColor="text1"/>
          <w:sz w:val="18"/>
          <w:szCs w:val="18"/>
          <w:lang w:val="nl-NL"/>
        </w:rPr>
        <w:t xml:space="preserve">financiering voor projecten om te voldoen aan de verplichtingen </w:t>
      </w:r>
      <w:r w:rsidR="00863212">
        <w:rPr>
          <w:rFonts w:ascii="Verdana" w:hAnsi="Verdana"/>
          <w:color w:val="000000" w:themeColor="text1"/>
          <w:sz w:val="18"/>
          <w:szCs w:val="18"/>
          <w:lang w:val="nl-NL"/>
        </w:rPr>
        <w:t>onvoldoende door de lidstaten op centraal, regionaal of lokaal niveau worden verwezenlijkt</w:t>
      </w:r>
      <w:r>
        <w:rPr>
          <w:rFonts w:ascii="Verdana" w:hAnsi="Verdana"/>
          <w:color w:val="000000" w:themeColor="text1"/>
          <w:sz w:val="18"/>
          <w:szCs w:val="18"/>
          <w:lang w:val="nl-NL"/>
        </w:rPr>
        <w:t xml:space="preserve"> en is een EU-aanpak nodig</w:t>
      </w:r>
      <w:r w:rsidR="00863212">
        <w:rPr>
          <w:rFonts w:ascii="Verdana" w:hAnsi="Verdana"/>
          <w:color w:val="000000" w:themeColor="text1"/>
          <w:sz w:val="18"/>
          <w:szCs w:val="18"/>
          <w:lang w:val="nl-NL"/>
        </w:rPr>
        <w:t xml:space="preserve">. </w:t>
      </w:r>
      <w:r w:rsidRPr="0062030F" w:rsidR="003A0D2A">
        <w:rPr>
          <w:rFonts w:ascii="Verdana" w:hAnsi="Verdana"/>
          <w:color w:val="000000" w:themeColor="text1"/>
          <w:sz w:val="18"/>
          <w:szCs w:val="18"/>
          <w:lang w:val="nl-NL"/>
        </w:rPr>
        <w:t xml:space="preserve">Bovendien is </w:t>
      </w:r>
      <w:r w:rsidR="00741052">
        <w:rPr>
          <w:rFonts w:ascii="Verdana" w:hAnsi="Verdana"/>
          <w:color w:val="000000" w:themeColor="text1"/>
          <w:sz w:val="18"/>
          <w:szCs w:val="18"/>
          <w:lang w:val="nl-NL"/>
        </w:rPr>
        <w:t xml:space="preserve">het </w:t>
      </w:r>
      <w:r w:rsidRPr="0062030F" w:rsidR="003A0D2A">
        <w:rPr>
          <w:rFonts w:ascii="Verdana" w:hAnsi="Verdana"/>
          <w:color w:val="000000" w:themeColor="text1"/>
          <w:sz w:val="18"/>
          <w:szCs w:val="18"/>
          <w:lang w:val="nl-NL"/>
        </w:rPr>
        <w:t>kosten-efficiënt om op zoek te gaan naar de synergiën tussen de sectoren.</w:t>
      </w:r>
      <w:r w:rsidR="003A0D2A">
        <w:rPr>
          <w:rFonts w:ascii="Verdana" w:hAnsi="Verdana"/>
          <w:color w:val="000000" w:themeColor="text1"/>
          <w:sz w:val="18"/>
          <w:szCs w:val="18"/>
          <w:lang w:val="nl-NL"/>
        </w:rPr>
        <w:t xml:space="preserve"> </w:t>
      </w:r>
      <w:r w:rsidRPr="0062030F" w:rsidR="0062030F">
        <w:rPr>
          <w:rFonts w:ascii="Verdana" w:hAnsi="Verdana"/>
          <w:color w:val="000000" w:themeColor="text1"/>
          <w:sz w:val="18"/>
          <w:szCs w:val="18"/>
          <w:lang w:val="nl-NL"/>
        </w:rPr>
        <w:t xml:space="preserve">Een centraal beheerd CEF is </w:t>
      </w:r>
      <w:r w:rsidR="003A0D2A">
        <w:rPr>
          <w:rFonts w:ascii="Verdana" w:hAnsi="Verdana"/>
          <w:color w:val="000000" w:themeColor="text1"/>
          <w:sz w:val="18"/>
          <w:szCs w:val="18"/>
          <w:lang w:val="nl-NL"/>
        </w:rPr>
        <w:t>essentieel</w:t>
      </w:r>
      <w:r w:rsidRPr="0062030F" w:rsidR="0062030F">
        <w:rPr>
          <w:rFonts w:ascii="Verdana" w:hAnsi="Verdana"/>
          <w:color w:val="000000" w:themeColor="text1"/>
          <w:sz w:val="18"/>
          <w:szCs w:val="18"/>
          <w:lang w:val="nl-NL"/>
        </w:rPr>
        <w:t xml:space="preserve"> om de grensoverschrijdende projecten te stimuleren </w:t>
      </w:r>
      <w:r w:rsidR="0062030F">
        <w:rPr>
          <w:rFonts w:ascii="Verdana" w:hAnsi="Verdana"/>
          <w:color w:val="000000" w:themeColor="text1"/>
          <w:sz w:val="18"/>
          <w:szCs w:val="18"/>
          <w:lang w:val="nl-NL"/>
        </w:rPr>
        <w:t>en</w:t>
      </w:r>
      <w:r w:rsidR="003A0D2A">
        <w:rPr>
          <w:rFonts w:ascii="Verdana" w:hAnsi="Verdana"/>
          <w:color w:val="000000" w:themeColor="text1"/>
          <w:sz w:val="18"/>
          <w:szCs w:val="18"/>
          <w:lang w:val="nl-NL"/>
        </w:rPr>
        <w:t xml:space="preserve"> zicht te houden op een evenredige verdeling van middelen tussen de lidstaten om de uitrol van de trans-Europese netwerk overal mogelijk te maken. Hiermee wordt </w:t>
      </w:r>
      <w:r w:rsidRPr="0062030F" w:rsidR="0062030F">
        <w:rPr>
          <w:rFonts w:ascii="Verdana" w:hAnsi="Verdana"/>
          <w:color w:val="000000" w:themeColor="text1"/>
          <w:sz w:val="18"/>
          <w:szCs w:val="18"/>
          <w:lang w:val="nl-NL"/>
        </w:rPr>
        <w:t>de realisatie van de trans-Europese netwerken</w:t>
      </w:r>
      <w:r w:rsidR="003A0D2A">
        <w:rPr>
          <w:rFonts w:ascii="Verdana" w:hAnsi="Verdana"/>
          <w:color w:val="000000" w:themeColor="text1"/>
          <w:sz w:val="18"/>
          <w:szCs w:val="18"/>
          <w:lang w:val="nl-NL"/>
        </w:rPr>
        <w:t xml:space="preserve"> haalbaarder in de hele EU</w:t>
      </w:r>
      <w:r w:rsidR="00863212">
        <w:rPr>
          <w:rFonts w:ascii="Verdana" w:hAnsi="Verdana"/>
          <w:color w:val="000000" w:themeColor="text1"/>
          <w:sz w:val="18"/>
          <w:szCs w:val="18"/>
          <w:lang w:val="nl-NL"/>
        </w:rPr>
        <w:t xml:space="preserve"> en daarom is optreden op het niveau van de EU gerechtvaardigd. </w:t>
      </w:r>
    </w:p>
    <w:p w:rsidR="00687BCC" w:rsidP="00687BCC" w:rsidRDefault="00687BCC" w14:paraId="4074ECDA" w14:textId="77777777">
      <w:pPr>
        <w:pStyle w:val="Spreekpunten"/>
        <w:numPr>
          <w:ilvl w:val="0"/>
          <w:numId w:val="0"/>
        </w:numPr>
        <w:rPr>
          <w:rFonts w:ascii="Verdana" w:hAnsi="Verdana"/>
          <w:color w:val="000000" w:themeColor="text1"/>
          <w:sz w:val="18"/>
          <w:szCs w:val="18"/>
          <w:lang w:val="nl-NL"/>
        </w:rPr>
      </w:pPr>
    </w:p>
    <w:p w:rsidRPr="0084323F" w:rsidR="003B3DB3" w:rsidRDefault="003B3DB3" w14:paraId="2626549E" w14:textId="77777777">
      <w:pPr>
        <w:pStyle w:val="Spreekpunten"/>
        <w:numPr>
          <w:ilvl w:val="0"/>
          <w:numId w:val="0"/>
        </w:numPr>
        <w:rPr>
          <w:rFonts w:ascii="Verdana" w:hAnsi="Verdana"/>
          <w:i/>
          <w:iCs/>
          <w:sz w:val="18"/>
          <w:szCs w:val="18"/>
          <w:lang w:val="nl-NL" w:eastAsia="zh-CN"/>
        </w:rPr>
      </w:pPr>
      <w:r w:rsidRPr="203A7120">
        <w:rPr>
          <w:rFonts w:ascii="Verdana" w:hAnsi="Verdana"/>
          <w:i/>
          <w:iCs/>
          <w:sz w:val="18"/>
          <w:szCs w:val="18"/>
          <w:lang w:val="nl-NL" w:eastAsia="zh-CN"/>
        </w:rPr>
        <w:t>c) Proportionaliteit</w:t>
      </w:r>
    </w:p>
    <w:p w:rsidR="0054609E" w:rsidP="003A0D2A" w:rsidRDefault="006E660E" w14:paraId="6EE2C2F6" w14:textId="2A8FBCE3">
      <w:pPr>
        <w:spacing w:line="360" w:lineRule="auto"/>
        <w:rPr>
          <w:rFonts w:ascii="Verdana" w:hAnsi="Verdana" w:eastAsia="Verdana" w:cs="Verdana"/>
          <w:color w:val="000000" w:themeColor="text1"/>
          <w:sz w:val="18"/>
          <w:szCs w:val="18"/>
        </w:rPr>
      </w:pPr>
      <w:r w:rsidRPr="00AA0F1B">
        <w:rPr>
          <w:rFonts w:ascii="Verdana" w:hAnsi="Verdana" w:eastAsia="Verdana" w:cs="Verdana"/>
          <w:color w:val="000000" w:themeColor="text1"/>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w:t>
      </w:r>
      <w:r>
        <w:rPr>
          <w:rFonts w:ascii="Verdana" w:hAnsi="Verdana" w:eastAsia="Verdana" w:cs="Verdana"/>
          <w:color w:val="000000" w:themeColor="text1"/>
          <w:sz w:val="18"/>
          <w:szCs w:val="18"/>
        </w:rPr>
        <w:t xml:space="preserve">. </w:t>
      </w:r>
      <w:r w:rsidR="007C088B">
        <w:rPr>
          <w:rFonts w:ascii="Verdana" w:hAnsi="Verdana" w:eastAsia="Verdana" w:cs="Verdana"/>
          <w:color w:val="000000" w:themeColor="text1"/>
          <w:sz w:val="18"/>
          <w:szCs w:val="18"/>
        </w:rPr>
        <w:t xml:space="preserve">Het </w:t>
      </w:r>
      <w:r>
        <w:rPr>
          <w:rFonts w:ascii="Verdana" w:hAnsi="Verdana" w:eastAsia="Verdana" w:cs="Verdana"/>
          <w:color w:val="000000" w:themeColor="text1"/>
          <w:sz w:val="18"/>
          <w:szCs w:val="18"/>
        </w:rPr>
        <w:t xml:space="preserve">doel </w:t>
      </w:r>
      <w:r w:rsidR="007C088B">
        <w:rPr>
          <w:rFonts w:ascii="Verdana" w:hAnsi="Verdana" w:eastAsia="Verdana" w:cs="Verdana"/>
          <w:color w:val="000000" w:themeColor="text1"/>
          <w:sz w:val="18"/>
          <w:szCs w:val="18"/>
        </w:rPr>
        <w:t xml:space="preserve">van het voorstel is </w:t>
      </w:r>
      <w:r>
        <w:rPr>
          <w:rFonts w:ascii="Verdana" w:hAnsi="Verdana" w:eastAsia="Verdana" w:cs="Verdana"/>
          <w:color w:val="000000" w:themeColor="text1"/>
          <w:sz w:val="18"/>
          <w:szCs w:val="18"/>
        </w:rPr>
        <w:t xml:space="preserve">het </w:t>
      </w:r>
      <w:r w:rsidR="000F76CF">
        <w:rPr>
          <w:rFonts w:ascii="Verdana" w:hAnsi="Verdana" w:eastAsia="Verdana" w:cs="Verdana"/>
          <w:color w:val="000000" w:themeColor="text1"/>
          <w:sz w:val="18"/>
          <w:szCs w:val="18"/>
        </w:rPr>
        <w:t xml:space="preserve">co-financieren van het </w:t>
      </w:r>
      <w:r>
        <w:rPr>
          <w:rFonts w:ascii="Verdana" w:hAnsi="Verdana" w:eastAsia="Verdana" w:cs="Verdana"/>
          <w:color w:val="000000" w:themeColor="text1"/>
          <w:sz w:val="18"/>
          <w:szCs w:val="18"/>
        </w:rPr>
        <w:t xml:space="preserve">bouwen, ontwikkelen, beveiligen, moderniseren en voltooien van </w:t>
      </w:r>
      <w:r>
        <w:rPr>
          <w:rFonts w:ascii="Verdana" w:hAnsi="Verdana"/>
          <w:sz w:val="18"/>
          <w:szCs w:val="18"/>
        </w:rPr>
        <w:t xml:space="preserve">de trans-Europese netwerken voor transport en energie, respectievelijk vastgelegd in Verordening (EU) </w:t>
      </w:r>
      <w:r>
        <w:rPr>
          <w:rFonts w:ascii="Verdana" w:hAnsi="Verdana"/>
          <w:sz w:val="18"/>
          <w:szCs w:val="18"/>
        </w:rPr>
        <w:lastRenderedPageBreak/>
        <w:t xml:space="preserve">2024/1679 en Verordening (EU) 2022/869. </w:t>
      </w:r>
      <w:r w:rsidR="009A208C">
        <w:rPr>
          <w:rFonts w:ascii="Verdana" w:hAnsi="Verdana" w:eastAsia="Verdana" w:cs="Verdana"/>
          <w:color w:val="000000" w:themeColor="text1"/>
          <w:sz w:val="18"/>
          <w:szCs w:val="18"/>
        </w:rPr>
        <w:t xml:space="preserve">Het kabinet vindt het </w:t>
      </w:r>
      <w:r w:rsidR="0054609E">
        <w:rPr>
          <w:rFonts w:ascii="Verdana" w:hAnsi="Verdana" w:eastAsia="Verdana" w:cs="Verdana"/>
          <w:color w:val="000000" w:themeColor="text1"/>
          <w:sz w:val="18"/>
          <w:szCs w:val="18"/>
        </w:rPr>
        <w:t>CEF</w:t>
      </w:r>
      <w:r w:rsidR="00741052">
        <w:rPr>
          <w:rFonts w:ascii="Verdana" w:hAnsi="Verdana" w:eastAsia="Verdana" w:cs="Verdana"/>
          <w:color w:val="000000" w:themeColor="text1"/>
          <w:sz w:val="18"/>
          <w:szCs w:val="18"/>
        </w:rPr>
        <w:t>-</w:t>
      </w:r>
      <w:r w:rsidR="0054609E">
        <w:rPr>
          <w:rFonts w:ascii="Verdana" w:hAnsi="Verdana" w:eastAsia="Verdana" w:cs="Verdana"/>
          <w:color w:val="000000" w:themeColor="text1"/>
          <w:sz w:val="18"/>
          <w:szCs w:val="18"/>
        </w:rPr>
        <w:t xml:space="preserve">programma een geschikt </w:t>
      </w:r>
      <w:r w:rsidR="009A208C">
        <w:rPr>
          <w:rFonts w:ascii="Verdana" w:hAnsi="Verdana" w:eastAsia="Verdana" w:cs="Verdana"/>
          <w:color w:val="000000" w:themeColor="text1"/>
          <w:sz w:val="18"/>
          <w:szCs w:val="18"/>
        </w:rPr>
        <w:t xml:space="preserve">instrument om </w:t>
      </w:r>
      <w:r w:rsidR="007C088B">
        <w:rPr>
          <w:rFonts w:ascii="Verdana" w:hAnsi="Verdana" w:eastAsia="Verdana" w:cs="Verdana"/>
          <w:color w:val="000000" w:themeColor="text1"/>
          <w:sz w:val="18"/>
          <w:szCs w:val="18"/>
        </w:rPr>
        <w:t xml:space="preserve">het </w:t>
      </w:r>
      <w:r w:rsidR="009A208C">
        <w:rPr>
          <w:rFonts w:ascii="Verdana" w:hAnsi="Verdana" w:eastAsia="Verdana" w:cs="Verdana"/>
          <w:color w:val="000000" w:themeColor="text1"/>
          <w:sz w:val="18"/>
          <w:szCs w:val="18"/>
        </w:rPr>
        <w:t>doel te bereiken</w:t>
      </w:r>
      <w:r>
        <w:rPr>
          <w:rFonts w:ascii="Verdana" w:hAnsi="Verdana" w:eastAsia="Verdana" w:cs="Verdana"/>
          <w:color w:val="000000" w:themeColor="text1"/>
          <w:sz w:val="18"/>
          <w:szCs w:val="18"/>
        </w:rPr>
        <w:t xml:space="preserve">, </w:t>
      </w:r>
      <w:r w:rsidR="00CD3F5C">
        <w:rPr>
          <w:rFonts w:ascii="Verdana" w:hAnsi="Verdana" w:eastAsia="Verdana" w:cs="Verdana"/>
          <w:color w:val="000000" w:themeColor="text1"/>
          <w:sz w:val="18"/>
          <w:szCs w:val="18"/>
        </w:rPr>
        <w:t xml:space="preserve">omdat Europese financiering nodig is om voornamelijk de grensoverschrijdende component van een Europees netwerk te financieren. </w:t>
      </w:r>
      <w:r w:rsidR="0054609E">
        <w:rPr>
          <w:rFonts w:ascii="Verdana" w:hAnsi="Verdana" w:eastAsia="Verdana" w:cs="Verdana"/>
          <w:color w:val="000000" w:themeColor="text1"/>
          <w:sz w:val="18"/>
          <w:szCs w:val="18"/>
        </w:rPr>
        <w:t>De lidstaten zijn het unaniem eens over de toegevoegde waarde van het CEF als centraal beheerd instrument om een trans-Europees netwerk te realiseren. Het instrument gaat niet verder dan noodzakelijk, en een minder ingrijpend instrument is niet realistisch om de verplichtingen uit de verordeningen van de trans-Europese netwerken te behalen.</w:t>
      </w:r>
      <w:r w:rsidR="00261BE8">
        <w:rPr>
          <w:rStyle w:val="FootnoteReference"/>
          <w:rFonts w:ascii="Verdana" w:hAnsi="Verdana" w:eastAsia="Verdana" w:cs="Verdana"/>
          <w:color w:val="000000" w:themeColor="text1"/>
          <w:sz w:val="18"/>
          <w:szCs w:val="18"/>
        </w:rPr>
        <w:footnoteReference w:id="9"/>
      </w:r>
      <w:r w:rsidR="0054609E">
        <w:rPr>
          <w:rFonts w:ascii="Verdana" w:hAnsi="Verdana" w:eastAsia="Verdana" w:cs="Verdana"/>
          <w:color w:val="000000" w:themeColor="text1"/>
          <w:sz w:val="18"/>
          <w:szCs w:val="18"/>
        </w:rPr>
        <w:t xml:space="preserve"> </w:t>
      </w:r>
    </w:p>
    <w:p w:rsidRPr="00DA19A2" w:rsidR="003B3DB3" w:rsidP="003B3DB3" w:rsidRDefault="003B3DB3" w14:paraId="3320191C" w14:textId="77777777">
      <w:pPr>
        <w:spacing w:line="360" w:lineRule="auto"/>
        <w:ind w:left="360"/>
        <w:rPr>
          <w:rFonts w:ascii="Verdana" w:hAnsi="Verdana"/>
          <w:b/>
          <w:sz w:val="18"/>
          <w:szCs w:val="18"/>
        </w:rPr>
      </w:pPr>
    </w:p>
    <w:p w:rsidRPr="0084323F" w:rsidR="003B3DB3" w:rsidP="0084323F" w:rsidRDefault="003B3DB3" w14:paraId="34A1B038" w14:textId="77777777">
      <w:pPr>
        <w:numPr>
          <w:ilvl w:val="0"/>
          <w:numId w:val="2"/>
        </w:numPr>
        <w:spacing w:line="360" w:lineRule="auto"/>
        <w:rPr>
          <w:rFonts w:ascii="Verdana" w:hAnsi="Verdana"/>
          <w:b/>
          <w:bCs/>
          <w:sz w:val="18"/>
          <w:szCs w:val="18"/>
        </w:rPr>
      </w:pPr>
      <w:r w:rsidRPr="00405448">
        <w:rPr>
          <w:rFonts w:ascii="Verdana" w:hAnsi="Verdana"/>
          <w:b/>
          <w:bCs/>
          <w:sz w:val="18"/>
          <w:szCs w:val="18"/>
        </w:rPr>
        <w:t xml:space="preserve">Financiële consequenties, gevolgen voor regeldruk, concurrentiekracht en geopolitieke aspecten </w:t>
      </w:r>
    </w:p>
    <w:p w:rsidRPr="0084323F" w:rsidR="003B3DB3" w:rsidP="203A7120" w:rsidRDefault="003B3DB3" w14:paraId="39F2238B" w14:textId="77777777">
      <w:pPr>
        <w:numPr>
          <w:ilvl w:val="0"/>
          <w:numId w:val="5"/>
        </w:numPr>
        <w:spacing w:line="360" w:lineRule="auto"/>
        <w:outlineLvl w:val="0"/>
        <w:rPr>
          <w:rFonts w:ascii="Verdana" w:hAnsi="Verdana"/>
          <w:i/>
          <w:iCs/>
          <w:sz w:val="18"/>
          <w:szCs w:val="18"/>
        </w:rPr>
      </w:pPr>
      <w:r w:rsidRPr="203A7120">
        <w:rPr>
          <w:rFonts w:ascii="Verdana" w:hAnsi="Verdana"/>
          <w:i/>
          <w:iCs/>
          <w:sz w:val="18"/>
          <w:szCs w:val="18"/>
        </w:rPr>
        <w:t>Consequenties EU-begroting</w:t>
      </w:r>
    </w:p>
    <w:p w:rsidR="003B3DB3" w:rsidP="003B3DB3" w:rsidRDefault="00FF3945" w14:paraId="5D85C265" w14:textId="7C336DA3">
      <w:pPr>
        <w:spacing w:line="360" w:lineRule="auto"/>
        <w:rPr>
          <w:rFonts w:ascii="Verdana" w:hAnsi="Verdana"/>
          <w:sz w:val="18"/>
          <w:szCs w:val="18"/>
        </w:rPr>
      </w:pPr>
      <w:r w:rsidRPr="00FF3945">
        <w:rPr>
          <w:rFonts w:ascii="Verdana" w:hAnsi="Verdana"/>
          <w:sz w:val="18"/>
          <w:szCs w:val="18"/>
        </w:rPr>
        <w:t>De onderhandelingen over de toekomst van het CEF zijn wat betreft de financiële aspecten, integraal onderdeel van de onderhandelingen over het MFK 2028–20234. Nederland hecht eraan dat besprekingen over het CEF niet vooruitlopen op de integrale besluitvorming betreffende de budgettaire omvang van het MFK. De beleidsmatige inzet van Nederland bij het CEF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915B9C" w:rsidR="00862105" w:rsidP="003B3DB3" w:rsidRDefault="00862105" w14:paraId="34F03EB9" w14:textId="77777777">
      <w:pPr>
        <w:spacing w:line="360" w:lineRule="auto"/>
        <w:rPr>
          <w:rFonts w:ascii="Verdana" w:hAnsi="Verdana"/>
          <w:sz w:val="18"/>
          <w:szCs w:val="18"/>
        </w:rPr>
      </w:pPr>
    </w:p>
    <w:p w:rsidRPr="0084323F" w:rsidR="003B3DB3" w:rsidP="203A7120" w:rsidRDefault="003B3DB3" w14:paraId="1C655DBA" w14:textId="77777777">
      <w:pPr>
        <w:numPr>
          <w:ilvl w:val="0"/>
          <w:numId w:val="5"/>
        </w:numPr>
        <w:spacing w:line="360" w:lineRule="auto"/>
        <w:outlineLvl w:val="0"/>
        <w:rPr>
          <w:rFonts w:ascii="Verdana" w:hAnsi="Verdana"/>
          <w:i/>
          <w:iCs/>
          <w:sz w:val="18"/>
          <w:szCs w:val="18"/>
        </w:rPr>
      </w:pPr>
      <w:r w:rsidRPr="203A7120">
        <w:rPr>
          <w:rFonts w:ascii="Verdana" w:hAnsi="Verdana"/>
          <w:i/>
          <w:iCs/>
          <w:sz w:val="18"/>
          <w:szCs w:val="18"/>
        </w:rPr>
        <w:t>Financiële consequenties (incl. personele) voor rijksoverheid en/ of medeoverheden</w:t>
      </w:r>
    </w:p>
    <w:p w:rsidRPr="0084323F" w:rsidR="003B3DB3" w:rsidP="0084323F" w:rsidRDefault="00FF3945" w14:paraId="77C975AB" w14:textId="23EA70EB">
      <w:pPr>
        <w:spacing w:line="360" w:lineRule="auto"/>
        <w:outlineLvl w:val="0"/>
        <w:rPr>
          <w:rFonts w:ascii="Verdana" w:hAnsi="Verdana"/>
          <w:i/>
          <w:iCs/>
          <w:sz w:val="18"/>
          <w:szCs w:val="18"/>
        </w:rPr>
      </w:pPr>
      <w:r w:rsidRPr="00FF3945">
        <w:rPr>
          <w:rFonts w:ascii="Verdana" w:hAnsi="Verdana" w:eastAsia="Verdana" w:cs="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r w:rsidR="003B3DB3">
        <w:br/>
      </w:r>
    </w:p>
    <w:p w:rsidRPr="0084323F" w:rsidR="003B3DB3" w:rsidP="203A7120" w:rsidRDefault="003B3DB3" w14:paraId="06B41DCE" w14:textId="77777777">
      <w:pPr>
        <w:numPr>
          <w:ilvl w:val="0"/>
          <w:numId w:val="5"/>
        </w:numPr>
        <w:spacing w:line="360" w:lineRule="auto"/>
        <w:rPr>
          <w:rFonts w:ascii="Verdana" w:hAnsi="Verdana"/>
          <w:i/>
          <w:iCs/>
          <w:sz w:val="18"/>
          <w:szCs w:val="18"/>
        </w:rPr>
      </w:pPr>
      <w:r w:rsidRPr="203A7120">
        <w:rPr>
          <w:rFonts w:ascii="Verdana" w:hAnsi="Verdana"/>
          <w:i/>
          <w:iCs/>
          <w:sz w:val="18"/>
          <w:szCs w:val="18"/>
        </w:rPr>
        <w:t>Financiële consequenties en gevolgen voor regeldruk voor bedrijfsleven en burger</w:t>
      </w:r>
    </w:p>
    <w:p w:rsidR="003B3DB3" w:rsidP="003B3DB3" w:rsidRDefault="00E57B0B" w14:paraId="52DC8D2E" w14:textId="53455C78">
      <w:pPr>
        <w:spacing w:line="360" w:lineRule="auto"/>
        <w:rPr>
          <w:rFonts w:ascii="Verdana" w:hAnsi="Verdana" w:eastAsia="Verdana" w:cs="Verdana"/>
          <w:sz w:val="18"/>
          <w:szCs w:val="18"/>
        </w:rPr>
      </w:pPr>
      <w:r w:rsidRPr="00E57B0B">
        <w:rPr>
          <w:rFonts w:ascii="Verdana" w:hAnsi="Verdana" w:eastAsia="Verdana" w:cs="Verdana"/>
          <w:sz w:val="18"/>
          <w:szCs w:val="18"/>
        </w:rPr>
        <w:t xml:space="preserve">Er zullen </w:t>
      </w:r>
      <w:r w:rsidR="006E660E">
        <w:rPr>
          <w:rFonts w:ascii="Verdana" w:hAnsi="Verdana" w:eastAsia="Verdana" w:cs="Verdana"/>
          <w:sz w:val="18"/>
          <w:szCs w:val="18"/>
        </w:rPr>
        <w:t>naar verwachting positieve</w:t>
      </w:r>
      <w:r w:rsidRPr="00E57B0B" w:rsidR="006E660E">
        <w:rPr>
          <w:rFonts w:ascii="Verdana" w:hAnsi="Verdana" w:eastAsia="Verdana" w:cs="Verdana"/>
          <w:sz w:val="18"/>
          <w:szCs w:val="18"/>
        </w:rPr>
        <w:t xml:space="preserve"> </w:t>
      </w:r>
      <w:r w:rsidRPr="00E57B0B">
        <w:rPr>
          <w:rFonts w:ascii="Verdana" w:hAnsi="Verdana" w:eastAsia="Verdana" w:cs="Verdana"/>
          <w:sz w:val="18"/>
          <w:szCs w:val="18"/>
        </w:rPr>
        <w:t xml:space="preserve">gevolgen </w:t>
      </w:r>
      <w:r w:rsidRPr="00E57B0B" w:rsidR="006E660E">
        <w:rPr>
          <w:rFonts w:ascii="Verdana" w:hAnsi="Verdana" w:eastAsia="Verdana" w:cs="Verdana"/>
          <w:sz w:val="18"/>
          <w:szCs w:val="18"/>
        </w:rPr>
        <w:t xml:space="preserve">zijn </w:t>
      </w:r>
      <w:r w:rsidRPr="00E57B0B">
        <w:rPr>
          <w:rFonts w:ascii="Verdana" w:hAnsi="Verdana" w:eastAsia="Verdana" w:cs="Verdana"/>
          <w:sz w:val="18"/>
          <w:szCs w:val="18"/>
        </w:rPr>
        <w:t xml:space="preserve">voor </w:t>
      </w:r>
      <w:r w:rsidR="006E660E">
        <w:rPr>
          <w:rFonts w:ascii="Verdana" w:hAnsi="Verdana" w:eastAsia="Verdana" w:cs="Verdana"/>
          <w:sz w:val="18"/>
          <w:szCs w:val="18"/>
        </w:rPr>
        <w:t xml:space="preserve">de </w:t>
      </w:r>
      <w:r w:rsidRPr="00E57B0B" w:rsidR="00D765CF">
        <w:rPr>
          <w:rFonts w:ascii="Verdana" w:hAnsi="Verdana" w:eastAsia="Verdana" w:cs="Verdana"/>
          <w:sz w:val="18"/>
          <w:szCs w:val="18"/>
        </w:rPr>
        <w:t xml:space="preserve">regeldruk voor </w:t>
      </w:r>
      <w:r w:rsidR="006E660E">
        <w:rPr>
          <w:rFonts w:ascii="Verdana" w:hAnsi="Verdana" w:eastAsia="Verdana" w:cs="Verdana"/>
          <w:sz w:val="18"/>
          <w:szCs w:val="18"/>
        </w:rPr>
        <w:t xml:space="preserve">het </w:t>
      </w:r>
      <w:r w:rsidRPr="00E57B0B" w:rsidR="00D765CF">
        <w:rPr>
          <w:rFonts w:ascii="Verdana" w:hAnsi="Verdana" w:eastAsia="Verdana" w:cs="Verdana"/>
          <w:sz w:val="18"/>
          <w:szCs w:val="18"/>
        </w:rPr>
        <w:t xml:space="preserve">bedrijfsleven en </w:t>
      </w:r>
      <w:r w:rsidR="006E660E">
        <w:rPr>
          <w:rFonts w:ascii="Verdana" w:hAnsi="Verdana" w:eastAsia="Verdana" w:cs="Verdana"/>
          <w:sz w:val="18"/>
          <w:szCs w:val="18"/>
        </w:rPr>
        <w:t xml:space="preserve">de </w:t>
      </w:r>
      <w:r w:rsidRPr="00E57B0B" w:rsidR="00D765CF">
        <w:rPr>
          <w:rFonts w:ascii="Verdana" w:hAnsi="Verdana" w:eastAsia="Verdana" w:cs="Verdana"/>
          <w:sz w:val="18"/>
          <w:szCs w:val="18"/>
        </w:rPr>
        <w:t>burgers</w:t>
      </w:r>
      <w:r w:rsidRPr="00E57B0B">
        <w:rPr>
          <w:rFonts w:ascii="Verdana" w:hAnsi="Verdana" w:eastAsia="Verdana" w:cs="Verdana"/>
          <w:sz w:val="18"/>
          <w:szCs w:val="18"/>
        </w:rPr>
        <w:t>. Het voorstel stelt voor een versimpeling door te voeren</w:t>
      </w:r>
      <w:r w:rsidR="005608CE">
        <w:rPr>
          <w:rFonts w:ascii="Verdana" w:hAnsi="Verdana" w:eastAsia="Verdana" w:cs="Verdana"/>
          <w:sz w:val="18"/>
          <w:szCs w:val="18"/>
        </w:rPr>
        <w:t>, welke nog wel nader uitgewerkt moet worden</w:t>
      </w:r>
      <w:r w:rsidRPr="00E57B0B">
        <w:rPr>
          <w:rFonts w:ascii="Verdana" w:hAnsi="Verdana" w:eastAsia="Verdana" w:cs="Verdana"/>
          <w:sz w:val="18"/>
          <w:szCs w:val="18"/>
        </w:rPr>
        <w:t>. Hierdoor kan het aanvraagproces voor het indienen van projecten mogelijk eenvoudiger worden, wat een positieve impact heeft</w:t>
      </w:r>
      <w:r w:rsidR="00741052">
        <w:rPr>
          <w:rFonts w:ascii="Verdana" w:hAnsi="Verdana" w:eastAsia="Verdana" w:cs="Verdana"/>
          <w:sz w:val="18"/>
          <w:szCs w:val="18"/>
        </w:rPr>
        <w:t xml:space="preserve"> op het bedrijfsleven en burgers</w:t>
      </w:r>
      <w:r w:rsidRPr="00E57B0B">
        <w:rPr>
          <w:rFonts w:ascii="Verdana" w:hAnsi="Verdana" w:eastAsia="Verdana" w:cs="Verdana"/>
          <w:sz w:val="18"/>
          <w:szCs w:val="18"/>
        </w:rPr>
        <w:t xml:space="preserve">. </w:t>
      </w:r>
    </w:p>
    <w:p w:rsidR="003B3DB3" w:rsidP="003B3DB3" w:rsidRDefault="003B3DB3" w14:paraId="796AEDC0" w14:textId="77777777">
      <w:pPr>
        <w:spacing w:line="360" w:lineRule="auto"/>
        <w:rPr>
          <w:rFonts w:ascii="Verdana" w:hAnsi="Verdana" w:eastAsia="Verdana" w:cs="Verdana"/>
          <w:sz w:val="18"/>
          <w:szCs w:val="18"/>
        </w:rPr>
      </w:pPr>
    </w:p>
    <w:p w:rsidRPr="0084323F" w:rsidR="003B3DB3" w:rsidP="203A7120" w:rsidRDefault="003B3DB3" w14:paraId="722100B0" w14:textId="77777777">
      <w:pPr>
        <w:numPr>
          <w:ilvl w:val="0"/>
          <w:numId w:val="5"/>
        </w:numPr>
        <w:spacing w:line="360" w:lineRule="auto"/>
        <w:rPr>
          <w:rFonts w:ascii="Verdana" w:hAnsi="Verdana"/>
          <w:i/>
          <w:iCs/>
          <w:sz w:val="18"/>
          <w:szCs w:val="18"/>
        </w:rPr>
      </w:pPr>
      <w:r w:rsidRPr="203A7120">
        <w:rPr>
          <w:rFonts w:ascii="Verdana" w:hAnsi="Verdana"/>
          <w:i/>
          <w:iCs/>
          <w:sz w:val="18"/>
          <w:szCs w:val="18"/>
        </w:rPr>
        <w:t>Gevolgen voor concurrentiekracht en geopolitieke aspecten</w:t>
      </w:r>
    </w:p>
    <w:p w:rsidRPr="00E57B0B" w:rsidR="00E57B0B" w:rsidP="003B3DB3" w:rsidRDefault="00E57B0B" w14:paraId="638D4107"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E57B0B">
        <w:rPr>
          <w:rFonts w:ascii="Verdana" w:hAnsi="Verdana"/>
          <w:sz w:val="18"/>
          <w:szCs w:val="18"/>
        </w:rPr>
        <w:t>De co</w:t>
      </w:r>
      <w:r w:rsidRPr="00E57B0B" w:rsidR="00D765CF">
        <w:rPr>
          <w:rFonts w:ascii="Verdana" w:hAnsi="Verdana"/>
          <w:sz w:val="18"/>
          <w:szCs w:val="18"/>
        </w:rPr>
        <w:t>ncurrentiekracht</w:t>
      </w:r>
      <w:r w:rsidRPr="00E57B0B">
        <w:rPr>
          <w:rFonts w:ascii="Verdana" w:hAnsi="Verdana"/>
          <w:sz w:val="18"/>
          <w:szCs w:val="18"/>
        </w:rPr>
        <w:t xml:space="preserve"> van de EU en Nederland</w:t>
      </w:r>
      <w:r w:rsidRPr="00E57B0B" w:rsidR="00D765CF">
        <w:rPr>
          <w:rFonts w:ascii="Verdana" w:hAnsi="Verdana"/>
          <w:sz w:val="18"/>
          <w:szCs w:val="18"/>
        </w:rPr>
        <w:t xml:space="preserve"> wordt versterkt door dit instrument</w:t>
      </w:r>
      <w:r w:rsidRPr="00E57B0B">
        <w:rPr>
          <w:rFonts w:ascii="Verdana" w:hAnsi="Verdana"/>
          <w:sz w:val="18"/>
          <w:szCs w:val="18"/>
        </w:rPr>
        <w:t xml:space="preserve">. De trans-Europese netwerken hebben als doel sneller en efficiënter vervoer van personen en goederen en het voorzien in een stabiele en duurzame energielevering. Door de expliciete nadruk op het zoeken van synergiën tussen de twee sectoren kunnen kosten worden bespaard en dubbel werk worden voorkomen. </w:t>
      </w:r>
    </w:p>
    <w:p w:rsidR="003B3DB3" w:rsidP="003B3DB3" w:rsidRDefault="00E57B0B" w14:paraId="29A1A6B3" w14:textId="0E780351">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E57B0B">
        <w:rPr>
          <w:rFonts w:ascii="Verdana" w:hAnsi="Verdana"/>
          <w:sz w:val="18"/>
          <w:szCs w:val="18"/>
        </w:rPr>
        <w:lastRenderedPageBreak/>
        <w:t xml:space="preserve">Het voorstel heeft beperkte invloed op de geopolitieke positie van de EU en Nederland. Wel versterkt het voorstel de banden met de derde landen die aangesloten zijn op de trans-Europese netwerken. </w:t>
      </w:r>
    </w:p>
    <w:p w:rsidRPr="00DA19A2" w:rsidR="003B3DB3" w:rsidP="003B3DB3" w:rsidRDefault="003B3DB3" w14:paraId="4333234A"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p>
    <w:p w:rsidRPr="009E7BAE" w:rsidR="003B3DB3" w:rsidP="00B001E8" w:rsidRDefault="003B3DB3" w14:paraId="3984FB04" w14:textId="77777777">
      <w:pPr>
        <w:numPr>
          <w:ilvl w:val="0"/>
          <w:numId w:val="2"/>
        </w:numPr>
        <w:spacing w:line="360" w:lineRule="auto"/>
        <w:rPr>
          <w:rFonts w:ascii="Verdana" w:hAnsi="Verdana"/>
          <w:b/>
          <w:bCs/>
          <w:sz w:val="18"/>
          <w:szCs w:val="18"/>
        </w:rPr>
      </w:pPr>
      <w:r w:rsidRPr="307D64F7">
        <w:rPr>
          <w:rFonts w:ascii="Verdana" w:hAnsi="Verdana"/>
          <w:b/>
          <w:bCs/>
          <w:sz w:val="18"/>
          <w:szCs w:val="18"/>
        </w:rPr>
        <w:t xml:space="preserve">Implicaties juridisch </w:t>
      </w:r>
    </w:p>
    <w:p w:rsidRPr="0084323F" w:rsidR="003B3DB3" w:rsidP="21064A6A" w:rsidRDefault="003B3DB3" w14:paraId="3D9EA810" w14:textId="2DCEA812">
      <w:pPr>
        <w:numPr>
          <w:ilvl w:val="0"/>
          <w:numId w:val="6"/>
        </w:numPr>
        <w:spacing w:line="360" w:lineRule="auto"/>
        <w:rPr>
          <w:rFonts w:ascii="Verdana" w:hAnsi="Verdana"/>
          <w:i/>
          <w:iCs/>
          <w:sz w:val="18"/>
          <w:szCs w:val="18"/>
        </w:rPr>
      </w:pPr>
      <w:r w:rsidRPr="21064A6A">
        <w:rPr>
          <w:rFonts w:ascii="Verdana" w:hAnsi="Verdana"/>
          <w:i/>
          <w:iCs/>
          <w:sz w:val="18"/>
          <w:szCs w:val="18"/>
        </w:rPr>
        <w:t xml:space="preserve">Consequenties voor nationale en decentrale regelgeving en/of sanctionering beleid (inclusief toepassing van de lex </w:t>
      </w:r>
      <w:proofErr w:type="spellStart"/>
      <w:r w:rsidRPr="21064A6A">
        <w:rPr>
          <w:rFonts w:ascii="Verdana" w:hAnsi="Verdana"/>
          <w:i/>
          <w:iCs/>
          <w:sz w:val="18"/>
          <w:szCs w:val="18"/>
        </w:rPr>
        <w:t>silencio</w:t>
      </w:r>
      <w:proofErr w:type="spellEnd"/>
      <w:r w:rsidRPr="21064A6A">
        <w:rPr>
          <w:rFonts w:ascii="Verdana" w:hAnsi="Verdana"/>
          <w:i/>
          <w:iCs/>
          <w:sz w:val="18"/>
          <w:szCs w:val="18"/>
        </w:rPr>
        <w:t xml:space="preserve"> positivo) </w:t>
      </w:r>
    </w:p>
    <w:p w:rsidR="003B3DB3" w:rsidP="003B3DB3" w:rsidRDefault="003B3DB3" w14:paraId="0AA23EF7" w14:textId="77777777">
      <w:pPr>
        <w:spacing w:line="360" w:lineRule="auto"/>
      </w:pPr>
      <w:r w:rsidRPr="7917D714">
        <w:rPr>
          <w:rFonts w:ascii="Verdana" w:hAnsi="Verdana"/>
          <w:sz w:val="18"/>
          <w:szCs w:val="18"/>
        </w:rPr>
        <w:t xml:space="preserve">Niet van </w:t>
      </w:r>
      <w:r w:rsidRPr="591B4D0C">
        <w:rPr>
          <w:rFonts w:ascii="Verdana" w:hAnsi="Verdana"/>
          <w:sz w:val="18"/>
          <w:szCs w:val="18"/>
        </w:rPr>
        <w:t>toepassing</w:t>
      </w:r>
      <w:r w:rsidRPr="498D057B">
        <w:rPr>
          <w:rFonts w:ascii="Verdana" w:hAnsi="Verdana"/>
          <w:sz w:val="18"/>
          <w:szCs w:val="18"/>
        </w:rPr>
        <w:t>.</w:t>
      </w:r>
    </w:p>
    <w:p w:rsidR="003B3DB3" w:rsidP="003B3DB3" w:rsidRDefault="003B3DB3" w14:paraId="0D563258" w14:textId="77777777">
      <w:pPr>
        <w:spacing w:line="360" w:lineRule="auto"/>
        <w:rPr>
          <w:rFonts w:ascii="Verdana" w:hAnsi="Verdana"/>
          <w:sz w:val="18"/>
          <w:szCs w:val="18"/>
        </w:rPr>
      </w:pPr>
    </w:p>
    <w:p w:rsidRPr="0084323F" w:rsidR="003B3DB3" w:rsidP="203A7120" w:rsidRDefault="003B3DB3" w14:paraId="3ED61EAE" w14:textId="77777777">
      <w:pPr>
        <w:numPr>
          <w:ilvl w:val="0"/>
          <w:numId w:val="6"/>
        </w:numPr>
        <w:suppressAutoHyphens/>
        <w:spacing w:line="360" w:lineRule="auto"/>
        <w:rPr>
          <w:rFonts w:ascii="Verdana" w:hAnsi="Verdana"/>
          <w:i/>
          <w:iCs/>
          <w:sz w:val="18"/>
          <w:szCs w:val="18"/>
        </w:rPr>
      </w:pPr>
      <w:r w:rsidRPr="203A7120">
        <w:rPr>
          <w:rFonts w:ascii="Verdana" w:hAnsi="Verdana"/>
          <w:i/>
          <w:iCs/>
          <w:sz w:val="18"/>
          <w:szCs w:val="18"/>
        </w:rPr>
        <w:t>Gedelegeerde en/of uitvoeringshandelingen, incl. NL-beoordeling daarvan</w:t>
      </w:r>
    </w:p>
    <w:p w:rsidRPr="00862105" w:rsidR="00771421" w:rsidP="00862105" w:rsidRDefault="00771421" w14:paraId="3D499F8D" w14:textId="02D8E187">
      <w:pPr>
        <w:spacing w:line="360" w:lineRule="auto"/>
        <w:rPr>
          <w:rFonts w:ascii="Verdana" w:hAnsi="Verdana" w:eastAsia="Verdana" w:cs="Verdana"/>
          <w:sz w:val="18"/>
          <w:szCs w:val="18"/>
        </w:rPr>
      </w:pPr>
      <w:r w:rsidRPr="00862105">
        <w:rPr>
          <w:rFonts w:ascii="Verdana" w:hAnsi="Verdana" w:eastAsia="Verdana" w:cs="Verdana"/>
          <w:sz w:val="18"/>
          <w:szCs w:val="18"/>
        </w:rPr>
        <w:t xml:space="preserve">Het voorstel bevat een bevoegdheid voor de Commissie om gedelegeerde handelingen vast te stellen (artikel 11 lid 4 en artikel 13). Artikel 11 lid 4 verplicht de Commissie om de verordening aan te vullen met de selectiecriteria en -procedure voor grensoverschrijdende projecten op gebied van hernieuwbare energie. Artikel 13 geeft de Commissie de bevoegdheid om </w:t>
      </w:r>
      <w:r w:rsidR="0069645E">
        <w:rPr>
          <w:rFonts w:ascii="Verdana" w:hAnsi="Verdana" w:eastAsia="Verdana" w:cs="Verdana"/>
          <w:sz w:val="18"/>
          <w:szCs w:val="18"/>
        </w:rPr>
        <w:t xml:space="preserve">overeenkomstig artikel 15 </w:t>
      </w:r>
      <w:r w:rsidRPr="00862105">
        <w:rPr>
          <w:rFonts w:ascii="Verdana" w:hAnsi="Verdana" w:eastAsia="Verdana" w:cs="Verdana"/>
          <w:sz w:val="18"/>
          <w:szCs w:val="18"/>
        </w:rPr>
        <w:t xml:space="preserve">gedelegeerde handelingen vast te stellen om de bijlage bij de verordening te wijzigen (de indicatieve lijst van projecten van gemeenschappelijk belang met een grensoverschrijdend </w:t>
      </w:r>
      <w:r w:rsidRPr="00862105">
        <w:rPr>
          <w:rFonts w:ascii="Verdana" w:hAnsi="Verdana"/>
          <w:sz w:val="18"/>
          <w:szCs w:val="18"/>
        </w:rPr>
        <w:t>karakter).</w:t>
      </w:r>
      <w:r w:rsidRPr="00862105">
        <w:rPr>
          <w:rFonts w:ascii="Verdana" w:hAnsi="Verdana" w:eastAsia="Verdana" w:cs="Verdana"/>
          <w:sz w:val="18"/>
          <w:szCs w:val="18"/>
        </w:rPr>
        <w:t xml:space="preserve"> </w:t>
      </w:r>
      <w:r w:rsidR="0069645E">
        <w:rPr>
          <w:rFonts w:ascii="Verdana" w:hAnsi="Verdana" w:eastAsia="Verdana" w:cs="Verdana"/>
          <w:sz w:val="18"/>
          <w:szCs w:val="18"/>
        </w:rPr>
        <w:t xml:space="preserve">Het kabinet merkt op dat de verwijzing naar artikel 15 onjuist is; dit moet artikel 14 zijn. </w:t>
      </w:r>
      <w:r w:rsidRPr="00862105">
        <w:rPr>
          <w:rFonts w:ascii="Verdana" w:hAnsi="Verdana" w:eastAsia="Verdana" w:cs="Verdana"/>
          <w:sz w:val="18"/>
          <w:szCs w:val="18"/>
        </w:rPr>
        <w:t xml:space="preserve">Toekenning van deze bevoegdheid aan de Commissie is mogelijk </w:t>
      </w:r>
      <w:r w:rsidR="00CB2310">
        <w:rPr>
          <w:rFonts w:ascii="Verdana" w:hAnsi="Verdana" w:eastAsia="Verdana" w:cs="Verdana"/>
          <w:sz w:val="18"/>
          <w:szCs w:val="18"/>
        </w:rPr>
        <w:t>omdat het niet-</w:t>
      </w:r>
      <w:r w:rsidR="0069645E">
        <w:rPr>
          <w:rFonts w:ascii="Verdana" w:hAnsi="Verdana" w:eastAsia="Verdana" w:cs="Verdana"/>
          <w:sz w:val="18"/>
          <w:szCs w:val="18"/>
        </w:rPr>
        <w:t>essentiële</w:t>
      </w:r>
      <w:r w:rsidR="00CB2310">
        <w:rPr>
          <w:rFonts w:ascii="Verdana" w:hAnsi="Verdana" w:eastAsia="Verdana" w:cs="Verdana"/>
          <w:sz w:val="18"/>
          <w:szCs w:val="18"/>
        </w:rPr>
        <w:t xml:space="preserve"> onderde</w:t>
      </w:r>
      <w:r w:rsidR="0069645E">
        <w:rPr>
          <w:rFonts w:ascii="Verdana" w:hAnsi="Verdana" w:eastAsia="Verdana" w:cs="Verdana"/>
          <w:sz w:val="18"/>
          <w:szCs w:val="18"/>
        </w:rPr>
        <w:t>len</w:t>
      </w:r>
      <w:r w:rsidR="00CB2310">
        <w:rPr>
          <w:rFonts w:ascii="Verdana" w:hAnsi="Verdana" w:eastAsia="Verdana" w:cs="Verdana"/>
          <w:sz w:val="18"/>
          <w:szCs w:val="18"/>
        </w:rPr>
        <w:t xml:space="preserve"> van </w:t>
      </w:r>
      <w:r w:rsidR="0069645E">
        <w:rPr>
          <w:rFonts w:ascii="Verdana" w:hAnsi="Verdana" w:eastAsia="Verdana" w:cs="Verdana"/>
          <w:sz w:val="18"/>
          <w:szCs w:val="18"/>
        </w:rPr>
        <w:t xml:space="preserve">het voorstel </w:t>
      </w:r>
      <w:r w:rsidR="00CB2310">
        <w:rPr>
          <w:rFonts w:ascii="Verdana" w:hAnsi="Verdana" w:eastAsia="Verdana" w:cs="Verdana"/>
          <w:sz w:val="18"/>
          <w:szCs w:val="18"/>
        </w:rPr>
        <w:t>betreft. Toekenning van de delegatiebevoegdhe</w:t>
      </w:r>
      <w:r w:rsidR="0069645E">
        <w:rPr>
          <w:rFonts w:ascii="Verdana" w:hAnsi="Verdana" w:eastAsia="Verdana" w:cs="Verdana"/>
          <w:sz w:val="18"/>
          <w:szCs w:val="18"/>
        </w:rPr>
        <w:t>den</w:t>
      </w:r>
      <w:r w:rsidR="00CB2310">
        <w:rPr>
          <w:rFonts w:ascii="Verdana" w:hAnsi="Verdana" w:eastAsia="Verdana" w:cs="Verdana"/>
          <w:sz w:val="18"/>
          <w:szCs w:val="18"/>
        </w:rPr>
        <w:t xml:space="preserve"> is ook </w:t>
      </w:r>
      <w:r w:rsidRPr="00862105">
        <w:rPr>
          <w:rFonts w:ascii="Verdana" w:hAnsi="Verdana" w:eastAsia="Verdana" w:cs="Verdana"/>
          <w:sz w:val="18"/>
          <w:szCs w:val="18"/>
        </w:rPr>
        <w:t>wenselijk</w:t>
      </w:r>
      <w:r w:rsidR="00CB2310">
        <w:rPr>
          <w:rFonts w:ascii="Verdana" w:hAnsi="Verdana" w:eastAsia="Verdana" w:cs="Verdana"/>
          <w:sz w:val="18"/>
          <w:szCs w:val="18"/>
        </w:rPr>
        <w:t xml:space="preserve"> omdat daarmee voorzien kan worden in de benodigde flexibiliteit voor het aanpassen van de lijst van projecten</w:t>
      </w:r>
      <w:r w:rsidRPr="00862105">
        <w:rPr>
          <w:rFonts w:ascii="Verdana" w:hAnsi="Verdana" w:eastAsia="Verdana" w:cs="Verdana"/>
          <w:sz w:val="18"/>
          <w:szCs w:val="18"/>
        </w:rPr>
        <w:t xml:space="preserve">. </w:t>
      </w:r>
      <w:r>
        <w:rPr>
          <w:rFonts w:ascii="Verdana" w:hAnsi="Verdana" w:eastAsia="Verdana" w:cs="Verdana"/>
          <w:sz w:val="18"/>
          <w:szCs w:val="18"/>
        </w:rPr>
        <w:t xml:space="preserve">Het kabinet zet wel in op een bespreking van de bijlage tijdens de onderhandelingen, zoals toegelicht in 3b. </w:t>
      </w:r>
    </w:p>
    <w:p w:rsidR="00771421" w:rsidP="003B3DB3" w:rsidRDefault="00771421" w14:paraId="2775B7CA" w14:textId="77777777">
      <w:pPr>
        <w:spacing w:line="360" w:lineRule="auto"/>
        <w:rPr>
          <w:rFonts w:ascii="Verdana" w:hAnsi="Verdana" w:eastAsia="Verdana" w:cs="Verdana"/>
          <w:sz w:val="18"/>
          <w:szCs w:val="18"/>
        </w:rPr>
      </w:pPr>
    </w:p>
    <w:p w:rsidRPr="00895F36" w:rsidR="0069645E" w:rsidP="0069645E" w:rsidRDefault="00E43CEA" w14:paraId="16DD3334" w14:textId="75C4F4D7">
      <w:pPr>
        <w:tabs>
          <w:tab w:val="left" w:pos="-426"/>
        </w:tabs>
        <w:suppressAutoHyphens/>
        <w:spacing w:line="360" w:lineRule="auto"/>
        <w:rPr>
          <w:rFonts w:ascii="Verdana" w:hAnsi="Verdana"/>
          <w:bCs/>
          <w:sz w:val="18"/>
          <w:szCs w:val="18"/>
        </w:rPr>
      </w:pPr>
      <w:r>
        <w:rPr>
          <w:rFonts w:ascii="Verdana" w:hAnsi="Verdana"/>
          <w:bCs/>
          <w:sz w:val="18"/>
          <w:szCs w:val="18"/>
        </w:rPr>
        <w:t xml:space="preserve">Het kabinet acht deze gedelegeerde bevoegdheid voldoende afgebakend. </w:t>
      </w:r>
      <w:r w:rsidRPr="00895F36" w:rsidR="0069645E">
        <w:rPr>
          <w:rFonts w:ascii="Verdana" w:hAnsi="Verdana"/>
          <w:bCs/>
          <w:sz w:val="18"/>
          <w:szCs w:val="18"/>
        </w:rPr>
        <w:t xml:space="preserve">Artikel </w:t>
      </w:r>
      <w:r w:rsidR="0069645E">
        <w:rPr>
          <w:rFonts w:ascii="Verdana" w:hAnsi="Verdana"/>
          <w:bCs/>
          <w:sz w:val="18"/>
          <w:szCs w:val="18"/>
        </w:rPr>
        <w:t>14</w:t>
      </w:r>
      <w:r w:rsidRPr="00895F36" w:rsidR="0069645E">
        <w:rPr>
          <w:rFonts w:ascii="Verdana" w:hAnsi="Verdana"/>
          <w:bCs/>
          <w:sz w:val="18"/>
          <w:szCs w:val="18"/>
        </w:rPr>
        <w:t xml:space="preserve"> bakent de gedelegeerde bevoegdheid procedureel af overeenkomstig de afspraken uit het </w:t>
      </w:r>
      <w:proofErr w:type="spellStart"/>
      <w:r w:rsidRPr="00895F36" w:rsidR="0069645E">
        <w:rPr>
          <w:rFonts w:ascii="Verdana" w:hAnsi="Verdana"/>
          <w:bCs/>
          <w:sz w:val="18"/>
          <w:szCs w:val="18"/>
        </w:rPr>
        <w:t>Interinstitutioneel</w:t>
      </w:r>
      <w:proofErr w:type="spellEnd"/>
      <w:r w:rsidRPr="00895F36" w:rsidR="0069645E">
        <w:rPr>
          <w:rFonts w:ascii="Verdana" w:hAnsi="Verdana"/>
          <w:bCs/>
          <w:sz w:val="18"/>
          <w:szCs w:val="18"/>
        </w:rPr>
        <w:t xml:space="preserve"> Akkoord </w:t>
      </w:r>
      <w:r>
        <w:rPr>
          <w:rFonts w:ascii="Verdana" w:hAnsi="Verdana"/>
          <w:bCs/>
          <w:sz w:val="18"/>
          <w:szCs w:val="18"/>
        </w:rPr>
        <w:t xml:space="preserve">Beter Wetgeven </w:t>
      </w:r>
      <w:r w:rsidR="0069645E">
        <w:rPr>
          <w:rFonts w:ascii="Verdana" w:hAnsi="Verdana"/>
          <w:bCs/>
          <w:sz w:val="18"/>
          <w:szCs w:val="18"/>
        </w:rPr>
        <w:t>(I</w:t>
      </w:r>
      <w:r>
        <w:rPr>
          <w:rFonts w:ascii="Verdana" w:hAnsi="Verdana"/>
          <w:bCs/>
          <w:sz w:val="18"/>
          <w:szCs w:val="18"/>
        </w:rPr>
        <w:t>I</w:t>
      </w:r>
      <w:r w:rsidR="0069645E">
        <w:rPr>
          <w:rFonts w:ascii="Verdana" w:hAnsi="Verdana"/>
          <w:bCs/>
          <w:sz w:val="18"/>
          <w:szCs w:val="18"/>
        </w:rPr>
        <w:t xml:space="preserve">A) </w:t>
      </w:r>
      <w:r w:rsidRPr="00895F36" w:rsidR="0069645E">
        <w:rPr>
          <w:rFonts w:ascii="Verdana" w:hAnsi="Verdana"/>
          <w:bCs/>
          <w:sz w:val="18"/>
          <w:szCs w:val="18"/>
        </w:rPr>
        <w:t xml:space="preserve">tussen het Europees Parlement, de Raad van de Europese Unie en de Europese Commissie. De gedelegeerde bevoegdheid geldt </w:t>
      </w:r>
      <w:r w:rsidR="0069645E">
        <w:rPr>
          <w:rFonts w:ascii="Verdana" w:hAnsi="Verdana"/>
          <w:bCs/>
          <w:sz w:val="18"/>
          <w:szCs w:val="18"/>
        </w:rPr>
        <w:t>tot 31 december 2034. Omdat dit de datum is waarop dit CEF-programma afloopt</w:t>
      </w:r>
      <w:r w:rsidRPr="00895F36" w:rsidR="0069645E">
        <w:rPr>
          <w:rFonts w:ascii="Verdana" w:hAnsi="Verdana"/>
          <w:bCs/>
          <w:sz w:val="18"/>
          <w:szCs w:val="18"/>
        </w:rPr>
        <w:t xml:space="preserve">, </w:t>
      </w:r>
      <w:r w:rsidR="0069645E">
        <w:rPr>
          <w:rFonts w:ascii="Verdana" w:hAnsi="Verdana"/>
          <w:bCs/>
          <w:sz w:val="18"/>
          <w:szCs w:val="18"/>
        </w:rPr>
        <w:t>hoeft het voorstel niet te voorzien in een verlenging van de bevoegdheidsdelegatie. De Commissie moet bij het voorbereiden van gedelegeerde handelingen door elke lidstaat aangewezen deskundigen raadplegen, en het Europees Parlement en de Raad hebben een recht van bezwaar.</w:t>
      </w:r>
    </w:p>
    <w:p w:rsidR="0069645E" w:rsidP="003B3DB3" w:rsidRDefault="0069645E" w14:paraId="299E280B" w14:textId="77777777">
      <w:pPr>
        <w:spacing w:line="360" w:lineRule="auto"/>
        <w:rPr>
          <w:rFonts w:ascii="Verdana" w:hAnsi="Verdana" w:eastAsia="Verdana" w:cs="Verdana"/>
          <w:sz w:val="18"/>
          <w:szCs w:val="18"/>
        </w:rPr>
      </w:pPr>
    </w:p>
    <w:p w:rsidR="00771421" w:rsidP="003B3DB3" w:rsidRDefault="00771421" w14:paraId="2F851382" w14:textId="6D9612C0">
      <w:pPr>
        <w:spacing w:line="360" w:lineRule="auto"/>
        <w:rPr>
          <w:rFonts w:ascii="Verdana" w:hAnsi="Verdana"/>
          <w:bCs/>
          <w:sz w:val="18"/>
          <w:szCs w:val="18"/>
        </w:rPr>
      </w:pPr>
      <w:r>
        <w:rPr>
          <w:rFonts w:ascii="Verdana" w:hAnsi="Verdana" w:eastAsia="Verdana" w:cs="Verdana"/>
          <w:sz w:val="18"/>
          <w:szCs w:val="18"/>
        </w:rPr>
        <w:t xml:space="preserve">Het voorstel bevat twee grondslagen voor de vaststelling van uitvoeringshandelingen (artikel 12 lid 3 en artikel 16). Artikel 12 lid 3 verplicht de Commissie om </w:t>
      </w:r>
      <w:r w:rsidRPr="00033B30">
        <w:rPr>
          <w:rFonts w:ascii="Verdana" w:hAnsi="Verdana" w:eastAsia="Verdana" w:cs="Verdana"/>
          <w:sz w:val="18"/>
          <w:szCs w:val="18"/>
        </w:rPr>
        <w:t>uitvoeringshandelingen vast te stellen over de werkprogramma’s van CEF.</w:t>
      </w:r>
      <w:r>
        <w:rPr>
          <w:rFonts w:ascii="Verdana" w:hAnsi="Verdana" w:eastAsia="Verdana" w:cs="Verdana"/>
          <w:sz w:val="18"/>
          <w:szCs w:val="18"/>
        </w:rPr>
        <w:t xml:space="preserve"> </w:t>
      </w:r>
      <w:r>
        <w:rPr>
          <w:rFonts w:ascii="Verdana" w:hAnsi="Verdana"/>
          <w:bCs/>
          <w:sz w:val="18"/>
          <w:szCs w:val="18"/>
        </w:rPr>
        <w:t xml:space="preserve">Toekenning van deze uitvoeringsbevoegdheid aan de Commissie is </w:t>
      </w:r>
      <w:r w:rsidR="001260D6">
        <w:rPr>
          <w:rFonts w:ascii="Verdana" w:hAnsi="Verdana"/>
          <w:bCs/>
          <w:sz w:val="18"/>
          <w:szCs w:val="18"/>
        </w:rPr>
        <w:t xml:space="preserve">niet </w:t>
      </w:r>
      <w:r>
        <w:rPr>
          <w:rFonts w:ascii="Verdana" w:hAnsi="Verdana"/>
          <w:bCs/>
          <w:sz w:val="18"/>
          <w:szCs w:val="18"/>
        </w:rPr>
        <w:t xml:space="preserve">mogelijk omdat het essentiële onderdelen van </w:t>
      </w:r>
      <w:r w:rsidR="001260D6">
        <w:rPr>
          <w:rFonts w:ascii="Verdana" w:hAnsi="Verdana"/>
          <w:bCs/>
          <w:sz w:val="18"/>
          <w:szCs w:val="18"/>
        </w:rPr>
        <w:t>het voorstel</w:t>
      </w:r>
      <w:r w:rsidR="00AD4684">
        <w:rPr>
          <w:rFonts w:ascii="Verdana" w:hAnsi="Verdana"/>
          <w:bCs/>
          <w:sz w:val="18"/>
          <w:szCs w:val="18"/>
        </w:rPr>
        <w:t xml:space="preserve"> </w:t>
      </w:r>
      <w:r>
        <w:rPr>
          <w:rFonts w:ascii="Verdana" w:hAnsi="Verdana"/>
          <w:bCs/>
          <w:sz w:val="18"/>
          <w:szCs w:val="18"/>
        </w:rPr>
        <w:t xml:space="preserve">betreft. </w:t>
      </w:r>
      <w:r w:rsidR="00C33081">
        <w:rPr>
          <w:rFonts w:ascii="Verdana" w:hAnsi="Verdana"/>
          <w:bCs/>
          <w:sz w:val="18"/>
          <w:szCs w:val="18"/>
        </w:rPr>
        <w:t>De inhoud van de werkprogramma’s is in het huidige voorstel niet voldoende ingekaderd</w:t>
      </w:r>
      <w:r w:rsidRPr="00681329" w:rsidR="00C33081">
        <w:rPr>
          <w:rFonts w:ascii="Verdana" w:hAnsi="Verdana" w:eastAsia="Verdana" w:cs="Verdana"/>
          <w:sz w:val="18"/>
          <w:szCs w:val="18"/>
        </w:rPr>
        <w:t xml:space="preserve"> </w:t>
      </w:r>
      <w:r w:rsidRPr="00033B30" w:rsidR="00C33081">
        <w:rPr>
          <w:rFonts w:ascii="Verdana" w:hAnsi="Verdana" w:eastAsia="Verdana" w:cs="Verdana"/>
          <w:sz w:val="18"/>
          <w:szCs w:val="18"/>
        </w:rPr>
        <w:t>zoals toegelicht in 3b)</w:t>
      </w:r>
      <w:r w:rsidR="00C33081">
        <w:rPr>
          <w:rFonts w:ascii="Verdana" w:hAnsi="Verdana"/>
          <w:bCs/>
          <w:sz w:val="18"/>
          <w:szCs w:val="18"/>
        </w:rPr>
        <w:t xml:space="preserve">. </w:t>
      </w:r>
      <w:r>
        <w:rPr>
          <w:rFonts w:ascii="Verdana" w:hAnsi="Verdana"/>
          <w:bCs/>
          <w:sz w:val="18"/>
          <w:szCs w:val="18"/>
        </w:rPr>
        <w:t xml:space="preserve">De toekenning van deze bevoegdheden is volgens het kabinet </w:t>
      </w:r>
      <w:r w:rsidR="00AD4684">
        <w:rPr>
          <w:rFonts w:ascii="Verdana" w:hAnsi="Verdana"/>
          <w:bCs/>
          <w:sz w:val="18"/>
          <w:szCs w:val="18"/>
        </w:rPr>
        <w:t xml:space="preserve">echter </w:t>
      </w:r>
      <w:r w:rsidR="00CB07A7">
        <w:rPr>
          <w:rFonts w:ascii="Verdana" w:hAnsi="Verdana"/>
          <w:bCs/>
          <w:sz w:val="18"/>
          <w:szCs w:val="18"/>
        </w:rPr>
        <w:t xml:space="preserve">wel </w:t>
      </w:r>
      <w:r>
        <w:rPr>
          <w:rFonts w:ascii="Verdana" w:hAnsi="Verdana"/>
          <w:bCs/>
          <w:sz w:val="18"/>
          <w:szCs w:val="18"/>
        </w:rPr>
        <w:t>wenselijk,</w:t>
      </w:r>
      <w:r w:rsidRPr="00F02245">
        <w:rPr>
          <w:rFonts w:ascii="Verdana" w:hAnsi="Verdana" w:eastAsia="Verdana" w:cs="Verdana"/>
          <w:sz w:val="18"/>
          <w:szCs w:val="18"/>
        </w:rPr>
        <w:t xml:space="preserve"> </w:t>
      </w:r>
      <w:r w:rsidR="00CB07A7">
        <w:rPr>
          <w:rFonts w:ascii="Verdana" w:hAnsi="Verdana" w:eastAsia="Verdana" w:cs="Verdana"/>
          <w:sz w:val="18"/>
          <w:szCs w:val="18"/>
        </w:rPr>
        <w:t xml:space="preserve">omdat daarmee voorzien wordt in de benodigde snelheid om de werkprogramma’s vast te stellen. </w:t>
      </w:r>
      <w:r w:rsidR="00095ADE">
        <w:rPr>
          <w:rFonts w:ascii="Verdana" w:hAnsi="Verdana" w:eastAsia="Verdana" w:cs="Verdana"/>
          <w:sz w:val="18"/>
          <w:szCs w:val="18"/>
        </w:rPr>
        <w:t xml:space="preserve">Het kabinet zet in op het opnemen van essentiële onderdelen in de tekst van de verordening, waarna toekenning van deze bevoegdheden wel </w:t>
      </w:r>
      <w:r w:rsidR="007E441E">
        <w:rPr>
          <w:rFonts w:ascii="Verdana" w:hAnsi="Verdana" w:eastAsia="Verdana" w:cs="Verdana"/>
          <w:sz w:val="18"/>
          <w:szCs w:val="18"/>
        </w:rPr>
        <w:t xml:space="preserve">mogelijk </w:t>
      </w:r>
      <w:r w:rsidR="00095ADE">
        <w:rPr>
          <w:rFonts w:ascii="Verdana" w:hAnsi="Verdana" w:eastAsia="Verdana" w:cs="Verdana"/>
          <w:sz w:val="18"/>
          <w:szCs w:val="18"/>
        </w:rPr>
        <w:t>wordt.</w:t>
      </w:r>
      <w:r w:rsidRPr="00033B30">
        <w:rPr>
          <w:rFonts w:ascii="Verdana" w:hAnsi="Verdana" w:eastAsia="Verdana" w:cs="Verdana"/>
          <w:sz w:val="18"/>
          <w:szCs w:val="18"/>
        </w:rPr>
        <w:t xml:space="preserve"> </w:t>
      </w:r>
      <w:r>
        <w:rPr>
          <w:rFonts w:ascii="Verdana" w:hAnsi="Verdana"/>
          <w:bCs/>
          <w:sz w:val="18"/>
          <w:szCs w:val="18"/>
        </w:rPr>
        <w:t xml:space="preserve">De keuze voor uitvoering in plaats van delegatie ligt hier voor de hand, omdat het gaat om uitvoering van de verordening volgens </w:t>
      </w:r>
      <w:r>
        <w:rPr>
          <w:rFonts w:ascii="Verdana" w:hAnsi="Verdana"/>
          <w:bCs/>
          <w:sz w:val="18"/>
          <w:szCs w:val="18"/>
        </w:rPr>
        <w:lastRenderedPageBreak/>
        <w:t xml:space="preserve">eenvormige voorwaarden. De uitvoeringshandelingen moeten worden vastgesteld volgens de </w:t>
      </w:r>
      <w:r w:rsidR="007E441E">
        <w:rPr>
          <w:rFonts w:ascii="Verdana" w:hAnsi="Verdana"/>
          <w:bCs/>
          <w:sz w:val="18"/>
          <w:szCs w:val="18"/>
        </w:rPr>
        <w:t>raadplegings</w:t>
      </w:r>
      <w:r>
        <w:rPr>
          <w:rFonts w:ascii="Verdana" w:hAnsi="Verdana"/>
          <w:bCs/>
          <w:sz w:val="18"/>
          <w:szCs w:val="18"/>
        </w:rPr>
        <w:t xml:space="preserve">procedure als bedoeld in artikel 4 van verordening 182/2011. Toepassing van deze procedure is volgens het kabinet </w:t>
      </w:r>
      <w:r w:rsidR="0069451B">
        <w:rPr>
          <w:rFonts w:ascii="Verdana" w:hAnsi="Verdana"/>
          <w:bCs/>
          <w:sz w:val="18"/>
          <w:szCs w:val="18"/>
        </w:rPr>
        <w:t>niet</w:t>
      </w:r>
      <w:r>
        <w:rPr>
          <w:rFonts w:ascii="Verdana" w:hAnsi="Verdana"/>
          <w:bCs/>
          <w:sz w:val="18"/>
          <w:szCs w:val="18"/>
        </w:rPr>
        <w:t xml:space="preserve"> op zijn plaats omdat </w:t>
      </w:r>
      <w:r w:rsidR="0069451B">
        <w:rPr>
          <w:rFonts w:ascii="Verdana" w:hAnsi="Verdana"/>
          <w:bCs/>
          <w:sz w:val="18"/>
          <w:szCs w:val="18"/>
        </w:rPr>
        <w:t xml:space="preserve">de onderzoeksprocedure de aangewezen procedure is als het gaat om programma’s met een aanzienlijke implicatie, op basis </w:t>
      </w:r>
      <w:r>
        <w:rPr>
          <w:rFonts w:ascii="Verdana" w:hAnsi="Verdana"/>
          <w:bCs/>
          <w:sz w:val="18"/>
          <w:szCs w:val="18"/>
        </w:rPr>
        <w:t>artikel 2</w:t>
      </w:r>
      <w:r w:rsidR="00AD4684">
        <w:rPr>
          <w:rFonts w:ascii="Verdana" w:hAnsi="Verdana"/>
          <w:bCs/>
          <w:sz w:val="18"/>
          <w:szCs w:val="18"/>
        </w:rPr>
        <w:t>, lid 2, sub b, onder i)</w:t>
      </w:r>
      <w:r>
        <w:rPr>
          <w:rFonts w:ascii="Verdana" w:hAnsi="Verdana"/>
          <w:bCs/>
          <w:sz w:val="18"/>
          <w:szCs w:val="18"/>
        </w:rPr>
        <w:t xml:space="preserve"> van </w:t>
      </w:r>
      <w:r w:rsidR="0069451B">
        <w:rPr>
          <w:rFonts w:ascii="Verdana" w:hAnsi="Verdana"/>
          <w:bCs/>
          <w:sz w:val="18"/>
          <w:szCs w:val="18"/>
        </w:rPr>
        <w:t>Verordening (EU)</w:t>
      </w:r>
      <w:r>
        <w:rPr>
          <w:rFonts w:ascii="Verdana" w:hAnsi="Verdana"/>
          <w:bCs/>
          <w:sz w:val="18"/>
          <w:szCs w:val="18"/>
        </w:rPr>
        <w:t xml:space="preserve"> 182/2011. </w:t>
      </w:r>
      <w:r w:rsidR="0069451B">
        <w:rPr>
          <w:rFonts w:ascii="Verdana" w:hAnsi="Verdana"/>
          <w:bCs/>
          <w:sz w:val="18"/>
          <w:szCs w:val="18"/>
        </w:rPr>
        <w:t xml:space="preserve">De </w:t>
      </w:r>
      <w:r w:rsidR="00AD4684">
        <w:rPr>
          <w:rFonts w:ascii="Verdana" w:hAnsi="Verdana"/>
          <w:bCs/>
          <w:sz w:val="18"/>
          <w:szCs w:val="18"/>
        </w:rPr>
        <w:t xml:space="preserve">voorgestelde </w:t>
      </w:r>
      <w:r w:rsidR="0069451B">
        <w:rPr>
          <w:rFonts w:ascii="Verdana" w:hAnsi="Verdana"/>
          <w:bCs/>
          <w:sz w:val="18"/>
          <w:szCs w:val="18"/>
        </w:rPr>
        <w:t xml:space="preserve">CEF-verordening is een </w:t>
      </w:r>
      <w:r w:rsidR="00CD3F5C">
        <w:rPr>
          <w:rFonts w:ascii="Verdana" w:hAnsi="Verdana"/>
          <w:bCs/>
          <w:sz w:val="18"/>
          <w:szCs w:val="18"/>
        </w:rPr>
        <w:t>MFK-</w:t>
      </w:r>
      <w:r w:rsidR="0069451B">
        <w:rPr>
          <w:rFonts w:ascii="Verdana" w:hAnsi="Verdana"/>
          <w:bCs/>
          <w:sz w:val="18"/>
          <w:szCs w:val="18"/>
        </w:rPr>
        <w:t xml:space="preserve">programma </w:t>
      </w:r>
      <w:r w:rsidR="00CD3F5C">
        <w:rPr>
          <w:rFonts w:ascii="Verdana" w:hAnsi="Verdana"/>
          <w:bCs/>
          <w:sz w:val="18"/>
          <w:szCs w:val="18"/>
        </w:rPr>
        <w:t>als aanvulling op de nationale begroting om infrastructurele projecten te co-financieren</w:t>
      </w:r>
      <w:r w:rsidR="0069451B">
        <w:rPr>
          <w:rFonts w:ascii="Verdana" w:hAnsi="Verdana"/>
          <w:bCs/>
          <w:sz w:val="18"/>
          <w:szCs w:val="18"/>
        </w:rPr>
        <w:t xml:space="preserve"> en daarom zou de onderzoeksprocedure in plaats van de </w:t>
      </w:r>
      <w:r w:rsidR="00C54228">
        <w:rPr>
          <w:rFonts w:ascii="Verdana" w:hAnsi="Verdana"/>
          <w:bCs/>
          <w:sz w:val="18"/>
          <w:szCs w:val="18"/>
        </w:rPr>
        <w:t>raadplegingsprocedure</w:t>
      </w:r>
      <w:r w:rsidR="0069451B">
        <w:rPr>
          <w:rFonts w:ascii="Verdana" w:hAnsi="Verdana"/>
          <w:bCs/>
          <w:sz w:val="18"/>
          <w:szCs w:val="18"/>
        </w:rPr>
        <w:t xml:space="preserve"> van toepassing moeten zijn. De Commissie </w:t>
      </w:r>
      <w:r w:rsidR="00C54228">
        <w:rPr>
          <w:rFonts w:ascii="Verdana" w:hAnsi="Verdana"/>
          <w:bCs/>
          <w:sz w:val="18"/>
          <w:szCs w:val="18"/>
        </w:rPr>
        <w:t xml:space="preserve">licht </w:t>
      </w:r>
      <w:r w:rsidR="0069451B">
        <w:rPr>
          <w:rFonts w:ascii="Verdana" w:hAnsi="Verdana"/>
          <w:bCs/>
          <w:sz w:val="18"/>
          <w:szCs w:val="18"/>
        </w:rPr>
        <w:t xml:space="preserve">in het voorstel </w:t>
      </w:r>
      <w:r w:rsidR="00C54228">
        <w:rPr>
          <w:rFonts w:ascii="Verdana" w:hAnsi="Verdana"/>
          <w:bCs/>
          <w:sz w:val="18"/>
          <w:szCs w:val="18"/>
        </w:rPr>
        <w:t xml:space="preserve">niet toe </w:t>
      </w:r>
      <w:r w:rsidR="0069451B">
        <w:rPr>
          <w:rFonts w:ascii="Verdana" w:hAnsi="Verdana"/>
          <w:bCs/>
          <w:sz w:val="18"/>
          <w:szCs w:val="18"/>
        </w:rPr>
        <w:t xml:space="preserve">waarom de </w:t>
      </w:r>
      <w:r w:rsidR="00C54228">
        <w:rPr>
          <w:rFonts w:ascii="Verdana" w:hAnsi="Verdana"/>
          <w:bCs/>
          <w:sz w:val="18"/>
          <w:szCs w:val="18"/>
        </w:rPr>
        <w:t>raadplegingsprocedure</w:t>
      </w:r>
      <w:r w:rsidR="0069451B">
        <w:rPr>
          <w:rFonts w:ascii="Verdana" w:hAnsi="Verdana"/>
          <w:bCs/>
          <w:sz w:val="18"/>
          <w:szCs w:val="18"/>
        </w:rPr>
        <w:t xml:space="preserve"> wordt voorgesteld in plaats van de onderzoeksprocedure. Het kabinet zal tijdens de onderhandelingen</w:t>
      </w:r>
      <w:r w:rsidR="00C54228">
        <w:rPr>
          <w:rFonts w:ascii="Verdana" w:hAnsi="Verdana"/>
          <w:bCs/>
          <w:sz w:val="18"/>
          <w:szCs w:val="18"/>
        </w:rPr>
        <w:t xml:space="preserve"> inzetten op het aanwijzen van de onderzoeksprocedure</w:t>
      </w:r>
      <w:r w:rsidR="0069451B">
        <w:rPr>
          <w:rFonts w:ascii="Verdana" w:hAnsi="Verdana"/>
          <w:bCs/>
          <w:sz w:val="18"/>
          <w:szCs w:val="18"/>
        </w:rPr>
        <w:t xml:space="preserve">. </w:t>
      </w:r>
    </w:p>
    <w:p w:rsidR="00771421" w:rsidP="003B3DB3" w:rsidRDefault="00771421" w14:paraId="503642FC" w14:textId="77777777">
      <w:pPr>
        <w:spacing w:line="360" w:lineRule="auto"/>
        <w:rPr>
          <w:rFonts w:ascii="Verdana" w:hAnsi="Verdana"/>
          <w:bCs/>
          <w:sz w:val="18"/>
          <w:szCs w:val="18"/>
        </w:rPr>
      </w:pPr>
    </w:p>
    <w:p w:rsidRPr="00862105" w:rsidR="00771421" w:rsidP="003B3DB3" w:rsidRDefault="00771421" w14:paraId="357893D1" w14:textId="067625BE">
      <w:pPr>
        <w:spacing w:line="360" w:lineRule="auto"/>
        <w:rPr>
          <w:rFonts w:ascii="Verdana" w:hAnsi="Verdana" w:eastAsia="Verdana" w:cs="Verdana"/>
          <w:sz w:val="18"/>
          <w:szCs w:val="18"/>
        </w:rPr>
      </w:pPr>
      <w:r>
        <w:rPr>
          <w:rFonts w:ascii="Verdana" w:hAnsi="Verdana" w:eastAsia="Verdana" w:cs="Verdana"/>
          <w:sz w:val="18"/>
          <w:szCs w:val="18"/>
        </w:rPr>
        <w:t xml:space="preserve">Daarnaast voorziet het voorstel in artikel 16 in een wijziging van de TEN-T verordening op basis waarvan de Commissie een uitvoeringshandeling kan vaststellen waarin zij </w:t>
      </w:r>
      <w:r w:rsidRPr="00857F6B">
        <w:rPr>
          <w:rFonts w:ascii="Verdana" w:hAnsi="Verdana" w:eastAsia="Verdana" w:cs="Verdana"/>
          <w:sz w:val="18"/>
          <w:szCs w:val="18"/>
        </w:rPr>
        <w:t>de infrastructurele vereisten</w:t>
      </w:r>
      <w:r>
        <w:rPr>
          <w:rFonts w:ascii="Verdana" w:hAnsi="Verdana" w:eastAsia="Verdana" w:cs="Verdana"/>
          <w:sz w:val="18"/>
          <w:szCs w:val="18"/>
        </w:rPr>
        <w:t xml:space="preserve"> van bepaalde</w:t>
      </w:r>
      <w:r w:rsidRPr="00857F6B">
        <w:rPr>
          <w:rFonts w:ascii="Verdana" w:hAnsi="Verdana" w:eastAsia="Verdana" w:cs="Verdana"/>
          <w:sz w:val="18"/>
          <w:szCs w:val="18"/>
        </w:rPr>
        <w:t xml:space="preserve"> infrastructuur</w:t>
      </w:r>
      <w:r>
        <w:rPr>
          <w:rFonts w:ascii="Verdana" w:hAnsi="Verdana" w:eastAsia="Verdana" w:cs="Verdana"/>
          <w:sz w:val="18"/>
          <w:szCs w:val="18"/>
        </w:rPr>
        <w:t xml:space="preserve"> (</w:t>
      </w:r>
      <w:proofErr w:type="spellStart"/>
      <w:r w:rsidRPr="005050C3">
        <w:rPr>
          <w:rFonts w:ascii="Verdana" w:hAnsi="Verdana" w:eastAsia="Verdana" w:cs="Verdana"/>
          <w:i/>
          <w:iCs/>
          <w:sz w:val="18"/>
          <w:szCs w:val="18"/>
        </w:rPr>
        <w:t>dual</w:t>
      </w:r>
      <w:proofErr w:type="spellEnd"/>
      <w:r w:rsidRPr="005050C3">
        <w:rPr>
          <w:rFonts w:ascii="Verdana" w:hAnsi="Verdana" w:eastAsia="Verdana" w:cs="Verdana"/>
          <w:i/>
          <w:iCs/>
          <w:sz w:val="18"/>
          <w:szCs w:val="18"/>
        </w:rPr>
        <w:t xml:space="preserve"> </w:t>
      </w:r>
      <w:proofErr w:type="spellStart"/>
      <w:r w:rsidRPr="005050C3">
        <w:rPr>
          <w:rFonts w:ascii="Verdana" w:hAnsi="Verdana" w:eastAsia="Verdana" w:cs="Verdana"/>
          <w:i/>
          <w:iCs/>
          <w:sz w:val="18"/>
          <w:szCs w:val="18"/>
        </w:rPr>
        <w:t>use</w:t>
      </w:r>
      <w:proofErr w:type="spellEnd"/>
      <w:r>
        <w:rPr>
          <w:rFonts w:ascii="Verdana" w:hAnsi="Verdana" w:eastAsia="Verdana" w:cs="Verdana"/>
          <w:sz w:val="18"/>
          <w:szCs w:val="18"/>
        </w:rPr>
        <w:t>)</w:t>
      </w:r>
      <w:r w:rsidRPr="00857F6B">
        <w:rPr>
          <w:rFonts w:ascii="Verdana" w:hAnsi="Verdana" w:eastAsia="Verdana" w:cs="Verdana"/>
          <w:sz w:val="18"/>
          <w:szCs w:val="18"/>
        </w:rPr>
        <w:t xml:space="preserve"> </w:t>
      </w:r>
      <w:r>
        <w:rPr>
          <w:rFonts w:ascii="Verdana" w:hAnsi="Verdana" w:eastAsia="Verdana" w:cs="Verdana"/>
          <w:sz w:val="18"/>
          <w:szCs w:val="18"/>
        </w:rPr>
        <w:t xml:space="preserve">specificeert. Onder de CEF-verordening 2021- 2027 beschikt de Commissie al over deze bevoegdheid. Het toekennen van deze uitvoeringsbevoegdheid onder de TEN-T verordening is mogelijk, </w:t>
      </w:r>
      <w:r>
        <w:rPr>
          <w:rFonts w:ascii="Verdana" w:hAnsi="Verdana"/>
          <w:bCs/>
          <w:sz w:val="18"/>
          <w:szCs w:val="18"/>
        </w:rPr>
        <w:t xml:space="preserve">omdat het geen essentiële onderdelen van de TEN-T verordening betreft. De toekenning van deze bevoegdheid is ook wenselijk, omdat </w:t>
      </w:r>
      <w:r w:rsidR="00401751">
        <w:rPr>
          <w:rFonts w:ascii="Verdana" w:hAnsi="Verdana"/>
          <w:bCs/>
          <w:sz w:val="18"/>
          <w:szCs w:val="18"/>
        </w:rPr>
        <w:t>hiermee niet de gewone wetgevingsprocedure hoeft te worden belast</w:t>
      </w:r>
      <w:r w:rsidR="003B0A71">
        <w:rPr>
          <w:rFonts w:ascii="Verdana" w:hAnsi="Verdana"/>
          <w:bCs/>
          <w:sz w:val="18"/>
          <w:szCs w:val="18"/>
        </w:rPr>
        <w:t xml:space="preserve">. Bovendien kan </w:t>
      </w:r>
      <w:r>
        <w:rPr>
          <w:rFonts w:ascii="Verdana" w:hAnsi="Verdana"/>
          <w:bCs/>
          <w:sz w:val="18"/>
          <w:szCs w:val="18"/>
        </w:rPr>
        <w:t>het kabinet zich vinden in de onderbouwing dat de</w:t>
      </w:r>
      <w:r w:rsidR="003B0A71">
        <w:rPr>
          <w:rFonts w:ascii="Verdana" w:hAnsi="Verdana"/>
          <w:bCs/>
          <w:sz w:val="18"/>
          <w:szCs w:val="18"/>
        </w:rPr>
        <w:t xml:space="preserve">ze </w:t>
      </w:r>
      <w:r w:rsidR="000E303A">
        <w:rPr>
          <w:rFonts w:ascii="Verdana" w:hAnsi="Verdana"/>
          <w:bCs/>
          <w:sz w:val="18"/>
          <w:szCs w:val="18"/>
        </w:rPr>
        <w:t>bevoegdheid meer op zijn plaats is in de</w:t>
      </w:r>
      <w:r>
        <w:rPr>
          <w:rFonts w:ascii="Verdana" w:hAnsi="Verdana"/>
          <w:bCs/>
          <w:sz w:val="18"/>
          <w:szCs w:val="18"/>
        </w:rPr>
        <w:t xml:space="preserve"> TEN-T verordening dan</w:t>
      </w:r>
      <w:r w:rsidR="000E303A">
        <w:rPr>
          <w:rFonts w:ascii="Verdana" w:hAnsi="Verdana"/>
          <w:bCs/>
          <w:sz w:val="18"/>
          <w:szCs w:val="18"/>
        </w:rPr>
        <w:t xml:space="preserve"> in</w:t>
      </w:r>
      <w:r>
        <w:rPr>
          <w:rFonts w:ascii="Verdana" w:hAnsi="Verdana"/>
          <w:bCs/>
          <w:sz w:val="18"/>
          <w:szCs w:val="18"/>
        </w:rPr>
        <w:t xml:space="preserve"> de CEF</w:t>
      </w:r>
      <w:r w:rsidR="000E303A">
        <w:rPr>
          <w:rFonts w:ascii="Verdana" w:hAnsi="Verdana"/>
          <w:bCs/>
          <w:sz w:val="18"/>
          <w:szCs w:val="18"/>
        </w:rPr>
        <w:t>-verordening</w:t>
      </w:r>
      <w:r>
        <w:rPr>
          <w:rFonts w:ascii="Verdana" w:hAnsi="Verdana"/>
          <w:bCs/>
          <w:sz w:val="18"/>
          <w:szCs w:val="18"/>
        </w:rPr>
        <w:t xml:space="preserve">. Net als de bestaande grondslag voor de uitvoeringsbevoegdheid </w:t>
      </w:r>
      <w:r w:rsidR="00FD2064">
        <w:rPr>
          <w:rFonts w:ascii="Verdana" w:hAnsi="Verdana"/>
          <w:bCs/>
          <w:sz w:val="18"/>
          <w:szCs w:val="18"/>
        </w:rPr>
        <w:t xml:space="preserve">in de huidige CEF-verordening </w:t>
      </w:r>
      <w:r>
        <w:rPr>
          <w:rFonts w:ascii="Verdana" w:hAnsi="Verdana"/>
          <w:bCs/>
          <w:sz w:val="18"/>
          <w:szCs w:val="18"/>
        </w:rPr>
        <w:t xml:space="preserve">(artikel 12 lid 2 van de CEF-verordening) wordt de </w:t>
      </w:r>
      <w:r w:rsidRPr="007412CB">
        <w:rPr>
          <w:rFonts w:ascii="Verdana" w:hAnsi="Verdana"/>
          <w:bCs/>
          <w:sz w:val="18"/>
          <w:szCs w:val="18"/>
        </w:rPr>
        <w:t>uitvoeringshandeling vastgesteld volgens de onderzoeksprocedure als bedoeld in artikel 5 van verordening 182/2011</w:t>
      </w:r>
      <w:r>
        <w:rPr>
          <w:rFonts w:ascii="Verdana" w:hAnsi="Verdana"/>
          <w:bCs/>
          <w:sz w:val="18"/>
          <w:szCs w:val="18"/>
        </w:rPr>
        <w:t>. Toepassing van deze procedure is volgens het kabinet op zijn plaats, omdat het gaat om uitvoeringshandelingen van algemene strekking.</w:t>
      </w:r>
    </w:p>
    <w:p w:rsidRPr="00F74E07" w:rsidR="003B3DB3" w:rsidP="003B3DB3" w:rsidRDefault="003B3DB3" w14:paraId="7ABAD211" w14:textId="77777777">
      <w:pPr>
        <w:tabs>
          <w:tab w:val="left" w:pos="-426"/>
        </w:tabs>
        <w:suppressAutoHyphens/>
        <w:spacing w:line="360" w:lineRule="auto"/>
        <w:rPr>
          <w:rFonts w:ascii="Verdana" w:hAnsi="Verdana" w:eastAsia="Verdana"/>
          <w:i/>
          <w:sz w:val="18"/>
          <w:szCs w:val="18"/>
        </w:rPr>
      </w:pPr>
    </w:p>
    <w:p w:rsidRPr="0084323F" w:rsidR="003B3DB3" w:rsidP="203A7120" w:rsidRDefault="003B3DB3" w14:paraId="6C19DE9E" w14:textId="77777777">
      <w:pPr>
        <w:numPr>
          <w:ilvl w:val="0"/>
          <w:numId w:val="6"/>
        </w:numPr>
        <w:spacing w:line="360" w:lineRule="auto"/>
        <w:rPr>
          <w:rFonts w:ascii="Verdana" w:hAnsi="Verdana"/>
          <w:i/>
          <w:iCs/>
          <w:sz w:val="18"/>
          <w:szCs w:val="18"/>
        </w:rPr>
      </w:pPr>
      <w:r w:rsidRPr="203A7120">
        <w:rPr>
          <w:rFonts w:ascii="Verdana" w:hAnsi="Verdana"/>
          <w:i/>
          <w:iCs/>
          <w:sz w:val="18"/>
          <w:szCs w:val="18"/>
        </w:rPr>
        <w:t>Voorgestelde implementatietermijn (bij richtlijnen), dan wel voorgestelde datum inwerkingtreding (bij verordeningen en besluiten) met commentaar t.a.v. haalbaarheid</w:t>
      </w:r>
    </w:p>
    <w:p w:rsidR="00095ADE" w:rsidP="003B3DB3" w:rsidRDefault="00771421" w14:paraId="4A120D84" w14:textId="70934E08">
      <w:pPr>
        <w:spacing w:line="360" w:lineRule="auto"/>
        <w:rPr>
          <w:rFonts w:ascii="Verdana" w:hAnsi="Verdana"/>
          <w:sz w:val="18"/>
          <w:szCs w:val="18"/>
        </w:rPr>
      </w:pPr>
      <w:r w:rsidRPr="009C70B0">
        <w:rPr>
          <w:rFonts w:ascii="Verdana" w:hAnsi="Verdana"/>
          <w:bCs/>
          <w:sz w:val="18"/>
          <w:szCs w:val="18"/>
        </w:rPr>
        <w:t>De voorgestelde datum van inwerkingtreding is de twintigste dag na die</w:t>
      </w:r>
      <w:r>
        <w:rPr>
          <w:rFonts w:ascii="Verdana" w:hAnsi="Verdana"/>
          <w:bCs/>
          <w:sz w:val="18"/>
          <w:szCs w:val="18"/>
        </w:rPr>
        <w:t xml:space="preserve"> </w:t>
      </w:r>
      <w:r w:rsidRPr="009C70B0">
        <w:rPr>
          <w:rFonts w:ascii="Verdana" w:hAnsi="Verdana"/>
          <w:bCs/>
          <w:sz w:val="18"/>
          <w:szCs w:val="18"/>
        </w:rPr>
        <w:t>van de bekendmaking ervan in het Publicatieblad van de Europese Unie</w:t>
      </w:r>
      <w:r>
        <w:rPr>
          <w:rFonts w:ascii="Verdana" w:hAnsi="Verdana"/>
          <w:bCs/>
          <w:sz w:val="18"/>
          <w:szCs w:val="18"/>
        </w:rPr>
        <w:t xml:space="preserve">. </w:t>
      </w:r>
      <w:r>
        <w:rPr>
          <w:rFonts w:ascii="Verdana" w:hAnsi="Verdana"/>
          <w:sz w:val="18"/>
          <w:szCs w:val="18"/>
        </w:rPr>
        <w:t>De verordening wordt van toepassing</w:t>
      </w:r>
      <w:r w:rsidRPr="5947261A">
        <w:rPr>
          <w:rFonts w:ascii="Verdana" w:hAnsi="Verdana"/>
          <w:sz w:val="18"/>
          <w:szCs w:val="18"/>
        </w:rPr>
        <w:t xml:space="preserve"> </w:t>
      </w:r>
      <w:r>
        <w:rPr>
          <w:rFonts w:ascii="Verdana" w:hAnsi="Verdana"/>
          <w:sz w:val="18"/>
          <w:szCs w:val="18"/>
        </w:rPr>
        <w:t>op 1 januari 2028.</w:t>
      </w:r>
    </w:p>
    <w:p w:rsidRPr="00555EF0" w:rsidR="003B3DB3" w:rsidP="003B3DB3" w:rsidRDefault="003B3DB3" w14:paraId="0306DBF5" w14:textId="77777777">
      <w:pPr>
        <w:spacing w:line="360" w:lineRule="auto"/>
        <w:rPr>
          <w:rFonts w:ascii="Verdana" w:hAnsi="Verdana"/>
          <w:color w:val="FF0000"/>
          <w:sz w:val="18"/>
          <w:szCs w:val="18"/>
        </w:rPr>
      </w:pPr>
    </w:p>
    <w:p w:rsidRPr="0084323F" w:rsidR="003B3DB3" w:rsidP="203A7120" w:rsidRDefault="003B3DB3" w14:paraId="3930F390" w14:textId="77777777">
      <w:pPr>
        <w:numPr>
          <w:ilvl w:val="0"/>
          <w:numId w:val="6"/>
        </w:numPr>
        <w:spacing w:line="360" w:lineRule="auto"/>
        <w:rPr>
          <w:rFonts w:ascii="Verdana" w:hAnsi="Verdana"/>
          <w:i/>
          <w:iCs/>
          <w:sz w:val="18"/>
          <w:szCs w:val="18"/>
        </w:rPr>
      </w:pPr>
      <w:r w:rsidRPr="203A7120">
        <w:rPr>
          <w:rFonts w:ascii="Verdana" w:hAnsi="Verdana"/>
          <w:i/>
          <w:iCs/>
          <w:sz w:val="18"/>
          <w:szCs w:val="18"/>
        </w:rPr>
        <w:t>Wenselijkheid evaluatie-/horizonbepaling</w:t>
      </w:r>
    </w:p>
    <w:p w:rsidRPr="005621FC" w:rsidR="003B3DB3" w:rsidP="003B3DB3" w:rsidRDefault="003B3DB3" w14:paraId="6782A716" w14:textId="2518EA38">
      <w:pPr>
        <w:spacing w:line="360" w:lineRule="auto"/>
        <w:rPr>
          <w:rFonts w:ascii="Verdana" w:hAnsi="Verdana"/>
          <w:i/>
          <w:iCs/>
          <w:sz w:val="18"/>
          <w:szCs w:val="18"/>
        </w:rPr>
      </w:pPr>
      <w:r w:rsidRPr="00847A75">
        <w:rPr>
          <w:rFonts w:ascii="Verdana" w:hAnsi="Verdana" w:eastAsia="Verdana" w:cs="Verdana"/>
          <w:sz w:val="18"/>
          <w:szCs w:val="18"/>
        </w:rPr>
        <w:t xml:space="preserve">Het voorstel zal worden gemonitord via het </w:t>
      </w:r>
      <w:r w:rsidRPr="21064A6A">
        <w:rPr>
          <w:rFonts w:ascii="Verdana" w:hAnsi="Verdana" w:eastAsia="Verdana" w:cs="Verdana"/>
          <w:i/>
          <w:iCs/>
          <w:sz w:val="18"/>
          <w:szCs w:val="18"/>
        </w:rPr>
        <w:t xml:space="preserve">performance </w:t>
      </w:r>
      <w:proofErr w:type="spellStart"/>
      <w:r w:rsidRPr="21064A6A">
        <w:rPr>
          <w:rFonts w:ascii="Verdana" w:hAnsi="Verdana" w:eastAsia="Verdana" w:cs="Verdana"/>
          <w:i/>
          <w:iCs/>
          <w:sz w:val="18"/>
          <w:szCs w:val="18"/>
        </w:rPr>
        <w:t>framework</w:t>
      </w:r>
      <w:proofErr w:type="spellEnd"/>
      <w:r w:rsidRPr="00847A75">
        <w:rPr>
          <w:rFonts w:ascii="Verdana" w:hAnsi="Verdana" w:eastAsia="Verdana" w:cs="Verdana"/>
          <w:sz w:val="18"/>
          <w:szCs w:val="18"/>
        </w:rPr>
        <w:t xml:space="preserve"> voor het volgende MFK. Dat voorziet in een uitvoeringsrapport tijdens de uitvoeringsfase van het voorstel, net als een terugblikkende evaluatie die zal worden uitgevoerd overeenkomstig artikel 34, lid 3, van Verordening (EU, Euratom) 2024/2509. Voor de begrotingsgarantie en financiële instrumenten zal een vereenvoudigde toepassing van het </w:t>
      </w:r>
      <w:r w:rsidRPr="21064A6A">
        <w:rPr>
          <w:rFonts w:ascii="Verdana" w:hAnsi="Verdana" w:eastAsia="Verdana" w:cs="Verdana"/>
          <w:i/>
          <w:iCs/>
          <w:sz w:val="18"/>
          <w:szCs w:val="18"/>
        </w:rPr>
        <w:t xml:space="preserve">performance </w:t>
      </w:r>
      <w:proofErr w:type="spellStart"/>
      <w:r w:rsidRPr="21064A6A">
        <w:rPr>
          <w:rFonts w:ascii="Verdana" w:hAnsi="Verdana" w:eastAsia="Verdana" w:cs="Verdana"/>
          <w:i/>
          <w:iCs/>
          <w:sz w:val="18"/>
          <w:szCs w:val="18"/>
        </w:rPr>
        <w:t>framework</w:t>
      </w:r>
      <w:proofErr w:type="spellEnd"/>
      <w:r w:rsidRPr="00847A75">
        <w:rPr>
          <w:rFonts w:ascii="Verdana" w:hAnsi="Verdana" w:eastAsia="Verdana" w:cs="Verdana"/>
          <w:sz w:val="18"/>
          <w:szCs w:val="18"/>
        </w:rPr>
        <w:t xml:space="preserve"> worden gebruikt. De inzet van </w:t>
      </w:r>
      <w:proofErr w:type="spellStart"/>
      <w:r w:rsidRPr="00847A75">
        <w:rPr>
          <w:rFonts w:ascii="Verdana" w:hAnsi="Verdana" w:eastAsia="Verdana" w:cs="Verdana"/>
          <w:sz w:val="18"/>
          <w:szCs w:val="18"/>
        </w:rPr>
        <w:t>marktgestuurde</w:t>
      </w:r>
      <w:proofErr w:type="spellEnd"/>
      <w:r w:rsidRPr="00847A75">
        <w:rPr>
          <w:rFonts w:ascii="Verdana" w:hAnsi="Verdana" w:eastAsia="Verdana" w:cs="Verdana"/>
          <w:sz w:val="18"/>
          <w:szCs w:val="18"/>
        </w:rPr>
        <w:t xml:space="preserve"> instrumenten vereist vereenvoudigingsinspanningen om private investeringen aan te trekken voor de ondersteuning van EU-beleidsgebieden. De evaluatie van het programma zal worden uitgevoerd in overeenstemming met de richtsnoeren van de Commissie voor betere regelgeving en zal gebaseerd zijn op indicatoren die relevant zijn voor de doelstellingen van het programma. Het kabinet vindt deze evaluaties wenselijk en kan hier zodoende mee instemmen.</w:t>
      </w:r>
    </w:p>
    <w:p w:rsidRPr="0084323F" w:rsidR="003B3DB3" w:rsidP="0084323F" w:rsidRDefault="003B3DB3" w14:paraId="1A50EB49" w14:textId="77777777">
      <w:pPr>
        <w:numPr>
          <w:ilvl w:val="0"/>
          <w:numId w:val="6"/>
        </w:numPr>
        <w:spacing w:line="360" w:lineRule="auto"/>
        <w:rPr>
          <w:rFonts w:ascii="Verdana" w:hAnsi="Verdana"/>
          <w:i/>
          <w:iCs/>
          <w:sz w:val="18"/>
          <w:szCs w:val="18"/>
        </w:rPr>
      </w:pPr>
      <w:r w:rsidRPr="203A7120">
        <w:rPr>
          <w:rFonts w:ascii="Verdana" w:hAnsi="Verdana"/>
          <w:i/>
          <w:iCs/>
          <w:sz w:val="18"/>
          <w:szCs w:val="18"/>
        </w:rPr>
        <w:lastRenderedPageBreak/>
        <w:t>Constitutionele toets</w:t>
      </w:r>
    </w:p>
    <w:p w:rsidR="003B3DB3" w:rsidP="003B3DB3" w:rsidRDefault="003B3DB3" w14:paraId="2D5EFF66" w14:textId="77777777">
      <w:pPr>
        <w:tabs>
          <w:tab w:val="left" w:pos="340"/>
          <w:tab w:val="left" w:pos="426"/>
          <w:tab w:val="left" w:pos="680"/>
          <w:tab w:val="left" w:pos="1021"/>
          <w:tab w:val="left" w:pos="1361"/>
        </w:tabs>
        <w:spacing w:line="360" w:lineRule="auto"/>
      </w:pPr>
      <w:r w:rsidRPr="67047B6E">
        <w:rPr>
          <w:rFonts w:ascii="Verdana" w:hAnsi="Verdana"/>
          <w:sz w:val="18"/>
          <w:szCs w:val="18"/>
        </w:rPr>
        <w:t>Niet van toepassing</w:t>
      </w:r>
      <w:r w:rsidRPr="6D65BD28">
        <w:rPr>
          <w:rFonts w:ascii="Verdana" w:hAnsi="Verdana"/>
          <w:sz w:val="18"/>
          <w:szCs w:val="18"/>
        </w:rPr>
        <w:t>.</w:t>
      </w:r>
    </w:p>
    <w:p w:rsidRPr="00DA19A2" w:rsidR="003B3DB3" w:rsidP="003B3DB3" w:rsidRDefault="003B3DB3" w14:paraId="3078C884"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84323F" w:rsidR="003B3DB3" w:rsidP="0084323F" w:rsidRDefault="003B3DB3" w14:paraId="24B14F57" w14:textId="77777777">
      <w:pPr>
        <w:numPr>
          <w:ilvl w:val="0"/>
          <w:numId w:val="2"/>
        </w:numPr>
        <w:spacing w:line="360" w:lineRule="auto"/>
        <w:rPr>
          <w:rFonts w:ascii="Verdana" w:hAnsi="Verdana"/>
          <w:b/>
          <w:bCs/>
          <w:sz w:val="18"/>
          <w:szCs w:val="18"/>
        </w:rPr>
      </w:pPr>
      <w:r w:rsidRPr="0E0A2720">
        <w:rPr>
          <w:rFonts w:ascii="Verdana" w:hAnsi="Verdana"/>
          <w:b/>
          <w:bCs/>
          <w:sz w:val="18"/>
          <w:szCs w:val="18"/>
        </w:rPr>
        <w:t>Implicaties voor uitvoering en/of handhaving</w:t>
      </w:r>
    </w:p>
    <w:p w:rsidR="003B3DB3" w:rsidP="003B3DB3" w:rsidRDefault="003B3DB3" w14:paraId="4FB659C7" w14:textId="53B3FB6B">
      <w:pPr>
        <w:tabs>
          <w:tab w:val="left" w:pos="340"/>
          <w:tab w:val="left" w:pos="680"/>
          <w:tab w:val="left" w:pos="1021"/>
          <w:tab w:val="left" w:pos="1361"/>
          <w:tab w:val="left" w:pos="1701"/>
          <w:tab w:val="left" w:pos="3402"/>
        </w:tabs>
        <w:spacing w:line="360" w:lineRule="auto"/>
        <w:rPr>
          <w:rFonts w:ascii="Verdana" w:hAnsi="Verdana"/>
          <w:sz w:val="18"/>
          <w:szCs w:val="18"/>
        </w:rPr>
      </w:pPr>
      <w:r w:rsidRPr="23CAEB41">
        <w:rPr>
          <w:rFonts w:ascii="Verdana" w:hAnsi="Verdana"/>
          <w:sz w:val="18"/>
          <w:szCs w:val="18"/>
        </w:rPr>
        <w:t xml:space="preserve">Het samenvoegen van verschillende bestaande programma's onder één raamwerk in het voorstel zal naar verwachting bijdragen aan het verlagen van </w:t>
      </w:r>
      <w:r w:rsidRPr="148FCE4A">
        <w:rPr>
          <w:rFonts w:ascii="Verdana" w:hAnsi="Verdana" w:eastAsia="Verdana"/>
          <w:sz w:val="18"/>
          <w:szCs w:val="18"/>
        </w:rPr>
        <w:t>administratieve lasten voor uitvoerders en begunstigden</w:t>
      </w:r>
      <w:r w:rsidRPr="148FCE4A">
        <w:rPr>
          <w:rFonts w:ascii="Verdana" w:hAnsi="Verdana"/>
          <w:sz w:val="18"/>
          <w:szCs w:val="18"/>
        </w:rPr>
        <w:t xml:space="preserve">. </w:t>
      </w:r>
      <w:r w:rsidR="00E248FE">
        <w:rPr>
          <w:rFonts w:ascii="Verdana" w:hAnsi="Verdana"/>
          <w:sz w:val="18"/>
          <w:szCs w:val="18"/>
        </w:rPr>
        <w:t>Door de nieuwe fondsenstructuur wordt er een verschuiving van de verdeling van beleidsdossiers en de uitvoering daarvan verwacht. Projecten die nodig zijn voor het realiseren van het TEN-T netwerk, die eerder alleen gefinancierd werden door het CEF, zullen nu ook onder andere MFK-voorstellen vallen</w:t>
      </w:r>
      <w:r w:rsidR="009D7A32">
        <w:rPr>
          <w:rFonts w:ascii="Verdana" w:hAnsi="Verdana"/>
          <w:sz w:val="18"/>
          <w:szCs w:val="18"/>
        </w:rPr>
        <w:t xml:space="preserve"> (het ECF en NRPP)</w:t>
      </w:r>
      <w:r w:rsidR="00E248FE">
        <w:rPr>
          <w:rFonts w:ascii="Verdana" w:hAnsi="Verdana"/>
          <w:sz w:val="18"/>
          <w:szCs w:val="18"/>
        </w:rPr>
        <w:t xml:space="preserve">. </w:t>
      </w:r>
      <w:r w:rsidR="009D7A32">
        <w:rPr>
          <w:rFonts w:ascii="Verdana" w:hAnsi="Verdana"/>
          <w:sz w:val="18"/>
          <w:szCs w:val="18"/>
        </w:rPr>
        <w:t>Ook is</w:t>
      </w:r>
      <w:r w:rsidR="00E248FE">
        <w:rPr>
          <w:rFonts w:ascii="Verdana" w:hAnsi="Verdana"/>
          <w:sz w:val="18"/>
          <w:szCs w:val="18"/>
        </w:rPr>
        <w:t xml:space="preserve"> </w:t>
      </w:r>
      <w:r w:rsidR="203A7120">
        <w:rPr>
          <w:rFonts w:ascii="Verdana" w:hAnsi="Verdana"/>
          <w:sz w:val="18"/>
          <w:szCs w:val="18"/>
        </w:rPr>
        <w:t xml:space="preserve">voorgesteld om </w:t>
      </w:r>
      <w:r w:rsidR="009D7A32">
        <w:rPr>
          <w:rFonts w:ascii="Verdana" w:hAnsi="Verdana"/>
          <w:sz w:val="18"/>
          <w:szCs w:val="18"/>
        </w:rPr>
        <w:t xml:space="preserve">een </w:t>
      </w:r>
      <w:r w:rsidR="00E248FE">
        <w:rPr>
          <w:rFonts w:ascii="Verdana" w:hAnsi="Verdana"/>
          <w:sz w:val="18"/>
          <w:szCs w:val="18"/>
        </w:rPr>
        <w:t>toen</w:t>
      </w:r>
      <w:r w:rsidR="203A7120">
        <w:rPr>
          <w:rFonts w:ascii="Verdana" w:hAnsi="Verdana"/>
          <w:sz w:val="18"/>
          <w:szCs w:val="18"/>
        </w:rPr>
        <w:t>emend aandeel van de</w:t>
      </w:r>
      <w:r w:rsidR="009D7A32">
        <w:rPr>
          <w:rFonts w:ascii="Verdana" w:hAnsi="Verdana"/>
          <w:sz w:val="18"/>
          <w:szCs w:val="18"/>
        </w:rPr>
        <w:t xml:space="preserve"> middelen via</w:t>
      </w:r>
      <w:r w:rsidR="00E248FE">
        <w:rPr>
          <w:rFonts w:ascii="Verdana" w:hAnsi="Verdana"/>
          <w:sz w:val="18"/>
          <w:szCs w:val="18"/>
        </w:rPr>
        <w:t xml:space="preserve"> </w:t>
      </w:r>
      <w:proofErr w:type="spellStart"/>
      <w:r w:rsidRPr="21064A6A" w:rsidR="00E248FE">
        <w:rPr>
          <w:rFonts w:ascii="Verdana" w:hAnsi="Verdana"/>
          <w:i/>
          <w:iCs/>
          <w:sz w:val="18"/>
          <w:szCs w:val="18"/>
        </w:rPr>
        <w:t>lump</w:t>
      </w:r>
      <w:proofErr w:type="spellEnd"/>
      <w:r w:rsidRPr="21064A6A" w:rsidR="00E248FE">
        <w:rPr>
          <w:rFonts w:ascii="Verdana" w:hAnsi="Verdana"/>
          <w:i/>
          <w:iCs/>
          <w:sz w:val="18"/>
          <w:szCs w:val="18"/>
        </w:rPr>
        <w:t xml:space="preserve"> </w:t>
      </w:r>
      <w:proofErr w:type="spellStart"/>
      <w:r w:rsidRPr="21064A6A" w:rsidR="00E248FE">
        <w:rPr>
          <w:rFonts w:ascii="Verdana" w:hAnsi="Verdana"/>
          <w:i/>
          <w:iCs/>
          <w:sz w:val="18"/>
          <w:szCs w:val="18"/>
        </w:rPr>
        <w:t>sums</w:t>
      </w:r>
      <w:proofErr w:type="spellEnd"/>
      <w:r w:rsidRPr="21064A6A" w:rsidR="00E248FE">
        <w:rPr>
          <w:rFonts w:ascii="Verdana" w:hAnsi="Verdana"/>
          <w:i/>
          <w:iCs/>
          <w:sz w:val="18"/>
          <w:szCs w:val="18"/>
        </w:rPr>
        <w:t xml:space="preserve"> </w:t>
      </w:r>
      <w:r w:rsidR="00E248FE">
        <w:rPr>
          <w:rFonts w:ascii="Verdana" w:hAnsi="Verdana"/>
          <w:sz w:val="18"/>
          <w:szCs w:val="18"/>
        </w:rPr>
        <w:t xml:space="preserve">en </w:t>
      </w:r>
      <w:r w:rsidRPr="21064A6A" w:rsidR="00E248FE">
        <w:rPr>
          <w:rFonts w:ascii="Verdana" w:hAnsi="Verdana"/>
          <w:i/>
          <w:iCs/>
          <w:sz w:val="18"/>
          <w:szCs w:val="18"/>
        </w:rPr>
        <w:t xml:space="preserve">unit </w:t>
      </w:r>
      <w:proofErr w:type="spellStart"/>
      <w:r w:rsidRPr="21064A6A" w:rsidR="00E248FE">
        <w:rPr>
          <w:rFonts w:ascii="Verdana" w:hAnsi="Verdana"/>
          <w:i/>
          <w:iCs/>
          <w:sz w:val="18"/>
          <w:szCs w:val="18"/>
        </w:rPr>
        <w:t>contributions</w:t>
      </w:r>
      <w:proofErr w:type="spellEnd"/>
      <w:r w:rsidRPr="21064A6A" w:rsidR="00E248FE">
        <w:rPr>
          <w:rFonts w:ascii="Verdana" w:hAnsi="Verdana"/>
          <w:i/>
          <w:iCs/>
          <w:sz w:val="18"/>
          <w:szCs w:val="18"/>
        </w:rPr>
        <w:t xml:space="preserve"> </w:t>
      </w:r>
      <w:r w:rsidR="00741052">
        <w:rPr>
          <w:rFonts w:ascii="Verdana" w:hAnsi="Verdana"/>
          <w:sz w:val="18"/>
          <w:szCs w:val="18"/>
        </w:rPr>
        <w:t xml:space="preserve">te verdelen. </w:t>
      </w:r>
      <w:r w:rsidRPr="00E047DB" w:rsidR="009D7A32">
        <w:rPr>
          <w:rFonts w:ascii="Verdana" w:hAnsi="Verdana"/>
          <w:sz w:val="18"/>
          <w:szCs w:val="18"/>
        </w:rPr>
        <w:t>Dit versimpel</w:t>
      </w:r>
      <w:r w:rsidRPr="00E047DB" w:rsidR="00741052">
        <w:rPr>
          <w:rFonts w:ascii="Verdana" w:hAnsi="Verdana"/>
          <w:sz w:val="18"/>
          <w:szCs w:val="18"/>
        </w:rPr>
        <w:t>t</w:t>
      </w:r>
      <w:r w:rsidRPr="00E047DB" w:rsidR="009D7A32">
        <w:rPr>
          <w:rFonts w:ascii="Verdana" w:hAnsi="Verdana"/>
          <w:sz w:val="18"/>
          <w:szCs w:val="18"/>
        </w:rPr>
        <w:t xml:space="preserve"> de financiële onderbouwing van projecten </w:t>
      </w:r>
      <w:r w:rsidRPr="00E047DB" w:rsidR="700A3CB7">
        <w:rPr>
          <w:rFonts w:ascii="Verdana" w:hAnsi="Verdana"/>
          <w:sz w:val="18"/>
          <w:szCs w:val="18"/>
        </w:rPr>
        <w:t xml:space="preserve">voor </w:t>
      </w:r>
      <w:r w:rsidRPr="00E047DB" w:rsidR="009D7A32">
        <w:rPr>
          <w:rFonts w:ascii="Verdana" w:hAnsi="Verdana"/>
          <w:sz w:val="18"/>
          <w:szCs w:val="18"/>
        </w:rPr>
        <w:t>projectontwikkelaars en het beoordelen daarvan door CINEA</w:t>
      </w:r>
      <w:r w:rsidRPr="00741052" w:rsidR="00E248FE">
        <w:rPr>
          <w:rFonts w:ascii="Verdana" w:hAnsi="Verdana"/>
          <w:sz w:val="18"/>
          <w:szCs w:val="18"/>
        </w:rPr>
        <w:t>.</w:t>
      </w:r>
      <w:r w:rsidR="00E248FE">
        <w:rPr>
          <w:rFonts w:ascii="Verdana" w:hAnsi="Verdana"/>
          <w:sz w:val="18"/>
          <w:szCs w:val="18"/>
        </w:rPr>
        <w:t xml:space="preserve"> </w:t>
      </w:r>
      <w:r w:rsidR="006E1B35">
        <w:rPr>
          <w:rFonts w:ascii="Verdana" w:hAnsi="Verdana"/>
          <w:sz w:val="18"/>
          <w:szCs w:val="18"/>
        </w:rPr>
        <w:t>Een complicerende factor is de onvoorspelbaarheid van financiering</w:t>
      </w:r>
      <w:r w:rsidR="00741052">
        <w:rPr>
          <w:rFonts w:ascii="Verdana" w:hAnsi="Verdana"/>
          <w:sz w:val="18"/>
          <w:szCs w:val="18"/>
        </w:rPr>
        <w:t xml:space="preserve">. </w:t>
      </w:r>
      <w:r w:rsidR="006E1B35">
        <w:rPr>
          <w:rFonts w:ascii="Verdana" w:hAnsi="Verdana"/>
          <w:sz w:val="18"/>
          <w:szCs w:val="18"/>
        </w:rPr>
        <w:t xml:space="preserve">Dit kan een vertragend element zijn om tijdig (markt)partijen te informeren over de aanstaande </w:t>
      </w:r>
      <w:r w:rsidRPr="00E047DB" w:rsidR="006E1B35">
        <w:rPr>
          <w:rFonts w:ascii="Verdana" w:hAnsi="Verdana"/>
          <w:i/>
          <w:iCs/>
          <w:sz w:val="18"/>
          <w:szCs w:val="18"/>
        </w:rPr>
        <w:t>calls</w:t>
      </w:r>
      <w:r w:rsidR="006E1B35">
        <w:rPr>
          <w:rFonts w:ascii="Verdana" w:hAnsi="Verdana"/>
          <w:sz w:val="18"/>
          <w:szCs w:val="18"/>
        </w:rPr>
        <w:t xml:space="preserve">. </w:t>
      </w:r>
      <w:r w:rsidR="00E248FE">
        <w:rPr>
          <w:rFonts w:ascii="Verdana" w:hAnsi="Verdana"/>
          <w:sz w:val="18"/>
          <w:szCs w:val="18"/>
        </w:rPr>
        <w:t>De</w:t>
      </w:r>
      <w:r w:rsidR="006E1B35">
        <w:rPr>
          <w:rFonts w:ascii="Verdana" w:hAnsi="Verdana"/>
          <w:sz w:val="18"/>
          <w:szCs w:val="18"/>
        </w:rPr>
        <w:t xml:space="preserve"> precieze</w:t>
      </w:r>
      <w:r w:rsidR="00E248FE">
        <w:rPr>
          <w:rFonts w:ascii="Verdana" w:hAnsi="Verdana"/>
          <w:sz w:val="18"/>
          <w:szCs w:val="18"/>
        </w:rPr>
        <w:t xml:space="preserve"> implicaties voor de uitvoering blijven echter onduidelijk tot de verordening van kracht is waardoor het nog</w:t>
      </w:r>
      <w:r w:rsidRPr="148FCE4A">
        <w:rPr>
          <w:rFonts w:ascii="Verdana" w:hAnsi="Verdana"/>
          <w:sz w:val="18"/>
          <w:szCs w:val="18"/>
        </w:rPr>
        <w:t xml:space="preserve"> niet mogelijk om een </w:t>
      </w:r>
      <w:r w:rsidR="0009185C">
        <w:rPr>
          <w:rFonts w:ascii="Verdana" w:hAnsi="Verdana"/>
          <w:sz w:val="18"/>
          <w:szCs w:val="18"/>
        </w:rPr>
        <w:t xml:space="preserve">nadere </w:t>
      </w:r>
      <w:r w:rsidRPr="148FCE4A">
        <w:rPr>
          <w:rFonts w:ascii="Verdana" w:hAnsi="Verdana"/>
          <w:sz w:val="18"/>
          <w:szCs w:val="18"/>
        </w:rPr>
        <w:t xml:space="preserve">inschatting te maken. </w:t>
      </w:r>
      <w:r w:rsidRPr="00EE33C8" w:rsidR="000F76CF">
        <w:rPr>
          <w:rFonts w:ascii="Verdana" w:hAnsi="Verdana"/>
          <w:sz w:val="18"/>
          <w:szCs w:val="18"/>
        </w:rPr>
        <w:t>Het staat daarentegen vast dat de uitvoering gebaat is bij stabiele en voorspelbare financiering.</w:t>
      </w:r>
    </w:p>
    <w:p w:rsidR="003B3DB3" w:rsidP="003B3DB3" w:rsidRDefault="003B3DB3" w14:paraId="6E51F82B" w14:textId="77777777">
      <w:pPr>
        <w:tabs>
          <w:tab w:val="left" w:pos="340"/>
          <w:tab w:val="left" w:pos="680"/>
          <w:tab w:val="left" w:pos="1021"/>
          <w:tab w:val="left" w:pos="1361"/>
          <w:tab w:val="left" w:pos="1701"/>
          <w:tab w:val="left" w:pos="3402"/>
        </w:tabs>
        <w:suppressAutoHyphens/>
        <w:spacing w:line="360" w:lineRule="auto"/>
        <w:rPr>
          <w:rFonts w:ascii="Verdana" w:hAnsi="Verdana"/>
          <w:color w:val="FF0000"/>
          <w:sz w:val="18"/>
          <w:szCs w:val="18"/>
        </w:rPr>
      </w:pPr>
    </w:p>
    <w:p w:rsidRPr="0084323F" w:rsidR="003B3DB3" w:rsidP="0084323F" w:rsidRDefault="003B3DB3" w14:paraId="59AA7392" w14:textId="77777777">
      <w:pPr>
        <w:numPr>
          <w:ilvl w:val="0"/>
          <w:numId w:val="2"/>
        </w:numPr>
        <w:spacing w:line="360" w:lineRule="auto"/>
        <w:rPr>
          <w:rFonts w:ascii="Verdana" w:hAnsi="Verdana"/>
          <w:b/>
          <w:bCs/>
          <w:sz w:val="18"/>
          <w:szCs w:val="18"/>
        </w:rPr>
      </w:pPr>
      <w:r w:rsidRPr="356D8EA5">
        <w:rPr>
          <w:rFonts w:ascii="Verdana" w:hAnsi="Verdana"/>
          <w:b/>
          <w:bCs/>
          <w:sz w:val="18"/>
          <w:szCs w:val="18"/>
        </w:rPr>
        <w:t>Implicaties voor ontwikkelingslanden</w:t>
      </w:r>
    </w:p>
    <w:p w:rsidRPr="00DA19A2" w:rsidR="003B3DB3" w:rsidP="003B3DB3" w:rsidRDefault="003B3DB3" w14:paraId="7B207BE1" w14:textId="77777777">
      <w:pPr>
        <w:suppressAutoHyphens/>
        <w:spacing w:line="360" w:lineRule="auto"/>
        <w:rPr>
          <w:rFonts w:ascii="Verdana" w:hAnsi="Verdana"/>
          <w:sz w:val="18"/>
          <w:szCs w:val="18"/>
        </w:rPr>
      </w:pPr>
      <w:r w:rsidRPr="0E5DE6B5">
        <w:rPr>
          <w:rFonts w:ascii="Verdana" w:hAnsi="Verdana"/>
          <w:sz w:val="18"/>
          <w:szCs w:val="18"/>
        </w:rPr>
        <w:t>Geen implicaties voor ontwikkelingslanden anders dan de genoemde consequenties voor derde landen in het algemeen, zoals aangegeven onder onderdeel 5d</w:t>
      </w:r>
      <w:r w:rsidRPr="0E5DE6B5" w:rsidDel="5BF20E8E">
        <w:rPr>
          <w:rFonts w:ascii="Verdana" w:hAnsi="Verdana"/>
          <w:sz w:val="18"/>
          <w:szCs w:val="18"/>
        </w:rPr>
        <w:t>.</w:t>
      </w:r>
    </w:p>
    <w:p w:rsidR="003B3DB3" w:rsidP="003B3DB3" w:rsidRDefault="003B3DB3" w14:paraId="581B8C6E" w14:textId="0AB87C9E">
      <w:pPr>
        <w:spacing w:line="240" w:lineRule="auto"/>
        <w:rPr>
          <w:rFonts w:ascii="Verdana" w:hAnsi="Verdana"/>
          <w:b/>
          <w:i/>
          <w:iCs/>
          <w:sz w:val="18"/>
          <w:szCs w:val="18"/>
        </w:rPr>
      </w:pPr>
    </w:p>
    <w:bookmarkEnd w:id="0"/>
    <w:bookmarkEnd w:id="1"/>
    <w:p w:rsidRPr="00A679A5" w:rsidR="00F97320" w:rsidP="000E6D16" w:rsidRDefault="00F97320" w14:paraId="0775DD59" w14:textId="3673E8CD">
      <w:pPr>
        <w:spacing w:line="360" w:lineRule="auto"/>
        <w:rPr>
          <w:rFonts w:ascii="Verdana" w:hAnsi="Verdana" w:eastAsia="Verdana" w:cs="Verdana"/>
          <w:sz w:val="18"/>
          <w:szCs w:val="18"/>
        </w:rPr>
      </w:pPr>
    </w:p>
    <w:sectPr w:rsidRPr="00A679A5" w:rsidR="00F97320" w:rsidSect="00405448">
      <w:footerReference w:type="even" r:id="rId12"/>
      <w:footerReference w:type="defaul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FAFA" w14:textId="77777777" w:rsidR="00A94B3A" w:rsidRDefault="00A94B3A" w:rsidP="003B3DB3">
      <w:pPr>
        <w:spacing w:line="240" w:lineRule="auto"/>
      </w:pPr>
      <w:r>
        <w:separator/>
      </w:r>
    </w:p>
  </w:endnote>
  <w:endnote w:type="continuationSeparator" w:id="0">
    <w:p w14:paraId="311EF995" w14:textId="77777777" w:rsidR="00A94B3A" w:rsidRDefault="00A94B3A" w:rsidP="003B3DB3">
      <w:pPr>
        <w:spacing w:line="240" w:lineRule="auto"/>
      </w:pPr>
      <w:r>
        <w:continuationSeparator/>
      </w:r>
    </w:p>
  </w:endnote>
  <w:endnote w:type="continuationNotice" w:id="1">
    <w:p w14:paraId="6654EFAF" w14:textId="77777777" w:rsidR="00A94B3A" w:rsidRDefault="00A94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74E6" w14:textId="56CA1358" w:rsidR="00EA26E4" w:rsidRDefault="00572F99">
    <w:pPr>
      <w:pStyle w:val="Footer"/>
      <w:framePr w:wrap="around" w:vAnchor="text" w:hAnchor="margin" w:xAlign="right" w:y="1"/>
      <w:rPr>
        <w:rStyle w:val="PageNumber"/>
        <w:rFonts w:eastAsiaTheme="majorEastAsia"/>
      </w:rPr>
    </w:pPr>
    <w:r>
      <w:rPr>
        <w:rFonts w:eastAsiaTheme="majorEastAsia"/>
        <w:noProof/>
        <w14:ligatures w14:val="standardContextual"/>
      </w:rPr>
      <mc:AlternateContent>
        <mc:Choice Requires="wps">
          <w:drawing>
            <wp:anchor distT="0" distB="0" distL="0" distR="0" simplePos="0" relativeHeight="251658241" behindDoc="0" locked="0" layoutInCell="1" allowOverlap="1" wp14:anchorId="2154FE5F" wp14:editId="54447AD9">
              <wp:simplePos x="635" y="635"/>
              <wp:positionH relativeFrom="page">
                <wp:align>left</wp:align>
              </wp:positionH>
              <wp:positionV relativeFrom="page">
                <wp:align>bottom</wp:align>
              </wp:positionV>
              <wp:extent cx="986155" cy="368300"/>
              <wp:effectExtent l="0" t="0" r="4445" b="0"/>
              <wp:wrapNone/>
              <wp:docPr id="194424228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C895C58" w14:textId="1CA8767C"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154FE5F"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C895C58" w14:textId="1CA8767C"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v:textbox>
              <w10:wrap anchorx="page" anchory="page"/>
            </v:shape>
          </w:pict>
        </mc:Fallback>
      </mc:AlternateConten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561093F7" w14:textId="77777777" w:rsidR="00EA26E4" w:rsidRDefault="00EA26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0D90" w14:textId="789E97C9" w:rsidR="00EA26E4" w:rsidRPr="004E5E02" w:rsidRDefault="00572F99">
    <w:pPr>
      <w:pStyle w:val="Footer"/>
      <w:framePr w:wrap="around" w:vAnchor="text" w:hAnchor="margin" w:xAlign="right" w:y="1"/>
      <w:rPr>
        <w:rStyle w:val="PageNumber"/>
        <w:rFonts w:ascii="Verdana" w:eastAsiaTheme="majorEastAsia" w:hAnsi="Verdana"/>
        <w:sz w:val="16"/>
        <w:szCs w:val="16"/>
      </w:rPr>
    </w:pPr>
    <w:r>
      <w:rPr>
        <w:rFonts w:ascii="Verdana" w:eastAsiaTheme="majorEastAsia" w:hAnsi="Verdana"/>
        <w:noProof/>
        <w:sz w:val="16"/>
        <w:szCs w:val="16"/>
        <w14:ligatures w14:val="standardContextual"/>
      </w:rPr>
      <mc:AlternateContent>
        <mc:Choice Requires="wps">
          <w:drawing>
            <wp:anchor distT="0" distB="0" distL="0" distR="0" simplePos="0" relativeHeight="251658242" behindDoc="0" locked="0" layoutInCell="1" allowOverlap="1" wp14:anchorId="7731F307" wp14:editId="67032CAE">
              <wp:simplePos x="635" y="635"/>
              <wp:positionH relativeFrom="page">
                <wp:align>left</wp:align>
              </wp:positionH>
              <wp:positionV relativeFrom="page">
                <wp:align>bottom</wp:align>
              </wp:positionV>
              <wp:extent cx="986155" cy="368300"/>
              <wp:effectExtent l="0" t="0" r="4445" b="0"/>
              <wp:wrapNone/>
              <wp:docPr id="210975052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049DD02" w14:textId="3CB07CE7"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731F307"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049DD02" w14:textId="3CB07CE7"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v:textbox>
              <w10:wrap anchorx="page" anchory="page"/>
            </v:shape>
          </w:pict>
        </mc:Fallback>
      </mc:AlternateContent>
    </w:r>
    <w:r w:rsidRPr="004E5E02">
      <w:rPr>
        <w:rStyle w:val="PageNumber"/>
        <w:rFonts w:ascii="Verdana" w:eastAsiaTheme="majorEastAsia" w:hAnsi="Verdana"/>
        <w:sz w:val="16"/>
        <w:szCs w:val="16"/>
      </w:rPr>
      <w:fldChar w:fldCharType="begin"/>
    </w:r>
    <w:r w:rsidRPr="004E5E02">
      <w:rPr>
        <w:rStyle w:val="PageNumber"/>
        <w:rFonts w:ascii="Verdana" w:eastAsiaTheme="majorEastAsia" w:hAnsi="Verdana"/>
        <w:sz w:val="16"/>
        <w:szCs w:val="16"/>
      </w:rPr>
      <w:instrText xml:space="preserve">PAGE  </w:instrText>
    </w:r>
    <w:r w:rsidRPr="004E5E02">
      <w:rPr>
        <w:rStyle w:val="PageNumber"/>
        <w:rFonts w:ascii="Verdana" w:eastAsiaTheme="majorEastAsia" w:hAnsi="Verdana"/>
        <w:sz w:val="16"/>
        <w:szCs w:val="16"/>
      </w:rPr>
      <w:fldChar w:fldCharType="separate"/>
    </w:r>
    <w:r w:rsidRPr="004E5E02">
      <w:rPr>
        <w:rStyle w:val="PageNumber"/>
        <w:rFonts w:ascii="Verdana" w:eastAsiaTheme="majorEastAsia" w:hAnsi="Verdana"/>
        <w:noProof/>
        <w:sz w:val="16"/>
        <w:szCs w:val="16"/>
      </w:rPr>
      <w:t>2</w:t>
    </w:r>
    <w:r w:rsidRPr="004E5E02">
      <w:rPr>
        <w:rStyle w:val="PageNumber"/>
        <w:rFonts w:ascii="Verdana" w:eastAsiaTheme="majorEastAsia" w:hAnsi="Verdana"/>
        <w:sz w:val="16"/>
        <w:szCs w:val="16"/>
      </w:rPr>
      <w:fldChar w:fldCharType="end"/>
    </w:r>
  </w:p>
  <w:p w14:paraId="2015414E" w14:textId="77777777" w:rsidR="00EA26E4" w:rsidRPr="004E5E02" w:rsidRDefault="00EA26E4">
    <w:pPr>
      <w:pStyle w:val="Footer"/>
      <w:ind w:right="360"/>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DBB" w14:textId="69256189" w:rsidR="00572F99" w:rsidRDefault="00572F99">
    <w:pPr>
      <w:pStyle w:val="Footer"/>
    </w:pPr>
    <w:r>
      <w:rPr>
        <w:noProof/>
        <w14:ligatures w14:val="standardContextual"/>
      </w:rPr>
      <mc:AlternateContent>
        <mc:Choice Requires="wps">
          <w:drawing>
            <wp:anchor distT="0" distB="0" distL="0" distR="0" simplePos="0" relativeHeight="251658240" behindDoc="0" locked="0" layoutInCell="1" allowOverlap="1" wp14:anchorId="5A1BB53C" wp14:editId="3EDCD9E7">
              <wp:simplePos x="635" y="635"/>
              <wp:positionH relativeFrom="page">
                <wp:align>left</wp:align>
              </wp:positionH>
              <wp:positionV relativeFrom="page">
                <wp:align>bottom</wp:align>
              </wp:positionV>
              <wp:extent cx="986155" cy="368300"/>
              <wp:effectExtent l="0" t="0" r="4445" b="0"/>
              <wp:wrapNone/>
              <wp:docPr id="4964341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B3BD1F6" w14:textId="60F28170"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A1BB53C"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B3BD1F6" w14:textId="60F28170" w:rsidR="00572F99" w:rsidRPr="00572F99" w:rsidRDefault="00572F99" w:rsidP="00572F99">
                    <w:pPr>
                      <w:rPr>
                        <w:rFonts w:ascii="Calibri" w:eastAsia="Calibri" w:hAnsi="Calibri" w:cs="Calibri"/>
                        <w:noProof/>
                        <w:color w:val="000000"/>
                        <w:sz w:val="20"/>
                      </w:rPr>
                    </w:pPr>
                    <w:r w:rsidRPr="00572F9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108B" w14:textId="77777777" w:rsidR="00A94B3A" w:rsidRDefault="00A94B3A" w:rsidP="003B3DB3">
      <w:pPr>
        <w:spacing w:line="240" w:lineRule="auto"/>
      </w:pPr>
      <w:r>
        <w:separator/>
      </w:r>
    </w:p>
  </w:footnote>
  <w:footnote w:type="continuationSeparator" w:id="0">
    <w:p w14:paraId="26366530" w14:textId="77777777" w:rsidR="00A94B3A" w:rsidRDefault="00A94B3A" w:rsidP="003B3DB3">
      <w:pPr>
        <w:spacing w:line="240" w:lineRule="auto"/>
      </w:pPr>
      <w:r>
        <w:continuationSeparator/>
      </w:r>
    </w:p>
  </w:footnote>
  <w:footnote w:type="continuationNotice" w:id="1">
    <w:p w14:paraId="6EF18558" w14:textId="77777777" w:rsidR="00A94B3A" w:rsidRDefault="00A94B3A">
      <w:pPr>
        <w:spacing w:line="240" w:lineRule="auto"/>
      </w:pPr>
    </w:p>
  </w:footnote>
  <w:footnote w:id="2">
    <w:p w14:paraId="7FF4ECB8" w14:textId="66F060EF" w:rsidR="00152A0C" w:rsidRPr="00E928E8" w:rsidRDefault="00152A0C">
      <w:pPr>
        <w:pStyle w:val="FootnoteText"/>
        <w:rPr>
          <w:rFonts w:ascii="Verdana" w:hAnsi="Verdana"/>
          <w:lang w:val="fr-FR"/>
        </w:rPr>
      </w:pPr>
      <w:r w:rsidRPr="00E928E8">
        <w:rPr>
          <w:rStyle w:val="FootnoteReference"/>
          <w:rFonts w:ascii="Verdana" w:hAnsi="Verdana"/>
        </w:rPr>
        <w:footnoteRef/>
      </w:r>
      <w:r w:rsidRPr="00E928E8">
        <w:rPr>
          <w:rFonts w:ascii="Verdana" w:hAnsi="Verdana"/>
          <w:lang w:val="fr-FR"/>
        </w:rPr>
        <w:t xml:space="preserve"> </w:t>
      </w:r>
      <w:r w:rsidR="00BD5D72" w:rsidRPr="00E928E8">
        <w:rPr>
          <w:rFonts w:ascii="Verdana" w:hAnsi="Verdana"/>
          <w:lang w:val="fr-FR"/>
        </w:rPr>
        <w:t xml:space="preserve">Regulation (EU) 2021/1153 </w:t>
      </w:r>
      <w:hyperlink r:id="rId1" w:history="1">
        <w:r w:rsidR="008D7B53" w:rsidRPr="00E928E8">
          <w:rPr>
            <w:rStyle w:val="Hyperlink"/>
            <w:rFonts w:ascii="Verdana" w:hAnsi="Verdana"/>
            <w:lang w:val="fr-FR"/>
          </w:rPr>
          <w:t>https://eur-lex.europa.eu/eli/reg/2021/1153/oj/eng</w:t>
        </w:r>
      </w:hyperlink>
      <w:r w:rsidR="008D7B53" w:rsidRPr="00E928E8">
        <w:rPr>
          <w:rFonts w:ascii="Verdana" w:hAnsi="Verdana"/>
          <w:lang w:val="fr-FR"/>
        </w:rPr>
        <w:t xml:space="preserve"> </w:t>
      </w:r>
    </w:p>
  </w:footnote>
  <w:footnote w:id="3">
    <w:p w14:paraId="32007B32" w14:textId="4F1E4A2D" w:rsidR="009B017D" w:rsidRPr="008D7B53" w:rsidRDefault="009B017D">
      <w:pPr>
        <w:pStyle w:val="FootnoteText"/>
        <w:rPr>
          <w:lang w:val="fr-FR"/>
        </w:rPr>
      </w:pPr>
      <w:r w:rsidRPr="00E928E8">
        <w:rPr>
          <w:rStyle w:val="FootnoteReference"/>
          <w:rFonts w:ascii="Verdana" w:hAnsi="Verdana"/>
        </w:rPr>
        <w:footnoteRef/>
      </w:r>
      <w:r w:rsidRPr="00E928E8">
        <w:rPr>
          <w:rFonts w:ascii="Verdana" w:hAnsi="Verdana"/>
          <w:lang w:val="fr-FR"/>
        </w:rPr>
        <w:t xml:space="preserve"> </w:t>
      </w:r>
      <w:hyperlink r:id="rId2" w:history="1">
        <w:r w:rsidRPr="00E928E8">
          <w:rPr>
            <w:rStyle w:val="Hyperlink"/>
            <w:rFonts w:ascii="Verdana" w:hAnsi="Verdana"/>
            <w:lang w:val="fr-FR"/>
          </w:rPr>
          <w:t>https://cinea.ec.europa.eu/programmes/connecting-europe-facility_en</w:t>
        </w:r>
      </w:hyperlink>
      <w:r w:rsidRPr="008D7B53">
        <w:rPr>
          <w:lang w:val="fr-FR"/>
        </w:rPr>
        <w:t xml:space="preserve"> </w:t>
      </w:r>
    </w:p>
  </w:footnote>
  <w:footnote w:id="4">
    <w:p w14:paraId="691D80C4" w14:textId="3F889CF9" w:rsidR="009B017D" w:rsidRPr="00E928E8" w:rsidRDefault="009B017D" w:rsidP="00D41ED9">
      <w:pPr>
        <w:pStyle w:val="FootnoteText"/>
        <w:ind w:left="0" w:firstLine="0"/>
        <w:rPr>
          <w:rFonts w:ascii="Verdana" w:hAnsi="Verdana"/>
        </w:rPr>
      </w:pPr>
      <w:r w:rsidRPr="00E928E8">
        <w:rPr>
          <w:rStyle w:val="FootnoteReference"/>
          <w:rFonts w:ascii="Verdana" w:hAnsi="Verdana"/>
        </w:rPr>
        <w:footnoteRef/>
      </w:r>
      <w:r w:rsidRPr="00E928E8">
        <w:rPr>
          <w:rFonts w:ascii="Verdana" w:hAnsi="Verdana"/>
        </w:rPr>
        <w:t xml:space="preserve"> </w:t>
      </w:r>
      <w:r w:rsidRPr="00E928E8">
        <w:rPr>
          <w:rFonts w:ascii="Verdana" w:hAnsi="Verdana"/>
          <w:szCs w:val="16"/>
        </w:rPr>
        <w:t>Bij een ex-post evaluatie gaat het om het beoordelen van een voorstel na verloop van tijd op effectiviteit en efficiëntie.</w:t>
      </w:r>
    </w:p>
  </w:footnote>
  <w:footnote w:id="5">
    <w:p w14:paraId="28CEFB5A" w14:textId="11499652" w:rsidR="002B63D6" w:rsidRPr="00E928E8" w:rsidRDefault="002B63D6" w:rsidP="00531D37">
      <w:pPr>
        <w:pStyle w:val="FootnoteText"/>
        <w:ind w:left="0" w:firstLine="0"/>
        <w:rPr>
          <w:rFonts w:ascii="Verdana" w:hAnsi="Verdana"/>
        </w:rPr>
      </w:pPr>
      <w:r w:rsidRPr="00E928E8">
        <w:rPr>
          <w:rStyle w:val="FootnoteReference"/>
          <w:rFonts w:ascii="Verdana" w:hAnsi="Verdana"/>
        </w:rPr>
        <w:footnoteRef/>
      </w:r>
      <w:r w:rsidRPr="00E928E8">
        <w:rPr>
          <w:rFonts w:ascii="Verdana" w:hAnsi="Verdana"/>
        </w:rPr>
        <w:t xml:space="preserve"> Een kunstwerk is een civiel-technisch werk voor de infrastructuur van wegen, water, spoorbanen, waterkeringen en/of leidingen en niet bedoeld voor permanent menselijk verblijf. Bijvoorbeeld een brug, sluis of viaduct.  </w:t>
      </w:r>
    </w:p>
  </w:footnote>
  <w:footnote w:id="6">
    <w:p w14:paraId="650778AC" w14:textId="77777777" w:rsidR="00570752" w:rsidRPr="00E928E8" w:rsidRDefault="00570752" w:rsidP="00570752">
      <w:pPr>
        <w:pStyle w:val="FootnoteText"/>
        <w:rPr>
          <w:rFonts w:ascii="Verdana" w:hAnsi="Verdana"/>
        </w:rPr>
      </w:pPr>
      <w:r w:rsidRPr="00E928E8">
        <w:rPr>
          <w:rStyle w:val="FootnoteReference"/>
          <w:rFonts w:ascii="Verdana" w:hAnsi="Verdana"/>
        </w:rPr>
        <w:footnoteRef/>
      </w:r>
      <w:r w:rsidRPr="00E928E8">
        <w:rPr>
          <w:rFonts w:ascii="Verdana" w:hAnsi="Verdana"/>
        </w:rPr>
        <w:t xml:space="preserve"> </w:t>
      </w:r>
      <w:hyperlink r:id="rId3" w:history="1">
        <w:r w:rsidRPr="00E928E8">
          <w:rPr>
            <w:rStyle w:val="Hyperlink"/>
            <w:rFonts w:ascii="Verdana" w:hAnsi="Verdana"/>
          </w:rPr>
          <w:t>https://commission.europa.eu/publications/budget-expenditure-tracking-and-performance-framework_en</w:t>
        </w:r>
      </w:hyperlink>
      <w:r w:rsidRPr="00E928E8">
        <w:rPr>
          <w:rFonts w:ascii="Verdana" w:hAnsi="Verdana"/>
        </w:rPr>
        <w:t xml:space="preserve"> </w:t>
      </w:r>
    </w:p>
  </w:footnote>
  <w:footnote w:id="7">
    <w:p w14:paraId="008F0A20" w14:textId="119D3774" w:rsidR="001B4F65" w:rsidRPr="00E928E8" w:rsidRDefault="001B4F65" w:rsidP="00531D37">
      <w:pPr>
        <w:pStyle w:val="FootnoteText"/>
        <w:ind w:left="0" w:firstLine="0"/>
        <w:rPr>
          <w:rFonts w:ascii="Verdana" w:hAnsi="Verdana"/>
        </w:rPr>
      </w:pPr>
      <w:r w:rsidRPr="00E928E8">
        <w:rPr>
          <w:rStyle w:val="FootnoteReference"/>
          <w:rFonts w:ascii="Verdana" w:hAnsi="Verdana"/>
        </w:rPr>
        <w:footnoteRef/>
      </w:r>
      <w:r w:rsidRPr="00E928E8">
        <w:rPr>
          <w:rFonts w:ascii="Verdana" w:hAnsi="Verdana"/>
        </w:rPr>
        <w:t xml:space="preserve"> </w:t>
      </w:r>
      <w:r w:rsidR="001D5502" w:rsidRPr="00E928E8">
        <w:rPr>
          <w:rFonts w:ascii="Verdana" w:hAnsi="Verdana"/>
        </w:rPr>
        <w:t xml:space="preserve">In lijn met de aanbeveling uit het Speciaal Verslag over militaire mobiliteit in de EU van de Europese Rekenkamer. </w:t>
      </w:r>
      <w:r w:rsidRPr="00E928E8">
        <w:rPr>
          <w:rFonts w:ascii="Verdana" w:hAnsi="Verdana"/>
        </w:rPr>
        <w:t>Zie ook Kamerstuk (24202, nr. 47) d.d. 14 mei 2025.</w:t>
      </w:r>
    </w:p>
  </w:footnote>
  <w:footnote w:id="8">
    <w:p w14:paraId="59BDC331" w14:textId="7417308F" w:rsidR="00B001E8" w:rsidRPr="00E928E8" w:rsidRDefault="00B001E8" w:rsidP="203A7120">
      <w:pPr>
        <w:pStyle w:val="FootnoteText"/>
        <w:rPr>
          <w:rFonts w:ascii="Verdana" w:hAnsi="Verdana"/>
        </w:rPr>
      </w:pPr>
      <w:r w:rsidRPr="00E928E8">
        <w:rPr>
          <w:rStyle w:val="FootnoteReference"/>
          <w:rFonts w:ascii="Verdana" w:hAnsi="Verdana"/>
          <w:szCs w:val="16"/>
        </w:rPr>
        <w:footnoteRef/>
      </w:r>
      <w:r w:rsidRPr="00E928E8">
        <w:rPr>
          <w:rFonts w:ascii="Verdana" w:hAnsi="Verdana"/>
          <w:szCs w:val="16"/>
        </w:rPr>
        <w:t xml:space="preserve"> Europees Comité voor de opstelling van Standaarden voor de Binnenvaart</w:t>
      </w:r>
      <w:r w:rsidR="00741052" w:rsidRPr="00E928E8">
        <w:rPr>
          <w:rFonts w:ascii="Verdana" w:hAnsi="Verdana"/>
          <w:szCs w:val="16"/>
        </w:rPr>
        <w:t xml:space="preserve"> (CESNI)</w:t>
      </w:r>
      <w:r w:rsidRPr="00E928E8">
        <w:rPr>
          <w:rFonts w:ascii="Verdana" w:hAnsi="Verdana"/>
          <w:szCs w:val="16"/>
        </w:rPr>
        <w:t>.</w:t>
      </w:r>
    </w:p>
  </w:footnote>
  <w:footnote w:id="9">
    <w:p w14:paraId="0EC6093A" w14:textId="7B4BC441" w:rsidR="00261BE8" w:rsidRPr="00E928E8" w:rsidRDefault="00261BE8">
      <w:pPr>
        <w:pStyle w:val="FootnoteText"/>
        <w:rPr>
          <w:rFonts w:ascii="Verdana" w:hAnsi="Verdana"/>
          <w:szCs w:val="16"/>
        </w:rPr>
      </w:pPr>
      <w:r w:rsidRPr="00E928E8">
        <w:rPr>
          <w:rStyle w:val="FootnoteReference"/>
          <w:rFonts w:ascii="Verdana" w:hAnsi="Verdana"/>
          <w:szCs w:val="16"/>
        </w:rPr>
        <w:footnoteRef/>
      </w:r>
      <w:r w:rsidRPr="00E928E8">
        <w:rPr>
          <w:rFonts w:ascii="Verdana" w:hAnsi="Verdana"/>
          <w:szCs w:val="16"/>
        </w:rPr>
        <w:t xml:space="preserve"> </w:t>
      </w:r>
      <w:r w:rsidRPr="00E928E8">
        <w:rPr>
          <w:rFonts w:ascii="Verdana" w:eastAsia="Verdana" w:hAnsi="Verdana" w:cs="Verdana"/>
          <w:color w:val="000000" w:themeColor="text1"/>
          <w:szCs w:val="16"/>
        </w:rPr>
        <w:t>Dit is ook gebleken uit de CEF 2014-2021 evaluatie en de tussentijdse evaluatie.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FA1DA4"/>
    <w:multiLevelType w:val="hybridMultilevel"/>
    <w:tmpl w:val="B59814B4"/>
    <w:lvl w:ilvl="0" w:tplc="69BA7A18">
      <w:start w:val="1"/>
      <w:numFmt w:val="bullet"/>
      <w:pStyle w:val="Spreekpunten"/>
      <w:lvlText w:val=""/>
      <w:lvlJc w:val="left"/>
      <w:pPr>
        <w:tabs>
          <w:tab w:val="num" w:pos="717"/>
        </w:tabs>
        <w:ind w:left="717" w:hanging="360"/>
      </w:pPr>
      <w:rPr>
        <w:rFonts w:ascii="Symbol" w:hAnsi="Symbol" w:hint="default"/>
        <w:color w:val="auto"/>
      </w:rPr>
    </w:lvl>
    <w:lvl w:ilvl="1" w:tplc="5D7E2D0E">
      <w:numFmt w:val="bullet"/>
      <w:lvlText w:val="-"/>
      <w:lvlJc w:val="left"/>
      <w:pPr>
        <w:tabs>
          <w:tab w:val="num" w:pos="1785"/>
        </w:tabs>
        <w:ind w:left="1785" w:hanging="705"/>
      </w:pPr>
      <w:rPr>
        <w:rFonts w:ascii="Arial" w:hAnsi="Arial" w:hint="default"/>
      </w:rPr>
    </w:lvl>
    <w:lvl w:ilvl="2" w:tplc="C0B2EFF2" w:tentative="1">
      <w:start w:val="1"/>
      <w:numFmt w:val="bullet"/>
      <w:lvlText w:val=""/>
      <w:lvlJc w:val="left"/>
      <w:pPr>
        <w:tabs>
          <w:tab w:val="num" w:pos="2160"/>
        </w:tabs>
        <w:ind w:left="2160" w:hanging="360"/>
      </w:pPr>
      <w:rPr>
        <w:rFonts w:ascii="Wingdings" w:hAnsi="Wingdings" w:hint="default"/>
      </w:rPr>
    </w:lvl>
    <w:lvl w:ilvl="3" w:tplc="CDD6328C" w:tentative="1">
      <w:start w:val="1"/>
      <w:numFmt w:val="bullet"/>
      <w:lvlText w:val=""/>
      <w:lvlJc w:val="left"/>
      <w:pPr>
        <w:tabs>
          <w:tab w:val="num" w:pos="2880"/>
        </w:tabs>
        <w:ind w:left="2880" w:hanging="360"/>
      </w:pPr>
      <w:rPr>
        <w:rFonts w:ascii="Symbol" w:hAnsi="Symbol" w:hint="default"/>
      </w:rPr>
    </w:lvl>
    <w:lvl w:ilvl="4" w:tplc="B0C4D59A" w:tentative="1">
      <w:start w:val="1"/>
      <w:numFmt w:val="bullet"/>
      <w:lvlText w:val="o"/>
      <w:lvlJc w:val="left"/>
      <w:pPr>
        <w:tabs>
          <w:tab w:val="num" w:pos="3600"/>
        </w:tabs>
        <w:ind w:left="3600" w:hanging="360"/>
      </w:pPr>
      <w:rPr>
        <w:rFonts w:ascii="Courier New" w:hAnsi="Courier New" w:hint="default"/>
      </w:rPr>
    </w:lvl>
    <w:lvl w:ilvl="5" w:tplc="10B0A324" w:tentative="1">
      <w:start w:val="1"/>
      <w:numFmt w:val="bullet"/>
      <w:lvlText w:val=""/>
      <w:lvlJc w:val="left"/>
      <w:pPr>
        <w:tabs>
          <w:tab w:val="num" w:pos="4320"/>
        </w:tabs>
        <w:ind w:left="4320" w:hanging="360"/>
      </w:pPr>
      <w:rPr>
        <w:rFonts w:ascii="Wingdings" w:hAnsi="Wingdings" w:hint="default"/>
      </w:rPr>
    </w:lvl>
    <w:lvl w:ilvl="6" w:tplc="185039DA" w:tentative="1">
      <w:start w:val="1"/>
      <w:numFmt w:val="bullet"/>
      <w:lvlText w:val=""/>
      <w:lvlJc w:val="left"/>
      <w:pPr>
        <w:tabs>
          <w:tab w:val="num" w:pos="5040"/>
        </w:tabs>
        <w:ind w:left="5040" w:hanging="360"/>
      </w:pPr>
      <w:rPr>
        <w:rFonts w:ascii="Symbol" w:hAnsi="Symbol" w:hint="default"/>
      </w:rPr>
    </w:lvl>
    <w:lvl w:ilvl="7" w:tplc="F2F2B4DA" w:tentative="1">
      <w:start w:val="1"/>
      <w:numFmt w:val="bullet"/>
      <w:lvlText w:val="o"/>
      <w:lvlJc w:val="left"/>
      <w:pPr>
        <w:tabs>
          <w:tab w:val="num" w:pos="5760"/>
        </w:tabs>
        <w:ind w:left="5760" w:hanging="360"/>
      </w:pPr>
      <w:rPr>
        <w:rFonts w:ascii="Courier New" w:hAnsi="Courier New" w:hint="default"/>
      </w:rPr>
    </w:lvl>
    <w:lvl w:ilvl="8" w:tplc="BF56EE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7952789">
    <w:abstractNumId w:val="2"/>
  </w:num>
  <w:num w:numId="2" w16cid:durableId="881209115">
    <w:abstractNumId w:val="7"/>
  </w:num>
  <w:num w:numId="3" w16cid:durableId="1610888238">
    <w:abstractNumId w:val="5"/>
  </w:num>
  <w:num w:numId="4" w16cid:durableId="1908228028">
    <w:abstractNumId w:val="3"/>
  </w:num>
  <w:num w:numId="5" w16cid:durableId="2028827165">
    <w:abstractNumId w:val="6"/>
  </w:num>
  <w:num w:numId="6" w16cid:durableId="416371204">
    <w:abstractNumId w:val="4"/>
  </w:num>
  <w:num w:numId="7" w16cid:durableId="824204857">
    <w:abstractNumId w:val="0"/>
  </w:num>
  <w:num w:numId="8" w16cid:durableId="20058630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B3"/>
    <w:rsid w:val="00002C35"/>
    <w:rsid w:val="0001012A"/>
    <w:rsid w:val="00022456"/>
    <w:rsid w:val="000267C5"/>
    <w:rsid w:val="00031FAF"/>
    <w:rsid w:val="00033B30"/>
    <w:rsid w:val="00036A49"/>
    <w:rsid w:val="00054108"/>
    <w:rsid w:val="00060BEA"/>
    <w:rsid w:val="00074170"/>
    <w:rsid w:val="00081FC1"/>
    <w:rsid w:val="0008589F"/>
    <w:rsid w:val="0009185C"/>
    <w:rsid w:val="0009405A"/>
    <w:rsid w:val="00095ADE"/>
    <w:rsid w:val="000A0F61"/>
    <w:rsid w:val="000B525F"/>
    <w:rsid w:val="000C0045"/>
    <w:rsid w:val="000C1FAE"/>
    <w:rsid w:val="000C408C"/>
    <w:rsid w:val="000D1949"/>
    <w:rsid w:val="000D58FA"/>
    <w:rsid w:val="000E303A"/>
    <w:rsid w:val="000E52ED"/>
    <w:rsid w:val="000E6C44"/>
    <w:rsid w:val="000E6D16"/>
    <w:rsid w:val="000F22DF"/>
    <w:rsid w:val="000F76CF"/>
    <w:rsid w:val="00102B41"/>
    <w:rsid w:val="001156F5"/>
    <w:rsid w:val="00123312"/>
    <w:rsid w:val="00124944"/>
    <w:rsid w:val="001260D6"/>
    <w:rsid w:val="00137009"/>
    <w:rsid w:val="0015056D"/>
    <w:rsid w:val="00152911"/>
    <w:rsid w:val="00152A0C"/>
    <w:rsid w:val="001638A0"/>
    <w:rsid w:val="00165C02"/>
    <w:rsid w:val="00185323"/>
    <w:rsid w:val="00185BA9"/>
    <w:rsid w:val="00187002"/>
    <w:rsid w:val="001A1689"/>
    <w:rsid w:val="001A1EF5"/>
    <w:rsid w:val="001B4F65"/>
    <w:rsid w:val="001D5502"/>
    <w:rsid w:val="001D7E20"/>
    <w:rsid w:val="001E3574"/>
    <w:rsid w:val="001E5E37"/>
    <w:rsid w:val="00201D8B"/>
    <w:rsid w:val="002034DF"/>
    <w:rsid w:val="00222EBE"/>
    <w:rsid w:val="00242381"/>
    <w:rsid w:val="00261BE8"/>
    <w:rsid w:val="0028212E"/>
    <w:rsid w:val="002952B5"/>
    <w:rsid w:val="00297644"/>
    <w:rsid w:val="002A13FB"/>
    <w:rsid w:val="002A2C68"/>
    <w:rsid w:val="002A4D73"/>
    <w:rsid w:val="002B570A"/>
    <w:rsid w:val="002B590D"/>
    <w:rsid w:val="002B63D6"/>
    <w:rsid w:val="002C6F82"/>
    <w:rsid w:val="002D79B1"/>
    <w:rsid w:val="002E26B3"/>
    <w:rsid w:val="002F6596"/>
    <w:rsid w:val="0030599E"/>
    <w:rsid w:val="00307085"/>
    <w:rsid w:val="003324FE"/>
    <w:rsid w:val="00350292"/>
    <w:rsid w:val="0035516F"/>
    <w:rsid w:val="00361923"/>
    <w:rsid w:val="0036529D"/>
    <w:rsid w:val="003711A1"/>
    <w:rsid w:val="0037739D"/>
    <w:rsid w:val="003908D0"/>
    <w:rsid w:val="003912DA"/>
    <w:rsid w:val="0039530F"/>
    <w:rsid w:val="003959B8"/>
    <w:rsid w:val="00395E8D"/>
    <w:rsid w:val="003A0609"/>
    <w:rsid w:val="003A0D2A"/>
    <w:rsid w:val="003A5FA5"/>
    <w:rsid w:val="003B0A71"/>
    <w:rsid w:val="003B2E4F"/>
    <w:rsid w:val="003B3DB3"/>
    <w:rsid w:val="003B5D91"/>
    <w:rsid w:val="003E1D0D"/>
    <w:rsid w:val="003E3BB6"/>
    <w:rsid w:val="003E4C5D"/>
    <w:rsid w:val="003F1CC8"/>
    <w:rsid w:val="00401751"/>
    <w:rsid w:val="00405448"/>
    <w:rsid w:val="0041158D"/>
    <w:rsid w:val="00412B98"/>
    <w:rsid w:val="00417386"/>
    <w:rsid w:val="0043199A"/>
    <w:rsid w:val="0043519F"/>
    <w:rsid w:val="0044660E"/>
    <w:rsid w:val="00450FAD"/>
    <w:rsid w:val="00456D6F"/>
    <w:rsid w:val="004739F3"/>
    <w:rsid w:val="00474C67"/>
    <w:rsid w:val="00482063"/>
    <w:rsid w:val="00483B9F"/>
    <w:rsid w:val="00483F99"/>
    <w:rsid w:val="004846CE"/>
    <w:rsid w:val="00492226"/>
    <w:rsid w:val="004A4AEC"/>
    <w:rsid w:val="004B5EB7"/>
    <w:rsid w:val="004C35B1"/>
    <w:rsid w:val="004C7C5F"/>
    <w:rsid w:val="004D469F"/>
    <w:rsid w:val="004D6165"/>
    <w:rsid w:val="004F4C01"/>
    <w:rsid w:val="0051352C"/>
    <w:rsid w:val="00513ABF"/>
    <w:rsid w:val="00515CD2"/>
    <w:rsid w:val="00516BFE"/>
    <w:rsid w:val="00531768"/>
    <w:rsid w:val="00531D37"/>
    <w:rsid w:val="00540949"/>
    <w:rsid w:val="0054609E"/>
    <w:rsid w:val="005608CE"/>
    <w:rsid w:val="00560DFA"/>
    <w:rsid w:val="005616ED"/>
    <w:rsid w:val="005621B9"/>
    <w:rsid w:val="005621FC"/>
    <w:rsid w:val="005625CF"/>
    <w:rsid w:val="00570752"/>
    <w:rsid w:val="00570D70"/>
    <w:rsid w:val="00572F99"/>
    <w:rsid w:val="005752DD"/>
    <w:rsid w:val="005841F2"/>
    <w:rsid w:val="00591FCA"/>
    <w:rsid w:val="00594E32"/>
    <w:rsid w:val="00595453"/>
    <w:rsid w:val="005A11BD"/>
    <w:rsid w:val="005A5B92"/>
    <w:rsid w:val="005B0039"/>
    <w:rsid w:val="005B506D"/>
    <w:rsid w:val="005C4C0C"/>
    <w:rsid w:val="005C5043"/>
    <w:rsid w:val="005E5644"/>
    <w:rsid w:val="00601703"/>
    <w:rsid w:val="00615607"/>
    <w:rsid w:val="00615CB4"/>
    <w:rsid w:val="0062030F"/>
    <w:rsid w:val="00620F59"/>
    <w:rsid w:val="00621D12"/>
    <w:rsid w:val="0062628F"/>
    <w:rsid w:val="00627431"/>
    <w:rsid w:val="00632894"/>
    <w:rsid w:val="006354DF"/>
    <w:rsid w:val="00637A41"/>
    <w:rsid w:val="0064249A"/>
    <w:rsid w:val="00643782"/>
    <w:rsid w:val="0066230E"/>
    <w:rsid w:val="00664DB9"/>
    <w:rsid w:val="006664EE"/>
    <w:rsid w:val="006771E9"/>
    <w:rsid w:val="0068086C"/>
    <w:rsid w:val="00681A33"/>
    <w:rsid w:val="00685177"/>
    <w:rsid w:val="00686240"/>
    <w:rsid w:val="00687BCC"/>
    <w:rsid w:val="0069451B"/>
    <w:rsid w:val="0069645E"/>
    <w:rsid w:val="006A4945"/>
    <w:rsid w:val="006A4E22"/>
    <w:rsid w:val="006B4B78"/>
    <w:rsid w:val="006E1B35"/>
    <w:rsid w:val="006E5EAB"/>
    <w:rsid w:val="006E660E"/>
    <w:rsid w:val="006E6FE1"/>
    <w:rsid w:val="007152E2"/>
    <w:rsid w:val="00715C87"/>
    <w:rsid w:val="00721544"/>
    <w:rsid w:val="00731DEE"/>
    <w:rsid w:val="007344C5"/>
    <w:rsid w:val="00741052"/>
    <w:rsid w:val="00746C33"/>
    <w:rsid w:val="00747957"/>
    <w:rsid w:val="00753D09"/>
    <w:rsid w:val="007570FB"/>
    <w:rsid w:val="00762DA8"/>
    <w:rsid w:val="007644F3"/>
    <w:rsid w:val="00766B90"/>
    <w:rsid w:val="00771421"/>
    <w:rsid w:val="007741EE"/>
    <w:rsid w:val="00784AEE"/>
    <w:rsid w:val="007A756A"/>
    <w:rsid w:val="007B0460"/>
    <w:rsid w:val="007B58DA"/>
    <w:rsid w:val="007C088B"/>
    <w:rsid w:val="007D7AEB"/>
    <w:rsid w:val="007E441E"/>
    <w:rsid w:val="007E5815"/>
    <w:rsid w:val="007F19F6"/>
    <w:rsid w:val="008078AE"/>
    <w:rsid w:val="00813935"/>
    <w:rsid w:val="00816E78"/>
    <w:rsid w:val="00820303"/>
    <w:rsid w:val="00830736"/>
    <w:rsid w:val="00832736"/>
    <w:rsid w:val="008358D5"/>
    <w:rsid w:val="0084323F"/>
    <w:rsid w:val="00843DC2"/>
    <w:rsid w:val="00847A75"/>
    <w:rsid w:val="00862105"/>
    <w:rsid w:val="00863212"/>
    <w:rsid w:val="00866F8A"/>
    <w:rsid w:val="00870339"/>
    <w:rsid w:val="00892023"/>
    <w:rsid w:val="008A3688"/>
    <w:rsid w:val="008A4FFD"/>
    <w:rsid w:val="008A5C7F"/>
    <w:rsid w:val="008A7035"/>
    <w:rsid w:val="008B3A46"/>
    <w:rsid w:val="008B7AAA"/>
    <w:rsid w:val="008C528C"/>
    <w:rsid w:val="008C5F26"/>
    <w:rsid w:val="008C6BF5"/>
    <w:rsid w:val="008D7B53"/>
    <w:rsid w:val="008E2FEC"/>
    <w:rsid w:val="008F28C1"/>
    <w:rsid w:val="008F56CC"/>
    <w:rsid w:val="009132D9"/>
    <w:rsid w:val="00915FF1"/>
    <w:rsid w:val="009177AC"/>
    <w:rsid w:val="009238C6"/>
    <w:rsid w:val="009279E1"/>
    <w:rsid w:val="00944EA6"/>
    <w:rsid w:val="0094652C"/>
    <w:rsid w:val="00952DCC"/>
    <w:rsid w:val="00954316"/>
    <w:rsid w:val="009727E1"/>
    <w:rsid w:val="00973D01"/>
    <w:rsid w:val="0097560B"/>
    <w:rsid w:val="009824D7"/>
    <w:rsid w:val="0099115E"/>
    <w:rsid w:val="009A208C"/>
    <w:rsid w:val="009A6A9D"/>
    <w:rsid w:val="009A7A13"/>
    <w:rsid w:val="009B017D"/>
    <w:rsid w:val="009C1448"/>
    <w:rsid w:val="009C3019"/>
    <w:rsid w:val="009D197F"/>
    <w:rsid w:val="009D474C"/>
    <w:rsid w:val="009D7A32"/>
    <w:rsid w:val="009E10B3"/>
    <w:rsid w:val="009E44C3"/>
    <w:rsid w:val="009E5606"/>
    <w:rsid w:val="009F4C52"/>
    <w:rsid w:val="009F5578"/>
    <w:rsid w:val="00A01EA9"/>
    <w:rsid w:val="00A05923"/>
    <w:rsid w:val="00A06EBA"/>
    <w:rsid w:val="00A1698E"/>
    <w:rsid w:val="00A24072"/>
    <w:rsid w:val="00A27249"/>
    <w:rsid w:val="00A41054"/>
    <w:rsid w:val="00A46D0E"/>
    <w:rsid w:val="00A50CD6"/>
    <w:rsid w:val="00A53CFC"/>
    <w:rsid w:val="00A55AB9"/>
    <w:rsid w:val="00A679A5"/>
    <w:rsid w:val="00A71109"/>
    <w:rsid w:val="00A71B08"/>
    <w:rsid w:val="00A75D4E"/>
    <w:rsid w:val="00A77184"/>
    <w:rsid w:val="00A94B3A"/>
    <w:rsid w:val="00AA5C74"/>
    <w:rsid w:val="00AB2B4F"/>
    <w:rsid w:val="00AC3C53"/>
    <w:rsid w:val="00AD014E"/>
    <w:rsid w:val="00AD1472"/>
    <w:rsid w:val="00AD4684"/>
    <w:rsid w:val="00AD52B1"/>
    <w:rsid w:val="00AE098F"/>
    <w:rsid w:val="00AF1CFB"/>
    <w:rsid w:val="00AF6AC5"/>
    <w:rsid w:val="00B001E8"/>
    <w:rsid w:val="00B00E72"/>
    <w:rsid w:val="00B03D03"/>
    <w:rsid w:val="00B13A93"/>
    <w:rsid w:val="00B26298"/>
    <w:rsid w:val="00B26AE7"/>
    <w:rsid w:val="00B36356"/>
    <w:rsid w:val="00B401D4"/>
    <w:rsid w:val="00B465D7"/>
    <w:rsid w:val="00B5429B"/>
    <w:rsid w:val="00B60DCD"/>
    <w:rsid w:val="00B71CEE"/>
    <w:rsid w:val="00B72723"/>
    <w:rsid w:val="00B8297D"/>
    <w:rsid w:val="00BA1338"/>
    <w:rsid w:val="00BB21D3"/>
    <w:rsid w:val="00BB563C"/>
    <w:rsid w:val="00BC3691"/>
    <w:rsid w:val="00BD1C32"/>
    <w:rsid w:val="00BD4B52"/>
    <w:rsid w:val="00BD5D72"/>
    <w:rsid w:val="00BD65B7"/>
    <w:rsid w:val="00BF1588"/>
    <w:rsid w:val="00BF31BA"/>
    <w:rsid w:val="00BF4755"/>
    <w:rsid w:val="00BF5C99"/>
    <w:rsid w:val="00C01511"/>
    <w:rsid w:val="00C0334A"/>
    <w:rsid w:val="00C12E93"/>
    <w:rsid w:val="00C200D3"/>
    <w:rsid w:val="00C2482E"/>
    <w:rsid w:val="00C33081"/>
    <w:rsid w:val="00C35B95"/>
    <w:rsid w:val="00C4503E"/>
    <w:rsid w:val="00C54228"/>
    <w:rsid w:val="00C56EB8"/>
    <w:rsid w:val="00C61D8F"/>
    <w:rsid w:val="00C63FB8"/>
    <w:rsid w:val="00C85EB5"/>
    <w:rsid w:val="00C92647"/>
    <w:rsid w:val="00C9773B"/>
    <w:rsid w:val="00CB07A7"/>
    <w:rsid w:val="00CB2310"/>
    <w:rsid w:val="00CB36D5"/>
    <w:rsid w:val="00CB6D5E"/>
    <w:rsid w:val="00CD3F5C"/>
    <w:rsid w:val="00CE14C9"/>
    <w:rsid w:val="00CE4FF8"/>
    <w:rsid w:val="00CE6C7A"/>
    <w:rsid w:val="00D0597E"/>
    <w:rsid w:val="00D162C4"/>
    <w:rsid w:val="00D17616"/>
    <w:rsid w:val="00D22D0F"/>
    <w:rsid w:val="00D404BA"/>
    <w:rsid w:val="00D41ED9"/>
    <w:rsid w:val="00D46919"/>
    <w:rsid w:val="00D50A63"/>
    <w:rsid w:val="00D6118D"/>
    <w:rsid w:val="00D65BC8"/>
    <w:rsid w:val="00D72D86"/>
    <w:rsid w:val="00D765CF"/>
    <w:rsid w:val="00D80413"/>
    <w:rsid w:val="00D85546"/>
    <w:rsid w:val="00D858A3"/>
    <w:rsid w:val="00D958D6"/>
    <w:rsid w:val="00DB6E6F"/>
    <w:rsid w:val="00DE4905"/>
    <w:rsid w:val="00DF7DDA"/>
    <w:rsid w:val="00E03E8F"/>
    <w:rsid w:val="00E047DB"/>
    <w:rsid w:val="00E05698"/>
    <w:rsid w:val="00E15E83"/>
    <w:rsid w:val="00E248FE"/>
    <w:rsid w:val="00E34FD3"/>
    <w:rsid w:val="00E3574D"/>
    <w:rsid w:val="00E43CEA"/>
    <w:rsid w:val="00E57B0B"/>
    <w:rsid w:val="00E62248"/>
    <w:rsid w:val="00E622F5"/>
    <w:rsid w:val="00E659D5"/>
    <w:rsid w:val="00E66546"/>
    <w:rsid w:val="00E701E8"/>
    <w:rsid w:val="00E775E5"/>
    <w:rsid w:val="00E82A91"/>
    <w:rsid w:val="00E928E8"/>
    <w:rsid w:val="00E942A6"/>
    <w:rsid w:val="00EA26E4"/>
    <w:rsid w:val="00EA3C5E"/>
    <w:rsid w:val="00EA6927"/>
    <w:rsid w:val="00EB2FAD"/>
    <w:rsid w:val="00EB506F"/>
    <w:rsid w:val="00EB5BA9"/>
    <w:rsid w:val="00EC099F"/>
    <w:rsid w:val="00EC2FD7"/>
    <w:rsid w:val="00EC46EE"/>
    <w:rsid w:val="00EC62AE"/>
    <w:rsid w:val="00EC67C2"/>
    <w:rsid w:val="00ED347F"/>
    <w:rsid w:val="00ED4626"/>
    <w:rsid w:val="00ED55B2"/>
    <w:rsid w:val="00EF37D7"/>
    <w:rsid w:val="00EF73C2"/>
    <w:rsid w:val="00EF7526"/>
    <w:rsid w:val="00EF79C7"/>
    <w:rsid w:val="00F00948"/>
    <w:rsid w:val="00F03EA0"/>
    <w:rsid w:val="00F13E6D"/>
    <w:rsid w:val="00F23287"/>
    <w:rsid w:val="00F2504C"/>
    <w:rsid w:val="00F25F07"/>
    <w:rsid w:val="00F276CF"/>
    <w:rsid w:val="00F35298"/>
    <w:rsid w:val="00F4596A"/>
    <w:rsid w:val="00F521A2"/>
    <w:rsid w:val="00F61004"/>
    <w:rsid w:val="00F62603"/>
    <w:rsid w:val="00F67DE0"/>
    <w:rsid w:val="00F74695"/>
    <w:rsid w:val="00F97320"/>
    <w:rsid w:val="00FB586D"/>
    <w:rsid w:val="00FB668D"/>
    <w:rsid w:val="00FB77AC"/>
    <w:rsid w:val="00FC2157"/>
    <w:rsid w:val="00FC21F5"/>
    <w:rsid w:val="00FC401B"/>
    <w:rsid w:val="00FD2064"/>
    <w:rsid w:val="00FE0591"/>
    <w:rsid w:val="00FE0D47"/>
    <w:rsid w:val="00FF3945"/>
    <w:rsid w:val="00FF7318"/>
    <w:rsid w:val="203A7120"/>
    <w:rsid w:val="21064A6A"/>
    <w:rsid w:val="294D7FC4"/>
    <w:rsid w:val="44052E9B"/>
    <w:rsid w:val="45CC2B7E"/>
    <w:rsid w:val="4EF23B61"/>
    <w:rsid w:val="572A4AC8"/>
    <w:rsid w:val="5E31292C"/>
    <w:rsid w:val="693DF4AC"/>
    <w:rsid w:val="700A3CB7"/>
    <w:rsid w:val="7C8C99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DC0"/>
  <w15:chartTrackingRefBased/>
  <w15:docId w15:val="{FB1B9A04-9AD2-454C-BD99-92304186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B3"/>
    <w:pPr>
      <w:spacing w:after="0" w:line="280" w:lineRule="atLeast"/>
    </w:pPr>
    <w:rPr>
      <w:rFonts w:ascii="Times New Roman" w:eastAsia="Times New Roman" w:hAnsi="Times New Roman" w:cs="Times New Roman"/>
      <w:kern w:val="0"/>
      <w:szCs w:val="20"/>
      <w:lang w:eastAsia="zh-CN"/>
      <w14:ligatures w14:val="none"/>
    </w:rPr>
  </w:style>
  <w:style w:type="paragraph" w:styleId="Heading1">
    <w:name w:val="heading 1"/>
    <w:basedOn w:val="Normal"/>
    <w:next w:val="Normal"/>
    <w:link w:val="Heading1Char"/>
    <w:qFormat/>
    <w:rsid w:val="003B3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D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D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D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D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DB3"/>
    <w:rPr>
      <w:rFonts w:eastAsiaTheme="majorEastAsia" w:cstheme="majorBidi"/>
      <w:color w:val="272727" w:themeColor="text1" w:themeTint="D8"/>
    </w:rPr>
  </w:style>
  <w:style w:type="paragraph" w:styleId="Title">
    <w:name w:val="Title"/>
    <w:basedOn w:val="Normal"/>
    <w:next w:val="Normal"/>
    <w:link w:val="TitleChar"/>
    <w:uiPriority w:val="10"/>
    <w:qFormat/>
    <w:rsid w:val="003B3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DB3"/>
    <w:pPr>
      <w:spacing w:before="160"/>
      <w:jc w:val="center"/>
    </w:pPr>
    <w:rPr>
      <w:i/>
      <w:iCs/>
      <w:color w:val="404040" w:themeColor="text1" w:themeTint="BF"/>
    </w:rPr>
  </w:style>
  <w:style w:type="character" w:customStyle="1" w:styleId="QuoteChar">
    <w:name w:val="Quote Char"/>
    <w:basedOn w:val="DefaultParagraphFont"/>
    <w:link w:val="Quote"/>
    <w:uiPriority w:val="29"/>
    <w:rsid w:val="003B3DB3"/>
    <w:rPr>
      <w:i/>
      <w:iCs/>
      <w:color w:val="404040" w:themeColor="text1" w:themeTint="BF"/>
    </w:rPr>
  </w:style>
  <w:style w:type="paragraph" w:styleId="ListParagraph">
    <w:name w:val="List Paragraph"/>
    <w:basedOn w:val="Normal"/>
    <w:uiPriority w:val="34"/>
    <w:qFormat/>
    <w:rsid w:val="003B3DB3"/>
    <w:pPr>
      <w:ind w:left="720"/>
      <w:contextualSpacing/>
    </w:pPr>
  </w:style>
  <w:style w:type="character" w:styleId="IntenseEmphasis">
    <w:name w:val="Intense Emphasis"/>
    <w:basedOn w:val="DefaultParagraphFont"/>
    <w:uiPriority w:val="21"/>
    <w:qFormat/>
    <w:rsid w:val="003B3DB3"/>
    <w:rPr>
      <w:i/>
      <w:iCs/>
      <w:color w:val="0F4761" w:themeColor="accent1" w:themeShade="BF"/>
    </w:rPr>
  </w:style>
  <w:style w:type="paragraph" w:styleId="IntenseQuote">
    <w:name w:val="Intense Quote"/>
    <w:basedOn w:val="Normal"/>
    <w:next w:val="Normal"/>
    <w:link w:val="IntenseQuoteChar"/>
    <w:uiPriority w:val="30"/>
    <w:qFormat/>
    <w:rsid w:val="003B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DB3"/>
    <w:rPr>
      <w:i/>
      <w:iCs/>
      <w:color w:val="0F4761" w:themeColor="accent1" w:themeShade="BF"/>
    </w:rPr>
  </w:style>
  <w:style w:type="character" w:styleId="IntenseReference">
    <w:name w:val="Intense Reference"/>
    <w:basedOn w:val="DefaultParagraphFont"/>
    <w:uiPriority w:val="32"/>
    <w:qFormat/>
    <w:rsid w:val="003B3DB3"/>
    <w:rPr>
      <w:b/>
      <w:bCs/>
      <w:smallCaps/>
      <w:color w:val="0F4761" w:themeColor="accent1" w:themeShade="BF"/>
      <w:spacing w:val="5"/>
    </w:rPr>
  </w:style>
  <w:style w:type="paragraph" w:customStyle="1" w:styleId="Spreekpunten">
    <w:name w:val="Spreekpunten"/>
    <w:basedOn w:val="Normal"/>
    <w:rsid w:val="003B3DB3"/>
    <w:pPr>
      <w:numPr>
        <w:numId w:val="1"/>
      </w:numPr>
      <w:spacing w:line="360" w:lineRule="auto"/>
    </w:pPr>
    <w:rPr>
      <w:bCs/>
      <w:sz w:val="28"/>
      <w:lang w:val="en-GB" w:eastAsia="nl-NL"/>
    </w:rPr>
  </w:style>
  <w:style w:type="paragraph" w:styleId="Header">
    <w:name w:val="header"/>
    <w:basedOn w:val="Normal"/>
    <w:link w:val="HeaderChar"/>
    <w:rsid w:val="003B3DB3"/>
    <w:pPr>
      <w:tabs>
        <w:tab w:val="center" w:pos="4536"/>
        <w:tab w:val="right" w:pos="9072"/>
      </w:tabs>
    </w:pPr>
  </w:style>
  <w:style w:type="character" w:customStyle="1" w:styleId="HeaderChar">
    <w:name w:val="Header Char"/>
    <w:basedOn w:val="DefaultParagraphFont"/>
    <w:link w:val="Header"/>
    <w:rsid w:val="003B3DB3"/>
    <w:rPr>
      <w:rFonts w:ascii="Times New Roman" w:eastAsia="Times New Roman" w:hAnsi="Times New Roman" w:cs="Times New Roman"/>
      <w:kern w:val="0"/>
      <w:szCs w:val="20"/>
      <w:lang w:eastAsia="zh-CN"/>
      <w14:ligatures w14:val="none"/>
    </w:rPr>
  </w:style>
  <w:style w:type="paragraph" w:styleId="FootnoteText">
    <w:name w:val="footnote text"/>
    <w:basedOn w:val="Normal"/>
    <w:link w:val="FootnoteTextChar"/>
    <w:rsid w:val="003B3DB3"/>
    <w:pPr>
      <w:spacing w:line="240" w:lineRule="atLeast"/>
      <w:ind w:left="1298" w:hanging="1298"/>
    </w:pPr>
    <w:rPr>
      <w:sz w:val="16"/>
    </w:rPr>
  </w:style>
  <w:style w:type="character" w:customStyle="1" w:styleId="FootnoteTextChar">
    <w:name w:val="Footnote Text Char"/>
    <w:basedOn w:val="DefaultParagraphFont"/>
    <w:link w:val="FootnoteText"/>
    <w:rsid w:val="003B3DB3"/>
    <w:rPr>
      <w:rFonts w:ascii="Times New Roman" w:eastAsia="Times New Roman" w:hAnsi="Times New Roman" w:cs="Times New Roman"/>
      <w:kern w:val="0"/>
      <w:sz w:val="16"/>
      <w:szCs w:val="20"/>
      <w:lang w:eastAsia="zh-CN"/>
      <w14:ligatures w14:val="none"/>
    </w:rPr>
  </w:style>
  <w:style w:type="character" w:styleId="FootnoteReference">
    <w:name w:val="footnote reference"/>
    <w:uiPriority w:val="99"/>
    <w:semiHidden/>
    <w:rsid w:val="003B3DB3"/>
    <w:rPr>
      <w:vertAlign w:val="superscript"/>
    </w:rPr>
  </w:style>
  <w:style w:type="paragraph" w:styleId="BodyText">
    <w:name w:val="Body Text"/>
    <w:basedOn w:val="Normal"/>
    <w:link w:val="BodyTextChar"/>
    <w:rsid w:val="003B3DB3"/>
    <w:pPr>
      <w:spacing w:line="280" w:lineRule="exact"/>
      <w:jc w:val="both"/>
    </w:pPr>
    <w:rPr>
      <w:snapToGrid w:val="0"/>
      <w:lang w:val="en-US" w:eastAsia="en-US"/>
    </w:rPr>
  </w:style>
  <w:style w:type="character" w:customStyle="1" w:styleId="BodyTextChar">
    <w:name w:val="Body Text Char"/>
    <w:basedOn w:val="DefaultParagraphFont"/>
    <w:link w:val="BodyText"/>
    <w:rsid w:val="003B3DB3"/>
    <w:rPr>
      <w:rFonts w:ascii="Times New Roman" w:eastAsia="Times New Roman" w:hAnsi="Times New Roman" w:cs="Times New Roman"/>
      <w:snapToGrid w:val="0"/>
      <w:kern w:val="0"/>
      <w:szCs w:val="20"/>
      <w:lang w:val="en-US"/>
      <w14:ligatures w14:val="none"/>
    </w:rPr>
  </w:style>
  <w:style w:type="paragraph" w:styleId="BodyText2">
    <w:name w:val="Body Text 2"/>
    <w:basedOn w:val="Normal"/>
    <w:link w:val="BodyText2Char"/>
    <w:rsid w:val="003B3DB3"/>
    <w:pPr>
      <w:spacing w:line="240" w:lineRule="auto"/>
      <w:jc w:val="both"/>
    </w:pPr>
    <w:rPr>
      <w:snapToGrid w:val="0"/>
      <w:color w:val="000000"/>
      <w:sz w:val="24"/>
      <w:lang w:eastAsia="nl-NL"/>
    </w:rPr>
  </w:style>
  <w:style w:type="character" w:customStyle="1" w:styleId="BodyText2Char">
    <w:name w:val="Body Text 2 Char"/>
    <w:basedOn w:val="DefaultParagraphFont"/>
    <w:link w:val="BodyText2"/>
    <w:rsid w:val="003B3DB3"/>
    <w:rPr>
      <w:rFonts w:ascii="Times New Roman" w:eastAsia="Times New Roman" w:hAnsi="Times New Roman" w:cs="Times New Roman"/>
      <w:snapToGrid w:val="0"/>
      <w:color w:val="000000"/>
      <w:kern w:val="0"/>
      <w:sz w:val="24"/>
      <w:szCs w:val="20"/>
      <w:lang w:eastAsia="nl-NL"/>
      <w14:ligatures w14:val="none"/>
    </w:rPr>
  </w:style>
  <w:style w:type="character" w:styleId="Hyperlink">
    <w:name w:val="Hyperlink"/>
    <w:rsid w:val="003B3DB3"/>
    <w:rPr>
      <w:color w:val="0000FF"/>
      <w:u w:val="single"/>
    </w:rPr>
  </w:style>
  <w:style w:type="paragraph" w:styleId="BalloonText">
    <w:name w:val="Balloon Text"/>
    <w:basedOn w:val="Normal"/>
    <w:link w:val="BalloonTextChar"/>
    <w:semiHidden/>
    <w:rsid w:val="003B3DB3"/>
    <w:rPr>
      <w:rFonts w:ascii="Tahoma" w:hAnsi="Tahoma" w:cs="Tahoma"/>
      <w:sz w:val="16"/>
      <w:szCs w:val="16"/>
    </w:rPr>
  </w:style>
  <w:style w:type="character" w:customStyle="1" w:styleId="BalloonTextChar">
    <w:name w:val="Balloon Text Char"/>
    <w:basedOn w:val="DefaultParagraphFont"/>
    <w:link w:val="BalloonText"/>
    <w:semiHidden/>
    <w:rsid w:val="003B3DB3"/>
    <w:rPr>
      <w:rFonts w:ascii="Tahoma" w:eastAsia="Times New Roman" w:hAnsi="Tahoma" w:cs="Tahoma"/>
      <w:kern w:val="0"/>
      <w:sz w:val="16"/>
      <w:szCs w:val="16"/>
      <w:lang w:eastAsia="zh-CN"/>
      <w14:ligatures w14:val="none"/>
    </w:rPr>
  </w:style>
  <w:style w:type="paragraph" w:styleId="Footer">
    <w:name w:val="footer"/>
    <w:basedOn w:val="Normal"/>
    <w:link w:val="FooterChar"/>
    <w:rsid w:val="003B3DB3"/>
    <w:pPr>
      <w:tabs>
        <w:tab w:val="center" w:pos="4536"/>
        <w:tab w:val="right" w:pos="9072"/>
      </w:tabs>
    </w:pPr>
  </w:style>
  <w:style w:type="character" w:customStyle="1" w:styleId="FooterChar">
    <w:name w:val="Footer Char"/>
    <w:basedOn w:val="DefaultParagraphFont"/>
    <w:link w:val="Footer"/>
    <w:rsid w:val="003B3DB3"/>
    <w:rPr>
      <w:rFonts w:ascii="Times New Roman" w:eastAsia="Times New Roman" w:hAnsi="Times New Roman" w:cs="Times New Roman"/>
      <w:kern w:val="0"/>
      <w:szCs w:val="20"/>
      <w:lang w:eastAsia="zh-CN"/>
      <w14:ligatures w14:val="none"/>
    </w:rPr>
  </w:style>
  <w:style w:type="character" w:styleId="PageNumber">
    <w:name w:val="page number"/>
    <w:basedOn w:val="DefaultParagraphFont"/>
    <w:rsid w:val="003B3DB3"/>
  </w:style>
  <w:style w:type="character" w:styleId="CommentReference">
    <w:name w:val="annotation reference"/>
    <w:rsid w:val="003B3DB3"/>
    <w:rPr>
      <w:sz w:val="16"/>
      <w:szCs w:val="16"/>
    </w:rPr>
  </w:style>
  <w:style w:type="paragraph" w:styleId="CommentText">
    <w:name w:val="annotation text"/>
    <w:basedOn w:val="Normal"/>
    <w:link w:val="CommentTextChar"/>
    <w:rsid w:val="003B3DB3"/>
    <w:rPr>
      <w:sz w:val="20"/>
    </w:rPr>
  </w:style>
  <w:style w:type="character" w:customStyle="1" w:styleId="CommentTextChar">
    <w:name w:val="Comment Text Char"/>
    <w:basedOn w:val="DefaultParagraphFont"/>
    <w:link w:val="CommentText"/>
    <w:rsid w:val="003B3DB3"/>
    <w:rPr>
      <w:rFonts w:ascii="Times New Roman" w:eastAsia="Times New Roma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semiHidden/>
    <w:rsid w:val="003B3DB3"/>
    <w:rPr>
      <w:b/>
      <w:bCs/>
    </w:rPr>
  </w:style>
  <w:style w:type="character" w:customStyle="1" w:styleId="CommentSubjectChar">
    <w:name w:val="Comment Subject Char"/>
    <w:basedOn w:val="CommentTextChar"/>
    <w:link w:val="CommentSubject"/>
    <w:semiHidden/>
    <w:rsid w:val="003B3DB3"/>
    <w:rPr>
      <w:rFonts w:ascii="Times New Roman" w:eastAsia="Times New Roman" w:hAnsi="Times New Roman" w:cs="Times New Roman"/>
      <w:b/>
      <w:bCs/>
      <w:kern w:val="0"/>
      <w:sz w:val="20"/>
      <w:szCs w:val="20"/>
      <w:lang w:eastAsia="zh-CN"/>
      <w14:ligatures w14:val="none"/>
    </w:rPr>
  </w:style>
  <w:style w:type="character" w:styleId="Strong">
    <w:name w:val="Strong"/>
    <w:qFormat/>
    <w:rsid w:val="003B3DB3"/>
    <w:rPr>
      <w:b/>
      <w:bCs/>
    </w:rPr>
  </w:style>
  <w:style w:type="paragraph" w:styleId="DocumentMap">
    <w:name w:val="Document Map"/>
    <w:basedOn w:val="Normal"/>
    <w:link w:val="DocumentMapChar"/>
    <w:semiHidden/>
    <w:rsid w:val="003B3DB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B3DB3"/>
    <w:rPr>
      <w:rFonts w:ascii="Tahoma" w:eastAsia="Times New Roman" w:hAnsi="Tahoma" w:cs="Tahoma"/>
      <w:kern w:val="0"/>
      <w:sz w:val="20"/>
      <w:szCs w:val="20"/>
      <w:shd w:val="clear" w:color="auto" w:fill="000080"/>
      <w:lang w:eastAsia="zh-CN"/>
      <w14:ligatures w14:val="none"/>
    </w:rPr>
  </w:style>
  <w:style w:type="character" w:styleId="FollowedHyperlink">
    <w:name w:val="FollowedHyperlink"/>
    <w:rsid w:val="003B3DB3"/>
    <w:rPr>
      <w:color w:val="800080"/>
      <w:u w:val="single"/>
    </w:rPr>
  </w:style>
  <w:style w:type="paragraph" w:styleId="NoSpacing">
    <w:name w:val="No Spacing"/>
    <w:uiPriority w:val="1"/>
    <w:qFormat/>
    <w:rsid w:val="003B3DB3"/>
    <w:pPr>
      <w:spacing w:after="0" w:line="240" w:lineRule="auto"/>
    </w:pPr>
    <w:rPr>
      <w:rFonts w:ascii="Times New Roman" w:eastAsia="Times New Roman" w:hAnsi="Times New Roman" w:cs="Times New Roman"/>
      <w:kern w:val="0"/>
      <w:szCs w:val="20"/>
      <w:lang w:eastAsia="zh-CN"/>
      <w14:ligatures w14:val="none"/>
    </w:rPr>
  </w:style>
  <w:style w:type="paragraph" w:styleId="Revision">
    <w:name w:val="Revision"/>
    <w:hidden/>
    <w:uiPriority w:val="99"/>
    <w:semiHidden/>
    <w:rsid w:val="003B3DB3"/>
    <w:pPr>
      <w:spacing w:after="0" w:line="240" w:lineRule="auto"/>
    </w:pPr>
    <w:rPr>
      <w:rFonts w:ascii="Times New Roman" w:eastAsia="Times New Roman" w:hAnsi="Times New Roman" w:cs="Times New Roman"/>
      <w:kern w:val="0"/>
      <w:szCs w:val="20"/>
      <w:lang w:eastAsia="zh-CN"/>
      <w14:ligatures w14:val="none"/>
    </w:rPr>
  </w:style>
  <w:style w:type="character" w:styleId="UnresolvedMention">
    <w:name w:val="Unresolved Mention"/>
    <w:basedOn w:val="DefaultParagraphFont"/>
    <w:uiPriority w:val="99"/>
    <w:semiHidden/>
    <w:unhideWhenUsed/>
    <w:rsid w:val="003B3DB3"/>
    <w:rPr>
      <w:color w:val="605E5C"/>
      <w:shd w:val="clear" w:color="auto" w:fill="E1DFDD"/>
    </w:rPr>
  </w:style>
  <w:style w:type="character" w:styleId="Mention">
    <w:name w:val="Mention"/>
    <w:basedOn w:val="DefaultParagraphFont"/>
    <w:uiPriority w:val="99"/>
    <w:unhideWhenUsed/>
    <w:rsid w:val="003B3D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009">
      <w:bodyDiv w:val="1"/>
      <w:marLeft w:val="0"/>
      <w:marRight w:val="0"/>
      <w:marTop w:val="0"/>
      <w:marBottom w:val="0"/>
      <w:divBdr>
        <w:top w:val="none" w:sz="0" w:space="0" w:color="auto"/>
        <w:left w:val="none" w:sz="0" w:space="0" w:color="auto"/>
        <w:bottom w:val="none" w:sz="0" w:space="0" w:color="auto"/>
        <w:right w:val="none" w:sz="0" w:space="0" w:color="auto"/>
      </w:divBdr>
    </w:div>
    <w:div w:id="122163431">
      <w:bodyDiv w:val="1"/>
      <w:marLeft w:val="0"/>
      <w:marRight w:val="0"/>
      <w:marTop w:val="0"/>
      <w:marBottom w:val="0"/>
      <w:divBdr>
        <w:top w:val="none" w:sz="0" w:space="0" w:color="auto"/>
        <w:left w:val="none" w:sz="0" w:space="0" w:color="auto"/>
        <w:bottom w:val="none" w:sz="0" w:space="0" w:color="auto"/>
        <w:right w:val="none" w:sz="0" w:space="0" w:color="auto"/>
      </w:divBdr>
    </w:div>
    <w:div w:id="310905923">
      <w:bodyDiv w:val="1"/>
      <w:marLeft w:val="0"/>
      <w:marRight w:val="0"/>
      <w:marTop w:val="0"/>
      <w:marBottom w:val="0"/>
      <w:divBdr>
        <w:top w:val="none" w:sz="0" w:space="0" w:color="auto"/>
        <w:left w:val="none" w:sz="0" w:space="0" w:color="auto"/>
        <w:bottom w:val="none" w:sz="0" w:space="0" w:color="auto"/>
        <w:right w:val="none" w:sz="0" w:space="0" w:color="auto"/>
      </w:divBdr>
    </w:div>
    <w:div w:id="690885851">
      <w:bodyDiv w:val="1"/>
      <w:marLeft w:val="0"/>
      <w:marRight w:val="0"/>
      <w:marTop w:val="0"/>
      <w:marBottom w:val="0"/>
      <w:divBdr>
        <w:top w:val="none" w:sz="0" w:space="0" w:color="auto"/>
        <w:left w:val="none" w:sz="0" w:space="0" w:color="auto"/>
        <w:bottom w:val="none" w:sz="0" w:space="0" w:color="auto"/>
        <w:right w:val="none" w:sz="0" w:space="0" w:color="auto"/>
      </w:divBdr>
    </w:div>
    <w:div w:id="744382210">
      <w:bodyDiv w:val="1"/>
      <w:marLeft w:val="0"/>
      <w:marRight w:val="0"/>
      <w:marTop w:val="0"/>
      <w:marBottom w:val="0"/>
      <w:divBdr>
        <w:top w:val="none" w:sz="0" w:space="0" w:color="auto"/>
        <w:left w:val="none" w:sz="0" w:space="0" w:color="auto"/>
        <w:bottom w:val="none" w:sz="0" w:space="0" w:color="auto"/>
        <w:right w:val="none" w:sz="0" w:space="0" w:color="auto"/>
      </w:divBdr>
    </w:div>
    <w:div w:id="1185169606">
      <w:bodyDiv w:val="1"/>
      <w:marLeft w:val="0"/>
      <w:marRight w:val="0"/>
      <w:marTop w:val="0"/>
      <w:marBottom w:val="0"/>
      <w:divBdr>
        <w:top w:val="none" w:sz="0" w:space="0" w:color="auto"/>
        <w:left w:val="none" w:sz="0" w:space="0" w:color="auto"/>
        <w:bottom w:val="none" w:sz="0" w:space="0" w:color="auto"/>
        <w:right w:val="none" w:sz="0" w:space="0" w:color="auto"/>
      </w:divBdr>
      <w:divsChild>
        <w:div w:id="893008936">
          <w:marLeft w:val="0"/>
          <w:marRight w:val="0"/>
          <w:marTop w:val="0"/>
          <w:marBottom w:val="0"/>
          <w:divBdr>
            <w:top w:val="none" w:sz="0" w:space="0" w:color="auto"/>
            <w:left w:val="none" w:sz="0" w:space="0" w:color="auto"/>
            <w:bottom w:val="none" w:sz="0" w:space="0" w:color="auto"/>
            <w:right w:val="none" w:sz="0" w:space="0" w:color="auto"/>
          </w:divBdr>
        </w:div>
        <w:div w:id="1694647309">
          <w:marLeft w:val="0"/>
          <w:marRight w:val="0"/>
          <w:marTop w:val="0"/>
          <w:marBottom w:val="0"/>
          <w:divBdr>
            <w:top w:val="none" w:sz="0" w:space="0" w:color="auto"/>
            <w:left w:val="none" w:sz="0" w:space="0" w:color="auto"/>
            <w:bottom w:val="none" w:sz="0" w:space="0" w:color="auto"/>
            <w:right w:val="none" w:sz="0" w:space="0" w:color="auto"/>
          </w:divBdr>
        </w:div>
        <w:div w:id="1796674543">
          <w:marLeft w:val="0"/>
          <w:marRight w:val="0"/>
          <w:marTop w:val="0"/>
          <w:marBottom w:val="0"/>
          <w:divBdr>
            <w:top w:val="none" w:sz="0" w:space="0" w:color="auto"/>
            <w:left w:val="none" w:sz="0" w:space="0" w:color="auto"/>
            <w:bottom w:val="none" w:sz="0" w:space="0" w:color="auto"/>
            <w:right w:val="none" w:sz="0" w:space="0" w:color="auto"/>
          </w:divBdr>
        </w:div>
      </w:divsChild>
    </w:div>
    <w:div w:id="1256330467">
      <w:bodyDiv w:val="1"/>
      <w:marLeft w:val="0"/>
      <w:marRight w:val="0"/>
      <w:marTop w:val="0"/>
      <w:marBottom w:val="0"/>
      <w:divBdr>
        <w:top w:val="none" w:sz="0" w:space="0" w:color="auto"/>
        <w:left w:val="none" w:sz="0" w:space="0" w:color="auto"/>
        <w:bottom w:val="none" w:sz="0" w:space="0" w:color="auto"/>
        <w:right w:val="none" w:sz="0" w:space="0" w:color="auto"/>
      </w:divBdr>
      <w:divsChild>
        <w:div w:id="72435378">
          <w:marLeft w:val="0"/>
          <w:marRight w:val="0"/>
          <w:marTop w:val="0"/>
          <w:marBottom w:val="0"/>
          <w:divBdr>
            <w:top w:val="none" w:sz="0" w:space="0" w:color="auto"/>
            <w:left w:val="none" w:sz="0" w:space="0" w:color="auto"/>
            <w:bottom w:val="none" w:sz="0" w:space="0" w:color="auto"/>
            <w:right w:val="none" w:sz="0" w:space="0" w:color="auto"/>
          </w:divBdr>
        </w:div>
        <w:div w:id="790052476">
          <w:marLeft w:val="0"/>
          <w:marRight w:val="0"/>
          <w:marTop w:val="0"/>
          <w:marBottom w:val="0"/>
          <w:divBdr>
            <w:top w:val="none" w:sz="0" w:space="0" w:color="auto"/>
            <w:left w:val="none" w:sz="0" w:space="0" w:color="auto"/>
            <w:bottom w:val="none" w:sz="0" w:space="0" w:color="auto"/>
            <w:right w:val="none" w:sz="0" w:space="0" w:color="auto"/>
          </w:divBdr>
        </w:div>
        <w:div w:id="1099107304">
          <w:marLeft w:val="0"/>
          <w:marRight w:val="0"/>
          <w:marTop w:val="0"/>
          <w:marBottom w:val="0"/>
          <w:divBdr>
            <w:top w:val="none" w:sz="0" w:space="0" w:color="auto"/>
            <w:left w:val="none" w:sz="0" w:space="0" w:color="auto"/>
            <w:bottom w:val="none" w:sz="0" w:space="0" w:color="auto"/>
            <w:right w:val="none" w:sz="0" w:space="0" w:color="auto"/>
          </w:divBdr>
        </w:div>
      </w:divsChild>
    </w:div>
    <w:div w:id="1846363091">
      <w:bodyDiv w:val="1"/>
      <w:marLeft w:val="0"/>
      <w:marRight w:val="0"/>
      <w:marTop w:val="0"/>
      <w:marBottom w:val="0"/>
      <w:divBdr>
        <w:top w:val="none" w:sz="0" w:space="0" w:color="auto"/>
        <w:left w:val="none" w:sz="0" w:space="0" w:color="auto"/>
        <w:bottom w:val="none" w:sz="0" w:space="0" w:color="auto"/>
        <w:right w:val="none" w:sz="0" w:space="0" w:color="auto"/>
      </w:divBdr>
    </w:div>
    <w:div w:id="1950041516">
      <w:bodyDiv w:val="1"/>
      <w:marLeft w:val="0"/>
      <w:marRight w:val="0"/>
      <w:marTop w:val="0"/>
      <w:marBottom w:val="0"/>
      <w:divBdr>
        <w:top w:val="none" w:sz="0" w:space="0" w:color="auto"/>
        <w:left w:val="none" w:sz="0" w:space="0" w:color="auto"/>
        <w:bottom w:val="none" w:sz="0" w:space="0" w:color="auto"/>
        <w:right w:val="none" w:sz="0" w:space="0" w:color="auto"/>
      </w:divBdr>
    </w:div>
    <w:div w:id="21462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eur-lex.europa.eu/legal-content/EN/TXT/?uri=CELEX%3A52025PC0547"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budget-expenditure-tracking-and-performance-framework_en" TargetMode="External"/><Relationship Id="rId2" Type="http://schemas.openxmlformats.org/officeDocument/2006/relationships/hyperlink" Target="https://cinea.ec.europa.eu/programmes/connecting-europe-facility_en" TargetMode="External"/><Relationship Id="rId1" Type="http://schemas.openxmlformats.org/officeDocument/2006/relationships/hyperlink" Target="https://eur-lex.europa.eu/eli/reg/2021/1153/oj/e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7554</ap:Words>
  <ap:Characters>41548</ap:Characters>
  <ap:DocSecurity>0</ap:DocSecurity>
  <ap:Lines>346</ap:Lines>
  <ap:Paragraphs>98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2025-09-10T12:02:00.0000000Z</lastPrinted>
  <dcterms:created xsi:type="dcterms:W3CDTF">2025-09-11T07:57:00.0000000Z</dcterms:created>
  <dcterms:modified xsi:type="dcterms:W3CDTF">2025-09-11T07:57:00.0000000Z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ClassificationContentMarkingFooterShapeIds">
    <vt:lpwstr>2f57f9a,73e2c86b,7dc03cfc</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2025-07-29T13:49:46Z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7ce31ca0-cddc-4338-a075-896ddde4e23e</vt:lpwstr>
  </property>
  <property fmtid="{D5CDD505-2E9C-101B-9397-08002B2CF9AE}" pid="12" name="MSIP_Label_6800fede-0e59-47ad-af95-4e63bbdb932d_ContentBits">
    <vt:lpwstr>0</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dd79da2a-798f-45d1-85b6-152a94b91486</vt:lpwstr>
  </property>
  <property fmtid="{D5CDD505-2E9C-101B-9397-08002B2CF9AE}" pid="18" name="BZClassification">
    <vt:lpwstr>4;#UNCLASSIFIED (U)|284e6a62-15ab-4017-be27-a1e965f4e940</vt:lpwstr>
  </property>
</Properties>
</file>