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F67" w:rsidR="00860CB9" w:rsidP="00251F67" w:rsidRDefault="00860CB9" w14:paraId="30851188" w14:textId="47E8156B">
      <w:pPr>
        <w:rPr>
          <w:rFonts w:ascii="Verdana" w:hAnsi="Verdana"/>
          <w:b/>
          <w:bCs/>
          <w:sz w:val="18"/>
          <w:szCs w:val="18"/>
        </w:rPr>
      </w:pPr>
      <w:r w:rsidRPr="00251F67">
        <w:rPr>
          <w:rFonts w:ascii="Verdana" w:hAnsi="Verdana"/>
          <w:b/>
          <w:bCs/>
          <w:sz w:val="18"/>
          <w:szCs w:val="18"/>
        </w:rPr>
        <w:t>Fiche</w:t>
      </w:r>
      <w:r w:rsidRPr="00251F67" w:rsidR="00251F67">
        <w:rPr>
          <w:rFonts w:ascii="Verdana" w:hAnsi="Verdana"/>
          <w:b/>
          <w:bCs/>
          <w:sz w:val="18"/>
          <w:szCs w:val="18"/>
        </w:rPr>
        <w:t xml:space="preserve"> 14</w:t>
      </w:r>
      <w:r w:rsidR="00251F67">
        <w:rPr>
          <w:rFonts w:ascii="Verdana" w:hAnsi="Verdana"/>
          <w:b/>
          <w:bCs/>
          <w:sz w:val="18"/>
          <w:szCs w:val="18"/>
        </w:rPr>
        <w:t>:</w:t>
      </w:r>
      <w:r w:rsidRPr="00251F67" w:rsidR="00251F67">
        <w:rPr>
          <w:rFonts w:ascii="Verdana" w:hAnsi="Verdana"/>
          <w:b/>
          <w:bCs/>
          <w:sz w:val="18"/>
          <w:szCs w:val="18"/>
        </w:rPr>
        <w:t xml:space="preserve"> </w:t>
      </w:r>
      <w:r w:rsidR="00D606D5">
        <w:rPr>
          <w:rFonts w:ascii="Verdana" w:hAnsi="Verdana"/>
          <w:b/>
          <w:bCs/>
          <w:sz w:val="18"/>
          <w:szCs w:val="18"/>
        </w:rPr>
        <w:t xml:space="preserve">[MFK] </w:t>
      </w:r>
      <w:r w:rsidRPr="00251F67" w:rsidR="00C209EA">
        <w:rPr>
          <w:rFonts w:ascii="Verdana" w:hAnsi="Verdana"/>
          <w:b/>
          <w:bCs/>
          <w:sz w:val="18"/>
          <w:szCs w:val="18"/>
        </w:rPr>
        <w:t xml:space="preserve">Verordening </w:t>
      </w:r>
      <w:r w:rsidRPr="00251F67" w:rsidR="006E3C2B">
        <w:rPr>
          <w:rFonts w:ascii="Verdana" w:hAnsi="Verdana"/>
          <w:b/>
          <w:bCs/>
          <w:sz w:val="18"/>
          <w:szCs w:val="18"/>
        </w:rPr>
        <w:t xml:space="preserve">Uniemechanisme </w:t>
      </w:r>
      <w:r w:rsidRPr="00251F67" w:rsidR="00C209EA">
        <w:rPr>
          <w:rFonts w:ascii="Verdana" w:hAnsi="Verdana"/>
          <w:b/>
          <w:bCs/>
          <w:sz w:val="18"/>
          <w:szCs w:val="18"/>
        </w:rPr>
        <w:t>en financiering paraatheid en</w:t>
      </w:r>
      <w:r w:rsidRPr="00251F67" w:rsidR="00251F67">
        <w:rPr>
          <w:rFonts w:ascii="Verdana" w:hAnsi="Verdana"/>
          <w:b/>
          <w:bCs/>
          <w:sz w:val="18"/>
          <w:szCs w:val="18"/>
        </w:rPr>
        <w:t xml:space="preserve"> </w:t>
      </w:r>
      <w:r w:rsidRPr="00251F67" w:rsidR="00C209EA">
        <w:rPr>
          <w:rFonts w:ascii="Verdana" w:hAnsi="Verdana"/>
          <w:b/>
          <w:bCs/>
          <w:sz w:val="18"/>
          <w:szCs w:val="18"/>
        </w:rPr>
        <w:t>respons noodsituaties gezondheid</w:t>
      </w:r>
    </w:p>
    <w:p w:rsidRPr="008B03FA" w:rsidR="00860CB9" w:rsidP="00D134EC" w:rsidRDefault="00860CB9" w14:paraId="27B3C31B" w14:textId="77777777">
      <w:pPr>
        <w:pStyle w:val="NoSpacing"/>
        <w:spacing w:line="360" w:lineRule="auto"/>
        <w:ind w:left="720"/>
        <w:rPr>
          <w:b/>
          <w:bCs/>
          <w:szCs w:val="18"/>
        </w:rPr>
      </w:pPr>
    </w:p>
    <w:p w:rsidRPr="008B03FA" w:rsidR="00EE1E88" w:rsidP="00D134EC" w:rsidRDefault="00533882" w14:paraId="6C211AD1" w14:textId="1C6569E6">
      <w:pPr>
        <w:pStyle w:val="NoSpacing"/>
        <w:numPr>
          <w:ilvl w:val="0"/>
          <w:numId w:val="1"/>
        </w:numPr>
        <w:spacing w:line="360" w:lineRule="auto"/>
        <w:rPr>
          <w:b/>
          <w:bCs/>
          <w:szCs w:val="18"/>
        </w:rPr>
      </w:pPr>
      <w:r>
        <w:rPr>
          <w:b/>
          <w:bCs/>
          <w:szCs w:val="18"/>
        </w:rPr>
        <w:t>Algeme</w:t>
      </w:r>
      <w:r w:rsidR="00791CEC">
        <w:rPr>
          <w:b/>
          <w:bCs/>
          <w:szCs w:val="18"/>
        </w:rPr>
        <w:t>ne gegevens</w:t>
      </w:r>
    </w:p>
    <w:p w:rsidRPr="008B03FA" w:rsidR="00773076" w:rsidP="00D134EC" w:rsidRDefault="00773076" w14:paraId="07A67988" w14:textId="77777777">
      <w:pPr>
        <w:pStyle w:val="NoSpacing"/>
        <w:spacing w:line="360" w:lineRule="auto"/>
        <w:ind w:left="360"/>
        <w:rPr>
          <w:b/>
          <w:bCs/>
          <w:szCs w:val="18"/>
        </w:rPr>
      </w:pPr>
    </w:p>
    <w:p w:rsidRPr="008B03FA" w:rsidR="00C209EA" w:rsidP="00D134EC" w:rsidRDefault="00EE1E88" w14:paraId="02698BE6" w14:textId="333C3D4A">
      <w:pPr>
        <w:pStyle w:val="NoSpacing"/>
        <w:numPr>
          <w:ilvl w:val="1"/>
          <w:numId w:val="1"/>
        </w:numPr>
        <w:spacing w:line="360" w:lineRule="auto"/>
        <w:rPr>
          <w:szCs w:val="18"/>
        </w:rPr>
      </w:pPr>
      <w:r w:rsidRPr="008B03FA">
        <w:rPr>
          <w:i/>
          <w:iCs/>
          <w:szCs w:val="18"/>
        </w:rPr>
        <w:t>Titel voorstel</w:t>
      </w:r>
    </w:p>
    <w:p w:rsidR="00C209EA" w:rsidP="00D134EC" w:rsidRDefault="001D6492" w14:paraId="2F3CE6B2" w14:textId="74AF0DAC">
      <w:pPr>
        <w:pStyle w:val="NoSpacing"/>
        <w:spacing w:line="360" w:lineRule="auto"/>
        <w:rPr>
          <w:szCs w:val="18"/>
        </w:rPr>
      </w:pPr>
      <w:r w:rsidRPr="001D6492">
        <w:rPr>
          <w:szCs w:val="18"/>
        </w:rPr>
        <w:t>Voorstel voor een verordening van het Europees Parlement en de Raad betreffende het Uniemechanisme voor civiele bescherming en de ondersteuning door de Unie van de paraatheid en respons bij gezondheidscrises, en tot intrekking van Besluit nr. 1313/2013/EU (Uniemechanisme voor civiele bescherming).</w:t>
      </w:r>
    </w:p>
    <w:p w:rsidRPr="008B03FA" w:rsidR="001D6492" w:rsidP="00D134EC" w:rsidRDefault="001D6492" w14:paraId="43DCB504" w14:textId="77777777">
      <w:pPr>
        <w:pStyle w:val="NoSpacing"/>
        <w:spacing w:line="360" w:lineRule="auto"/>
        <w:rPr>
          <w:szCs w:val="18"/>
        </w:rPr>
      </w:pPr>
    </w:p>
    <w:p w:rsidRPr="008B03FA" w:rsidR="004D3E8A" w:rsidP="00D134EC" w:rsidRDefault="00EE1E88" w14:paraId="4CA13666" w14:textId="10C84A76">
      <w:pPr>
        <w:pStyle w:val="NoSpacing"/>
        <w:numPr>
          <w:ilvl w:val="1"/>
          <w:numId w:val="1"/>
        </w:numPr>
        <w:spacing w:line="360" w:lineRule="auto"/>
        <w:rPr>
          <w:i/>
          <w:iCs/>
          <w:szCs w:val="18"/>
        </w:rPr>
      </w:pPr>
      <w:r w:rsidRPr="008B03FA">
        <w:rPr>
          <w:i/>
          <w:iCs/>
          <w:szCs w:val="18"/>
        </w:rPr>
        <w:t xml:space="preserve">Datum </w:t>
      </w:r>
      <w:r w:rsidRPr="008B03FA" w:rsidR="00D62FAA">
        <w:rPr>
          <w:i/>
          <w:iCs/>
          <w:szCs w:val="18"/>
        </w:rPr>
        <w:t>ontvangst</w:t>
      </w:r>
      <w:r w:rsidRPr="008B03FA">
        <w:rPr>
          <w:i/>
          <w:iCs/>
          <w:szCs w:val="18"/>
        </w:rPr>
        <w:t xml:space="preserve"> </w:t>
      </w:r>
      <w:r w:rsidRPr="008B03FA" w:rsidR="00D62FAA">
        <w:rPr>
          <w:i/>
          <w:iCs/>
          <w:szCs w:val="18"/>
        </w:rPr>
        <w:t>Commissiedocument</w:t>
      </w:r>
    </w:p>
    <w:p w:rsidRPr="008B03FA" w:rsidR="00594488" w:rsidP="00D134EC" w:rsidRDefault="00594488" w14:paraId="2A96DC56" w14:textId="0D8935B4">
      <w:pPr>
        <w:pStyle w:val="NoSpacing"/>
        <w:spacing w:line="360" w:lineRule="auto"/>
        <w:rPr>
          <w:szCs w:val="18"/>
        </w:rPr>
      </w:pPr>
      <w:r w:rsidRPr="008B03FA">
        <w:rPr>
          <w:szCs w:val="18"/>
        </w:rPr>
        <w:t>1</w:t>
      </w:r>
      <w:r w:rsidR="00AC4608">
        <w:rPr>
          <w:szCs w:val="18"/>
        </w:rPr>
        <w:t>6</w:t>
      </w:r>
      <w:r w:rsidRPr="008B03FA">
        <w:rPr>
          <w:szCs w:val="18"/>
        </w:rPr>
        <w:t xml:space="preserve"> ju</w:t>
      </w:r>
      <w:r w:rsidRPr="008B03FA" w:rsidR="00C53F7C">
        <w:rPr>
          <w:szCs w:val="18"/>
        </w:rPr>
        <w:t>l</w:t>
      </w:r>
      <w:r w:rsidRPr="008B03FA">
        <w:rPr>
          <w:szCs w:val="18"/>
        </w:rPr>
        <w:t>i 2025</w:t>
      </w:r>
      <w:r w:rsidRPr="008B03FA" w:rsidR="00446B4E">
        <w:rPr>
          <w:szCs w:val="18"/>
        </w:rPr>
        <w:br/>
      </w:r>
    </w:p>
    <w:p w:rsidRPr="008B03FA" w:rsidR="00594488" w:rsidP="00D134EC" w:rsidRDefault="00EE1E88" w14:paraId="21FBE346" w14:textId="00C8ACA6">
      <w:pPr>
        <w:pStyle w:val="NoSpacing"/>
        <w:numPr>
          <w:ilvl w:val="1"/>
          <w:numId w:val="1"/>
        </w:numPr>
        <w:spacing w:line="360" w:lineRule="auto"/>
        <w:rPr>
          <w:i/>
          <w:iCs/>
          <w:szCs w:val="18"/>
        </w:rPr>
      </w:pPr>
      <w:r w:rsidRPr="008B03FA">
        <w:rPr>
          <w:i/>
          <w:iCs/>
          <w:szCs w:val="18"/>
        </w:rPr>
        <w:t>N</w:t>
      </w:r>
      <w:r w:rsidRPr="008B03FA" w:rsidR="00D62FAA">
        <w:rPr>
          <w:i/>
          <w:iCs/>
          <w:szCs w:val="18"/>
        </w:rPr>
        <w:t>r. Commissiedocument</w:t>
      </w:r>
    </w:p>
    <w:p w:rsidRPr="008B03FA" w:rsidR="00594488" w:rsidP="00D134EC" w:rsidRDefault="00594488" w14:paraId="6B792301" w14:textId="0D7C5010">
      <w:pPr>
        <w:pStyle w:val="NoSpacing"/>
        <w:spacing w:line="360" w:lineRule="auto"/>
        <w:rPr>
          <w:szCs w:val="18"/>
        </w:rPr>
      </w:pPr>
      <w:r w:rsidRPr="008B03FA">
        <w:rPr>
          <w:szCs w:val="18"/>
        </w:rPr>
        <w:t> COM(2025) </w:t>
      </w:r>
      <w:r w:rsidRPr="008B03FA" w:rsidR="00700014">
        <w:rPr>
          <w:szCs w:val="18"/>
        </w:rPr>
        <w:t>5</w:t>
      </w:r>
      <w:r w:rsidRPr="008B03FA">
        <w:rPr>
          <w:szCs w:val="18"/>
        </w:rPr>
        <w:t>48</w:t>
      </w:r>
    </w:p>
    <w:p w:rsidRPr="008B03FA" w:rsidR="00594488" w:rsidP="00D134EC" w:rsidRDefault="00594488" w14:paraId="4DD1D442" w14:textId="77777777">
      <w:pPr>
        <w:pStyle w:val="NoSpacing"/>
        <w:spacing w:line="360" w:lineRule="auto"/>
        <w:rPr>
          <w:szCs w:val="18"/>
        </w:rPr>
      </w:pPr>
    </w:p>
    <w:p w:rsidRPr="008B03FA" w:rsidR="00D62FAA" w:rsidP="00D134EC" w:rsidRDefault="00D62FAA" w14:paraId="6316BC06" w14:textId="7484F04A">
      <w:pPr>
        <w:pStyle w:val="NoSpacing"/>
        <w:numPr>
          <w:ilvl w:val="1"/>
          <w:numId w:val="1"/>
        </w:numPr>
        <w:spacing w:line="360" w:lineRule="auto"/>
        <w:rPr>
          <w:i/>
          <w:iCs/>
          <w:szCs w:val="18"/>
        </w:rPr>
      </w:pPr>
      <w:r w:rsidRPr="008B03FA">
        <w:rPr>
          <w:i/>
          <w:iCs/>
          <w:szCs w:val="18"/>
        </w:rPr>
        <w:t>EUR-LEX</w:t>
      </w:r>
    </w:p>
    <w:p w:rsidRPr="00251F67" w:rsidR="00183766" w:rsidP="00936B50" w:rsidRDefault="00F56ACA" w14:paraId="73BE8966" w14:textId="64771FC3">
      <w:pPr>
        <w:pStyle w:val="NoSpacing"/>
        <w:spacing w:line="360" w:lineRule="auto"/>
        <w:rPr>
          <w:szCs w:val="18"/>
          <w:lang w:val="fr-FR"/>
        </w:rPr>
      </w:pPr>
      <w:hyperlink w:history="1" r:id="rId12">
        <w:r w:rsidRPr="00251F67" w:rsidR="00936B50">
          <w:rPr>
            <w:rStyle w:val="Hyperlink"/>
            <w:szCs w:val="18"/>
            <w:lang w:val="fr-FR"/>
          </w:rPr>
          <w:t>EUR-Lex - 52025PC0548 - EN - EUR-Lex</w:t>
        </w:r>
      </w:hyperlink>
    </w:p>
    <w:p w:rsidRPr="00251F67" w:rsidR="00936B50" w:rsidP="00936B50" w:rsidRDefault="00936B50" w14:paraId="776187F6" w14:textId="77777777">
      <w:pPr>
        <w:pStyle w:val="NoSpacing"/>
        <w:spacing w:line="360" w:lineRule="auto"/>
        <w:rPr>
          <w:szCs w:val="18"/>
          <w:lang w:val="fr-FR"/>
        </w:rPr>
      </w:pPr>
    </w:p>
    <w:p w:rsidRPr="008B03FA" w:rsidR="00EE5DEE" w:rsidP="00D134EC" w:rsidRDefault="00EE5DEE" w14:paraId="7CCB5D41" w14:textId="11C9B7FD">
      <w:pPr>
        <w:pStyle w:val="NoSpacing"/>
        <w:numPr>
          <w:ilvl w:val="1"/>
          <w:numId w:val="1"/>
        </w:numPr>
        <w:spacing w:line="360" w:lineRule="auto"/>
        <w:rPr>
          <w:i/>
          <w:iCs/>
          <w:szCs w:val="18"/>
        </w:rPr>
      </w:pPr>
      <w:r w:rsidRPr="008B03FA">
        <w:rPr>
          <w:i/>
          <w:iCs/>
          <w:szCs w:val="18"/>
        </w:rPr>
        <w:t>Nr. impact assessment Commissie en Opinie Raad voor Regelgevingstoetsing</w:t>
      </w:r>
    </w:p>
    <w:p w:rsidRPr="008B03FA" w:rsidR="00EE5DEE" w:rsidP="00D134EC" w:rsidRDefault="00700014" w14:paraId="0A6415B7" w14:textId="3BEB199F">
      <w:pPr>
        <w:pStyle w:val="NoSpacing"/>
        <w:spacing w:line="360" w:lineRule="auto"/>
        <w:rPr>
          <w:szCs w:val="18"/>
        </w:rPr>
      </w:pPr>
      <w:r w:rsidRPr="008B03FA">
        <w:rPr>
          <w:szCs w:val="18"/>
        </w:rPr>
        <w:t>SWD(2025)545</w:t>
      </w:r>
    </w:p>
    <w:p w:rsidRPr="008B03FA" w:rsidR="00700014" w:rsidP="00D134EC" w:rsidRDefault="00700014" w14:paraId="2A2282CC" w14:textId="77777777">
      <w:pPr>
        <w:pStyle w:val="NoSpacing"/>
        <w:spacing w:line="360" w:lineRule="auto"/>
        <w:rPr>
          <w:szCs w:val="18"/>
        </w:rPr>
      </w:pPr>
    </w:p>
    <w:p w:rsidRPr="008B03FA" w:rsidR="00594488" w:rsidP="00D134EC" w:rsidRDefault="00CF1388" w14:paraId="2B83EAFD" w14:textId="33B91F7A">
      <w:pPr>
        <w:pStyle w:val="NoSpacing"/>
        <w:numPr>
          <w:ilvl w:val="1"/>
          <w:numId w:val="1"/>
        </w:numPr>
        <w:spacing w:line="360" w:lineRule="auto"/>
        <w:rPr>
          <w:i/>
          <w:iCs/>
          <w:szCs w:val="18"/>
        </w:rPr>
      </w:pPr>
      <w:r w:rsidRPr="008B03FA">
        <w:rPr>
          <w:i/>
          <w:iCs/>
          <w:szCs w:val="18"/>
        </w:rPr>
        <w:t>Behandelingstraject Raad</w:t>
      </w:r>
    </w:p>
    <w:p w:rsidR="00EE5DEE" w:rsidP="00D134EC" w:rsidRDefault="00A410F6" w14:paraId="65A157DC" w14:textId="799C6A67">
      <w:pPr>
        <w:pStyle w:val="NoSpacing"/>
        <w:spacing w:line="360" w:lineRule="auto"/>
        <w:rPr>
          <w:szCs w:val="18"/>
        </w:rPr>
      </w:pPr>
      <w:r w:rsidRPr="00A410F6">
        <w:rPr>
          <w:szCs w:val="18"/>
        </w:rPr>
        <w:t>Raad Justitie en Binnenlandse Zaken</w:t>
      </w:r>
    </w:p>
    <w:p w:rsidRPr="008B03FA" w:rsidR="00A410F6" w:rsidP="00D134EC" w:rsidRDefault="00A410F6" w14:paraId="5E5E3928" w14:textId="77777777">
      <w:pPr>
        <w:pStyle w:val="NoSpacing"/>
        <w:spacing w:line="360" w:lineRule="auto"/>
        <w:rPr>
          <w:szCs w:val="18"/>
        </w:rPr>
      </w:pPr>
    </w:p>
    <w:p w:rsidRPr="008B03FA" w:rsidR="00CF1388" w:rsidP="00D134EC" w:rsidRDefault="00CF1388" w14:paraId="776EE949" w14:textId="5C131C33">
      <w:pPr>
        <w:pStyle w:val="NoSpacing"/>
        <w:numPr>
          <w:ilvl w:val="1"/>
          <w:numId w:val="1"/>
        </w:numPr>
        <w:spacing w:line="360" w:lineRule="auto"/>
        <w:rPr>
          <w:i/>
          <w:iCs/>
          <w:szCs w:val="18"/>
        </w:rPr>
      </w:pPr>
      <w:r w:rsidRPr="008B03FA">
        <w:rPr>
          <w:i/>
          <w:iCs/>
          <w:szCs w:val="18"/>
        </w:rPr>
        <w:t>Eerstverantwoordelijk ministerie</w:t>
      </w:r>
    </w:p>
    <w:p w:rsidRPr="008B03FA" w:rsidR="00CF1388" w:rsidP="00D134EC" w:rsidRDefault="00183766" w14:paraId="3D71E4D5" w14:textId="24FE6B1F">
      <w:pPr>
        <w:pStyle w:val="NoSpacing"/>
        <w:spacing w:line="360" w:lineRule="auto"/>
        <w:rPr>
          <w:szCs w:val="18"/>
        </w:rPr>
      </w:pPr>
      <w:r w:rsidRPr="008B03FA">
        <w:rPr>
          <w:szCs w:val="18"/>
        </w:rPr>
        <w:t xml:space="preserve">Ministerie van </w:t>
      </w:r>
      <w:r w:rsidRPr="008B03FA" w:rsidR="00CF1388">
        <w:rPr>
          <w:szCs w:val="18"/>
        </w:rPr>
        <w:t>Justitie en Veiligheid</w:t>
      </w:r>
      <w:r w:rsidRPr="008B03FA" w:rsidR="00EE5DEE">
        <w:rPr>
          <w:szCs w:val="18"/>
        </w:rPr>
        <w:t xml:space="preserve"> </w:t>
      </w:r>
      <w:r w:rsidR="009C3940">
        <w:rPr>
          <w:szCs w:val="18"/>
        </w:rPr>
        <w:t xml:space="preserve">en </w:t>
      </w:r>
      <w:r w:rsidRPr="008B03FA" w:rsidR="00EE5DEE">
        <w:rPr>
          <w:szCs w:val="18"/>
        </w:rPr>
        <w:t>het Ministerie van Volksgezondheid</w:t>
      </w:r>
      <w:r w:rsidRPr="008B03FA" w:rsidR="00262ABB">
        <w:rPr>
          <w:szCs w:val="18"/>
        </w:rPr>
        <w:t>, Welzijn en Sport</w:t>
      </w:r>
    </w:p>
    <w:p w:rsidRPr="008B03FA" w:rsidR="00CF1388" w:rsidP="00D134EC" w:rsidRDefault="00CF1388" w14:paraId="0D0F4546" w14:textId="77777777">
      <w:pPr>
        <w:pStyle w:val="NoSpacing"/>
        <w:spacing w:line="360" w:lineRule="auto"/>
        <w:rPr>
          <w:i/>
          <w:iCs/>
          <w:szCs w:val="18"/>
        </w:rPr>
      </w:pPr>
    </w:p>
    <w:p w:rsidRPr="008B03FA" w:rsidR="00702786" w:rsidP="00D134EC" w:rsidRDefault="00CF1388" w14:paraId="482C01BB" w14:textId="12733BFA">
      <w:pPr>
        <w:pStyle w:val="NoSpacing"/>
        <w:numPr>
          <w:ilvl w:val="1"/>
          <w:numId w:val="1"/>
        </w:numPr>
        <w:spacing w:line="360" w:lineRule="auto"/>
        <w:rPr>
          <w:i/>
          <w:iCs/>
          <w:szCs w:val="18"/>
        </w:rPr>
      </w:pPr>
      <w:r w:rsidRPr="008B03FA">
        <w:rPr>
          <w:i/>
          <w:iCs/>
          <w:szCs w:val="18"/>
        </w:rPr>
        <w:t>Rechtsbasis</w:t>
      </w:r>
    </w:p>
    <w:p w:rsidRPr="008B03FA" w:rsidR="00B06A5F" w:rsidP="00B06A5F" w:rsidRDefault="00B06A5F" w14:paraId="147F3F7B" w14:textId="7214E378">
      <w:pPr>
        <w:pStyle w:val="NoSpacing"/>
        <w:spacing w:line="360" w:lineRule="auto"/>
        <w:rPr>
          <w:szCs w:val="18"/>
        </w:rPr>
      </w:pPr>
      <w:r w:rsidRPr="008B03FA">
        <w:rPr>
          <w:szCs w:val="18"/>
        </w:rPr>
        <w:t>Artikel 168</w:t>
      </w:r>
      <w:r>
        <w:rPr>
          <w:szCs w:val="18"/>
        </w:rPr>
        <w:t>(</w:t>
      </w:r>
      <w:r w:rsidRPr="008B03FA">
        <w:rPr>
          <w:szCs w:val="18"/>
        </w:rPr>
        <w:t>5</w:t>
      </w:r>
      <w:r>
        <w:rPr>
          <w:szCs w:val="18"/>
        </w:rPr>
        <w:t>), 196 en 322(1)(a)</w:t>
      </w:r>
      <w:r w:rsidRPr="008B03FA">
        <w:rPr>
          <w:szCs w:val="18"/>
        </w:rPr>
        <w:t xml:space="preserve"> van het Verdrag betreffende de werking van de Europese Unie</w:t>
      </w:r>
      <w:r>
        <w:rPr>
          <w:szCs w:val="18"/>
        </w:rPr>
        <w:t xml:space="preserve"> </w:t>
      </w:r>
    </w:p>
    <w:p w:rsidRPr="008B03FA" w:rsidR="00773076" w:rsidP="00D134EC" w:rsidRDefault="00773076" w14:paraId="0F8B30E6" w14:textId="77777777">
      <w:pPr>
        <w:pStyle w:val="NoSpacing"/>
        <w:spacing w:line="360" w:lineRule="auto"/>
        <w:ind w:left="1080"/>
        <w:rPr>
          <w:i/>
          <w:iCs/>
          <w:szCs w:val="18"/>
        </w:rPr>
      </w:pPr>
    </w:p>
    <w:p w:rsidRPr="008B03FA" w:rsidR="00773076" w:rsidP="00D134EC" w:rsidRDefault="00CF1388" w14:paraId="40F26319" w14:textId="5CCA904C">
      <w:pPr>
        <w:pStyle w:val="NoSpacing"/>
        <w:numPr>
          <w:ilvl w:val="1"/>
          <w:numId w:val="1"/>
        </w:numPr>
        <w:spacing w:line="360" w:lineRule="auto"/>
        <w:rPr>
          <w:i/>
          <w:iCs/>
          <w:szCs w:val="18"/>
        </w:rPr>
      </w:pPr>
      <w:r w:rsidRPr="008B03FA">
        <w:rPr>
          <w:i/>
          <w:iCs/>
          <w:szCs w:val="18"/>
        </w:rPr>
        <w:t>Besluitvormingsprocedure Raad</w:t>
      </w:r>
    </w:p>
    <w:p w:rsidRPr="008B03FA" w:rsidR="00EE5DEE" w:rsidP="00D134EC" w:rsidRDefault="00EE5DEE" w14:paraId="5F09635B" w14:textId="27F78A7F">
      <w:pPr>
        <w:pStyle w:val="NoSpacing"/>
        <w:spacing w:line="360" w:lineRule="auto"/>
        <w:rPr>
          <w:szCs w:val="18"/>
        </w:rPr>
      </w:pPr>
      <w:r w:rsidRPr="008B03FA">
        <w:rPr>
          <w:szCs w:val="18"/>
        </w:rPr>
        <w:t>Gekwalificeerde meerderheid</w:t>
      </w:r>
    </w:p>
    <w:p w:rsidRPr="008B03FA" w:rsidR="00EE5DEE" w:rsidP="00D134EC" w:rsidRDefault="00EE5DEE" w14:paraId="3A21D585" w14:textId="77777777">
      <w:pPr>
        <w:pStyle w:val="NoSpacing"/>
        <w:spacing w:line="360" w:lineRule="auto"/>
        <w:rPr>
          <w:i/>
          <w:iCs/>
          <w:szCs w:val="18"/>
        </w:rPr>
      </w:pPr>
    </w:p>
    <w:p w:rsidRPr="008B03FA" w:rsidR="00EE5DEE" w:rsidP="00D134EC" w:rsidRDefault="00CF1388" w14:paraId="4BD71D13" w14:textId="1C294801">
      <w:pPr>
        <w:pStyle w:val="NoSpacing"/>
        <w:numPr>
          <w:ilvl w:val="1"/>
          <w:numId w:val="1"/>
        </w:numPr>
        <w:spacing w:line="360" w:lineRule="auto"/>
        <w:rPr>
          <w:i/>
          <w:iCs/>
          <w:szCs w:val="18"/>
        </w:rPr>
      </w:pPr>
      <w:r w:rsidRPr="008B03FA">
        <w:rPr>
          <w:i/>
          <w:iCs/>
          <w:szCs w:val="18"/>
        </w:rPr>
        <w:t>Rol Europees Parlement</w:t>
      </w:r>
    </w:p>
    <w:p w:rsidRPr="008B03FA" w:rsidR="00EE5DEE" w:rsidP="00D134EC" w:rsidRDefault="00EE5DEE" w14:paraId="7ACAD1B0" w14:textId="65F5919C">
      <w:pPr>
        <w:pStyle w:val="NoSpacing"/>
        <w:spacing w:line="360" w:lineRule="auto"/>
        <w:rPr>
          <w:szCs w:val="18"/>
        </w:rPr>
      </w:pPr>
      <w:r w:rsidRPr="008B03FA">
        <w:rPr>
          <w:szCs w:val="18"/>
        </w:rPr>
        <w:t>Medebeslissing</w:t>
      </w:r>
    </w:p>
    <w:p w:rsidRPr="000238F1" w:rsidR="00EE1E88" w:rsidP="000238F1" w:rsidRDefault="00457F59" w14:paraId="2B473D10" w14:textId="54765FDB">
      <w:pPr>
        <w:rPr>
          <w:rFonts w:ascii="Verdana" w:hAnsi="Verdana"/>
          <w:sz w:val="18"/>
          <w:szCs w:val="18"/>
        </w:rPr>
      </w:pPr>
      <w:r>
        <w:rPr>
          <w:szCs w:val="18"/>
        </w:rPr>
        <w:br w:type="page"/>
      </w:r>
    </w:p>
    <w:p w:rsidRPr="008B03FA" w:rsidR="004D3E8A" w:rsidP="00D134EC" w:rsidRDefault="00791CEC" w14:paraId="1CADEE4E" w14:textId="00AAE70F">
      <w:pPr>
        <w:pStyle w:val="NoSpacing"/>
        <w:numPr>
          <w:ilvl w:val="0"/>
          <w:numId w:val="1"/>
        </w:numPr>
        <w:spacing w:line="360" w:lineRule="auto"/>
        <w:rPr>
          <w:b/>
          <w:bCs/>
          <w:szCs w:val="18"/>
        </w:rPr>
      </w:pPr>
      <w:r>
        <w:rPr>
          <w:b/>
          <w:bCs/>
          <w:szCs w:val="18"/>
        </w:rPr>
        <w:lastRenderedPageBreak/>
        <w:t>Essentie voorstel</w:t>
      </w:r>
      <w:r w:rsidRPr="008B03FA">
        <w:rPr>
          <w:b/>
          <w:bCs/>
          <w:szCs w:val="18"/>
        </w:rPr>
        <w:t xml:space="preserve"> </w:t>
      </w:r>
      <w:r w:rsidR="00533882">
        <w:rPr>
          <w:b/>
          <w:bCs/>
          <w:szCs w:val="18"/>
        </w:rPr>
        <w:br/>
      </w:r>
    </w:p>
    <w:p w:rsidRPr="008B03FA" w:rsidR="003464E6" w:rsidP="00D134EC" w:rsidRDefault="00CF1388" w14:paraId="3197D957" w14:textId="77692106">
      <w:pPr>
        <w:pStyle w:val="NoSpacing"/>
        <w:numPr>
          <w:ilvl w:val="1"/>
          <w:numId w:val="1"/>
        </w:numPr>
        <w:spacing w:line="360" w:lineRule="auto"/>
        <w:rPr>
          <w:i/>
          <w:iCs/>
          <w:szCs w:val="18"/>
        </w:rPr>
      </w:pPr>
      <w:r w:rsidRPr="008B03FA">
        <w:rPr>
          <w:i/>
          <w:iCs/>
          <w:szCs w:val="18"/>
        </w:rPr>
        <w:t>Inhoud voorstel</w:t>
      </w:r>
    </w:p>
    <w:p w:rsidR="007359D9" w:rsidP="00D134EC" w:rsidRDefault="002376FA" w14:paraId="5ADE113E" w14:textId="3FB6501C">
      <w:pPr>
        <w:pStyle w:val="NoSpacing"/>
        <w:spacing w:line="360" w:lineRule="auto"/>
        <w:rPr>
          <w:szCs w:val="18"/>
        </w:rPr>
      </w:pPr>
      <w:r w:rsidRPr="008B03FA">
        <w:rPr>
          <w:szCs w:val="18"/>
        </w:rPr>
        <w:t>Op 1</w:t>
      </w:r>
      <w:r w:rsidRPr="008B03FA" w:rsidR="00140F45">
        <w:rPr>
          <w:szCs w:val="18"/>
        </w:rPr>
        <w:t>7</w:t>
      </w:r>
      <w:r w:rsidRPr="008B03FA">
        <w:rPr>
          <w:szCs w:val="18"/>
        </w:rPr>
        <w:t xml:space="preserve"> juli 2025 publiceerde de </w:t>
      </w:r>
      <w:r w:rsidRPr="004C704A">
        <w:rPr>
          <w:szCs w:val="18"/>
        </w:rPr>
        <w:t>Europese Commissie</w:t>
      </w:r>
      <w:r w:rsidRPr="008B03FA" w:rsidR="0094480B">
        <w:rPr>
          <w:szCs w:val="18"/>
        </w:rPr>
        <w:t xml:space="preserve"> (hierna: Commissie)</w:t>
      </w:r>
      <w:r w:rsidRPr="008B03FA">
        <w:rPr>
          <w:szCs w:val="18"/>
        </w:rPr>
        <w:t xml:space="preserve"> </w:t>
      </w:r>
      <w:r w:rsidR="00E17028">
        <w:rPr>
          <w:szCs w:val="18"/>
        </w:rPr>
        <w:t xml:space="preserve">het </w:t>
      </w:r>
      <w:r w:rsidRPr="008B03FA" w:rsidR="00CF45AB">
        <w:rPr>
          <w:szCs w:val="18"/>
        </w:rPr>
        <w:t>‘</w:t>
      </w:r>
      <w:r w:rsidRPr="004C704A" w:rsidR="00E17028">
        <w:rPr>
          <w:szCs w:val="18"/>
        </w:rPr>
        <w:t>Voorstel voor een verordening van het Europees Parlement en de Raad betreffende het Uniemechanisme voor civiele bescherming en de ondersteuning door de Unie van de paraatheid en respons bij gezondheidscrises, en tot intrekking van Besluit nr. 1313/2013/EU (Uniemechanisme voor civiele bescherming)</w:t>
      </w:r>
      <w:r w:rsidRPr="0022062A" w:rsidR="000120A0">
        <w:rPr>
          <w:szCs w:val="18"/>
        </w:rPr>
        <w:t>.</w:t>
      </w:r>
      <w:r w:rsidRPr="0022062A" w:rsidR="00CF45AB">
        <w:rPr>
          <w:szCs w:val="18"/>
        </w:rPr>
        <w:t>’</w:t>
      </w:r>
      <w:r w:rsidR="00E17028">
        <w:rPr>
          <w:rStyle w:val="FootnoteReference"/>
          <w:szCs w:val="18"/>
        </w:rPr>
        <w:footnoteReference w:id="2"/>
      </w:r>
      <w:r w:rsidRPr="008B03FA" w:rsidR="00974657">
        <w:rPr>
          <w:szCs w:val="18"/>
        </w:rPr>
        <w:t xml:space="preserve"> </w:t>
      </w:r>
      <w:r w:rsidRPr="00762963" w:rsidR="0022062A">
        <w:rPr>
          <w:szCs w:val="18"/>
        </w:rPr>
        <w:t>Dit voorstel maakt deel uit van het Meerjarig Financieel Kader (MFK)</w:t>
      </w:r>
      <w:r w:rsidR="0022062A">
        <w:rPr>
          <w:szCs w:val="18"/>
        </w:rPr>
        <w:t xml:space="preserve"> en ver</w:t>
      </w:r>
      <w:r w:rsidR="00F04A03">
        <w:rPr>
          <w:szCs w:val="18"/>
        </w:rPr>
        <w:t>vangt</w:t>
      </w:r>
      <w:r w:rsidR="0022062A">
        <w:rPr>
          <w:szCs w:val="18"/>
        </w:rPr>
        <w:t xml:space="preserve"> het </w:t>
      </w:r>
      <w:r w:rsidR="009C3940">
        <w:rPr>
          <w:szCs w:val="18"/>
        </w:rPr>
        <w:t xml:space="preserve">dit </w:t>
      </w:r>
      <w:r w:rsidRPr="008B03FA" w:rsidR="00A64A6F">
        <w:rPr>
          <w:szCs w:val="18"/>
        </w:rPr>
        <w:t>oprichtings</w:t>
      </w:r>
      <w:r w:rsidRPr="008B03FA" w:rsidR="00974657">
        <w:rPr>
          <w:szCs w:val="18"/>
        </w:rPr>
        <w:t>besluit</w:t>
      </w:r>
      <w:r w:rsidR="001D6492">
        <w:rPr>
          <w:szCs w:val="18"/>
        </w:rPr>
        <w:t xml:space="preserve"> uit </w:t>
      </w:r>
      <w:r w:rsidRPr="008B03FA" w:rsidR="00974657">
        <w:rPr>
          <w:szCs w:val="18"/>
        </w:rPr>
        <w:t>2013</w:t>
      </w:r>
      <w:r w:rsidR="001D6492">
        <w:rPr>
          <w:szCs w:val="18"/>
        </w:rPr>
        <w:t xml:space="preserve">, waarmee </w:t>
      </w:r>
      <w:r w:rsidRPr="008B03FA" w:rsidR="00CF45AB">
        <w:rPr>
          <w:szCs w:val="18"/>
        </w:rPr>
        <w:t xml:space="preserve">het </w:t>
      </w:r>
      <w:r w:rsidRPr="004C704A" w:rsidR="00CF45AB">
        <w:rPr>
          <w:szCs w:val="18"/>
        </w:rPr>
        <w:t>Uniemechanisme voor civiele bescherming</w:t>
      </w:r>
      <w:r w:rsidRPr="008B03FA" w:rsidR="0094480B">
        <w:rPr>
          <w:szCs w:val="18"/>
        </w:rPr>
        <w:t xml:space="preserve"> (hierna: </w:t>
      </w:r>
      <w:r w:rsidRPr="008B03FA" w:rsidR="00F57F0B">
        <w:rPr>
          <w:szCs w:val="18"/>
        </w:rPr>
        <w:t xml:space="preserve">het </w:t>
      </w:r>
      <w:r w:rsidR="001D6492">
        <w:rPr>
          <w:szCs w:val="18"/>
        </w:rPr>
        <w:t>‘</w:t>
      </w:r>
      <w:r w:rsidRPr="008B03FA" w:rsidR="00F57F0B">
        <w:rPr>
          <w:szCs w:val="18"/>
        </w:rPr>
        <w:t>Uniemechanisme</w:t>
      </w:r>
      <w:r w:rsidR="00AB43C5">
        <w:rPr>
          <w:szCs w:val="18"/>
        </w:rPr>
        <w:t>,</w:t>
      </w:r>
      <w:r w:rsidR="001D6492">
        <w:rPr>
          <w:szCs w:val="18"/>
        </w:rPr>
        <w:t>’</w:t>
      </w:r>
      <w:r w:rsidR="00AB43C5">
        <w:rPr>
          <w:szCs w:val="18"/>
        </w:rPr>
        <w:t xml:space="preserve"> of </w:t>
      </w:r>
      <w:r w:rsidR="001D6492">
        <w:rPr>
          <w:szCs w:val="18"/>
        </w:rPr>
        <w:t>‘</w:t>
      </w:r>
      <w:r w:rsidR="00AB43C5">
        <w:rPr>
          <w:szCs w:val="18"/>
        </w:rPr>
        <w:t>mechanisme</w:t>
      </w:r>
      <w:r w:rsidR="001D6492">
        <w:rPr>
          <w:szCs w:val="18"/>
        </w:rPr>
        <w:t>’</w:t>
      </w:r>
      <w:r w:rsidR="007359D9">
        <w:rPr>
          <w:szCs w:val="18"/>
        </w:rPr>
        <w:t>)</w:t>
      </w:r>
      <w:r w:rsidR="00C851F3">
        <w:rPr>
          <w:rStyle w:val="FootnoteReference"/>
          <w:szCs w:val="18"/>
        </w:rPr>
        <w:footnoteReference w:id="3"/>
      </w:r>
      <w:r w:rsidR="001D6492">
        <w:rPr>
          <w:szCs w:val="18"/>
        </w:rPr>
        <w:t xml:space="preserve"> werd ingesteld, ingetrokken.</w:t>
      </w:r>
      <w:r w:rsidR="00E17028">
        <w:rPr>
          <w:rStyle w:val="FootnoteReference"/>
          <w:szCs w:val="18"/>
        </w:rPr>
        <w:footnoteReference w:id="4"/>
      </w:r>
      <w:r w:rsidRPr="008B03FA" w:rsidR="0026303D">
        <w:rPr>
          <w:szCs w:val="18"/>
        </w:rPr>
        <w:t xml:space="preserve"> </w:t>
      </w:r>
      <w:r w:rsidR="00CE5066">
        <w:rPr>
          <w:szCs w:val="18"/>
        </w:rPr>
        <w:t>Het mechanisme heeft</w:t>
      </w:r>
      <w:r w:rsidRPr="008B03FA" w:rsidR="00974657">
        <w:rPr>
          <w:szCs w:val="18"/>
        </w:rPr>
        <w:t xml:space="preserve"> </w:t>
      </w:r>
      <w:r w:rsidRPr="008B03FA" w:rsidR="00C06A0D">
        <w:rPr>
          <w:szCs w:val="18"/>
        </w:rPr>
        <w:t xml:space="preserve">als doel </w:t>
      </w:r>
      <w:r w:rsidRPr="008B03FA" w:rsidR="0026303D">
        <w:rPr>
          <w:szCs w:val="18"/>
        </w:rPr>
        <w:t xml:space="preserve">om </w:t>
      </w:r>
      <w:r w:rsidRPr="008B03FA" w:rsidR="00C06A0D">
        <w:rPr>
          <w:szCs w:val="18"/>
        </w:rPr>
        <w:t xml:space="preserve">de samenwerking en coördinatie tussen </w:t>
      </w:r>
      <w:r w:rsidRPr="008B03FA" w:rsidR="00BD2066">
        <w:rPr>
          <w:szCs w:val="18"/>
        </w:rPr>
        <w:t xml:space="preserve">de </w:t>
      </w:r>
      <w:r w:rsidR="00521E44">
        <w:rPr>
          <w:szCs w:val="18"/>
        </w:rPr>
        <w:t xml:space="preserve">deelnemende </w:t>
      </w:r>
      <w:r w:rsidRPr="008B03FA" w:rsidR="00BD2066">
        <w:rPr>
          <w:szCs w:val="18"/>
        </w:rPr>
        <w:t>landen</w:t>
      </w:r>
      <w:r w:rsidRPr="008B03FA" w:rsidR="00BD2066">
        <w:rPr>
          <w:rStyle w:val="FootnoteReference"/>
          <w:szCs w:val="18"/>
        </w:rPr>
        <w:footnoteReference w:id="5"/>
      </w:r>
      <w:r w:rsidRPr="008B03FA" w:rsidR="00C06A0D">
        <w:rPr>
          <w:szCs w:val="18"/>
        </w:rPr>
        <w:t xml:space="preserve"> te verbeteren </w:t>
      </w:r>
      <w:r w:rsidR="004233BE">
        <w:rPr>
          <w:szCs w:val="18"/>
        </w:rPr>
        <w:t>in geval van</w:t>
      </w:r>
      <w:r w:rsidRPr="008B03FA" w:rsidR="004233BE">
        <w:rPr>
          <w:szCs w:val="18"/>
        </w:rPr>
        <w:t xml:space="preserve"> </w:t>
      </w:r>
      <w:r w:rsidRPr="008B03FA" w:rsidR="00C06A0D">
        <w:rPr>
          <w:szCs w:val="18"/>
        </w:rPr>
        <w:t xml:space="preserve">grensoverschrijdende rampen en noodsituaties. Het </w:t>
      </w:r>
      <w:r w:rsidRPr="008B03FA" w:rsidR="00EE5DEE">
        <w:rPr>
          <w:szCs w:val="18"/>
        </w:rPr>
        <w:t>mechanisme voorziet</w:t>
      </w:r>
      <w:r w:rsidR="007359D9">
        <w:rPr>
          <w:szCs w:val="18"/>
        </w:rPr>
        <w:t xml:space="preserve"> nu</w:t>
      </w:r>
      <w:r w:rsidRPr="008B03FA" w:rsidR="00EE5DEE">
        <w:rPr>
          <w:szCs w:val="18"/>
        </w:rPr>
        <w:t xml:space="preserve"> </w:t>
      </w:r>
      <w:r w:rsidRPr="008B03FA" w:rsidR="00C06A0D">
        <w:rPr>
          <w:szCs w:val="18"/>
        </w:rPr>
        <w:t>in gezamenlijke trainingsprogramma’s, gezamenlijke capaciteitspools en</w:t>
      </w:r>
      <w:r w:rsidRPr="008B03FA" w:rsidR="0094480B">
        <w:rPr>
          <w:szCs w:val="18"/>
        </w:rPr>
        <w:t xml:space="preserve"> de </w:t>
      </w:r>
      <w:r w:rsidRPr="008B03FA" w:rsidR="00E23564">
        <w:rPr>
          <w:szCs w:val="18"/>
        </w:rPr>
        <w:t xml:space="preserve">uitbreiding </w:t>
      </w:r>
      <w:r w:rsidRPr="008B03FA" w:rsidR="0094480B">
        <w:rPr>
          <w:szCs w:val="18"/>
        </w:rPr>
        <w:t>van</w:t>
      </w:r>
      <w:r w:rsidRPr="008B03FA" w:rsidR="00C06A0D">
        <w:rPr>
          <w:szCs w:val="18"/>
        </w:rPr>
        <w:t xml:space="preserve"> het </w:t>
      </w:r>
      <w:bookmarkStart w:name="_Hlk205461818" w:id="0"/>
      <w:r w:rsidRPr="004C704A" w:rsidR="00C06A0D">
        <w:rPr>
          <w:szCs w:val="18"/>
        </w:rPr>
        <w:t xml:space="preserve">Europese </w:t>
      </w:r>
      <w:r w:rsidRPr="004C704A" w:rsidR="00D95399">
        <w:rPr>
          <w:szCs w:val="18"/>
        </w:rPr>
        <w:t>Coördinatiecentrum</w:t>
      </w:r>
      <w:bookmarkEnd w:id="0"/>
      <w:r w:rsidRPr="004C704A" w:rsidR="00D95399">
        <w:rPr>
          <w:szCs w:val="18"/>
        </w:rPr>
        <w:t xml:space="preserve"> voor Noodhulp</w:t>
      </w:r>
      <w:r w:rsidR="004233BE">
        <w:rPr>
          <w:szCs w:val="18"/>
        </w:rPr>
        <w:t xml:space="preserve"> (ERCC)</w:t>
      </w:r>
      <w:r w:rsidRPr="008B03FA" w:rsidR="00A64A6F">
        <w:rPr>
          <w:rStyle w:val="FootnoteReference"/>
          <w:szCs w:val="18"/>
        </w:rPr>
        <w:footnoteReference w:id="6"/>
      </w:r>
      <w:r w:rsidRPr="008B03FA" w:rsidR="0094480B">
        <w:rPr>
          <w:szCs w:val="18"/>
        </w:rPr>
        <w:t xml:space="preserve"> </w:t>
      </w:r>
      <w:r w:rsidRPr="008B03FA" w:rsidR="00C06A0D">
        <w:rPr>
          <w:szCs w:val="18"/>
        </w:rPr>
        <w:t>als centraal coördinatiepunt.</w:t>
      </w:r>
      <w:r w:rsidRPr="008B03FA" w:rsidR="00B83CB2">
        <w:rPr>
          <w:szCs w:val="18"/>
        </w:rPr>
        <w:t xml:space="preserve"> </w:t>
      </w:r>
      <w:r w:rsidR="007359D9">
        <w:rPr>
          <w:szCs w:val="18"/>
        </w:rPr>
        <w:t xml:space="preserve">De </w:t>
      </w:r>
      <w:r w:rsidR="00A74DB6">
        <w:rPr>
          <w:szCs w:val="18"/>
        </w:rPr>
        <w:t xml:space="preserve">reikwijdte van het mechanisme </w:t>
      </w:r>
      <w:r w:rsidR="007359D9">
        <w:rPr>
          <w:szCs w:val="18"/>
        </w:rPr>
        <w:t>wordt met dit voorstel uitgebreid met gezondheidscrises.</w:t>
      </w:r>
    </w:p>
    <w:p w:rsidR="007359D9" w:rsidP="00D134EC" w:rsidRDefault="007359D9" w14:paraId="34F333A2" w14:textId="77777777">
      <w:pPr>
        <w:pStyle w:val="NoSpacing"/>
        <w:spacing w:line="360" w:lineRule="auto"/>
        <w:rPr>
          <w:szCs w:val="18"/>
        </w:rPr>
      </w:pPr>
    </w:p>
    <w:p w:rsidRPr="008B03FA" w:rsidR="00C06A0D" w:rsidP="00D134EC" w:rsidRDefault="00C06A0D" w14:paraId="174B99D9" w14:textId="1D9CE235">
      <w:pPr>
        <w:pStyle w:val="NoSpacing"/>
        <w:spacing w:line="360" w:lineRule="auto"/>
        <w:rPr>
          <w:szCs w:val="18"/>
        </w:rPr>
      </w:pPr>
      <w:r w:rsidRPr="008B03FA">
        <w:rPr>
          <w:szCs w:val="18"/>
        </w:rPr>
        <w:t xml:space="preserve">In de jaren </w:t>
      </w:r>
      <w:r w:rsidRPr="008B03FA" w:rsidR="004D064F">
        <w:rPr>
          <w:szCs w:val="18"/>
        </w:rPr>
        <w:t xml:space="preserve">na de oprichting </w:t>
      </w:r>
      <w:r w:rsidRPr="008B03FA">
        <w:rPr>
          <w:szCs w:val="18"/>
        </w:rPr>
        <w:t xml:space="preserve">zijn verschillende aanpassingen gedaan om het mechanisme </w:t>
      </w:r>
      <w:r w:rsidRPr="008B03FA" w:rsidR="00974657">
        <w:rPr>
          <w:szCs w:val="18"/>
        </w:rPr>
        <w:t xml:space="preserve">stapsgewijs </w:t>
      </w:r>
      <w:r w:rsidRPr="008B03FA">
        <w:rPr>
          <w:szCs w:val="18"/>
        </w:rPr>
        <w:t xml:space="preserve">te professionaliseren en beter </w:t>
      </w:r>
      <w:r w:rsidRPr="008B03FA" w:rsidR="00974657">
        <w:rPr>
          <w:szCs w:val="18"/>
        </w:rPr>
        <w:t>bestand te maken tegen nieuwe en opkomende dreigingen</w:t>
      </w:r>
      <w:r w:rsidRPr="008B03FA">
        <w:rPr>
          <w:szCs w:val="18"/>
        </w:rPr>
        <w:t>.</w:t>
      </w:r>
      <w:r w:rsidR="007359D9">
        <w:rPr>
          <w:szCs w:val="18"/>
        </w:rPr>
        <w:t xml:space="preserve"> </w:t>
      </w:r>
      <w:r w:rsidRPr="008B03FA" w:rsidR="00974657">
        <w:rPr>
          <w:szCs w:val="18"/>
        </w:rPr>
        <w:t xml:space="preserve">Het </w:t>
      </w:r>
      <w:r w:rsidRPr="008B03FA" w:rsidR="00F57F0B">
        <w:rPr>
          <w:szCs w:val="18"/>
        </w:rPr>
        <w:t>Unie</w:t>
      </w:r>
      <w:r w:rsidRPr="008B03FA" w:rsidR="00974657">
        <w:rPr>
          <w:szCs w:val="18"/>
        </w:rPr>
        <w:t>mechanisme is</w:t>
      </w:r>
      <w:r w:rsidR="007359D9">
        <w:rPr>
          <w:szCs w:val="18"/>
        </w:rPr>
        <w:t xml:space="preserve"> tot nu toe</w:t>
      </w:r>
      <w:r w:rsidRPr="008B03FA" w:rsidR="00974657">
        <w:rPr>
          <w:szCs w:val="18"/>
        </w:rPr>
        <w:t xml:space="preserve"> drie keer eerder herzien. </w:t>
      </w:r>
      <w:r w:rsidRPr="008B03FA">
        <w:rPr>
          <w:szCs w:val="18"/>
        </w:rPr>
        <w:t xml:space="preserve">In 2018 </w:t>
      </w:r>
      <w:r w:rsidRPr="008B03FA" w:rsidR="00974657">
        <w:rPr>
          <w:szCs w:val="18"/>
        </w:rPr>
        <w:t>zijn</w:t>
      </w:r>
      <w:r w:rsidRPr="008B03FA">
        <w:rPr>
          <w:szCs w:val="18"/>
        </w:rPr>
        <w:t xml:space="preserve"> operationele voorschriften aangescherpt via uitvoeringsbesluiten, waarbij onder andere het </w:t>
      </w:r>
      <w:r w:rsidRPr="008B03FA">
        <w:rPr>
          <w:i/>
          <w:iCs/>
          <w:szCs w:val="18"/>
        </w:rPr>
        <w:t>European Medical Corps</w:t>
      </w:r>
      <w:r w:rsidRPr="00CC6EDC" w:rsidR="00700C60">
        <w:rPr>
          <w:rStyle w:val="FootnoteReference"/>
          <w:szCs w:val="18"/>
        </w:rPr>
        <w:footnoteReference w:id="7"/>
      </w:r>
      <w:r w:rsidRPr="008B03FA">
        <w:rPr>
          <w:szCs w:val="18"/>
        </w:rPr>
        <w:t xml:space="preserve"> werd ingebed in de Europese capaciteitenpool</w:t>
      </w:r>
      <w:r w:rsidR="007359D9">
        <w:rPr>
          <w:rStyle w:val="FootnoteReference"/>
          <w:szCs w:val="18"/>
        </w:rPr>
        <w:footnoteReference w:id="8"/>
      </w:r>
      <w:r w:rsidRPr="008B03FA">
        <w:rPr>
          <w:szCs w:val="18"/>
        </w:rPr>
        <w:t xml:space="preserve"> en nieuwe eisen werden gesteld aan certificering, interoperabiliteit en kwaliteitsborging van civiele inzetmiddelen. </w:t>
      </w:r>
      <w:r w:rsidRPr="008B03FA" w:rsidR="00974657">
        <w:rPr>
          <w:szCs w:val="18"/>
        </w:rPr>
        <w:t>D</w:t>
      </w:r>
      <w:r w:rsidRPr="008B03FA">
        <w:rPr>
          <w:szCs w:val="18"/>
        </w:rPr>
        <w:t xml:space="preserve">e herziening van 2019 </w:t>
      </w:r>
      <w:r w:rsidRPr="008B03FA" w:rsidR="00974657">
        <w:rPr>
          <w:szCs w:val="18"/>
        </w:rPr>
        <w:t xml:space="preserve">introduceerde </w:t>
      </w:r>
      <w:r w:rsidRPr="008B03FA">
        <w:rPr>
          <w:szCs w:val="18"/>
        </w:rPr>
        <w:t>rescEU:</w:t>
      </w:r>
      <w:r w:rsidR="00CE5066">
        <w:rPr>
          <w:szCs w:val="18"/>
        </w:rPr>
        <w:t xml:space="preserve"> </w:t>
      </w:r>
      <w:r w:rsidRPr="008B03FA">
        <w:rPr>
          <w:szCs w:val="18"/>
        </w:rPr>
        <w:t>een strategische EU-brede capaciteit voor onder meer brandbestrijding, medische respons en transport. Dit maakte het mogelijk voor de Commissie om zelf middelen aan te schaffen en direct in te zetten bij grootschalige rampen</w:t>
      </w:r>
      <w:r w:rsidRPr="008B03FA" w:rsidR="0094480B">
        <w:rPr>
          <w:szCs w:val="18"/>
        </w:rPr>
        <w:t>.</w:t>
      </w:r>
      <w:r w:rsidR="00CE5066">
        <w:rPr>
          <w:rStyle w:val="FootnoteReference"/>
          <w:szCs w:val="18"/>
        </w:rPr>
        <w:footnoteReference w:id="9"/>
      </w:r>
      <w:r w:rsidRPr="008B03FA" w:rsidR="00122F21">
        <w:rPr>
          <w:szCs w:val="18"/>
        </w:rPr>
        <w:t xml:space="preserve"> </w:t>
      </w:r>
      <w:r w:rsidRPr="008B03FA">
        <w:rPr>
          <w:szCs w:val="18"/>
        </w:rPr>
        <w:t>In 2021, mede naar aanleiding van de COVID-19-pandemie, volgde een verdere versterking van rescEU en werd de rol van de Commissie bij crisiscoördinatie uitgebreid, inclusief snellere activering en ruimere medische voorraden.</w:t>
      </w:r>
    </w:p>
    <w:p w:rsidRPr="008B03FA" w:rsidR="00C06A0D" w:rsidP="00D134EC" w:rsidRDefault="00C06A0D" w14:paraId="452048D3" w14:textId="77777777">
      <w:pPr>
        <w:pStyle w:val="NoSpacing"/>
        <w:spacing w:line="360" w:lineRule="auto"/>
        <w:rPr>
          <w:szCs w:val="18"/>
        </w:rPr>
      </w:pPr>
    </w:p>
    <w:p w:rsidRPr="008B03FA" w:rsidR="00C06A0D" w:rsidP="00D134EC" w:rsidRDefault="00AB43C5" w14:paraId="4A59CD15" w14:textId="6011A24B">
      <w:pPr>
        <w:pStyle w:val="NoSpacing"/>
        <w:spacing w:line="360" w:lineRule="auto"/>
        <w:rPr>
          <w:szCs w:val="18"/>
        </w:rPr>
      </w:pPr>
      <w:r>
        <w:rPr>
          <w:szCs w:val="18"/>
        </w:rPr>
        <w:t>Het</w:t>
      </w:r>
      <w:r w:rsidRPr="008B03FA" w:rsidR="00974657">
        <w:rPr>
          <w:szCs w:val="18"/>
        </w:rPr>
        <w:t xml:space="preserve"> </w:t>
      </w:r>
      <w:r w:rsidRPr="008B03FA" w:rsidR="00C06A0D">
        <w:rPr>
          <w:szCs w:val="18"/>
        </w:rPr>
        <w:t xml:space="preserve">voorliggende </w:t>
      </w:r>
      <w:r>
        <w:rPr>
          <w:szCs w:val="18"/>
        </w:rPr>
        <w:t xml:space="preserve">voorstel </w:t>
      </w:r>
      <w:r w:rsidR="004A1395">
        <w:rPr>
          <w:szCs w:val="18"/>
        </w:rPr>
        <w:t xml:space="preserve">wordt de </w:t>
      </w:r>
      <w:r w:rsidRPr="008B03FA" w:rsidR="00E23564">
        <w:rPr>
          <w:szCs w:val="18"/>
        </w:rPr>
        <w:t xml:space="preserve">vierde en </w:t>
      </w:r>
      <w:r>
        <w:rPr>
          <w:szCs w:val="18"/>
        </w:rPr>
        <w:t xml:space="preserve">(tot zover) de </w:t>
      </w:r>
      <w:r w:rsidRPr="008B03FA" w:rsidR="00974657">
        <w:rPr>
          <w:szCs w:val="18"/>
        </w:rPr>
        <w:t xml:space="preserve">grootste herziening van het </w:t>
      </w:r>
      <w:r w:rsidRPr="008B03FA" w:rsidR="00C06A0D">
        <w:rPr>
          <w:szCs w:val="18"/>
        </w:rPr>
        <w:t>mechanisme</w:t>
      </w:r>
      <w:r w:rsidRPr="008B03FA" w:rsidR="00974657">
        <w:rPr>
          <w:szCs w:val="18"/>
        </w:rPr>
        <w:t>. De omvang</w:t>
      </w:r>
      <w:r>
        <w:rPr>
          <w:szCs w:val="18"/>
        </w:rPr>
        <w:t xml:space="preserve"> van het voorstel </w:t>
      </w:r>
      <w:r w:rsidRPr="008B03FA" w:rsidR="00974657">
        <w:rPr>
          <w:szCs w:val="18"/>
        </w:rPr>
        <w:t xml:space="preserve">moet worden gezien in het </w:t>
      </w:r>
      <w:r w:rsidRPr="008B03FA" w:rsidR="000D55BD">
        <w:rPr>
          <w:szCs w:val="18"/>
        </w:rPr>
        <w:t xml:space="preserve">licht </w:t>
      </w:r>
      <w:r w:rsidRPr="008B03FA" w:rsidR="00974657">
        <w:rPr>
          <w:szCs w:val="18"/>
        </w:rPr>
        <w:t xml:space="preserve">van de </w:t>
      </w:r>
      <w:r w:rsidRPr="004A1395" w:rsidR="00974657">
        <w:rPr>
          <w:i/>
          <w:iCs/>
          <w:szCs w:val="18"/>
        </w:rPr>
        <w:t>Paraatheids</w:t>
      </w:r>
      <w:r w:rsidRPr="004A1395" w:rsidR="00E23564">
        <w:rPr>
          <w:i/>
          <w:iCs/>
          <w:szCs w:val="18"/>
        </w:rPr>
        <w:t>unie</w:t>
      </w:r>
      <w:r w:rsidRPr="004A1395" w:rsidR="00974657">
        <w:rPr>
          <w:i/>
          <w:iCs/>
          <w:szCs w:val="18"/>
        </w:rPr>
        <w:t>strategie</w:t>
      </w:r>
      <w:r w:rsidRPr="008B03FA" w:rsidR="00974657">
        <w:rPr>
          <w:szCs w:val="18"/>
        </w:rPr>
        <w:t xml:space="preserve"> die de Commissie onlangs publiceerde.</w:t>
      </w:r>
      <w:r w:rsidRPr="008B03FA" w:rsidR="0094480B">
        <w:rPr>
          <w:rStyle w:val="FootnoteReference"/>
          <w:szCs w:val="18"/>
        </w:rPr>
        <w:footnoteReference w:id="10"/>
      </w:r>
      <w:r w:rsidRPr="008B03FA" w:rsidR="00C06A0D">
        <w:rPr>
          <w:szCs w:val="18"/>
        </w:rPr>
        <w:t xml:space="preserve"> </w:t>
      </w:r>
      <w:r w:rsidRPr="00AB43C5">
        <w:rPr>
          <w:szCs w:val="18"/>
        </w:rPr>
        <w:t>De ambitie</w:t>
      </w:r>
      <w:r>
        <w:rPr>
          <w:szCs w:val="18"/>
        </w:rPr>
        <w:t xml:space="preserve"> van de Commissie</w:t>
      </w:r>
      <w:r w:rsidRPr="00AB43C5">
        <w:rPr>
          <w:szCs w:val="18"/>
        </w:rPr>
        <w:t xml:space="preserve"> is </w:t>
      </w:r>
      <w:r w:rsidRPr="00AB43C5">
        <w:rPr>
          <w:szCs w:val="18"/>
        </w:rPr>
        <w:lastRenderedPageBreak/>
        <w:t>om te komen tot een meer geïntegreerde, wendbare en sectoroverstijgende aanpak van crisispreventie, paraatheid en respons op mens-</w:t>
      </w:r>
      <w:r w:rsidR="00761CB8">
        <w:rPr>
          <w:szCs w:val="18"/>
        </w:rPr>
        <w:t xml:space="preserve">-, </w:t>
      </w:r>
      <w:r w:rsidRPr="00AB43C5">
        <w:rPr>
          <w:szCs w:val="18"/>
        </w:rPr>
        <w:t>en natuurgerelateerde crises.</w:t>
      </w:r>
      <w:r>
        <w:rPr>
          <w:szCs w:val="18"/>
        </w:rPr>
        <w:t xml:space="preserve"> </w:t>
      </w:r>
    </w:p>
    <w:p w:rsidRPr="008B03FA" w:rsidR="007A2114" w:rsidP="00D134EC" w:rsidRDefault="007A2114" w14:paraId="0F1DE616" w14:textId="77777777">
      <w:pPr>
        <w:pStyle w:val="NoSpacing"/>
        <w:spacing w:line="360" w:lineRule="auto"/>
        <w:rPr>
          <w:szCs w:val="18"/>
        </w:rPr>
      </w:pPr>
    </w:p>
    <w:p w:rsidRPr="002040DD" w:rsidR="002040DD" w:rsidP="002040DD" w:rsidRDefault="006E3C2B" w14:paraId="3ADF578D" w14:textId="1F8BFB47">
      <w:pPr>
        <w:pStyle w:val="NoSpacing"/>
        <w:spacing w:line="360" w:lineRule="auto"/>
        <w:rPr>
          <w:szCs w:val="18"/>
        </w:rPr>
      </w:pPr>
      <w:r w:rsidRPr="008B03FA">
        <w:rPr>
          <w:szCs w:val="18"/>
        </w:rPr>
        <w:t>Daarnaast stelt de Commissie</w:t>
      </w:r>
      <w:r w:rsidRPr="008B03FA" w:rsidR="00F57F0B">
        <w:rPr>
          <w:szCs w:val="18"/>
        </w:rPr>
        <w:t xml:space="preserve"> voor om</w:t>
      </w:r>
      <w:r w:rsidR="00AB43C5">
        <w:rPr>
          <w:szCs w:val="18"/>
        </w:rPr>
        <w:t xml:space="preserve"> het</w:t>
      </w:r>
      <w:r w:rsidRPr="008B03FA" w:rsidR="00F57F0B">
        <w:rPr>
          <w:szCs w:val="18"/>
        </w:rPr>
        <w:t xml:space="preserve"> </w:t>
      </w:r>
      <w:r w:rsidRPr="008B03FA" w:rsidR="00E23564">
        <w:rPr>
          <w:szCs w:val="18"/>
        </w:rPr>
        <w:t xml:space="preserve">Uniemechanisme </w:t>
      </w:r>
      <w:r w:rsidRPr="008B03FA" w:rsidR="00F57F0B">
        <w:rPr>
          <w:szCs w:val="18"/>
        </w:rPr>
        <w:t xml:space="preserve">een meer horizontale scope te geven, waarbij er zowel oog is voor </w:t>
      </w:r>
      <w:r w:rsidRPr="004C704A" w:rsidR="00F57F0B">
        <w:rPr>
          <w:szCs w:val="18"/>
        </w:rPr>
        <w:t>klimatologische</w:t>
      </w:r>
      <w:r w:rsidRPr="008B03FA" w:rsidR="00F57F0B">
        <w:rPr>
          <w:szCs w:val="18"/>
        </w:rPr>
        <w:t xml:space="preserve"> als </w:t>
      </w:r>
      <w:r w:rsidRPr="004C704A" w:rsidR="00F57F0B">
        <w:rPr>
          <w:szCs w:val="18"/>
        </w:rPr>
        <w:t>veiligheid</w:t>
      </w:r>
      <w:r w:rsidRPr="008B03FA" w:rsidR="00F57F0B">
        <w:rPr>
          <w:szCs w:val="18"/>
        </w:rPr>
        <w:t xml:space="preserve">-gerelateerde dreigingen. Zo stelt de Commissie voor om gezondheidscrisisparaatheid en </w:t>
      </w:r>
      <w:r w:rsidR="00F5772C">
        <w:rPr>
          <w:szCs w:val="18"/>
        </w:rPr>
        <w:t>-</w:t>
      </w:r>
      <w:r w:rsidRPr="008B03FA" w:rsidR="00F57F0B">
        <w:rPr>
          <w:szCs w:val="18"/>
        </w:rPr>
        <w:t xml:space="preserve">respons te integreren in het mechanisme. </w:t>
      </w:r>
      <w:r w:rsidRPr="008B03FA" w:rsidR="00122F21">
        <w:rPr>
          <w:szCs w:val="18"/>
        </w:rPr>
        <w:t xml:space="preserve">Dit omvat het versterken van de mogelijkheden voor preventie, paraatheid en snelle respons op ernstige grensoverschrijdende </w:t>
      </w:r>
      <w:r w:rsidRPr="008B03FA" w:rsidR="00140F45">
        <w:rPr>
          <w:szCs w:val="18"/>
        </w:rPr>
        <w:t>gezondheids</w:t>
      </w:r>
      <w:r w:rsidRPr="008B03FA" w:rsidR="00122F21">
        <w:rPr>
          <w:szCs w:val="18"/>
        </w:rPr>
        <w:t>bedreigingen.</w:t>
      </w:r>
      <w:r w:rsidR="00F5772C">
        <w:rPr>
          <w:szCs w:val="18"/>
        </w:rPr>
        <w:t xml:space="preserve"> Zo ontstaat een </w:t>
      </w:r>
      <w:r w:rsidRPr="008B03FA" w:rsidR="00F5772C">
        <w:rPr>
          <w:i/>
          <w:iCs/>
          <w:szCs w:val="18"/>
        </w:rPr>
        <w:t>all-hazard</w:t>
      </w:r>
      <w:r w:rsidRPr="008B03FA" w:rsidR="00F5772C">
        <w:rPr>
          <w:szCs w:val="18"/>
        </w:rPr>
        <w:t>-benadering</w:t>
      </w:r>
      <w:r w:rsidR="00F5772C">
        <w:rPr>
          <w:szCs w:val="18"/>
        </w:rPr>
        <w:t xml:space="preserve"> op crisisbeheersing.</w:t>
      </w:r>
      <w:r w:rsidRPr="008B03FA" w:rsidR="00122F21">
        <w:rPr>
          <w:szCs w:val="18"/>
        </w:rPr>
        <w:t xml:space="preserve"> </w:t>
      </w:r>
      <w:r w:rsidRPr="008B03FA" w:rsidR="00140F45">
        <w:rPr>
          <w:szCs w:val="18"/>
        </w:rPr>
        <w:t xml:space="preserve">Dit </w:t>
      </w:r>
      <w:r w:rsidR="00F5772C">
        <w:rPr>
          <w:szCs w:val="18"/>
        </w:rPr>
        <w:t xml:space="preserve">wil de Commissie realiseren </w:t>
      </w:r>
      <w:r w:rsidR="00B06A5F">
        <w:rPr>
          <w:szCs w:val="18"/>
        </w:rPr>
        <w:t xml:space="preserve">door </w:t>
      </w:r>
      <w:r w:rsidRPr="008B03FA" w:rsidR="00140F45">
        <w:rPr>
          <w:szCs w:val="18"/>
        </w:rPr>
        <w:t>dataverzameling</w:t>
      </w:r>
      <w:r w:rsidR="00F5772C">
        <w:rPr>
          <w:szCs w:val="18"/>
        </w:rPr>
        <w:t xml:space="preserve"> te ondersteunen</w:t>
      </w:r>
      <w:r w:rsidRPr="008B03FA" w:rsidR="00140F45">
        <w:rPr>
          <w:szCs w:val="18"/>
        </w:rPr>
        <w:t>, informatie</w:t>
      </w:r>
      <w:r w:rsidR="00984E58">
        <w:rPr>
          <w:szCs w:val="18"/>
        </w:rPr>
        <w:t>-</w:t>
      </w:r>
      <w:r w:rsidRPr="008B03FA" w:rsidR="00140F45">
        <w:rPr>
          <w:szCs w:val="18"/>
        </w:rPr>
        <w:t>uitwisseling</w:t>
      </w:r>
      <w:r w:rsidR="00F5772C">
        <w:rPr>
          <w:szCs w:val="18"/>
        </w:rPr>
        <w:t xml:space="preserve"> te stimuleren en</w:t>
      </w:r>
      <w:r w:rsidRPr="008B03FA" w:rsidR="00140F45">
        <w:rPr>
          <w:szCs w:val="18"/>
        </w:rPr>
        <w:t xml:space="preserve"> </w:t>
      </w:r>
      <w:r w:rsidRPr="004C704A" w:rsidR="00140F45">
        <w:rPr>
          <w:szCs w:val="18"/>
        </w:rPr>
        <w:t>vroeg-signalering</w:t>
      </w:r>
      <w:r w:rsidRPr="00984E58" w:rsidR="00140F45">
        <w:rPr>
          <w:szCs w:val="18"/>
        </w:rPr>
        <w:t xml:space="preserve"> en </w:t>
      </w:r>
      <w:r w:rsidRPr="004C704A" w:rsidR="00140F45">
        <w:rPr>
          <w:szCs w:val="18"/>
        </w:rPr>
        <w:t>surveillance</w:t>
      </w:r>
      <w:r w:rsidRPr="00984E58" w:rsidR="00140F45">
        <w:rPr>
          <w:szCs w:val="18"/>
        </w:rPr>
        <w:t>systemen</w:t>
      </w:r>
      <w:r w:rsidR="00F5772C">
        <w:rPr>
          <w:szCs w:val="18"/>
        </w:rPr>
        <w:t xml:space="preserve"> (</w:t>
      </w:r>
      <w:r w:rsidR="00F5772C">
        <w:rPr>
          <w:i/>
          <w:iCs/>
          <w:szCs w:val="18"/>
        </w:rPr>
        <w:t>early-warning-early-watch</w:t>
      </w:r>
      <w:r w:rsidRPr="00F5772C" w:rsidR="00F5772C">
        <w:rPr>
          <w:szCs w:val="18"/>
        </w:rPr>
        <w:t xml:space="preserve">) </w:t>
      </w:r>
      <w:r w:rsidR="00F5772C">
        <w:rPr>
          <w:szCs w:val="18"/>
        </w:rPr>
        <w:t>aan elkaar te koppen</w:t>
      </w:r>
      <w:r w:rsidRPr="008B03FA" w:rsidR="00140F45">
        <w:rPr>
          <w:szCs w:val="18"/>
        </w:rPr>
        <w:t xml:space="preserve">. </w:t>
      </w:r>
      <w:r w:rsidRPr="008B03FA" w:rsidR="00122F21">
        <w:rPr>
          <w:szCs w:val="18"/>
        </w:rPr>
        <w:t xml:space="preserve">Daarnaast </w:t>
      </w:r>
      <w:r w:rsidR="00F5772C">
        <w:rPr>
          <w:szCs w:val="18"/>
        </w:rPr>
        <w:t xml:space="preserve">zijn </w:t>
      </w:r>
      <w:r w:rsidRPr="008B03FA" w:rsidR="00122F21">
        <w:rPr>
          <w:szCs w:val="18"/>
        </w:rPr>
        <w:t>de beschikbaarheid en toegankelijkheid van</w:t>
      </w:r>
      <w:r w:rsidRPr="008B03FA" w:rsidR="00140F45">
        <w:rPr>
          <w:szCs w:val="18"/>
        </w:rPr>
        <w:t xml:space="preserve"> </w:t>
      </w:r>
      <w:r w:rsidRPr="008B03FA" w:rsidR="00122F21">
        <w:rPr>
          <w:szCs w:val="18"/>
        </w:rPr>
        <w:t xml:space="preserve">medische </w:t>
      </w:r>
      <w:r w:rsidRPr="008B03FA" w:rsidR="00140F45">
        <w:rPr>
          <w:szCs w:val="18"/>
        </w:rPr>
        <w:t xml:space="preserve">tegenmaatregelen in </w:t>
      </w:r>
      <w:r w:rsidR="00F5772C">
        <w:rPr>
          <w:szCs w:val="18"/>
        </w:rPr>
        <w:t xml:space="preserve">het voorstel </w:t>
      </w:r>
      <w:r w:rsidRPr="008B03FA" w:rsidR="00140F45">
        <w:rPr>
          <w:szCs w:val="18"/>
        </w:rPr>
        <w:t>opgenomen</w:t>
      </w:r>
      <w:r w:rsidR="00F5772C">
        <w:rPr>
          <w:szCs w:val="18"/>
        </w:rPr>
        <w:t xml:space="preserve">. </w:t>
      </w:r>
      <w:r w:rsidRPr="002040DD" w:rsidR="002040DD">
        <w:rPr>
          <w:szCs w:val="18"/>
        </w:rPr>
        <w:t>Hiervoor zijn reeds structuren opgezet, maar er dient verder ingezet te worden op het waarborgen van voldoende productiecapaciteit (en waar nodig uit te breiden), gezamenlijke aan te blijven besteden, strategische voorraden verder in te richten en de inzet ervan te verzekeren</w:t>
      </w:r>
      <w:r w:rsidR="002040DD">
        <w:rPr>
          <w:szCs w:val="18"/>
        </w:rPr>
        <w:t>.</w:t>
      </w:r>
    </w:p>
    <w:p w:rsidR="00F5772C" w:rsidP="00D134EC" w:rsidRDefault="00F5772C" w14:paraId="5EE9F4AB" w14:textId="77777777">
      <w:pPr>
        <w:pStyle w:val="NoSpacing"/>
        <w:spacing w:line="360" w:lineRule="auto"/>
        <w:rPr>
          <w:szCs w:val="18"/>
        </w:rPr>
      </w:pPr>
    </w:p>
    <w:p w:rsidRPr="008B03FA" w:rsidR="002E54EA" w:rsidP="00D134EC" w:rsidRDefault="004A1395" w14:paraId="7D684491" w14:textId="03795CB9">
      <w:pPr>
        <w:pStyle w:val="NoSpacing"/>
        <w:spacing w:line="360" w:lineRule="auto"/>
        <w:rPr>
          <w:szCs w:val="18"/>
        </w:rPr>
      </w:pPr>
      <w:r>
        <w:rPr>
          <w:szCs w:val="18"/>
        </w:rPr>
        <w:t>Ook</w:t>
      </w:r>
      <w:r w:rsidRPr="008B03FA" w:rsidR="00140F45">
        <w:rPr>
          <w:szCs w:val="18"/>
        </w:rPr>
        <w:t xml:space="preserve"> stelt de Commissie voor om de coördinatie tussen de Unie en de lidstaten </w:t>
      </w:r>
      <w:r w:rsidRPr="008B03FA" w:rsidR="000D55BD">
        <w:rPr>
          <w:szCs w:val="18"/>
        </w:rPr>
        <w:t>en</w:t>
      </w:r>
      <w:r w:rsidRPr="008B03FA" w:rsidR="00140F45">
        <w:rPr>
          <w:szCs w:val="18"/>
        </w:rPr>
        <w:t xml:space="preserve"> de ontwikkeling op capaciteiten op gezondheidsvlak te versterken.</w:t>
      </w:r>
      <w:r w:rsidRPr="008B03FA" w:rsidR="00397873">
        <w:rPr>
          <w:szCs w:val="18"/>
        </w:rPr>
        <w:t xml:space="preserve"> De bepalingen hiertoe zijn bedoeld als ondersteuning van de sectorale wetgeving rondom ernstige grensoverschrijdende gezondheidsbedreigingen die in 2022 is vastgesteld.</w:t>
      </w:r>
      <w:r w:rsidR="005743F8">
        <w:rPr>
          <w:rStyle w:val="FootnoteReference"/>
          <w:szCs w:val="18"/>
        </w:rPr>
        <w:footnoteReference w:id="11"/>
      </w:r>
      <w:r w:rsidRPr="008B03FA" w:rsidR="00397873">
        <w:rPr>
          <w:szCs w:val="18"/>
        </w:rPr>
        <w:t xml:space="preserve"> Daarnaast </w:t>
      </w:r>
      <w:r w:rsidR="00F5772C">
        <w:rPr>
          <w:szCs w:val="18"/>
        </w:rPr>
        <w:t xml:space="preserve">ondersteunen deze de aanleg van </w:t>
      </w:r>
      <w:r w:rsidRPr="008B03FA" w:rsidR="00397873">
        <w:rPr>
          <w:szCs w:val="18"/>
        </w:rPr>
        <w:t>medische noodvoorraden onder rescEU en ten behoeve van verzoeken om assistentie onder het Uniemechanisme.</w:t>
      </w:r>
    </w:p>
    <w:p w:rsidRPr="008B03FA" w:rsidR="002E54EA" w:rsidP="00D134EC" w:rsidRDefault="002E54EA" w14:paraId="484D1C1C" w14:textId="77777777">
      <w:pPr>
        <w:pStyle w:val="NoSpacing"/>
        <w:spacing w:line="360" w:lineRule="auto"/>
        <w:rPr>
          <w:szCs w:val="18"/>
        </w:rPr>
      </w:pPr>
    </w:p>
    <w:p w:rsidR="00C270C5" w:rsidP="00D134EC" w:rsidRDefault="00556636" w14:paraId="6066A903" w14:textId="77777777">
      <w:pPr>
        <w:pStyle w:val="NoSpacing"/>
        <w:spacing w:line="360" w:lineRule="auto"/>
        <w:rPr>
          <w:szCs w:val="18"/>
        </w:rPr>
      </w:pPr>
      <w:r w:rsidRPr="008B03FA">
        <w:rPr>
          <w:szCs w:val="18"/>
        </w:rPr>
        <w:t xml:space="preserve">Verder </w:t>
      </w:r>
      <w:r w:rsidR="00626041">
        <w:rPr>
          <w:szCs w:val="18"/>
        </w:rPr>
        <w:t>wordt</w:t>
      </w:r>
      <w:r w:rsidR="002B6E5E">
        <w:rPr>
          <w:szCs w:val="18"/>
        </w:rPr>
        <w:t xml:space="preserve"> in </w:t>
      </w:r>
      <w:r w:rsidR="009C3940">
        <w:rPr>
          <w:szCs w:val="18"/>
        </w:rPr>
        <w:t>het voorstel</w:t>
      </w:r>
      <w:r w:rsidRPr="008B03FA" w:rsidR="00727734">
        <w:rPr>
          <w:szCs w:val="18"/>
        </w:rPr>
        <w:t xml:space="preserve"> </w:t>
      </w:r>
      <w:r w:rsidR="00626041">
        <w:rPr>
          <w:szCs w:val="18"/>
        </w:rPr>
        <w:t xml:space="preserve">gesproken van </w:t>
      </w:r>
      <w:r w:rsidRPr="008B03FA" w:rsidR="00727734">
        <w:rPr>
          <w:szCs w:val="18"/>
        </w:rPr>
        <w:t xml:space="preserve">een </w:t>
      </w:r>
      <w:r w:rsidRPr="008B03FA" w:rsidR="00122F21">
        <w:rPr>
          <w:szCs w:val="18"/>
        </w:rPr>
        <w:t>cross-sectorale paraatheidslaag</w:t>
      </w:r>
      <w:r w:rsidRPr="008B03FA">
        <w:rPr>
          <w:szCs w:val="18"/>
        </w:rPr>
        <w:t xml:space="preserve">. Deze laag </w:t>
      </w:r>
      <w:r w:rsidR="002B6E5E">
        <w:rPr>
          <w:szCs w:val="18"/>
        </w:rPr>
        <w:t>lijkt toe te zien</w:t>
      </w:r>
      <w:r w:rsidRPr="008B03FA">
        <w:rPr>
          <w:szCs w:val="18"/>
        </w:rPr>
        <w:t xml:space="preserve"> toe op het opvullen van </w:t>
      </w:r>
      <w:r w:rsidRPr="008B03FA" w:rsidR="00122F21">
        <w:rPr>
          <w:szCs w:val="18"/>
        </w:rPr>
        <w:t>kwalitatieve en kwantitatieve hiaten in het huidige</w:t>
      </w:r>
      <w:r w:rsidRPr="008B03FA">
        <w:rPr>
          <w:szCs w:val="18"/>
        </w:rPr>
        <w:t xml:space="preserve"> juridische raamwerk van</w:t>
      </w:r>
      <w:r w:rsidRPr="008B03FA" w:rsidR="00122F21">
        <w:rPr>
          <w:szCs w:val="18"/>
        </w:rPr>
        <w:t xml:space="preserve"> </w:t>
      </w:r>
      <w:r w:rsidRPr="008B03FA">
        <w:rPr>
          <w:szCs w:val="18"/>
        </w:rPr>
        <w:t xml:space="preserve">het </w:t>
      </w:r>
      <w:r w:rsidRPr="008B03FA" w:rsidR="00727734">
        <w:rPr>
          <w:szCs w:val="18"/>
        </w:rPr>
        <w:t>Uniemechanisme</w:t>
      </w:r>
      <w:r w:rsidRPr="008B03FA" w:rsidR="00122F21">
        <w:rPr>
          <w:szCs w:val="18"/>
        </w:rPr>
        <w:t xml:space="preserve">. Waar het </w:t>
      </w:r>
      <w:r w:rsidRPr="008B03FA">
        <w:rPr>
          <w:szCs w:val="18"/>
        </w:rPr>
        <w:t>Unie</w:t>
      </w:r>
      <w:r w:rsidRPr="008B03FA" w:rsidR="00122F21">
        <w:rPr>
          <w:szCs w:val="18"/>
        </w:rPr>
        <w:t xml:space="preserve">mechanisme nu voornamelijk sectoraal opereert, voorziet de nieuwe </w:t>
      </w:r>
      <w:r w:rsidRPr="008B03FA">
        <w:rPr>
          <w:szCs w:val="18"/>
        </w:rPr>
        <w:t>paraatheids</w:t>
      </w:r>
      <w:r w:rsidRPr="008B03FA" w:rsidR="00122F21">
        <w:rPr>
          <w:szCs w:val="18"/>
        </w:rPr>
        <w:t>laag in een geïntegreerde aanpak voor complexe en langdurige crises. Het stelt de EU in staat om in reactie op grensoverschrijdende crises een</w:t>
      </w:r>
      <w:r w:rsidRPr="008B03FA" w:rsidR="00863267">
        <w:rPr>
          <w:szCs w:val="18"/>
        </w:rPr>
        <w:t xml:space="preserve"> overheidsbrede</w:t>
      </w:r>
      <w:r w:rsidRPr="008B03FA" w:rsidR="00122F21">
        <w:rPr>
          <w:szCs w:val="18"/>
        </w:rPr>
        <w:t xml:space="preserve"> </w:t>
      </w:r>
      <w:r w:rsidRPr="008B03FA" w:rsidR="00863267">
        <w:rPr>
          <w:szCs w:val="18"/>
        </w:rPr>
        <w:t>(</w:t>
      </w:r>
      <w:r w:rsidRPr="008B03FA" w:rsidR="00C34842">
        <w:rPr>
          <w:szCs w:val="18"/>
        </w:rPr>
        <w:t>‘</w:t>
      </w:r>
      <w:r w:rsidRPr="008B03FA" w:rsidR="00122F21">
        <w:rPr>
          <w:i/>
          <w:iCs/>
          <w:szCs w:val="18"/>
        </w:rPr>
        <w:t>whole-of-government</w:t>
      </w:r>
      <w:r w:rsidRPr="008B03FA" w:rsidR="00C34842">
        <w:rPr>
          <w:i/>
          <w:iCs/>
          <w:szCs w:val="18"/>
        </w:rPr>
        <w:t>’</w:t>
      </w:r>
      <w:r w:rsidRPr="008B03FA" w:rsidR="00863267">
        <w:rPr>
          <w:szCs w:val="18"/>
        </w:rPr>
        <w:t>)</w:t>
      </w:r>
      <w:r w:rsidRPr="008B03FA" w:rsidR="00122F21">
        <w:rPr>
          <w:szCs w:val="18"/>
        </w:rPr>
        <w:t xml:space="preserve"> en </w:t>
      </w:r>
      <w:r w:rsidRPr="008B03FA" w:rsidR="00863267">
        <w:rPr>
          <w:szCs w:val="18"/>
        </w:rPr>
        <w:t>maatschapp</w:t>
      </w:r>
      <w:r w:rsidRPr="008B03FA">
        <w:rPr>
          <w:szCs w:val="18"/>
        </w:rPr>
        <w:t>ijbrede</w:t>
      </w:r>
      <w:r w:rsidRPr="008B03FA" w:rsidR="00863267">
        <w:rPr>
          <w:szCs w:val="18"/>
        </w:rPr>
        <w:t xml:space="preserve"> (</w:t>
      </w:r>
      <w:r w:rsidRPr="008B03FA" w:rsidR="00C34842">
        <w:rPr>
          <w:szCs w:val="18"/>
        </w:rPr>
        <w:t>‘</w:t>
      </w:r>
      <w:r w:rsidRPr="008B03FA" w:rsidR="00122F21">
        <w:rPr>
          <w:i/>
          <w:iCs/>
          <w:szCs w:val="18"/>
        </w:rPr>
        <w:t>whole-of-society</w:t>
      </w:r>
      <w:r w:rsidRPr="008B03FA" w:rsidR="00C34842">
        <w:rPr>
          <w:szCs w:val="18"/>
        </w:rPr>
        <w:t>’</w:t>
      </w:r>
      <w:r w:rsidRPr="008B03FA" w:rsidR="00863267">
        <w:rPr>
          <w:szCs w:val="18"/>
        </w:rPr>
        <w:t>)</w:t>
      </w:r>
      <w:r w:rsidRPr="008B03FA" w:rsidR="00122F21">
        <w:rPr>
          <w:szCs w:val="18"/>
        </w:rPr>
        <w:t xml:space="preserve"> benadering te hanteren,</w:t>
      </w:r>
      <w:r w:rsidRPr="008B03FA" w:rsidR="00C34842">
        <w:rPr>
          <w:rStyle w:val="FootnoteReference"/>
          <w:szCs w:val="18"/>
        </w:rPr>
        <w:footnoteReference w:id="12"/>
      </w:r>
      <w:r w:rsidRPr="008B03FA" w:rsidR="00122F21">
        <w:rPr>
          <w:szCs w:val="18"/>
        </w:rPr>
        <w:t xml:space="preserve"> waarbij alle capaciteiten gezamenlijk en gelijktijdig kunnen worden ingezet. </w:t>
      </w:r>
      <w:r w:rsidRPr="008B03FA" w:rsidR="00727734">
        <w:rPr>
          <w:szCs w:val="18"/>
        </w:rPr>
        <w:t>Deze aanpak versterkt de coördinatie en verhoogt de effectiviteit van de respons op crises die sectoren als energie,</w:t>
      </w:r>
      <w:r w:rsidRPr="008B03FA" w:rsidR="000C0C7B">
        <w:rPr>
          <w:szCs w:val="18"/>
        </w:rPr>
        <w:t xml:space="preserve"> transport</w:t>
      </w:r>
      <w:r w:rsidRPr="008B03FA" w:rsidR="008C4606">
        <w:rPr>
          <w:szCs w:val="18"/>
        </w:rPr>
        <w:t>, waterbeheer,</w:t>
      </w:r>
      <w:r w:rsidRPr="008B03FA" w:rsidR="00727734">
        <w:rPr>
          <w:szCs w:val="18"/>
        </w:rPr>
        <w:t xml:space="preserve"> gezondheidszorg en veiligheid tegelijk</w:t>
      </w:r>
      <w:r w:rsidRPr="008B03FA">
        <w:rPr>
          <w:szCs w:val="18"/>
        </w:rPr>
        <w:t>ertijd kunnen</w:t>
      </w:r>
      <w:r w:rsidRPr="008B03FA" w:rsidR="00727734">
        <w:rPr>
          <w:szCs w:val="18"/>
        </w:rPr>
        <w:t xml:space="preserve"> raken. </w:t>
      </w:r>
      <w:r w:rsidRPr="008B03FA" w:rsidR="00F92EC8">
        <w:rPr>
          <w:szCs w:val="18"/>
        </w:rPr>
        <w:t>Civiel-militaire samenwerking en voorbereiding van de bevolking op crisissituaties maken expliciet deel uit van deze versterkte responsarchitectuur.</w:t>
      </w:r>
      <w:r w:rsidR="00D73EE9">
        <w:rPr>
          <w:rStyle w:val="FootnoteReference"/>
          <w:szCs w:val="18"/>
        </w:rPr>
        <w:footnoteReference w:id="13"/>
      </w:r>
      <w:r w:rsidRPr="008B03FA" w:rsidR="00857816">
        <w:rPr>
          <w:szCs w:val="18"/>
        </w:rPr>
        <w:t xml:space="preserve"> </w:t>
      </w:r>
    </w:p>
    <w:p w:rsidR="00F56ACA" w:rsidP="00D134EC" w:rsidRDefault="00F56ACA" w14:paraId="265E1CE5" w14:textId="77777777">
      <w:pPr>
        <w:pStyle w:val="NoSpacing"/>
        <w:spacing w:line="360" w:lineRule="auto"/>
        <w:rPr>
          <w:szCs w:val="18"/>
        </w:rPr>
      </w:pPr>
    </w:p>
    <w:p w:rsidRPr="008B03FA" w:rsidR="00F92EC8" w:rsidP="00D134EC" w:rsidRDefault="00B06A5F" w14:paraId="3273D17B" w14:textId="45B58972">
      <w:pPr>
        <w:pStyle w:val="NoSpacing"/>
        <w:spacing w:line="360" w:lineRule="auto"/>
        <w:rPr>
          <w:szCs w:val="18"/>
        </w:rPr>
      </w:pPr>
      <w:r>
        <w:rPr>
          <w:szCs w:val="18"/>
        </w:rPr>
        <w:t xml:space="preserve">Ook </w:t>
      </w:r>
      <w:r w:rsidRPr="008B03FA" w:rsidR="00140F45">
        <w:rPr>
          <w:szCs w:val="18"/>
        </w:rPr>
        <w:t xml:space="preserve">wordt </w:t>
      </w:r>
      <w:r>
        <w:rPr>
          <w:szCs w:val="18"/>
        </w:rPr>
        <w:t xml:space="preserve">de reikwijdte </w:t>
      </w:r>
      <w:r w:rsidR="00BA6244">
        <w:rPr>
          <w:szCs w:val="18"/>
        </w:rPr>
        <w:t xml:space="preserve">van het Uniemechanisme met dit voorstel </w:t>
      </w:r>
      <w:r>
        <w:rPr>
          <w:szCs w:val="18"/>
        </w:rPr>
        <w:t>groter zodat ook</w:t>
      </w:r>
      <w:r w:rsidRPr="008B03FA" w:rsidR="00140F45">
        <w:rPr>
          <w:szCs w:val="18"/>
        </w:rPr>
        <w:t xml:space="preserve"> private partijen </w:t>
      </w:r>
      <w:r>
        <w:rPr>
          <w:szCs w:val="18"/>
        </w:rPr>
        <w:t xml:space="preserve">kunnen worden </w:t>
      </w:r>
      <w:r w:rsidRPr="008B03FA" w:rsidR="00140F45">
        <w:rPr>
          <w:szCs w:val="18"/>
        </w:rPr>
        <w:t>betr</w:t>
      </w:r>
      <w:r w:rsidR="00BA6244">
        <w:rPr>
          <w:szCs w:val="18"/>
        </w:rPr>
        <w:t>o</w:t>
      </w:r>
      <w:r w:rsidRPr="008B03FA" w:rsidR="00140F45">
        <w:rPr>
          <w:szCs w:val="18"/>
        </w:rPr>
        <w:t>kken.</w:t>
      </w:r>
      <w:r w:rsidRPr="008B03FA" w:rsidR="000D55BD">
        <w:rPr>
          <w:szCs w:val="18"/>
        </w:rPr>
        <w:t xml:space="preserve"> </w:t>
      </w:r>
      <w:r w:rsidRPr="008B03FA" w:rsidR="00D61F0F">
        <w:rPr>
          <w:szCs w:val="18"/>
        </w:rPr>
        <w:t xml:space="preserve">Door een cross-sectorale aanpak heeft de Commissie ook aandacht voor </w:t>
      </w:r>
      <w:r w:rsidRPr="008B03FA" w:rsidR="00D61F0F">
        <w:rPr>
          <w:szCs w:val="18"/>
        </w:rPr>
        <w:lastRenderedPageBreak/>
        <w:t xml:space="preserve">kinderen, ouderen, mensen met een beperking en andere kwetsbare groepen in alle fasen van </w:t>
      </w:r>
      <w:r w:rsidRPr="008B03FA" w:rsidR="000D55BD">
        <w:rPr>
          <w:szCs w:val="18"/>
        </w:rPr>
        <w:t>crisis- en risicobeheersing</w:t>
      </w:r>
      <w:r w:rsidRPr="008B03FA" w:rsidR="00D61F0F">
        <w:rPr>
          <w:szCs w:val="18"/>
        </w:rPr>
        <w:t>.</w:t>
      </w:r>
    </w:p>
    <w:p w:rsidRPr="008B03FA" w:rsidR="00122F21" w:rsidP="00D134EC" w:rsidRDefault="00122F21" w14:paraId="4ED76CB8" w14:textId="77777777">
      <w:pPr>
        <w:pStyle w:val="NoSpacing"/>
        <w:spacing w:line="360" w:lineRule="auto"/>
        <w:rPr>
          <w:szCs w:val="18"/>
        </w:rPr>
      </w:pPr>
    </w:p>
    <w:p w:rsidRPr="008B03FA" w:rsidR="002E54EA" w:rsidP="00D134EC" w:rsidRDefault="002E54EA" w14:paraId="241B5CBF" w14:textId="30718C93">
      <w:pPr>
        <w:pStyle w:val="NoSpacing"/>
        <w:spacing w:line="360" w:lineRule="auto"/>
        <w:rPr>
          <w:szCs w:val="18"/>
        </w:rPr>
      </w:pPr>
      <w:r w:rsidRPr="008B03FA">
        <w:rPr>
          <w:szCs w:val="18"/>
        </w:rPr>
        <w:t xml:space="preserve">Om deze coördinatie in goede banen te leiden, wordt een </w:t>
      </w:r>
      <w:r w:rsidRPr="008B03FA" w:rsidR="00371FFE">
        <w:rPr>
          <w:szCs w:val="18"/>
        </w:rPr>
        <w:t>centrale EU-c</w:t>
      </w:r>
      <w:r w:rsidRPr="008B03FA">
        <w:rPr>
          <w:szCs w:val="18"/>
        </w:rPr>
        <w:t xml:space="preserve">risiscoördinatiehub </w:t>
      </w:r>
      <w:r w:rsidRPr="008B03FA" w:rsidR="00371FFE">
        <w:rPr>
          <w:szCs w:val="18"/>
        </w:rPr>
        <w:t xml:space="preserve">(hierna: de </w:t>
      </w:r>
      <w:r w:rsidRPr="008B03FA" w:rsidR="00BD2066">
        <w:rPr>
          <w:szCs w:val="18"/>
        </w:rPr>
        <w:t>H</w:t>
      </w:r>
      <w:r w:rsidRPr="008B03FA" w:rsidR="00371FFE">
        <w:rPr>
          <w:szCs w:val="18"/>
        </w:rPr>
        <w:t xml:space="preserve">ub) </w:t>
      </w:r>
      <w:r w:rsidRPr="008B03FA">
        <w:rPr>
          <w:szCs w:val="18"/>
        </w:rPr>
        <w:t>opg</w:t>
      </w:r>
      <w:r w:rsidRPr="008B03FA" w:rsidR="00FC6126">
        <w:rPr>
          <w:szCs w:val="18"/>
        </w:rPr>
        <w:t>ericht</w:t>
      </w:r>
      <w:r w:rsidRPr="008B03FA" w:rsidR="000B1F02">
        <w:rPr>
          <w:szCs w:val="18"/>
        </w:rPr>
        <w:t xml:space="preserve">. </w:t>
      </w:r>
      <w:r w:rsidRPr="00CC60ED" w:rsidR="0022062A">
        <w:rPr>
          <w:szCs w:val="18"/>
        </w:rPr>
        <w:t xml:space="preserve">Het voorstel concretiseert de precieze uitwerking van de Hub nog niet. Wel </w:t>
      </w:r>
      <w:r w:rsidR="0022062A">
        <w:rPr>
          <w:szCs w:val="18"/>
        </w:rPr>
        <w:t xml:space="preserve">staat in het voorstel </w:t>
      </w:r>
      <w:r w:rsidRPr="00CC60ED" w:rsidR="0022062A">
        <w:rPr>
          <w:szCs w:val="18"/>
        </w:rPr>
        <w:t>dat de Hub naast het bestaande Europese Coördinatiecentrum</w:t>
      </w:r>
      <w:r w:rsidRPr="00CC60ED" w:rsidR="0022062A">
        <w:rPr>
          <w:rFonts w:asciiTheme="minorHAnsi" w:hAnsiTheme="minorHAnsi"/>
          <w:sz w:val="24"/>
        </w:rPr>
        <w:t xml:space="preserve"> </w:t>
      </w:r>
      <w:r w:rsidRPr="00CC60ED" w:rsidR="0022062A">
        <w:rPr>
          <w:szCs w:val="18"/>
        </w:rPr>
        <w:t>zal opereren en de rol krijgt van centraal EU-centrum voor cross-sectorale risicoparaatheid</w:t>
      </w:r>
      <w:r w:rsidR="0022062A">
        <w:rPr>
          <w:szCs w:val="18"/>
        </w:rPr>
        <w:t xml:space="preserve">, </w:t>
      </w:r>
      <w:r w:rsidRPr="008B03FA" w:rsidR="00371FFE">
        <w:rPr>
          <w:i/>
          <w:iCs/>
          <w:szCs w:val="18"/>
        </w:rPr>
        <w:t>stockpiling</w:t>
      </w:r>
      <w:r w:rsidRPr="002B6E5E" w:rsidR="00371FFE">
        <w:rPr>
          <w:rStyle w:val="FootnoteReference"/>
          <w:szCs w:val="18"/>
        </w:rPr>
        <w:footnoteReference w:id="14"/>
      </w:r>
      <w:r w:rsidRPr="008B03FA" w:rsidR="00371FFE">
        <w:rPr>
          <w:szCs w:val="18"/>
        </w:rPr>
        <w:t xml:space="preserve"> en EU-crisiscoördinatie</w:t>
      </w:r>
      <w:r w:rsidRPr="008B03FA" w:rsidR="000B1F02">
        <w:rPr>
          <w:szCs w:val="18"/>
        </w:rPr>
        <w:t>.</w:t>
      </w:r>
      <w:r w:rsidRPr="008B03FA" w:rsidR="00FC6126">
        <w:rPr>
          <w:szCs w:val="18"/>
        </w:rPr>
        <w:t xml:space="preserve"> </w:t>
      </w:r>
      <w:r w:rsidRPr="008B03FA" w:rsidR="00D61F0F">
        <w:rPr>
          <w:szCs w:val="18"/>
        </w:rPr>
        <w:t xml:space="preserve">Het </w:t>
      </w:r>
      <w:r w:rsidRPr="00314606" w:rsidR="00314606">
        <w:rPr>
          <w:szCs w:val="18"/>
        </w:rPr>
        <w:t>Europese Coördinatiecentrum</w:t>
      </w:r>
      <w:r w:rsidRPr="008B03FA" w:rsidR="00314606">
        <w:rPr>
          <w:szCs w:val="18"/>
        </w:rPr>
        <w:t xml:space="preserve"> </w:t>
      </w:r>
      <w:r w:rsidRPr="008B03FA" w:rsidR="00D61F0F">
        <w:rPr>
          <w:szCs w:val="18"/>
        </w:rPr>
        <w:t xml:space="preserve">blijft het operationele coördinatiecentrum; de </w:t>
      </w:r>
      <w:r w:rsidRPr="008B03FA" w:rsidR="006A3A42">
        <w:rPr>
          <w:szCs w:val="18"/>
        </w:rPr>
        <w:t>Commissie beoogd dat de h</w:t>
      </w:r>
      <w:r w:rsidRPr="008B03FA" w:rsidR="00D61F0F">
        <w:rPr>
          <w:szCs w:val="18"/>
        </w:rPr>
        <w:t>ub een strategisch kruispunt voor sectoroverstijgende monitoring en voorbereiding</w:t>
      </w:r>
      <w:r w:rsidRPr="008B03FA" w:rsidR="006A3A42">
        <w:rPr>
          <w:szCs w:val="18"/>
        </w:rPr>
        <w:t xml:space="preserve"> wordt.</w:t>
      </w:r>
      <w:r w:rsidR="00DD419A">
        <w:rPr>
          <w:szCs w:val="18"/>
        </w:rPr>
        <w:t xml:space="preserve"> </w:t>
      </w:r>
    </w:p>
    <w:p w:rsidRPr="008B03FA" w:rsidR="002E54EA" w:rsidP="00D134EC" w:rsidRDefault="002E54EA" w14:paraId="14BFB994" w14:textId="77777777">
      <w:pPr>
        <w:pStyle w:val="NoSpacing"/>
        <w:spacing w:line="360" w:lineRule="auto"/>
        <w:rPr>
          <w:szCs w:val="18"/>
        </w:rPr>
      </w:pPr>
    </w:p>
    <w:p w:rsidRPr="008B03FA" w:rsidR="002E54EA" w:rsidP="00D134EC" w:rsidRDefault="009C3940" w14:paraId="48C1DEC8" w14:textId="0F2AC0FE">
      <w:pPr>
        <w:pStyle w:val="NoSpacing"/>
        <w:spacing w:line="360" w:lineRule="auto"/>
        <w:rPr>
          <w:szCs w:val="18"/>
        </w:rPr>
      </w:pPr>
      <w:r>
        <w:rPr>
          <w:szCs w:val="18"/>
        </w:rPr>
        <w:t>Het voorstel</w:t>
      </w:r>
      <w:r w:rsidRPr="008B03FA" w:rsidR="000B1F02">
        <w:rPr>
          <w:szCs w:val="18"/>
        </w:rPr>
        <w:t xml:space="preserve"> omvat ook </w:t>
      </w:r>
      <w:r>
        <w:rPr>
          <w:szCs w:val="18"/>
        </w:rPr>
        <w:t xml:space="preserve">maatregelen </w:t>
      </w:r>
      <w:r w:rsidRPr="008B03FA" w:rsidR="000B1F02">
        <w:rPr>
          <w:szCs w:val="18"/>
        </w:rPr>
        <w:t>om de</w:t>
      </w:r>
      <w:r w:rsidRPr="008B03FA" w:rsidR="002E54EA">
        <w:rPr>
          <w:szCs w:val="18"/>
        </w:rPr>
        <w:t xml:space="preserve"> regels rond </w:t>
      </w:r>
      <w:r w:rsidRPr="008B03FA" w:rsidR="00BD2066">
        <w:rPr>
          <w:szCs w:val="18"/>
        </w:rPr>
        <w:t>cofinanciering</w:t>
      </w:r>
      <w:r w:rsidRPr="008B03FA" w:rsidR="002E54EA">
        <w:rPr>
          <w:szCs w:val="18"/>
        </w:rPr>
        <w:t xml:space="preserve"> en inzet </w:t>
      </w:r>
      <w:r w:rsidRPr="008B03FA" w:rsidR="000B1F02">
        <w:rPr>
          <w:szCs w:val="18"/>
        </w:rPr>
        <w:t xml:space="preserve">te vereenvoudigen en </w:t>
      </w:r>
      <w:r w:rsidRPr="008B03FA" w:rsidR="002E54EA">
        <w:rPr>
          <w:szCs w:val="18"/>
        </w:rPr>
        <w:t>samen</w:t>
      </w:r>
      <w:r w:rsidRPr="008B03FA" w:rsidR="000B1F02">
        <w:rPr>
          <w:szCs w:val="18"/>
        </w:rPr>
        <w:t xml:space="preserve"> te brengen </w:t>
      </w:r>
      <w:r w:rsidRPr="008B03FA" w:rsidR="002E54EA">
        <w:rPr>
          <w:szCs w:val="18"/>
        </w:rPr>
        <w:t xml:space="preserve">in één juridisch kader, waardoor snellere besluitvorming en flexibelere inzet van </w:t>
      </w:r>
      <w:r w:rsidRPr="008B03FA" w:rsidR="00371FFE">
        <w:rPr>
          <w:szCs w:val="18"/>
        </w:rPr>
        <w:t>respons</w:t>
      </w:r>
      <w:r w:rsidRPr="008B03FA" w:rsidR="002E54EA">
        <w:rPr>
          <w:szCs w:val="18"/>
        </w:rPr>
        <w:t xml:space="preserve">middelen mogelijk wordt. </w:t>
      </w:r>
      <w:r w:rsidRPr="008B03FA" w:rsidR="006A3A42">
        <w:rPr>
          <w:szCs w:val="18"/>
        </w:rPr>
        <w:t>Ook ste</w:t>
      </w:r>
      <w:r w:rsidR="00BF090C">
        <w:rPr>
          <w:szCs w:val="18"/>
        </w:rPr>
        <w:t>l</w:t>
      </w:r>
      <w:r w:rsidRPr="008B03FA" w:rsidR="006A3A42">
        <w:rPr>
          <w:szCs w:val="18"/>
        </w:rPr>
        <w:t xml:space="preserve">t de Commissie voor om Europese samenwerking op het gebied van bevolkingsalertering te versterken, onder meer door het satellietsysteem Galileo in te zetten als aanvullend kanaal voor noodwaarschuwingen. </w:t>
      </w:r>
      <w:r w:rsidRPr="008B03FA" w:rsidR="002E54EA">
        <w:rPr>
          <w:szCs w:val="18"/>
        </w:rPr>
        <w:t xml:space="preserve">Ook wordt samenwerking tussen civiele en militaire actoren in crisissituaties versterkt. Dit gebeurt via de ontwikkeling van een Europees kader voor civiel-militaire paraatheid, waarin ook </w:t>
      </w:r>
      <w:r w:rsidRPr="008B03FA" w:rsidR="002E54EA">
        <w:rPr>
          <w:i/>
          <w:iCs/>
          <w:szCs w:val="18"/>
        </w:rPr>
        <w:t>dual use</w:t>
      </w:r>
      <w:r w:rsidRPr="008B03FA" w:rsidR="002E54EA">
        <w:rPr>
          <w:szCs w:val="18"/>
        </w:rPr>
        <w:t>-capaciteiten</w:t>
      </w:r>
      <w:r w:rsidRPr="008B03FA" w:rsidR="00E82BCA">
        <w:rPr>
          <w:rStyle w:val="FootnoteReference"/>
          <w:szCs w:val="18"/>
        </w:rPr>
        <w:footnoteReference w:id="15"/>
      </w:r>
      <w:r w:rsidRPr="008B03FA" w:rsidR="002E54EA">
        <w:rPr>
          <w:szCs w:val="18"/>
        </w:rPr>
        <w:t xml:space="preserve"> worden meegenomen. Verder krijgt het </w:t>
      </w:r>
      <w:r w:rsidRPr="004C704A" w:rsidR="00E447F3">
        <w:rPr>
          <w:szCs w:val="18"/>
        </w:rPr>
        <w:t>Kennisnetwerk van het Uniemechanisme</w:t>
      </w:r>
      <w:r w:rsidRPr="0043318E" w:rsidR="003A0200">
        <w:rPr>
          <w:rStyle w:val="FootnoteReference"/>
          <w:szCs w:val="18"/>
        </w:rPr>
        <w:footnoteReference w:id="16"/>
      </w:r>
      <w:r w:rsidRPr="008B03FA" w:rsidR="00FE6308">
        <w:rPr>
          <w:szCs w:val="18"/>
        </w:rPr>
        <w:t xml:space="preserve"> </w:t>
      </w:r>
      <w:r w:rsidRPr="008B03FA" w:rsidR="002E54EA">
        <w:rPr>
          <w:szCs w:val="18"/>
        </w:rPr>
        <w:t>een grotere rol in het delen van expertise</w:t>
      </w:r>
      <w:r w:rsidRPr="008B03FA" w:rsidR="00D917ED">
        <w:rPr>
          <w:szCs w:val="18"/>
        </w:rPr>
        <w:t>. Daarnaast zet de Commissie in op</w:t>
      </w:r>
      <w:r w:rsidRPr="008B03FA" w:rsidR="002E54EA">
        <w:rPr>
          <w:szCs w:val="18"/>
        </w:rPr>
        <w:t xml:space="preserve"> het betrekken van private en militaire partners </w:t>
      </w:r>
      <w:r w:rsidR="0056509F">
        <w:rPr>
          <w:szCs w:val="18"/>
        </w:rPr>
        <w:t>bij</w:t>
      </w:r>
      <w:r w:rsidRPr="008B03FA" w:rsidR="0056509F">
        <w:rPr>
          <w:szCs w:val="18"/>
        </w:rPr>
        <w:t xml:space="preserve"> </w:t>
      </w:r>
      <w:r w:rsidRPr="008B03FA" w:rsidR="002E54EA">
        <w:rPr>
          <w:szCs w:val="18"/>
        </w:rPr>
        <w:t>oefeningen en trainingen.</w:t>
      </w:r>
    </w:p>
    <w:p w:rsidRPr="008B03FA" w:rsidR="002E54EA" w:rsidP="00D134EC" w:rsidRDefault="002E54EA" w14:paraId="6FDCEE21" w14:textId="77777777">
      <w:pPr>
        <w:pStyle w:val="NoSpacing"/>
        <w:spacing w:line="360" w:lineRule="auto"/>
        <w:rPr>
          <w:szCs w:val="18"/>
        </w:rPr>
      </w:pPr>
    </w:p>
    <w:p w:rsidRPr="008B03FA" w:rsidR="00E82BCA" w:rsidP="00D134EC" w:rsidRDefault="002E54EA" w14:paraId="0877ADCD" w14:textId="1A082FA5">
      <w:pPr>
        <w:pStyle w:val="NoSpacing"/>
        <w:spacing w:line="360" w:lineRule="auto"/>
        <w:rPr>
          <w:szCs w:val="18"/>
        </w:rPr>
      </w:pPr>
      <w:r w:rsidRPr="008B03FA">
        <w:rPr>
          <w:szCs w:val="18"/>
        </w:rPr>
        <w:t xml:space="preserve">Om beter voorbereid te zijn op toekomstige rampen wordt meer nadruk gelegd op risicobeoordeling en anticipatie. Lidstaten worden verplicht elke vijf jaar </w:t>
      </w:r>
      <w:r w:rsidRPr="008B03FA" w:rsidR="00FE6308">
        <w:rPr>
          <w:szCs w:val="18"/>
        </w:rPr>
        <w:t xml:space="preserve">samenvattingen van hun </w:t>
      </w:r>
      <w:r w:rsidRPr="008B03FA">
        <w:rPr>
          <w:szCs w:val="18"/>
        </w:rPr>
        <w:t>risicobeoordelingen aan te leveren</w:t>
      </w:r>
      <w:r w:rsidRPr="008B03FA" w:rsidR="00FE6308">
        <w:rPr>
          <w:szCs w:val="18"/>
        </w:rPr>
        <w:t xml:space="preserve"> bij de Commissie. Op deze wijze kan de Commissie de </w:t>
      </w:r>
      <w:r w:rsidRPr="008B03FA" w:rsidR="00FE6308">
        <w:rPr>
          <w:i/>
          <w:iCs/>
          <w:szCs w:val="18"/>
        </w:rPr>
        <w:t xml:space="preserve">Comprehensive EU Risk Assessment </w:t>
      </w:r>
      <w:r w:rsidRPr="008B03FA" w:rsidR="00FE6308">
        <w:rPr>
          <w:szCs w:val="18"/>
        </w:rPr>
        <w:t>realiseren, conform de plannen uit de Paraatheidsuniestrategie.</w:t>
      </w:r>
      <w:r w:rsidRPr="008B03FA">
        <w:rPr>
          <w:szCs w:val="18"/>
        </w:rPr>
        <w:t xml:space="preserve"> </w:t>
      </w:r>
      <w:r w:rsidRPr="008B03FA" w:rsidR="00FE6308">
        <w:rPr>
          <w:szCs w:val="18"/>
        </w:rPr>
        <w:t xml:space="preserve">Verder zullen de samenvattingen van de nationale risicobeoordelingen gebruikt worden om de </w:t>
      </w:r>
      <w:r w:rsidRPr="008B03FA" w:rsidR="00FE6308">
        <w:rPr>
          <w:i/>
          <w:iCs/>
          <w:szCs w:val="18"/>
        </w:rPr>
        <w:t>Union Disaster Resilience Goals</w:t>
      </w:r>
      <w:r w:rsidRPr="004A1395" w:rsidR="00821AFC">
        <w:rPr>
          <w:rStyle w:val="FootnoteReference"/>
          <w:szCs w:val="18"/>
        </w:rPr>
        <w:footnoteReference w:id="17"/>
      </w:r>
      <w:r w:rsidRPr="008B03FA" w:rsidR="00FE6308">
        <w:rPr>
          <w:i/>
          <w:iCs/>
          <w:szCs w:val="18"/>
        </w:rPr>
        <w:t xml:space="preserve"> </w:t>
      </w:r>
      <w:r w:rsidRPr="008B03FA" w:rsidR="00FE6308">
        <w:rPr>
          <w:szCs w:val="18"/>
        </w:rPr>
        <w:t>aan te scherpen en</w:t>
      </w:r>
      <w:r w:rsidRPr="008B03FA" w:rsidR="00B8095E">
        <w:rPr>
          <w:szCs w:val="18"/>
        </w:rPr>
        <w:t xml:space="preserve"> om</w:t>
      </w:r>
      <w:r w:rsidRPr="008B03FA" w:rsidR="00FE6308">
        <w:rPr>
          <w:szCs w:val="18"/>
        </w:rPr>
        <w:t xml:space="preserve"> Uniebrede scenario’s te schrijven voor toekomstige internationale oefeningen en trainingsdoeleinden.  </w:t>
      </w:r>
    </w:p>
    <w:p w:rsidRPr="008B03FA" w:rsidR="00E82BCA" w:rsidP="00D134EC" w:rsidRDefault="00E82BCA" w14:paraId="7EB71963" w14:textId="77777777">
      <w:pPr>
        <w:pStyle w:val="NoSpacing"/>
        <w:spacing w:line="360" w:lineRule="auto"/>
        <w:rPr>
          <w:szCs w:val="18"/>
        </w:rPr>
      </w:pPr>
    </w:p>
    <w:p w:rsidR="00C270C5" w:rsidP="00D134EC" w:rsidRDefault="00E82BCA" w14:paraId="7DC9054E" w14:textId="77777777">
      <w:pPr>
        <w:pStyle w:val="NoSpacing"/>
        <w:spacing w:line="360" w:lineRule="auto"/>
        <w:rPr>
          <w:szCs w:val="18"/>
        </w:rPr>
      </w:pPr>
      <w:r w:rsidRPr="008B03FA">
        <w:rPr>
          <w:szCs w:val="18"/>
        </w:rPr>
        <w:t>Ook worden</w:t>
      </w:r>
      <w:r w:rsidRPr="008B03FA" w:rsidR="002E54EA">
        <w:rPr>
          <w:szCs w:val="18"/>
        </w:rPr>
        <w:t xml:space="preserve"> de mogelijkheden voor medische evacuatie uitgebreid, onder meer via de inrichting van medische evacuatiehubs</w:t>
      </w:r>
      <w:r w:rsidR="0056509F">
        <w:rPr>
          <w:szCs w:val="18"/>
        </w:rPr>
        <w:t>. Verder</w:t>
      </w:r>
      <w:r w:rsidRPr="008B03FA">
        <w:rPr>
          <w:szCs w:val="18"/>
        </w:rPr>
        <w:t xml:space="preserve"> zal d</w:t>
      </w:r>
      <w:r w:rsidRPr="008B03FA" w:rsidR="002E54EA">
        <w:rPr>
          <w:szCs w:val="18"/>
        </w:rPr>
        <w:t xml:space="preserve">e tijdelijke financiering van nationale blusvliegtuigen </w:t>
      </w:r>
      <w:r w:rsidRPr="008B03FA" w:rsidR="00140F45">
        <w:rPr>
          <w:szCs w:val="18"/>
        </w:rPr>
        <w:t xml:space="preserve">worden </w:t>
      </w:r>
      <w:r w:rsidRPr="008B03FA" w:rsidR="002E54EA">
        <w:rPr>
          <w:szCs w:val="18"/>
        </w:rPr>
        <w:t>verlengd totdat de nieuwe EU-brede vloot beschikbaar is.</w:t>
      </w:r>
      <w:r w:rsidRPr="008B03FA" w:rsidR="0078362E">
        <w:rPr>
          <w:szCs w:val="18"/>
        </w:rPr>
        <w:t xml:space="preserve"> </w:t>
      </w:r>
    </w:p>
    <w:p w:rsidRPr="008B03FA" w:rsidR="002E54EA" w:rsidP="00D134EC" w:rsidRDefault="0078362E" w14:paraId="508C7EDD" w14:textId="5D6EC6AF">
      <w:pPr>
        <w:pStyle w:val="NoSpacing"/>
        <w:spacing w:line="360" w:lineRule="auto"/>
        <w:rPr>
          <w:szCs w:val="18"/>
        </w:rPr>
      </w:pPr>
      <w:r w:rsidRPr="008B03FA">
        <w:rPr>
          <w:szCs w:val="18"/>
        </w:rPr>
        <w:lastRenderedPageBreak/>
        <w:t xml:space="preserve">Tot slot stelt de Commissie voor om rescEU te versterken, zowel in de breedte </w:t>
      </w:r>
      <w:r w:rsidR="0056509F">
        <w:rPr>
          <w:szCs w:val="18"/>
        </w:rPr>
        <w:t>–</w:t>
      </w:r>
      <w:r w:rsidR="004A1395">
        <w:rPr>
          <w:szCs w:val="18"/>
        </w:rPr>
        <w:t xml:space="preserve"> door nadrukkelijker actief te worden op een aantal </w:t>
      </w:r>
      <w:r w:rsidRPr="008B03FA">
        <w:rPr>
          <w:szCs w:val="18"/>
        </w:rPr>
        <w:t>crisisdomeinen</w:t>
      </w:r>
      <w:r w:rsidR="0056509F">
        <w:rPr>
          <w:szCs w:val="18"/>
        </w:rPr>
        <w:t xml:space="preserve"> – </w:t>
      </w:r>
      <w:r w:rsidRPr="008B03FA">
        <w:rPr>
          <w:szCs w:val="18"/>
        </w:rPr>
        <w:t xml:space="preserve">als financieel, om zodoende beter het hoofd te kunnen bieden aan het veranderend risicolandschap. </w:t>
      </w:r>
    </w:p>
    <w:p w:rsidRPr="008B03FA" w:rsidR="003464E6" w:rsidP="00D134EC" w:rsidRDefault="003464E6" w14:paraId="5E3361CA" w14:textId="77777777">
      <w:pPr>
        <w:pStyle w:val="NoSpacing"/>
        <w:spacing w:line="360" w:lineRule="auto"/>
        <w:rPr>
          <w:szCs w:val="18"/>
        </w:rPr>
      </w:pPr>
    </w:p>
    <w:p w:rsidRPr="008B03FA" w:rsidR="00FB4C3F" w:rsidP="00D134EC" w:rsidRDefault="00CF1388" w14:paraId="17E535C5" w14:textId="42D5D1C4">
      <w:pPr>
        <w:pStyle w:val="NoSpacing"/>
        <w:numPr>
          <w:ilvl w:val="1"/>
          <w:numId w:val="1"/>
        </w:numPr>
        <w:spacing w:line="360" w:lineRule="auto"/>
        <w:rPr>
          <w:i/>
          <w:iCs/>
          <w:szCs w:val="18"/>
        </w:rPr>
      </w:pPr>
      <w:r w:rsidRPr="008B03FA">
        <w:rPr>
          <w:i/>
          <w:iCs/>
          <w:szCs w:val="18"/>
        </w:rPr>
        <w:t>Impact assessment Commissie</w:t>
      </w:r>
    </w:p>
    <w:p w:rsidRPr="008B03FA" w:rsidR="00332324" w:rsidP="00BD2066" w:rsidRDefault="00332324" w14:paraId="0F574449" w14:textId="3B5408B6">
      <w:pPr>
        <w:pStyle w:val="NoSpacing"/>
        <w:spacing w:line="360" w:lineRule="auto"/>
        <w:rPr>
          <w:szCs w:val="18"/>
        </w:rPr>
      </w:pPr>
      <w:r w:rsidRPr="008B03FA">
        <w:rPr>
          <w:szCs w:val="18"/>
        </w:rPr>
        <w:t xml:space="preserve">In het </w:t>
      </w:r>
      <w:r w:rsidR="0043318E">
        <w:rPr>
          <w:szCs w:val="18"/>
        </w:rPr>
        <w:t>i</w:t>
      </w:r>
      <w:r w:rsidRPr="008B03FA">
        <w:rPr>
          <w:szCs w:val="18"/>
        </w:rPr>
        <w:t xml:space="preserve">mpact </w:t>
      </w:r>
      <w:r w:rsidR="0043318E">
        <w:rPr>
          <w:szCs w:val="18"/>
        </w:rPr>
        <w:t>a</w:t>
      </w:r>
      <w:r w:rsidRPr="008B03FA">
        <w:rPr>
          <w:szCs w:val="18"/>
        </w:rPr>
        <w:t xml:space="preserve">ssessment </w:t>
      </w:r>
      <w:r w:rsidR="0043318E">
        <w:rPr>
          <w:szCs w:val="18"/>
        </w:rPr>
        <w:t xml:space="preserve">overweegt de Commissie drie opties en trekt de conclusie </w:t>
      </w:r>
      <w:r w:rsidRPr="008B03FA">
        <w:rPr>
          <w:szCs w:val="18"/>
        </w:rPr>
        <w:t xml:space="preserve">dat </w:t>
      </w:r>
      <w:r w:rsidR="0043318E">
        <w:rPr>
          <w:szCs w:val="18"/>
        </w:rPr>
        <w:t xml:space="preserve">de tweede optie </w:t>
      </w:r>
      <w:r w:rsidRPr="008B03FA">
        <w:rPr>
          <w:szCs w:val="18"/>
        </w:rPr>
        <w:t>de voorkeur verdient. Deze optie voorziet in de versterking van het huidige crisiscentrum tot een centrale EU-hub voor sector</w:t>
      </w:r>
      <w:r w:rsidRPr="008B03FA" w:rsidR="00BD2066">
        <w:rPr>
          <w:szCs w:val="18"/>
        </w:rPr>
        <w:t>-</w:t>
      </w:r>
      <w:r w:rsidRPr="008B03FA">
        <w:rPr>
          <w:szCs w:val="18"/>
        </w:rPr>
        <w:t>overstijgende risicovoorbereiding en crisisbeheersing. Zij omvat onder meer de strategische aanleg van voorraden en de integratie van maatregelen voor gezondheidsnoodsituaties. Volgens de Commissie levert deze benadering duidelijke maatschappelijke, ecologische en economische voordelen op, mede dankzij verhoogde operationele efficiëntie en een betere benutting van de EU-meerwaarde.</w:t>
      </w:r>
    </w:p>
    <w:p w:rsidRPr="008B03FA" w:rsidR="00332324" w:rsidP="00BD2066" w:rsidRDefault="00332324" w14:paraId="21E36A5B" w14:textId="77777777">
      <w:pPr>
        <w:pStyle w:val="NoSpacing"/>
        <w:spacing w:line="360" w:lineRule="auto"/>
        <w:ind w:left="360"/>
        <w:rPr>
          <w:szCs w:val="18"/>
        </w:rPr>
      </w:pPr>
    </w:p>
    <w:p w:rsidRPr="008B03FA" w:rsidR="00EE1E88" w:rsidP="00BD2066" w:rsidRDefault="00332324" w14:paraId="4EE2FA5F" w14:textId="26568D31">
      <w:pPr>
        <w:pStyle w:val="NoSpacing"/>
        <w:spacing w:line="360" w:lineRule="auto"/>
        <w:rPr>
          <w:szCs w:val="18"/>
        </w:rPr>
      </w:pPr>
      <w:r w:rsidRPr="008B03FA">
        <w:rPr>
          <w:szCs w:val="18"/>
        </w:rPr>
        <w:t xml:space="preserve">Daarnaast zijn twee alternatieve opties onderzocht, maar deze zijn niet verder uitgewerkt. </w:t>
      </w:r>
      <w:r w:rsidR="0043318E">
        <w:rPr>
          <w:szCs w:val="18"/>
        </w:rPr>
        <w:t xml:space="preserve">De eerste optie </w:t>
      </w:r>
      <w:r w:rsidRPr="008B03FA">
        <w:rPr>
          <w:szCs w:val="18"/>
        </w:rPr>
        <w:t xml:space="preserve">ging uit van voortzetting van het bestaande juridische en operationele kader zonder substantiële wijzigingen. Deze status quo bood onvoldoende handelingsruimte om de groeiende complexiteit en verwevenheid van crises adequaat te adresseren. </w:t>
      </w:r>
      <w:r w:rsidR="0043318E">
        <w:rPr>
          <w:szCs w:val="18"/>
        </w:rPr>
        <w:t>De derde</w:t>
      </w:r>
      <w:r w:rsidRPr="008B03FA">
        <w:rPr>
          <w:szCs w:val="18"/>
        </w:rPr>
        <w:t xml:space="preserve"> </w:t>
      </w:r>
      <w:r w:rsidR="0043318E">
        <w:rPr>
          <w:szCs w:val="18"/>
        </w:rPr>
        <w:t xml:space="preserve">optie </w:t>
      </w:r>
      <w:r w:rsidRPr="008B03FA">
        <w:rPr>
          <w:szCs w:val="18"/>
        </w:rPr>
        <w:t xml:space="preserve">stelde de invoering voor van één geïntegreerd EU-financieringsinstrument voor alle paraatheidsmaatregelen. </w:t>
      </w:r>
      <w:r w:rsidR="0022062A">
        <w:rPr>
          <w:szCs w:val="18"/>
        </w:rPr>
        <w:t>In het voorstel noemt de Commissie dat deze</w:t>
      </w:r>
      <w:r w:rsidRPr="008B03FA" w:rsidR="0022062A">
        <w:rPr>
          <w:szCs w:val="18"/>
        </w:rPr>
        <w:t xml:space="preserve"> </w:t>
      </w:r>
      <w:r w:rsidRPr="008B03FA">
        <w:rPr>
          <w:szCs w:val="18"/>
        </w:rPr>
        <w:t xml:space="preserve">benadering stuitte op fundamentele bezwaren, </w:t>
      </w:r>
      <w:r w:rsidRPr="00AB204B" w:rsidR="00AB204B">
        <w:rPr>
          <w:szCs w:val="18"/>
        </w:rPr>
        <w:t>onder meer op het gebied van het beheer van de begrotingstoewijzingen voor alle financieringsprogramma's en -instrumenten.</w:t>
      </w:r>
      <w:r w:rsidRPr="008B03FA" w:rsidR="002D60EC">
        <w:rPr>
          <w:szCs w:val="18"/>
        </w:rPr>
        <w:br/>
      </w:r>
    </w:p>
    <w:p w:rsidRPr="00533882" w:rsidR="00773076" w:rsidP="00750E3E" w:rsidRDefault="0056509F" w14:paraId="10DD23F4" w14:textId="2751BB3A">
      <w:pPr>
        <w:pStyle w:val="NoSpacing"/>
        <w:numPr>
          <w:ilvl w:val="0"/>
          <w:numId w:val="1"/>
        </w:numPr>
        <w:spacing w:line="360" w:lineRule="auto"/>
        <w:rPr>
          <w:b/>
          <w:bCs/>
          <w:szCs w:val="18"/>
        </w:rPr>
      </w:pPr>
      <w:r>
        <w:rPr>
          <w:b/>
          <w:bCs/>
          <w:szCs w:val="18"/>
        </w:rPr>
        <w:t>Nederlandse positie ten aanzien van het voorstel</w:t>
      </w:r>
      <w:r w:rsidRPr="00533882">
        <w:rPr>
          <w:b/>
          <w:bCs/>
          <w:szCs w:val="18"/>
        </w:rPr>
        <w:t xml:space="preserve"> </w:t>
      </w:r>
      <w:r w:rsidR="00533882">
        <w:rPr>
          <w:b/>
          <w:bCs/>
          <w:szCs w:val="18"/>
        </w:rPr>
        <w:br/>
      </w:r>
    </w:p>
    <w:p w:rsidRPr="008B03FA" w:rsidR="00FB4C3F" w:rsidP="00D134EC" w:rsidRDefault="00CF1388" w14:paraId="6180B132" w14:textId="020583C8">
      <w:pPr>
        <w:pStyle w:val="NoSpacing"/>
        <w:numPr>
          <w:ilvl w:val="1"/>
          <w:numId w:val="1"/>
        </w:numPr>
        <w:spacing w:line="360" w:lineRule="auto"/>
        <w:rPr>
          <w:i/>
          <w:iCs/>
          <w:szCs w:val="18"/>
        </w:rPr>
      </w:pPr>
      <w:r w:rsidRPr="008B03FA">
        <w:rPr>
          <w:i/>
          <w:iCs/>
          <w:szCs w:val="18"/>
        </w:rPr>
        <w:t>Essentie Nederlands beleid op dit terrein</w:t>
      </w:r>
    </w:p>
    <w:p w:rsidR="002239AF" w:rsidP="00D134EC" w:rsidRDefault="002239AF" w14:paraId="75E32BFA" w14:textId="77777777">
      <w:pPr>
        <w:pStyle w:val="NoSpacing"/>
        <w:spacing w:line="360" w:lineRule="auto"/>
        <w:rPr>
          <w:szCs w:val="18"/>
        </w:rPr>
      </w:pPr>
    </w:p>
    <w:p w:rsidRPr="008B03FA" w:rsidR="002239AF" w:rsidP="002239AF" w:rsidRDefault="002239AF" w14:paraId="56595641" w14:textId="77777777">
      <w:pPr>
        <w:spacing w:line="360" w:lineRule="auto"/>
        <w:rPr>
          <w:rFonts w:ascii="Verdana" w:hAnsi="Verdana"/>
          <w:sz w:val="18"/>
          <w:szCs w:val="18"/>
        </w:rPr>
      </w:pPr>
      <w:r w:rsidRPr="008B03FA">
        <w:rPr>
          <w:rFonts w:ascii="Verdana" w:hAnsi="Verdana"/>
          <w:sz w:val="18"/>
          <w:szCs w:val="18"/>
        </w:rPr>
        <w:t xml:space="preserve">De Kamerbrief van 28 maart 2025 over de Nederlandse inzet voor het volgend </w:t>
      </w:r>
      <w:r w:rsidRPr="00045A1D">
        <w:rPr>
          <w:rFonts w:ascii="Verdana" w:hAnsi="Verdana"/>
          <w:i/>
          <w:iCs/>
          <w:sz w:val="18"/>
          <w:szCs w:val="18"/>
        </w:rPr>
        <w:t>Meerjarig Financieel Kader</w:t>
      </w:r>
      <w:r>
        <w:rPr>
          <w:rFonts w:ascii="Verdana" w:hAnsi="Verdana"/>
          <w:sz w:val="18"/>
          <w:szCs w:val="18"/>
        </w:rPr>
        <w:t xml:space="preserve"> (MFK)</w:t>
      </w:r>
      <w:r w:rsidRPr="008B03FA">
        <w:rPr>
          <w:rFonts w:ascii="Verdana" w:hAnsi="Verdana"/>
          <w:sz w:val="18"/>
          <w:szCs w:val="18"/>
        </w:rPr>
        <w:t xml:space="preserve"> en de Kamerbrief met kabinetsappreciatie van de MFK-voorstellen van de Commissie voor het volgend MFK is de basis voor de Nederlandse onderhandelingspositie en leidend bij conflicterende formuleringen.</w:t>
      </w:r>
      <w:r w:rsidRPr="008B03FA">
        <w:rPr>
          <w:rStyle w:val="FootnoteReference"/>
          <w:rFonts w:ascii="Verdana" w:hAnsi="Verdana"/>
          <w:sz w:val="18"/>
          <w:szCs w:val="18"/>
        </w:rPr>
        <w:footnoteReference w:id="18"/>
      </w:r>
      <w:r w:rsidRPr="008B03FA">
        <w:rPr>
          <w:rFonts w:ascii="Verdana" w:hAnsi="Verdana"/>
          <w:sz w:val="18"/>
          <w:szCs w:val="18"/>
        </w:rPr>
        <w:t xml:space="preserve"> De overkoepelende Nederlandse inzet richt zich op een ambitieus gemoderniseerd en financieel houdbaar MFK waarbij de focus gelegd dient te worden op strategische prioriteiten. </w:t>
      </w:r>
    </w:p>
    <w:p w:rsidRPr="008B03FA" w:rsidR="002239AF" w:rsidP="002239AF" w:rsidRDefault="002239AF" w14:paraId="3C4EE15E" w14:textId="77777777">
      <w:pPr>
        <w:spacing w:line="360" w:lineRule="auto"/>
        <w:rPr>
          <w:rFonts w:ascii="Verdana" w:hAnsi="Verdana"/>
          <w:sz w:val="18"/>
          <w:szCs w:val="18"/>
        </w:rPr>
      </w:pPr>
      <w:r w:rsidRPr="008B03FA">
        <w:rPr>
          <w:rFonts w:ascii="Verdana" w:hAnsi="Verdana"/>
          <w:sz w:val="18"/>
          <w:szCs w:val="18"/>
        </w:rPr>
        <w:t xml:space="preserve">In het licht van huidige geopolitieke spanningen is een financieel weerbaar Europa van groot belang voor onze veiligheid en welvaart. De voorstellen voor het nieuwe MFK en </w:t>
      </w:r>
      <w:r>
        <w:rPr>
          <w:rFonts w:ascii="Verdana" w:hAnsi="Verdana"/>
          <w:sz w:val="18"/>
          <w:szCs w:val="18"/>
        </w:rPr>
        <w:t xml:space="preserve">het </w:t>
      </w:r>
      <w:r w:rsidRPr="00B06A5F">
        <w:rPr>
          <w:rFonts w:ascii="Verdana" w:hAnsi="Verdana"/>
          <w:i/>
          <w:iCs/>
          <w:sz w:val="18"/>
          <w:szCs w:val="18"/>
        </w:rPr>
        <w:t>Eigenmiddelenbesluit</w:t>
      </w:r>
      <w:r>
        <w:rPr>
          <w:rFonts w:ascii="Verdana" w:hAnsi="Verdana"/>
          <w:sz w:val="18"/>
          <w:szCs w:val="18"/>
        </w:rPr>
        <w:t xml:space="preserve"> </w:t>
      </w:r>
      <w:r w:rsidRPr="008B03FA">
        <w:rPr>
          <w:rFonts w:ascii="Verdana" w:hAnsi="Verdana"/>
          <w:sz w:val="18"/>
          <w:szCs w:val="18"/>
        </w:rPr>
        <w:t>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p>
    <w:p w:rsidRPr="002239AF" w:rsidR="002239AF" w:rsidP="004C704A" w:rsidRDefault="002239AF" w14:paraId="53B3A5C8" w14:textId="1A8D39CA">
      <w:pPr>
        <w:spacing w:line="360" w:lineRule="auto"/>
        <w:rPr>
          <w:szCs w:val="18"/>
        </w:rPr>
      </w:pPr>
      <w:r w:rsidRPr="008B03FA">
        <w:rPr>
          <w:rFonts w:ascii="Verdana" w:hAnsi="Verdana"/>
          <w:sz w:val="18"/>
          <w:szCs w:val="18"/>
        </w:rPr>
        <w:t xml:space="preserve">Middelen op de EU-begroting dienen besteed te worden waar de meeste EU-toegevoegde waarde zit. De belangrijkste inhoudelijke prioriteiten voor het MFK zijn het versterken van het Europees </w:t>
      </w:r>
      <w:r w:rsidRPr="008B03FA">
        <w:rPr>
          <w:rFonts w:ascii="Verdana" w:hAnsi="Verdana"/>
          <w:sz w:val="18"/>
          <w:szCs w:val="18"/>
        </w:rPr>
        <w:lastRenderedPageBreak/>
        <w:t>concurrentievermogen met een sterke interne markt en inzet op onderzoek en innovatie als fundament, een stevig migratie- en asielbeleid, en veiligheid en defensie.</w:t>
      </w:r>
    </w:p>
    <w:p w:rsidRPr="008B03FA" w:rsidR="00773076" w:rsidP="00D134EC" w:rsidRDefault="00727734" w14:paraId="77DCD449" w14:textId="5EB13D36">
      <w:pPr>
        <w:pStyle w:val="NoSpacing"/>
        <w:spacing w:line="360" w:lineRule="auto"/>
        <w:rPr>
          <w:szCs w:val="18"/>
        </w:rPr>
      </w:pPr>
      <w:r w:rsidRPr="008B03FA">
        <w:rPr>
          <w:szCs w:val="18"/>
        </w:rPr>
        <w:t>Nederland staat voor complexe en grensoverschrijdende dreigingen</w:t>
      </w:r>
      <w:r w:rsidRPr="008B03FA" w:rsidR="00140F45">
        <w:rPr>
          <w:szCs w:val="18"/>
        </w:rPr>
        <w:t xml:space="preserve"> en grootschalige ontwikkelingen</w:t>
      </w:r>
      <w:r w:rsidRPr="008B03FA">
        <w:rPr>
          <w:szCs w:val="18"/>
        </w:rPr>
        <w:t xml:space="preserve">, zoals klimaatverandering, </w:t>
      </w:r>
      <w:r w:rsidRPr="008B03FA" w:rsidR="00140F45">
        <w:rPr>
          <w:szCs w:val="18"/>
        </w:rPr>
        <w:t xml:space="preserve">een vergroot risico op infectieziekten en pandemieën, </w:t>
      </w:r>
      <w:r w:rsidRPr="008B03FA">
        <w:rPr>
          <w:szCs w:val="18"/>
        </w:rPr>
        <w:t xml:space="preserve">geopolitieke spanningen, </w:t>
      </w:r>
      <w:r w:rsidRPr="008B03FA" w:rsidR="006E01AB">
        <w:rPr>
          <w:szCs w:val="18"/>
        </w:rPr>
        <w:t>cyberveiligheid en energiezekerheid</w:t>
      </w:r>
      <w:r w:rsidRPr="008B03FA">
        <w:rPr>
          <w:szCs w:val="18"/>
        </w:rPr>
        <w:t xml:space="preserve">. Om beter voorbereid te zijn op huidige en toekomstige crises zet het kabinet in op nationale versterking </w:t>
      </w:r>
      <w:r w:rsidRPr="008B03FA" w:rsidR="002D60EC">
        <w:rPr>
          <w:szCs w:val="18"/>
        </w:rPr>
        <w:t xml:space="preserve">van de crisisparaatheid </w:t>
      </w:r>
      <w:r w:rsidR="0022062A">
        <w:rPr>
          <w:szCs w:val="18"/>
        </w:rPr>
        <w:t>e</w:t>
      </w:r>
      <w:r w:rsidRPr="008B03FA">
        <w:rPr>
          <w:szCs w:val="18"/>
        </w:rPr>
        <w:t xml:space="preserve">n op intensievere Europese samenwerking via het Uniemechanisme. Sinds 2023 pleit </w:t>
      </w:r>
      <w:r w:rsidRPr="008B03FA" w:rsidR="008F352C">
        <w:rPr>
          <w:szCs w:val="18"/>
        </w:rPr>
        <w:t xml:space="preserve">het kabinet </w:t>
      </w:r>
      <w:r w:rsidRPr="008B03FA">
        <w:rPr>
          <w:szCs w:val="18"/>
        </w:rPr>
        <w:t xml:space="preserve">in EU-verband voor een versterkte, geïntegreerde crisisaanpak, zoals uiteengezet in het non-paper </w:t>
      </w:r>
      <w:r w:rsidRPr="008B03FA" w:rsidR="00773076">
        <w:rPr>
          <w:i/>
          <w:iCs/>
          <w:szCs w:val="18"/>
        </w:rPr>
        <w:t>The future of strategic crisis management in the EU</w:t>
      </w:r>
      <w:r w:rsidRPr="008B03FA" w:rsidR="00773076">
        <w:rPr>
          <w:szCs w:val="18"/>
        </w:rPr>
        <w:t>.</w:t>
      </w:r>
      <w:r w:rsidRPr="008B03FA" w:rsidR="00773076">
        <w:rPr>
          <w:rStyle w:val="FootnoteReference"/>
          <w:szCs w:val="18"/>
        </w:rPr>
        <w:footnoteReference w:id="19"/>
      </w:r>
      <w:r w:rsidRPr="008B03FA" w:rsidR="00773076">
        <w:rPr>
          <w:szCs w:val="18"/>
        </w:rPr>
        <w:t xml:space="preserve"> Het kabinet </w:t>
      </w:r>
      <w:r w:rsidRPr="008B03FA" w:rsidR="00D95C93">
        <w:rPr>
          <w:szCs w:val="18"/>
        </w:rPr>
        <w:t xml:space="preserve">onderschrijft het belang van </w:t>
      </w:r>
      <w:r w:rsidRPr="008B03FA" w:rsidR="008965F1">
        <w:rPr>
          <w:szCs w:val="18"/>
        </w:rPr>
        <w:t>een versterkte</w:t>
      </w:r>
      <w:r w:rsidRPr="008B03FA">
        <w:rPr>
          <w:szCs w:val="18"/>
        </w:rPr>
        <w:t xml:space="preserve"> samenwerking tussen </w:t>
      </w:r>
      <w:r w:rsidRPr="008B03FA" w:rsidR="00773076">
        <w:rPr>
          <w:szCs w:val="18"/>
        </w:rPr>
        <w:t xml:space="preserve">de </w:t>
      </w:r>
      <w:r w:rsidR="00257F31">
        <w:rPr>
          <w:szCs w:val="18"/>
        </w:rPr>
        <w:t>l</w:t>
      </w:r>
      <w:r w:rsidRPr="008B03FA" w:rsidR="00773076">
        <w:rPr>
          <w:szCs w:val="18"/>
        </w:rPr>
        <w:t xml:space="preserve">anden </w:t>
      </w:r>
      <w:r w:rsidR="00257F31">
        <w:rPr>
          <w:szCs w:val="18"/>
        </w:rPr>
        <w:t xml:space="preserve">van het </w:t>
      </w:r>
      <w:r w:rsidR="004A1395">
        <w:rPr>
          <w:szCs w:val="18"/>
        </w:rPr>
        <w:t>m</w:t>
      </w:r>
      <w:r w:rsidR="00257F31">
        <w:rPr>
          <w:szCs w:val="18"/>
        </w:rPr>
        <w:t xml:space="preserve">echanisme </w:t>
      </w:r>
      <w:r w:rsidRPr="008B03FA" w:rsidR="00773076">
        <w:rPr>
          <w:szCs w:val="18"/>
        </w:rPr>
        <w:t>en de Commissie</w:t>
      </w:r>
      <w:r w:rsidRPr="008B03FA">
        <w:rPr>
          <w:szCs w:val="18"/>
        </w:rPr>
        <w:t xml:space="preserve"> om zo de nationale </w:t>
      </w:r>
      <w:r w:rsidR="0022062A">
        <w:rPr>
          <w:szCs w:val="18"/>
        </w:rPr>
        <w:t>e</w:t>
      </w:r>
      <w:r w:rsidRPr="008B03FA">
        <w:rPr>
          <w:szCs w:val="18"/>
        </w:rPr>
        <w:t xml:space="preserve">n Europese </w:t>
      </w:r>
      <w:r w:rsidRPr="008B03FA" w:rsidR="00773076">
        <w:rPr>
          <w:szCs w:val="18"/>
        </w:rPr>
        <w:t xml:space="preserve">crisisrespons </w:t>
      </w:r>
      <w:r w:rsidRPr="008B03FA" w:rsidR="00D95C93">
        <w:rPr>
          <w:szCs w:val="18"/>
        </w:rPr>
        <w:t>te verbeteren.</w:t>
      </w:r>
    </w:p>
    <w:p w:rsidRPr="008B03FA" w:rsidR="00727734" w:rsidP="00D134EC" w:rsidRDefault="00727734" w14:paraId="3D098F35" w14:textId="77777777">
      <w:pPr>
        <w:pStyle w:val="NoSpacing"/>
        <w:spacing w:line="360" w:lineRule="auto"/>
        <w:rPr>
          <w:szCs w:val="18"/>
        </w:rPr>
      </w:pPr>
    </w:p>
    <w:p w:rsidR="000B61FD" w:rsidP="000B61FD" w:rsidRDefault="00727734" w14:paraId="475D2EC0" w14:textId="48B3D27F">
      <w:pPr>
        <w:pStyle w:val="NoSpacing"/>
        <w:spacing w:line="360" w:lineRule="auto"/>
        <w:rPr>
          <w:szCs w:val="18"/>
        </w:rPr>
      </w:pPr>
      <w:r w:rsidRPr="008B03FA">
        <w:rPr>
          <w:szCs w:val="18"/>
        </w:rPr>
        <w:t xml:space="preserve">Nationaal werkt </w:t>
      </w:r>
      <w:r w:rsidRPr="008B03FA" w:rsidR="008F352C">
        <w:rPr>
          <w:szCs w:val="18"/>
        </w:rPr>
        <w:t xml:space="preserve">het kabinet </w:t>
      </w:r>
      <w:r w:rsidRPr="008B03FA">
        <w:rPr>
          <w:szCs w:val="18"/>
        </w:rPr>
        <w:t>aan</w:t>
      </w:r>
      <w:r w:rsidR="00CC653E">
        <w:rPr>
          <w:szCs w:val="18"/>
        </w:rPr>
        <w:t xml:space="preserve"> </w:t>
      </w:r>
      <w:r w:rsidR="00A26980">
        <w:rPr>
          <w:szCs w:val="18"/>
        </w:rPr>
        <w:t>(actualisering)</w:t>
      </w:r>
      <w:r w:rsidRPr="008B03FA">
        <w:rPr>
          <w:szCs w:val="18"/>
        </w:rPr>
        <w:t xml:space="preserve"> van Landelijke Crisisplannen</w:t>
      </w:r>
      <w:r w:rsidR="00A26980">
        <w:rPr>
          <w:szCs w:val="18"/>
        </w:rPr>
        <w:t>, onder meer aan</w:t>
      </w:r>
      <w:r w:rsidRPr="008B03FA" w:rsidR="0011409B">
        <w:rPr>
          <w:szCs w:val="18"/>
        </w:rPr>
        <w:t xml:space="preserve"> de ontwikkeling van een </w:t>
      </w:r>
      <w:r w:rsidRPr="0062740A" w:rsidR="0011409B">
        <w:rPr>
          <w:i/>
          <w:iCs/>
          <w:szCs w:val="18"/>
        </w:rPr>
        <w:t>Landelijk Crisisplan Infectieziekten</w:t>
      </w:r>
      <w:r w:rsidRPr="008B03FA" w:rsidR="0011409B">
        <w:rPr>
          <w:szCs w:val="18"/>
        </w:rPr>
        <w:t xml:space="preserve"> en een </w:t>
      </w:r>
      <w:r w:rsidRPr="0062740A" w:rsidR="0011409B">
        <w:rPr>
          <w:i/>
          <w:iCs/>
          <w:szCs w:val="18"/>
        </w:rPr>
        <w:t>Landelijk Crisisplan Militaire Dreigingen</w:t>
      </w:r>
      <w:r w:rsidRPr="008B03FA" w:rsidR="0011409B">
        <w:rPr>
          <w:szCs w:val="18"/>
        </w:rPr>
        <w:t>,</w:t>
      </w:r>
      <w:r w:rsidRPr="008B03FA">
        <w:rPr>
          <w:szCs w:val="18"/>
        </w:rPr>
        <w:t xml:space="preserve"> als onderdeel van de </w:t>
      </w:r>
      <w:r w:rsidRPr="0062740A">
        <w:rPr>
          <w:i/>
          <w:iCs/>
          <w:szCs w:val="18"/>
        </w:rPr>
        <w:t>Landelijke Agenda Crisisbeheersing</w:t>
      </w:r>
      <w:r w:rsidRPr="008B03FA">
        <w:rPr>
          <w:szCs w:val="18"/>
        </w:rPr>
        <w:t>.</w:t>
      </w:r>
      <w:r w:rsidRPr="008B03FA" w:rsidR="00773076">
        <w:rPr>
          <w:rStyle w:val="FootnoteReference"/>
          <w:szCs w:val="18"/>
        </w:rPr>
        <w:footnoteReference w:id="20"/>
      </w:r>
      <w:r w:rsidRPr="008B03FA">
        <w:rPr>
          <w:szCs w:val="18"/>
        </w:rPr>
        <w:t xml:space="preserve"> Deze plannen richten zich op bestuurlijke keuzes rond flexibele capaciteiten (zoals personeel, middelen en voorraden), versterking van de operationele inzet</w:t>
      </w:r>
      <w:r w:rsidR="002B6E5E">
        <w:rPr>
          <w:szCs w:val="18"/>
        </w:rPr>
        <w:t>,</w:t>
      </w:r>
      <w:r w:rsidRPr="008B03FA">
        <w:rPr>
          <w:szCs w:val="18"/>
        </w:rPr>
        <w:t xml:space="preserve"> en civiel-militaire samenwerking. Ook wordt gastlandondersteuning uitgebreid naar civiele bijstandsoperaties, in lijn met EU-richtsnoeren.</w:t>
      </w:r>
      <w:r w:rsidRPr="008B03FA" w:rsidR="00D95C93">
        <w:rPr>
          <w:rStyle w:val="FootnoteReference"/>
          <w:szCs w:val="18"/>
        </w:rPr>
        <w:footnoteReference w:id="21"/>
      </w:r>
      <w:r w:rsidRPr="008B03FA" w:rsidR="0078162B">
        <w:rPr>
          <w:szCs w:val="18"/>
        </w:rPr>
        <w:t xml:space="preserve">. </w:t>
      </w:r>
      <w:r w:rsidRPr="000B61FD" w:rsidR="000B61FD">
        <w:rPr>
          <w:rFonts w:ascii="Segoe UI" w:hAnsi="Segoe UI" w:eastAsia="Times New Roman" w:cs="Segoe UI"/>
          <w:kern w:val="0"/>
          <w:szCs w:val="18"/>
          <w:lang w:eastAsia="nl-NL"/>
          <w14:ligatures w14:val="none"/>
        </w:rPr>
        <w:t xml:space="preserve"> </w:t>
      </w:r>
      <w:r w:rsidRPr="000B61FD" w:rsidR="000B61FD">
        <w:rPr>
          <w:szCs w:val="18"/>
        </w:rPr>
        <w:t>Op het terrein van infectieziektebestrijding wordt de komende jaren ingezet op versterkte coördinatie en paraatheid, het verder uitbouwen van de publieke gezondheids</w:t>
      </w:r>
      <w:r w:rsidRPr="000B61FD" w:rsidR="000B61FD">
        <w:rPr>
          <w:szCs w:val="18"/>
        </w:rPr>
        <w:softHyphen/>
        <w:t>infrastructuur en het waarborgen van opschalingscapaciteit bij grootschalige uitbraken.</w:t>
      </w:r>
    </w:p>
    <w:p w:rsidRPr="000B61FD" w:rsidR="00F56ACA" w:rsidP="000B61FD" w:rsidRDefault="00F56ACA" w14:paraId="764E6BAD" w14:textId="77777777">
      <w:pPr>
        <w:pStyle w:val="NoSpacing"/>
        <w:spacing w:line="360" w:lineRule="auto"/>
        <w:rPr>
          <w:szCs w:val="18"/>
        </w:rPr>
      </w:pPr>
    </w:p>
    <w:p w:rsidRPr="008B03FA" w:rsidR="00773076" w:rsidP="00D134EC" w:rsidRDefault="00E82BCA" w14:paraId="56479B3C" w14:textId="5CD75BBB">
      <w:pPr>
        <w:pStyle w:val="NoSpacing"/>
        <w:spacing w:line="360" w:lineRule="auto"/>
        <w:rPr>
          <w:szCs w:val="18"/>
        </w:rPr>
      </w:pPr>
      <w:r w:rsidRPr="008B03FA">
        <w:rPr>
          <w:szCs w:val="18"/>
        </w:rPr>
        <w:t>De</w:t>
      </w:r>
      <w:r w:rsidRPr="008B03FA" w:rsidR="005B48E3">
        <w:rPr>
          <w:szCs w:val="18"/>
        </w:rPr>
        <w:t>ze</w:t>
      </w:r>
      <w:r w:rsidRPr="008B03FA">
        <w:rPr>
          <w:szCs w:val="18"/>
        </w:rPr>
        <w:t xml:space="preserve"> plannen </w:t>
      </w:r>
      <w:r w:rsidRPr="008B03FA" w:rsidR="005B48E3">
        <w:rPr>
          <w:szCs w:val="18"/>
        </w:rPr>
        <w:t xml:space="preserve">worden vertaald naar </w:t>
      </w:r>
      <w:r w:rsidRPr="008B03FA">
        <w:rPr>
          <w:szCs w:val="18"/>
        </w:rPr>
        <w:t>bestuurlijke keuzes voor flexibele capaciteiten zoals personeel, middelen en</w:t>
      </w:r>
      <w:r w:rsidRPr="008B03FA" w:rsidR="006E01AB">
        <w:rPr>
          <w:szCs w:val="18"/>
        </w:rPr>
        <w:t xml:space="preserve"> mogelijk</w:t>
      </w:r>
      <w:r w:rsidRPr="008B03FA">
        <w:rPr>
          <w:szCs w:val="18"/>
        </w:rPr>
        <w:t xml:space="preserve"> strategische voorraden en versterken de operationele inzetkracht via training, oefeningen en voorbereidende maatregelen. </w:t>
      </w:r>
      <w:r w:rsidRPr="008B03FA" w:rsidR="00BD2066">
        <w:rPr>
          <w:szCs w:val="18"/>
        </w:rPr>
        <w:t>Het</w:t>
      </w:r>
      <w:r w:rsidRPr="008B03FA">
        <w:rPr>
          <w:szCs w:val="18"/>
        </w:rPr>
        <w:t xml:space="preserve"> </w:t>
      </w:r>
      <w:r w:rsidRPr="008B03FA" w:rsidR="008F352C">
        <w:rPr>
          <w:szCs w:val="18"/>
        </w:rPr>
        <w:t xml:space="preserve">kabinet </w:t>
      </w:r>
      <w:r w:rsidRPr="008B03FA">
        <w:rPr>
          <w:szCs w:val="18"/>
        </w:rPr>
        <w:t>werkt hier</w:t>
      </w:r>
      <w:r w:rsidR="0043318E">
        <w:rPr>
          <w:szCs w:val="18"/>
        </w:rPr>
        <w:t xml:space="preserve"> onder andere </w:t>
      </w:r>
      <w:r w:rsidRPr="008B03FA">
        <w:rPr>
          <w:szCs w:val="18"/>
        </w:rPr>
        <w:t xml:space="preserve">aan via het </w:t>
      </w:r>
      <w:r w:rsidRPr="004C704A">
        <w:rPr>
          <w:szCs w:val="18"/>
        </w:rPr>
        <w:t xml:space="preserve">Landelijk Operationeel </w:t>
      </w:r>
      <w:r w:rsidRPr="004C704A" w:rsidR="00D95C93">
        <w:rPr>
          <w:szCs w:val="18"/>
        </w:rPr>
        <w:t>Coördinatie</w:t>
      </w:r>
      <w:r w:rsidRPr="004C704A">
        <w:rPr>
          <w:szCs w:val="18"/>
        </w:rPr>
        <w:t xml:space="preserve"> Centrum</w:t>
      </w:r>
      <w:r w:rsidRPr="0043318E" w:rsidR="00C53BEF">
        <w:rPr>
          <w:szCs w:val="18"/>
        </w:rPr>
        <w:t xml:space="preserve">, </w:t>
      </w:r>
      <w:r w:rsidRPr="008B03FA" w:rsidR="00C53BEF">
        <w:rPr>
          <w:szCs w:val="18"/>
        </w:rPr>
        <w:t xml:space="preserve">dat uiterlijk per 2027 opgaat in het </w:t>
      </w:r>
      <w:r w:rsidRPr="004C704A" w:rsidR="00C53BEF">
        <w:rPr>
          <w:szCs w:val="18"/>
        </w:rPr>
        <w:t>Knooppunt Coördinatie Rijk Regio’s</w:t>
      </w:r>
      <w:r w:rsidRPr="008B03FA" w:rsidR="00C53BEF">
        <w:rPr>
          <w:szCs w:val="18"/>
        </w:rPr>
        <w:t xml:space="preserve"> als nieuwe organisatie</w:t>
      </w:r>
      <w:r w:rsidRPr="008B03FA">
        <w:rPr>
          <w:szCs w:val="18"/>
        </w:rPr>
        <w:t>.</w:t>
      </w:r>
      <w:r w:rsidRPr="008B03FA" w:rsidR="00773076">
        <w:rPr>
          <w:rStyle w:val="FootnoteReference"/>
          <w:szCs w:val="18"/>
        </w:rPr>
        <w:footnoteReference w:id="22"/>
      </w:r>
      <w:r w:rsidRPr="008B03FA" w:rsidR="00AA3EA4">
        <w:rPr>
          <w:szCs w:val="18"/>
        </w:rPr>
        <w:t xml:space="preserve"> </w:t>
      </w:r>
    </w:p>
    <w:p w:rsidRPr="008B03FA" w:rsidR="00773076" w:rsidP="00D134EC" w:rsidRDefault="00773076" w14:paraId="201FDE06" w14:textId="77777777">
      <w:pPr>
        <w:pStyle w:val="NoSpacing"/>
        <w:spacing w:line="360" w:lineRule="auto"/>
        <w:rPr>
          <w:szCs w:val="18"/>
        </w:rPr>
      </w:pPr>
    </w:p>
    <w:p w:rsidR="00C270C5" w:rsidP="002C335D" w:rsidRDefault="008E368C" w14:paraId="05156D92" w14:textId="77777777">
      <w:pPr>
        <w:pStyle w:val="NoSpacing"/>
        <w:spacing w:line="360" w:lineRule="auto"/>
        <w:rPr>
          <w:szCs w:val="18"/>
        </w:rPr>
      </w:pPr>
      <w:bookmarkStart w:name="_Hlk204251306" w:id="1"/>
      <w:r w:rsidRPr="008B03FA">
        <w:rPr>
          <w:szCs w:val="18"/>
        </w:rPr>
        <w:t xml:space="preserve">Het Nederlandse crisisbeheersingsbeleid kent een decentrale opzet met gedeelde verantwoordelijkheden: gemeenten, waterschappen en veiligheidsregio’s dragen de primaire verantwoordelijkheid, terwijl het Rijk ondersteunt en coördineert waar nodig. Samenwerking binnen het landelijke stelsel crisisbeheersing is essentieel, zeker bij grensoverschrijdende crises. Ter versterking van dit stelsel wordt gewerkt aan </w:t>
      </w:r>
      <w:r w:rsidR="00A26980">
        <w:rPr>
          <w:szCs w:val="18"/>
        </w:rPr>
        <w:t xml:space="preserve">een aantal </w:t>
      </w:r>
      <w:r w:rsidRPr="008B03FA">
        <w:rPr>
          <w:szCs w:val="18"/>
        </w:rPr>
        <w:t>wetswijzigingen</w:t>
      </w:r>
      <w:r w:rsidR="00A26980">
        <w:rPr>
          <w:szCs w:val="18"/>
        </w:rPr>
        <w:t xml:space="preserve">; onder meer aan de wijziging van </w:t>
      </w:r>
      <w:r w:rsidRPr="008B03FA">
        <w:rPr>
          <w:szCs w:val="18"/>
        </w:rPr>
        <w:t xml:space="preserve"> de Wet publieke gezondheid </w:t>
      </w:r>
      <w:r w:rsidR="00A26980">
        <w:rPr>
          <w:szCs w:val="18"/>
        </w:rPr>
        <w:t xml:space="preserve">en de herziening </w:t>
      </w:r>
      <w:r w:rsidRPr="008B03FA">
        <w:rPr>
          <w:szCs w:val="18"/>
        </w:rPr>
        <w:t>van de Wet veiligheidsregio’s</w:t>
      </w:r>
      <w:r w:rsidRPr="00643986" w:rsidR="00643986">
        <w:t xml:space="preserve"> </w:t>
      </w:r>
      <w:r w:rsidR="00643986">
        <w:t>(</w:t>
      </w:r>
      <w:r w:rsidRPr="00643986" w:rsidR="00643986">
        <w:rPr>
          <w:szCs w:val="18"/>
        </w:rPr>
        <w:t>Wet versterking bovenregionale en landelijke crisisbeheersing, rampenbestrijding en brandweerzorg</w:t>
      </w:r>
      <w:r w:rsidR="00643986">
        <w:rPr>
          <w:szCs w:val="18"/>
        </w:rPr>
        <w:t>)</w:t>
      </w:r>
      <w:r w:rsidR="00A26980">
        <w:rPr>
          <w:szCs w:val="18"/>
        </w:rPr>
        <w:t>.</w:t>
      </w:r>
      <w:r w:rsidRPr="008B03FA">
        <w:rPr>
          <w:szCs w:val="18"/>
        </w:rPr>
        <w:t xml:space="preserve"> </w:t>
      </w:r>
    </w:p>
    <w:p w:rsidRPr="008B03FA" w:rsidR="00ED4248" w:rsidP="002C335D" w:rsidRDefault="008E368C" w14:paraId="6708256C" w14:textId="23DD8A75">
      <w:pPr>
        <w:pStyle w:val="NoSpacing"/>
        <w:spacing w:line="360" w:lineRule="auto"/>
        <w:rPr>
          <w:i/>
          <w:iCs/>
          <w:szCs w:val="18"/>
        </w:rPr>
      </w:pPr>
      <w:r w:rsidRPr="008B03FA">
        <w:rPr>
          <w:szCs w:val="18"/>
        </w:rPr>
        <w:lastRenderedPageBreak/>
        <w:t>De Nederlandse aanpak</w:t>
      </w:r>
      <w:r w:rsidR="00A26980">
        <w:rPr>
          <w:szCs w:val="18"/>
        </w:rPr>
        <w:t xml:space="preserve"> – onder meer beschreven in de landelijke agenda crisisbeheersing </w:t>
      </w:r>
      <w:r w:rsidR="00995B83">
        <w:rPr>
          <w:szCs w:val="18"/>
        </w:rPr>
        <w:t>–</w:t>
      </w:r>
      <w:r w:rsidR="00A26980">
        <w:rPr>
          <w:szCs w:val="18"/>
        </w:rPr>
        <w:t xml:space="preserve"> </w:t>
      </w:r>
      <w:r w:rsidRPr="008B03FA">
        <w:rPr>
          <w:szCs w:val="18"/>
        </w:rPr>
        <w:t xml:space="preserve"> is breed en risicogestuurd, met aandacht voor preventie, paraatheid, respons en herstel, en stelt versterking van weerbaarheid, netwerksamenwerking en risicocommunicatie centraal.</w:t>
      </w:r>
      <w:bookmarkEnd w:id="1"/>
      <w:r w:rsidRPr="008B03FA">
        <w:rPr>
          <w:szCs w:val="18"/>
        </w:rPr>
        <w:br/>
      </w:r>
      <w:r w:rsidRPr="008B03FA" w:rsidR="00D134EC">
        <w:rPr>
          <w:szCs w:val="18"/>
        </w:rPr>
        <w:br/>
      </w:r>
      <w:r w:rsidR="00AB204B">
        <w:rPr>
          <w:i/>
          <w:iCs/>
          <w:szCs w:val="18"/>
        </w:rPr>
        <w:t xml:space="preserve">b) </w:t>
      </w:r>
      <w:r w:rsidRPr="008B03FA" w:rsidR="00CF1388">
        <w:rPr>
          <w:i/>
          <w:iCs/>
          <w:szCs w:val="18"/>
        </w:rPr>
        <w:t>Beoordeling + inzet ten aanzien van dit voorstel</w:t>
      </w:r>
    </w:p>
    <w:p w:rsidRPr="008B03FA" w:rsidR="00641F92" w:rsidP="00EB3C0C" w:rsidRDefault="00641F92" w14:paraId="19A125C9" w14:textId="5D6B239F">
      <w:pPr>
        <w:pStyle w:val="NoSpacing"/>
        <w:spacing w:line="360" w:lineRule="auto"/>
        <w:rPr>
          <w:szCs w:val="18"/>
        </w:rPr>
      </w:pPr>
      <w:r w:rsidRPr="008B03FA">
        <w:rPr>
          <w:szCs w:val="18"/>
        </w:rPr>
        <w:t xml:space="preserve">Het kabinet verwelkomt </w:t>
      </w:r>
      <w:r w:rsidR="009C3940">
        <w:rPr>
          <w:szCs w:val="18"/>
        </w:rPr>
        <w:t>het voorstel</w:t>
      </w:r>
      <w:r w:rsidRPr="008B03FA" w:rsidR="008F352C">
        <w:rPr>
          <w:szCs w:val="18"/>
        </w:rPr>
        <w:t xml:space="preserve"> </w:t>
      </w:r>
      <w:r w:rsidR="006F1B16">
        <w:rPr>
          <w:szCs w:val="18"/>
        </w:rPr>
        <w:t xml:space="preserve">van de Commissie. De ambitie tot versterking van het Uniemechanisme </w:t>
      </w:r>
      <w:r w:rsidRPr="008B03FA">
        <w:rPr>
          <w:szCs w:val="18"/>
        </w:rPr>
        <w:t xml:space="preserve">sluit </w:t>
      </w:r>
      <w:r w:rsidR="006F1B16">
        <w:rPr>
          <w:szCs w:val="18"/>
        </w:rPr>
        <w:t xml:space="preserve">aan </w:t>
      </w:r>
      <w:r w:rsidRPr="008B03FA">
        <w:rPr>
          <w:szCs w:val="18"/>
        </w:rPr>
        <w:t xml:space="preserve">bij de inzet </w:t>
      </w:r>
      <w:r w:rsidR="006F1B16">
        <w:rPr>
          <w:szCs w:val="18"/>
        </w:rPr>
        <w:t xml:space="preserve">van het kabinet </w:t>
      </w:r>
      <w:r w:rsidRPr="008B03FA">
        <w:rPr>
          <w:szCs w:val="18"/>
        </w:rPr>
        <w:t>op nationaal</w:t>
      </w:r>
      <w:r w:rsidR="006F1B16">
        <w:rPr>
          <w:szCs w:val="18"/>
        </w:rPr>
        <w:t xml:space="preserve">, </w:t>
      </w:r>
      <w:r w:rsidRPr="008B03FA">
        <w:rPr>
          <w:szCs w:val="18"/>
        </w:rPr>
        <w:t xml:space="preserve">Europees </w:t>
      </w:r>
      <w:r w:rsidR="006F1B16">
        <w:rPr>
          <w:szCs w:val="18"/>
        </w:rPr>
        <w:t xml:space="preserve">en internationaal </w:t>
      </w:r>
      <w:r w:rsidRPr="008B03FA">
        <w:rPr>
          <w:szCs w:val="18"/>
        </w:rPr>
        <w:t xml:space="preserve">niveau. </w:t>
      </w:r>
      <w:r w:rsidR="009C3940">
        <w:rPr>
          <w:szCs w:val="18"/>
        </w:rPr>
        <w:t xml:space="preserve">Het voorstel </w:t>
      </w:r>
      <w:r w:rsidRPr="008B03FA">
        <w:rPr>
          <w:szCs w:val="18"/>
        </w:rPr>
        <w:t>beoogt paraatheid en crisisbeheersing te organiseren en te harmoniseren, met als doel een gestandaardiseerde aanpak van internationale bijstand binnen het Uniemechanisme. Dit sluit aan bij de kabinetsdoelstelling om de nationale en Europese weerbaarheid te versterken</w:t>
      </w:r>
      <w:r w:rsidR="00764D99">
        <w:rPr>
          <w:szCs w:val="18"/>
        </w:rPr>
        <w:t xml:space="preserve">, en is complementair aan de inspanningen in het kader van Global Europe en zowel de Europese als </w:t>
      </w:r>
      <w:r w:rsidRPr="004C704A" w:rsidR="00764D99">
        <w:rPr>
          <w:szCs w:val="18"/>
        </w:rPr>
        <w:t>Nederlandse Mondiale Gezondheidsstrategieën</w:t>
      </w:r>
      <w:r w:rsidR="00764D99">
        <w:rPr>
          <w:szCs w:val="18"/>
        </w:rPr>
        <w:t xml:space="preserve"> om pandemische paraatheid op mondiaal vlak te verbeteren</w:t>
      </w:r>
      <w:r w:rsidRPr="008B03FA" w:rsidR="00764D99">
        <w:rPr>
          <w:szCs w:val="18"/>
        </w:rPr>
        <w:t>.</w:t>
      </w:r>
    </w:p>
    <w:p w:rsidRPr="008B03FA" w:rsidR="00641F92" w:rsidP="00EB3C0C" w:rsidRDefault="00641F92" w14:paraId="5633454B" w14:textId="77777777">
      <w:pPr>
        <w:pStyle w:val="NoSpacing"/>
        <w:spacing w:line="360" w:lineRule="auto"/>
        <w:rPr>
          <w:szCs w:val="18"/>
        </w:rPr>
      </w:pPr>
    </w:p>
    <w:p w:rsidRPr="008B03FA" w:rsidR="00641F92" w:rsidP="00EB3C0C" w:rsidRDefault="00641F92" w14:paraId="07F62DB5" w14:textId="1A501427">
      <w:pPr>
        <w:pStyle w:val="NoSpacing"/>
        <w:spacing w:line="360" w:lineRule="auto"/>
        <w:rPr>
          <w:szCs w:val="18"/>
        </w:rPr>
      </w:pPr>
      <w:r w:rsidRPr="008B03FA">
        <w:rPr>
          <w:szCs w:val="18"/>
        </w:rPr>
        <w:t>Het kabinet staat positief tegenover de voorgestelde versterking van de gezondheidscrisisparaatheid binnen het Uniemechanisme, met name op operationeel niveau. Waar het mechanisme traditioneel was gericht op reactieve ondersteuning – zoals bij branden of overstromingen – introduceert het voorstel nieuwe instrumenten voor anticipatie, risicobeoordeling, strategische voorraadopbouw en civiel-militaire samenwerking. Hiermee ontwikkelt het mechanisme zich van een ad-hoc interventiemodel tot een structureel risicobeheersingsinstrument. De aanpak van crises blijft daarbij nadrukkelijk een nationale bevoegdheid.</w:t>
      </w:r>
      <w:r w:rsidR="00D565E2">
        <w:rPr>
          <w:szCs w:val="18"/>
        </w:rPr>
        <w:t xml:space="preserve"> </w:t>
      </w:r>
      <w:bookmarkStart w:name="_Hlk205900252" w:id="2"/>
      <w:r w:rsidRPr="00D565E2" w:rsidR="00D565E2">
        <w:rPr>
          <w:szCs w:val="18"/>
        </w:rPr>
        <w:t>Met dit voorstel wordt geen nieuwe bevoegdheid aan de Commissie toegekend; het versterkt vooral de praktische samenwerking tussen lidstaten en de Unie, zodat bestaande nationale structuren juist beter worden ondersteund in plaats van vervangen.</w:t>
      </w:r>
      <w:r w:rsidR="00325B89">
        <w:rPr>
          <w:szCs w:val="18"/>
        </w:rPr>
        <w:t xml:space="preserve"> Wel merkt het kabinet op dat d</w:t>
      </w:r>
      <w:r w:rsidRPr="00325B89" w:rsidR="00325B89">
        <w:rPr>
          <w:szCs w:val="18"/>
        </w:rPr>
        <w:t>e toenemende rol van de Commissie in de coördinatie van crisisparaatheid en -respons, hoewel gericht op ondersteuning en complementariteit, vraagt om een scherp oog voor het waarborgen van politieke sturing door de lidstaten en het voorkomen van onbedoelde bevoegdheidsverschuivingen.</w:t>
      </w:r>
      <w:bookmarkEnd w:id="2"/>
    </w:p>
    <w:p w:rsidRPr="008B03FA" w:rsidR="00641F92" w:rsidP="00EB3C0C" w:rsidRDefault="00641F92" w14:paraId="0A443BF8" w14:textId="77777777">
      <w:pPr>
        <w:pStyle w:val="NoSpacing"/>
        <w:spacing w:line="360" w:lineRule="auto"/>
        <w:rPr>
          <w:szCs w:val="18"/>
        </w:rPr>
      </w:pPr>
    </w:p>
    <w:p w:rsidRPr="008B03FA" w:rsidR="00641F92" w:rsidP="00EB3C0C" w:rsidRDefault="00641F92" w14:paraId="76BD49F2" w14:textId="036278E1">
      <w:pPr>
        <w:pStyle w:val="NoSpacing"/>
        <w:spacing w:line="360" w:lineRule="auto"/>
        <w:rPr>
          <w:szCs w:val="18"/>
        </w:rPr>
      </w:pPr>
      <w:r w:rsidRPr="008B03FA">
        <w:rPr>
          <w:szCs w:val="18"/>
        </w:rPr>
        <w:t xml:space="preserve">De Commissie streeft naar een geïntegreerde benadering van civiele bescherming, gezondheidscrisisrespons, defensieondersteuning en klimaatadaptatie binnen één regelgevend kader. Daarmee positioneert de EU zich sterker als coördinerende actor bij grensoverschrijdende crises, in lijn met de ambitie van een </w:t>
      </w:r>
      <w:r w:rsidRPr="008B03FA" w:rsidR="00246D69">
        <w:rPr>
          <w:szCs w:val="18"/>
        </w:rPr>
        <w:t>Paraatheidsunie</w:t>
      </w:r>
      <w:r w:rsidRPr="008B03FA">
        <w:rPr>
          <w:szCs w:val="18"/>
        </w:rPr>
        <w:t>.</w:t>
      </w:r>
      <w:r w:rsidR="00987CFE">
        <w:rPr>
          <w:rStyle w:val="FootnoteReference"/>
          <w:szCs w:val="18"/>
        </w:rPr>
        <w:footnoteReference w:id="23"/>
      </w:r>
      <w:r w:rsidRPr="008B03FA">
        <w:rPr>
          <w:szCs w:val="18"/>
        </w:rPr>
        <w:t xml:space="preserve"> Dit </w:t>
      </w:r>
      <w:r w:rsidRPr="008B03FA" w:rsidR="00246D69">
        <w:rPr>
          <w:szCs w:val="18"/>
        </w:rPr>
        <w:t xml:space="preserve">vraagt </w:t>
      </w:r>
      <w:r w:rsidRPr="008B03FA">
        <w:rPr>
          <w:szCs w:val="18"/>
        </w:rPr>
        <w:t>actieve betrokkenheid van lidstaten over meerdere domeinen heen.</w:t>
      </w:r>
      <w:r w:rsidR="0022062A">
        <w:rPr>
          <w:szCs w:val="18"/>
        </w:rPr>
        <w:t xml:space="preserve"> </w:t>
      </w:r>
      <w:r w:rsidRPr="0006269C" w:rsidR="0022062A">
        <w:rPr>
          <w:szCs w:val="18"/>
        </w:rPr>
        <w:t>Het Nederlandse kabinet verwelkomt de integrale benadering van civiele bescherming, gezondheidscrisisrespons, defensieondersteuning en klimaatadaptatie binnen één regelgevend kader. Deze aanpak versterkt de rol van de EU als coördinerende actor bij grensoverschrijdende crises en sluit aan bij de ambitie van een Paraatheidsunie. Het kabinet onderschrijft het belang van actieve betrokkenheid van de lidstaten over meerdere domeinen heen en ziet hierin een kans voor Nederland om bij te dragen aan een effectievere en samenhangende crisisrespons binnen de Unie.</w:t>
      </w:r>
      <w:r w:rsidR="002040DD">
        <w:rPr>
          <w:szCs w:val="18"/>
        </w:rPr>
        <w:t xml:space="preserve"> Het kabinet acht het ook van belang dat er binnen deze integrale benadering ruimte blijft voor sectorale mechanisme</w:t>
      </w:r>
      <w:r w:rsidR="004472BE">
        <w:rPr>
          <w:szCs w:val="18"/>
        </w:rPr>
        <w:t>s</w:t>
      </w:r>
      <w:r w:rsidR="0038586B">
        <w:rPr>
          <w:szCs w:val="18"/>
        </w:rPr>
        <w:t>, zoals op het gebied van grensoverschrijdende gezondheidsdreigingen.</w:t>
      </w:r>
    </w:p>
    <w:p w:rsidRPr="008B03FA" w:rsidR="00641F92" w:rsidP="00EB3C0C" w:rsidRDefault="00641F92" w14:paraId="56CAB33C" w14:textId="77777777">
      <w:pPr>
        <w:pStyle w:val="NoSpacing"/>
        <w:spacing w:line="360" w:lineRule="auto"/>
        <w:ind w:left="1080"/>
        <w:rPr>
          <w:szCs w:val="18"/>
        </w:rPr>
      </w:pPr>
    </w:p>
    <w:p w:rsidRPr="001B4F07" w:rsidR="00325B89" w:rsidP="00D134EC" w:rsidRDefault="00641F92" w14:paraId="721B135A" w14:textId="4915A789">
      <w:pPr>
        <w:pStyle w:val="NoSpacing"/>
        <w:spacing w:line="360" w:lineRule="auto"/>
        <w:rPr>
          <w:szCs w:val="18"/>
        </w:rPr>
      </w:pPr>
      <w:r w:rsidRPr="008B03FA">
        <w:rPr>
          <w:szCs w:val="18"/>
        </w:rPr>
        <w:t xml:space="preserve">Met dit voorstel neemt de EU een rol op zich die recht doet aan de realiteit van grensoverschrijdende </w:t>
      </w:r>
      <w:r w:rsidR="00CC653E">
        <w:rPr>
          <w:szCs w:val="18"/>
        </w:rPr>
        <w:t>(gezondheids</w:t>
      </w:r>
      <w:r w:rsidR="00286B16">
        <w:rPr>
          <w:szCs w:val="18"/>
        </w:rPr>
        <w:t>-</w:t>
      </w:r>
      <w:r w:rsidR="00CC653E">
        <w:rPr>
          <w:szCs w:val="18"/>
        </w:rPr>
        <w:t>)</w:t>
      </w:r>
      <w:r w:rsidRPr="008B03FA">
        <w:rPr>
          <w:szCs w:val="18"/>
        </w:rPr>
        <w:t xml:space="preserve">crises, maar die ook extra verantwoordelijkheden met zich meebrengt. Voor Nederland betekent dit enerzijds het benutten van kansen om nationale weerbaarheidsinitiatieven op Europees niveau te verankeren, anderzijds het zorgvuldig balanceren tussen Europese coördinatie en nationale prioritering – bijvoorbeeld bij de inzet van voorraden of </w:t>
      </w:r>
      <w:r w:rsidRPr="008B03FA" w:rsidR="006A3A42">
        <w:rPr>
          <w:szCs w:val="18"/>
        </w:rPr>
        <w:t>civiel-</w:t>
      </w:r>
      <w:r w:rsidRPr="008B03FA">
        <w:rPr>
          <w:szCs w:val="18"/>
        </w:rPr>
        <w:t xml:space="preserve">militaire middelen. De ervaringen tijdens de COVID-19-pandemie en de coördinatie van </w:t>
      </w:r>
      <w:r w:rsidR="009C3940">
        <w:t>de ondersteuning aan Oekraïne in de vorm van materi</w:t>
      </w:r>
      <w:r w:rsidR="006B1194">
        <w:t>ë</w:t>
      </w:r>
      <w:r w:rsidR="009C3940">
        <w:t>le donaties en zorgbehandelingen</w:t>
      </w:r>
      <w:r w:rsidRPr="008B03FA" w:rsidDel="00296587" w:rsidR="009C3940">
        <w:rPr>
          <w:szCs w:val="18"/>
        </w:rPr>
        <w:t xml:space="preserve"> </w:t>
      </w:r>
      <w:r w:rsidRPr="008B03FA">
        <w:rPr>
          <w:szCs w:val="18"/>
        </w:rPr>
        <w:t xml:space="preserve">laten zien dat dergelijke Europese samenwerking wenselijk </w:t>
      </w:r>
      <w:r w:rsidR="00B767B0">
        <w:rPr>
          <w:szCs w:val="18"/>
        </w:rPr>
        <w:t>e</w:t>
      </w:r>
      <w:r w:rsidRPr="008B03FA">
        <w:rPr>
          <w:szCs w:val="18"/>
        </w:rPr>
        <w:t>n effectief kan zijn.</w:t>
      </w:r>
      <w:r w:rsidRPr="008B03FA" w:rsidR="00EB3C0C">
        <w:rPr>
          <w:szCs w:val="18"/>
        </w:rPr>
        <w:t xml:space="preserve"> </w:t>
      </w:r>
      <w:r w:rsidRPr="008B03FA" w:rsidR="008E7239">
        <w:rPr>
          <w:szCs w:val="18"/>
        </w:rPr>
        <w:t xml:space="preserve">Hoewel dit een zekere rolverschuiving impliceert, </w:t>
      </w:r>
      <w:r w:rsidRPr="008B03FA" w:rsidR="00246D69">
        <w:rPr>
          <w:szCs w:val="18"/>
        </w:rPr>
        <w:t>vindt</w:t>
      </w:r>
      <w:r w:rsidRPr="008B03FA" w:rsidR="008E7239">
        <w:rPr>
          <w:szCs w:val="18"/>
        </w:rPr>
        <w:t xml:space="preserve"> het kabinet deze ontwikkeling wenselijk en realistisch, mede in het licht van de ervaringen tijdens de COVID-19-pandemie en de coördinatie van </w:t>
      </w:r>
      <w:r w:rsidR="009C3940">
        <w:rPr>
          <w:szCs w:val="18"/>
        </w:rPr>
        <w:t xml:space="preserve">ondersteuning </w:t>
      </w:r>
      <w:r w:rsidRPr="008B03FA" w:rsidR="008E7239">
        <w:rPr>
          <w:szCs w:val="18"/>
        </w:rPr>
        <w:t xml:space="preserve">aan </w:t>
      </w:r>
      <w:r w:rsidRPr="001B4F07" w:rsidR="008E7239">
        <w:rPr>
          <w:szCs w:val="18"/>
        </w:rPr>
        <w:t>Oekraïne, waar Europese afstemming van meerwaarde bleek.</w:t>
      </w:r>
      <w:r w:rsidRPr="001B4F07" w:rsidR="004A1395">
        <w:rPr>
          <w:szCs w:val="18"/>
        </w:rPr>
        <w:t xml:space="preserve"> Wel acht h</w:t>
      </w:r>
      <w:r w:rsidRPr="001B4F07" w:rsidR="00325B89">
        <w:rPr>
          <w:szCs w:val="18"/>
        </w:rPr>
        <w:t xml:space="preserve">et kabinet politieke sturing door de lidstaten </w:t>
      </w:r>
      <w:r w:rsidRPr="001B4F07" w:rsidR="004A1395">
        <w:rPr>
          <w:szCs w:val="18"/>
        </w:rPr>
        <w:t xml:space="preserve">hierbij </w:t>
      </w:r>
      <w:r w:rsidRPr="001B4F07" w:rsidR="00325B89">
        <w:rPr>
          <w:szCs w:val="18"/>
        </w:rPr>
        <w:t xml:space="preserve">onverminderd van belang. Dit gebeurt </w:t>
      </w:r>
      <w:r w:rsidRPr="001B4F07" w:rsidR="004A1395">
        <w:rPr>
          <w:szCs w:val="18"/>
        </w:rPr>
        <w:t xml:space="preserve">onder andere </w:t>
      </w:r>
      <w:r w:rsidRPr="001B4F07" w:rsidR="00325B89">
        <w:rPr>
          <w:szCs w:val="18"/>
        </w:rPr>
        <w:t>in het geïntegreerde politieke crisisresponsmechanisme,</w:t>
      </w:r>
      <w:r w:rsidRPr="001B4F07" w:rsidR="00325B89">
        <w:rPr>
          <w:rStyle w:val="FootnoteReference"/>
          <w:szCs w:val="18"/>
        </w:rPr>
        <w:footnoteReference w:id="24"/>
      </w:r>
      <w:r w:rsidRPr="001B4F07" w:rsidR="00325B89">
        <w:rPr>
          <w:szCs w:val="18"/>
        </w:rPr>
        <w:t xml:space="preserve"> de Raadsgroepen en de Europese Raad.</w:t>
      </w:r>
    </w:p>
    <w:p w:rsidRPr="001B4F07" w:rsidR="00641F92" w:rsidP="00D134EC" w:rsidRDefault="00641F92" w14:paraId="52D42DEE" w14:textId="77777777">
      <w:pPr>
        <w:pStyle w:val="NoSpacing"/>
        <w:spacing w:line="360" w:lineRule="auto"/>
        <w:rPr>
          <w:szCs w:val="18"/>
        </w:rPr>
      </w:pPr>
    </w:p>
    <w:p w:rsidRPr="008B03FA" w:rsidR="005B146F" w:rsidP="76F986DE" w:rsidRDefault="002E54EA" w14:paraId="6CE4117F" w14:textId="33380954">
      <w:pPr>
        <w:pStyle w:val="NoSpacing"/>
        <w:spacing w:line="360" w:lineRule="auto"/>
        <w:rPr>
          <w:szCs w:val="18"/>
        </w:rPr>
      </w:pPr>
      <w:r w:rsidRPr="001B4F07">
        <w:t xml:space="preserve">In het </w:t>
      </w:r>
      <w:r w:rsidRPr="001B4F07" w:rsidR="00942C80">
        <w:t>regeerprogramma</w:t>
      </w:r>
      <w:r w:rsidRPr="001B4F07" w:rsidR="00246D69">
        <w:t xml:space="preserve"> </w:t>
      </w:r>
      <w:r w:rsidRPr="001B4F07">
        <w:t xml:space="preserve">is expliciet vastgelegd dat internationale veiligheid een prioriteit is en dat </w:t>
      </w:r>
      <w:r w:rsidRPr="001B4F07" w:rsidR="004E0BE2">
        <w:t xml:space="preserve">het kabinet </w:t>
      </w:r>
      <w:r w:rsidRPr="001B4F07">
        <w:t xml:space="preserve">zich moet inzetten voor robuuste Europese samenwerkingsverbanden op het gebied van crisisbeheersing. Door </w:t>
      </w:r>
      <w:r w:rsidRPr="001B4F07" w:rsidR="0011409B">
        <w:t xml:space="preserve">ernstige grensoverschrijdende </w:t>
      </w:r>
      <w:r w:rsidRPr="001B4F07">
        <w:t>gezondheidsdreigingen</w:t>
      </w:r>
      <w:r w:rsidRPr="001B4F07" w:rsidR="0011409B">
        <w:t xml:space="preserve"> met een multi-sectoraal karakter</w:t>
      </w:r>
      <w:r w:rsidRPr="001B4F07">
        <w:t xml:space="preserve"> voortaan </w:t>
      </w:r>
      <w:r w:rsidRPr="001B4F07" w:rsidR="0011409B">
        <w:t xml:space="preserve">op operationeel vlak beter te integreren in </w:t>
      </w:r>
      <w:r w:rsidRPr="001B4F07">
        <w:t xml:space="preserve">hetzelfde kader </w:t>
      </w:r>
      <w:r w:rsidRPr="001B4F07" w:rsidR="0011409B">
        <w:t xml:space="preserve">waarmee </w:t>
      </w:r>
      <w:r w:rsidRPr="001B4F07">
        <w:t xml:space="preserve">natuurrampen </w:t>
      </w:r>
      <w:r w:rsidRPr="001B4F07" w:rsidR="0011409B">
        <w:t>worden bestreden</w:t>
      </w:r>
      <w:r w:rsidRPr="001B4F07">
        <w:t xml:space="preserve">, sluit dit voorstel naadloos aan bij die ambitie. Bovendien </w:t>
      </w:r>
      <w:r w:rsidRPr="001B4F07" w:rsidR="002D60EC">
        <w:t>onderschrijft</w:t>
      </w:r>
      <w:r w:rsidRPr="001B4F07" w:rsidR="0011409B">
        <w:t xml:space="preserve"> </w:t>
      </w:r>
      <w:r w:rsidRPr="001B4F07">
        <w:t xml:space="preserve">het kabinet eerdere standpunten waarin </w:t>
      </w:r>
      <w:r w:rsidRPr="001B4F07" w:rsidR="004E0BE2">
        <w:t xml:space="preserve">het kabinet </w:t>
      </w:r>
      <w:r w:rsidRPr="001B4F07">
        <w:t>pleitte voor een versterking van de EU-paraatheidsstructuren, met name na de ervaringen in de COVID-19-pandemie.</w:t>
      </w:r>
      <w:r w:rsidRPr="001B4F07" w:rsidR="0011409B">
        <w:t xml:space="preserve"> Het kabinet </w:t>
      </w:r>
      <w:r w:rsidRPr="001B4F07" w:rsidR="006F1B16">
        <w:t xml:space="preserve">acht het van belang dat </w:t>
      </w:r>
      <w:r w:rsidRPr="001B4F07" w:rsidR="0011409B">
        <w:t xml:space="preserve">deze integratie </w:t>
      </w:r>
      <w:r w:rsidRPr="001B4F07" w:rsidR="006F1B16">
        <w:t xml:space="preserve">complementair blijft aan bestaande initiatieven en </w:t>
      </w:r>
      <w:r w:rsidRPr="001B4F07" w:rsidR="0011409B">
        <w:t>niet mag leiden tot een verminderde inzet o</w:t>
      </w:r>
      <w:r w:rsidRPr="001B4F07" w:rsidR="002D60EC">
        <w:t>p</w:t>
      </w:r>
      <w:r w:rsidRPr="001B4F07" w:rsidR="0011409B">
        <w:t xml:space="preserve"> noodzakelijke acties tegen eventuele gezondheidscris</w:t>
      </w:r>
      <w:r w:rsidRPr="001B4F07" w:rsidR="003E2ADD">
        <w:t>e</w:t>
      </w:r>
      <w:r w:rsidRPr="001B4F07" w:rsidR="0011409B">
        <w:t>s</w:t>
      </w:r>
      <w:r w:rsidRPr="001B4F07" w:rsidR="00286B16">
        <w:t>.</w:t>
      </w:r>
      <w:r w:rsidRPr="001B4F07" w:rsidR="0011409B">
        <w:t xml:space="preserve"> </w:t>
      </w:r>
      <w:r w:rsidRPr="001B4F07" w:rsidR="00286B16">
        <w:t xml:space="preserve"> De bepalingen zoals opgenomen in artikel </w:t>
      </w:r>
      <w:r w:rsidRPr="001B4F07" w:rsidR="000841D8">
        <w:t>34</w:t>
      </w:r>
      <w:r w:rsidRPr="001B4F07" w:rsidR="00371315">
        <w:t xml:space="preserve"> </w:t>
      </w:r>
      <w:r w:rsidRPr="001B4F07" w:rsidR="00286B16">
        <w:t xml:space="preserve">van de het voorstel behoeven op dit vlak nadere verheldering. </w:t>
      </w:r>
      <w:r w:rsidRPr="001B4F07" w:rsidR="001045DC">
        <w:t xml:space="preserve">Op basis van de lessen van de COVID-19 pandemie heeft de Commissie </w:t>
      </w:r>
      <w:r w:rsidRPr="001B4F07" w:rsidR="002F2F04">
        <w:t xml:space="preserve">haar </w:t>
      </w:r>
      <w:r w:rsidRPr="001B4F07" w:rsidR="00B47214">
        <w:t>coördinerende, aanvullende en ondersteunende bevoegdheden op dit vlak versterkt</w:t>
      </w:r>
      <w:r w:rsidRPr="001B4F07" w:rsidR="00286B16">
        <w:t xml:space="preserve"> onder meer door versterking van wetgeving en samenwerkingsstructuren</w:t>
      </w:r>
      <w:r w:rsidRPr="001B4F07" w:rsidR="002F2F04">
        <w:t>.</w:t>
      </w:r>
      <w:r w:rsidRPr="001B4F07" w:rsidR="00B47214">
        <w:rPr>
          <w:rStyle w:val="FootnoteReference"/>
        </w:rPr>
        <w:footnoteReference w:id="25"/>
      </w:r>
      <w:r w:rsidRPr="001B4F07" w:rsidR="00B47214">
        <w:t xml:space="preserve"> </w:t>
      </w:r>
      <w:r w:rsidRPr="001B4F07" w:rsidR="001045DC">
        <w:t xml:space="preserve">Deze </w:t>
      </w:r>
      <w:r w:rsidRPr="001B4F07" w:rsidR="00B47214">
        <w:t>wetgeving wordt momenteel nog geïmplementeerd</w:t>
      </w:r>
      <w:r w:rsidRPr="001B4F07" w:rsidR="00286B16">
        <w:t xml:space="preserve">, met een versterkte coördinerende rol voor de het EU-gezondheidsbeveiligingscomité en met activiteiten op het vlak van paraatheid die nu worden uitgevoerd door de </w:t>
      </w:r>
      <w:r w:rsidRPr="001B4F07" w:rsidR="00286B16">
        <w:rPr>
          <w:i/>
          <w:iCs/>
        </w:rPr>
        <w:t>Health Emergency Preparedness and Response Authority</w:t>
      </w:r>
      <w:r w:rsidRPr="001B4F07" w:rsidR="00286B16">
        <w:t xml:space="preserve"> (HERA)</w:t>
      </w:r>
      <w:r w:rsidRPr="001B4F07" w:rsidR="00B47214">
        <w:t>.</w:t>
      </w:r>
      <w:r w:rsidRPr="001B4F07" w:rsidR="00286B16">
        <w:rPr>
          <w:rStyle w:val="FootnoteReference"/>
        </w:rPr>
        <w:footnoteReference w:id="26"/>
      </w:r>
      <w:r w:rsidRPr="001B4F07" w:rsidR="00B47214">
        <w:t xml:space="preserve"> Het voorliggende wetsvoorstel heeft als doel </w:t>
      </w:r>
      <w:r w:rsidRPr="001B4F07" w:rsidR="0050287E">
        <w:t xml:space="preserve">een cross-sectorale paraatheidslaag toe te voegen en tegelijkertijd de complementariteit met sectorale mechanismen te waarborgen. </w:t>
      </w:r>
      <w:r w:rsidRPr="001B4F07" w:rsidR="0011409B">
        <w:t>Voor de paraatheid</w:t>
      </w:r>
      <w:r w:rsidRPr="001B4F07" w:rsidR="004472BE">
        <w:t xml:space="preserve"> voor</w:t>
      </w:r>
      <w:r w:rsidRPr="001B4F07" w:rsidR="000B61FD">
        <w:t xml:space="preserve"> </w:t>
      </w:r>
      <w:r w:rsidRPr="001B4F07" w:rsidR="0011409B">
        <w:t>en bestrijding van ernstige grensoverschrijdende gezondheids</w:t>
      </w:r>
      <w:r w:rsidRPr="001B4F07" w:rsidR="002F2F04">
        <w:t>be</w:t>
      </w:r>
      <w:r w:rsidRPr="001B4F07" w:rsidR="0011409B">
        <w:t xml:space="preserve">dreigingen kan het Uniemechanisme bijdragen aan het </w:t>
      </w:r>
      <w:r w:rsidRPr="001B4F07" w:rsidR="00286B16">
        <w:t>verder</w:t>
      </w:r>
      <w:r w:rsidRPr="00AB204B" w:rsidR="00286B16">
        <w:t xml:space="preserve"> </w:t>
      </w:r>
      <w:r w:rsidRPr="00AB204B" w:rsidR="0011409B">
        <w:t>versterken van (gezamenlijke) capaciteiten zoals rondom de beschikbaarheid van medische tegenmaatregelen, waarbij wel voorop blijft staan dat lidstaten zelf de basis op orde moeten hebben.</w:t>
      </w:r>
    </w:p>
    <w:p w:rsidRPr="008B03FA" w:rsidR="005B146F" w:rsidP="00D134EC" w:rsidRDefault="005B146F" w14:paraId="45855C9C" w14:textId="77777777">
      <w:pPr>
        <w:pStyle w:val="NoSpacing"/>
        <w:spacing w:line="360" w:lineRule="auto"/>
        <w:rPr>
          <w:szCs w:val="18"/>
        </w:rPr>
      </w:pPr>
    </w:p>
    <w:p w:rsidRPr="008B03FA" w:rsidR="002E54EA" w:rsidP="00D134EC" w:rsidRDefault="005B146F" w14:paraId="0A9D12C4" w14:textId="593D00D6">
      <w:pPr>
        <w:pStyle w:val="NoSpacing"/>
        <w:spacing w:line="360" w:lineRule="auto"/>
        <w:rPr>
          <w:szCs w:val="18"/>
        </w:rPr>
      </w:pPr>
      <w:r w:rsidRPr="008B03FA">
        <w:rPr>
          <w:szCs w:val="18"/>
        </w:rPr>
        <w:t xml:space="preserve">Ten aanzien van de voorgestelde cross-sectorale paraatheidslaag verwelkomt het kabinet de ambitie om bestaande lacunes in paraatheid te dichten en te komen tot een geïntegreerde </w:t>
      </w:r>
      <w:r w:rsidRPr="008B03FA" w:rsidR="00FB3585">
        <w:rPr>
          <w:szCs w:val="18"/>
        </w:rPr>
        <w:t xml:space="preserve">horizontale </w:t>
      </w:r>
      <w:r w:rsidRPr="008B03FA">
        <w:rPr>
          <w:szCs w:val="18"/>
        </w:rPr>
        <w:t>benadering van crisisvoorbereiding</w:t>
      </w:r>
      <w:r w:rsidR="00677DB5">
        <w:rPr>
          <w:szCs w:val="18"/>
        </w:rPr>
        <w:t xml:space="preserve"> (</w:t>
      </w:r>
      <w:r w:rsidR="004E0BE2">
        <w:rPr>
          <w:szCs w:val="18"/>
        </w:rPr>
        <w:t>onder andere ten aanzien van</w:t>
      </w:r>
      <w:r w:rsidR="00677DB5">
        <w:rPr>
          <w:szCs w:val="18"/>
        </w:rPr>
        <w:t xml:space="preserve"> gezondheidscrises)</w:t>
      </w:r>
      <w:r w:rsidRPr="008B03FA">
        <w:rPr>
          <w:szCs w:val="18"/>
        </w:rPr>
        <w:t>. Tegelijkertijd is de reikwijdte en praktische werking van deze laag nog niet volledig uitgewerkt. Zo blijft onduidelijk welke concrete instrumenten of capaciteiten onder deze laag vallen, hoe zij zich verhouden tot bestaande middelen onder het mechanisme</w:t>
      </w:r>
      <w:r w:rsidRPr="008B03FA" w:rsidR="00EB3C0C">
        <w:rPr>
          <w:szCs w:val="18"/>
        </w:rPr>
        <w:t xml:space="preserve">, </w:t>
      </w:r>
      <w:r w:rsidRPr="008B03FA" w:rsidR="0011409B">
        <w:rPr>
          <w:szCs w:val="18"/>
        </w:rPr>
        <w:t xml:space="preserve">de bestaande wet- en regelgeving rondom ernstige grensoverschrijdende gezondheidsdreigingen </w:t>
      </w:r>
      <w:r w:rsidRPr="008B03FA">
        <w:rPr>
          <w:szCs w:val="18"/>
        </w:rPr>
        <w:t>en onder welke voorwaarden de laag geactiveerd kan worden. Het kabinet zal zich constructief opstellen bij de verdere invulling</w:t>
      </w:r>
      <w:r w:rsidR="006F1B16">
        <w:rPr>
          <w:szCs w:val="18"/>
        </w:rPr>
        <w:t xml:space="preserve"> en is - wanneer nodig om nationale en Europese ambities te verwezenlijken - bereid een actieve rol te spelen bij de verdere invulling</w:t>
      </w:r>
      <w:r w:rsidR="004E0BE2">
        <w:rPr>
          <w:szCs w:val="18"/>
        </w:rPr>
        <w:t>. Wel</w:t>
      </w:r>
      <w:r w:rsidRPr="008B03FA">
        <w:rPr>
          <w:szCs w:val="18"/>
        </w:rPr>
        <w:t xml:space="preserve"> blijft </w:t>
      </w:r>
      <w:r w:rsidR="004E0BE2">
        <w:rPr>
          <w:szCs w:val="18"/>
        </w:rPr>
        <w:t xml:space="preserve">het kabinet </w:t>
      </w:r>
      <w:r w:rsidRPr="008B03FA">
        <w:rPr>
          <w:szCs w:val="18"/>
        </w:rPr>
        <w:t>hierbij kritisch toezien op de werkbaarheid en meerwaarde in de praktijk.</w:t>
      </w:r>
    </w:p>
    <w:p w:rsidRPr="008B03FA" w:rsidR="00E9629B" w:rsidP="00D134EC" w:rsidRDefault="00E9629B" w14:paraId="230359E2" w14:textId="77777777">
      <w:pPr>
        <w:pStyle w:val="NoSpacing"/>
        <w:spacing w:line="360" w:lineRule="auto"/>
        <w:rPr>
          <w:i/>
          <w:iCs/>
          <w:szCs w:val="18"/>
        </w:rPr>
      </w:pPr>
    </w:p>
    <w:p w:rsidRPr="008B03FA" w:rsidR="00637558" w:rsidP="00D134EC" w:rsidRDefault="00E9629B" w14:paraId="445E0B90" w14:textId="07CAA4A6">
      <w:pPr>
        <w:pStyle w:val="NoSpacing"/>
        <w:spacing w:line="360" w:lineRule="auto"/>
        <w:rPr>
          <w:szCs w:val="18"/>
        </w:rPr>
      </w:pPr>
      <w:r w:rsidRPr="008B03FA">
        <w:rPr>
          <w:szCs w:val="18"/>
        </w:rPr>
        <w:t>Het kabinet steunt een cyclisch, gestandaardiseerd systeem voor risicobeoordeling en scenario-ontwikkeling op EU-niveau.</w:t>
      </w:r>
      <w:r w:rsidRPr="008B03FA" w:rsidR="00B161BB">
        <w:rPr>
          <w:szCs w:val="18"/>
        </w:rPr>
        <w:t xml:space="preserve"> Dit </w:t>
      </w:r>
      <w:r w:rsidRPr="008B03FA" w:rsidR="00EB3C0C">
        <w:rPr>
          <w:szCs w:val="18"/>
        </w:rPr>
        <w:t xml:space="preserve">vond al plaats onder het vorige </w:t>
      </w:r>
      <w:r w:rsidR="007E7978">
        <w:rPr>
          <w:szCs w:val="18"/>
        </w:rPr>
        <w:t>Raadsb</w:t>
      </w:r>
      <w:r w:rsidRPr="008B03FA" w:rsidR="00EB3C0C">
        <w:rPr>
          <w:szCs w:val="18"/>
        </w:rPr>
        <w:t>esluit</w:t>
      </w:r>
      <w:r w:rsidRPr="008B03FA" w:rsidR="00246D69">
        <w:rPr>
          <w:szCs w:val="18"/>
        </w:rPr>
        <w:t>, maar wordt</w:t>
      </w:r>
      <w:r w:rsidR="00535824">
        <w:rPr>
          <w:szCs w:val="18"/>
        </w:rPr>
        <w:t xml:space="preserve"> onder het voorstel</w:t>
      </w:r>
      <w:r w:rsidRPr="008B03FA" w:rsidR="00EB3C0C">
        <w:rPr>
          <w:szCs w:val="18"/>
        </w:rPr>
        <w:t xml:space="preserve"> </w:t>
      </w:r>
      <w:r w:rsidRPr="008B03FA" w:rsidR="00246D69">
        <w:rPr>
          <w:szCs w:val="18"/>
        </w:rPr>
        <w:t>juridisch bindend</w:t>
      </w:r>
      <w:r w:rsidRPr="008B03FA" w:rsidR="00B161BB">
        <w:rPr>
          <w:szCs w:val="18"/>
        </w:rPr>
        <w:t>.</w:t>
      </w:r>
      <w:r w:rsidRPr="008B03FA">
        <w:rPr>
          <w:szCs w:val="18"/>
        </w:rPr>
        <w:t xml:space="preserve"> Door nationale analyses te bundelen en te vertalen naar gezamenlijke scenario’s en paraatheidsdoelen wordt preventie versterkt en ontstaat een gezamenlijke risicotaal, die de basis vormt voor training, capaciteitsopbouw en coherente respons.</w:t>
      </w:r>
      <w:r w:rsidRPr="008B03FA" w:rsidR="005B146F">
        <w:rPr>
          <w:szCs w:val="18"/>
        </w:rPr>
        <w:t xml:space="preserve"> </w:t>
      </w:r>
      <w:r w:rsidRPr="008B03FA" w:rsidR="0011409B">
        <w:rPr>
          <w:szCs w:val="18"/>
        </w:rPr>
        <w:t xml:space="preserve">Recentelijk is rondom gezondheidsdreigingen door het </w:t>
      </w:r>
      <w:r w:rsidRPr="004C704A" w:rsidR="001045DC">
        <w:rPr>
          <w:szCs w:val="18"/>
        </w:rPr>
        <w:t>kabinet</w:t>
      </w:r>
      <w:r w:rsidRPr="004E6C89" w:rsidR="004E6C89">
        <w:rPr>
          <w:szCs w:val="18"/>
        </w:rPr>
        <w:t xml:space="preserve"> </w:t>
      </w:r>
      <w:r w:rsidRPr="008B03FA" w:rsidR="0011409B">
        <w:rPr>
          <w:szCs w:val="18"/>
        </w:rPr>
        <w:t xml:space="preserve">gewerkt aan verschillende scenario’s waar onder meer in 2025 ook landelijk geoefend gaat worden. De meerwaarde van scenario ontwikkeling op EU-niveau </w:t>
      </w:r>
      <w:r w:rsidRPr="008B03FA" w:rsidR="008F352C">
        <w:rPr>
          <w:szCs w:val="18"/>
        </w:rPr>
        <w:t xml:space="preserve">is erin gelegen </w:t>
      </w:r>
      <w:r w:rsidRPr="008B03FA" w:rsidR="0011409B">
        <w:rPr>
          <w:szCs w:val="18"/>
        </w:rPr>
        <w:t xml:space="preserve">dat zo het grensoverschrijdende karakter van veel crises beter meegenomen kan worden. </w:t>
      </w:r>
      <w:r w:rsidRPr="008B03FA" w:rsidR="008F352C">
        <w:rPr>
          <w:szCs w:val="18"/>
        </w:rPr>
        <w:t xml:space="preserve">Het kabinet </w:t>
      </w:r>
      <w:r w:rsidRPr="008B03FA" w:rsidR="006338C4">
        <w:rPr>
          <w:szCs w:val="18"/>
        </w:rPr>
        <w:t xml:space="preserve">ziet dan ook een meerwaarde in de ontwikkeling van een </w:t>
      </w:r>
      <w:r w:rsidRPr="008B03FA" w:rsidR="006338C4">
        <w:rPr>
          <w:i/>
          <w:iCs/>
          <w:szCs w:val="18"/>
        </w:rPr>
        <w:t>Comprehensive EU Risk Assessment</w:t>
      </w:r>
      <w:r w:rsidRPr="008B03FA" w:rsidR="000E1E28">
        <w:rPr>
          <w:i/>
          <w:iCs/>
          <w:szCs w:val="18"/>
        </w:rPr>
        <w:t xml:space="preserve"> </w:t>
      </w:r>
      <w:r w:rsidRPr="008B03FA" w:rsidR="000E1E28">
        <w:rPr>
          <w:szCs w:val="18"/>
        </w:rPr>
        <w:t>(die gebaseerd is op de risicoanalyses van de lidstaten)</w:t>
      </w:r>
      <w:r w:rsidRPr="008B03FA" w:rsidR="006338C4">
        <w:rPr>
          <w:szCs w:val="18"/>
        </w:rPr>
        <w:t>.</w:t>
      </w:r>
    </w:p>
    <w:p w:rsidRPr="008B03FA" w:rsidR="00637558" w:rsidP="00D134EC" w:rsidRDefault="00637558" w14:paraId="51F686DD" w14:textId="77777777">
      <w:pPr>
        <w:pStyle w:val="NoSpacing"/>
        <w:spacing w:line="360" w:lineRule="auto"/>
        <w:rPr>
          <w:szCs w:val="18"/>
        </w:rPr>
      </w:pPr>
    </w:p>
    <w:p w:rsidRPr="008B03FA" w:rsidR="005B146F" w:rsidP="00D134EC" w:rsidRDefault="005B146F" w14:paraId="7E2E3C37" w14:textId="4429DBFA">
      <w:pPr>
        <w:pStyle w:val="NoSpacing"/>
        <w:spacing w:line="360" w:lineRule="auto"/>
        <w:rPr>
          <w:szCs w:val="18"/>
        </w:rPr>
      </w:pPr>
      <w:r w:rsidRPr="008B03FA">
        <w:rPr>
          <w:szCs w:val="18"/>
        </w:rPr>
        <w:t>We</w:t>
      </w:r>
      <w:r w:rsidRPr="008B03FA" w:rsidR="00637558">
        <w:rPr>
          <w:szCs w:val="18"/>
        </w:rPr>
        <w:t>l</w:t>
      </w:r>
      <w:r w:rsidRPr="008B03FA">
        <w:rPr>
          <w:szCs w:val="18"/>
        </w:rPr>
        <w:t xml:space="preserve"> vraagt het kabinet aandacht voor de implicaties van de uitbreiding van de Europese capaciteitenpool met </w:t>
      </w:r>
      <w:r w:rsidRPr="008B03FA">
        <w:rPr>
          <w:i/>
          <w:iCs/>
          <w:szCs w:val="18"/>
        </w:rPr>
        <w:t>dual-use</w:t>
      </w:r>
      <w:r w:rsidRPr="008B03FA">
        <w:rPr>
          <w:szCs w:val="18"/>
        </w:rPr>
        <w:t xml:space="preserve"> en niet-traditionele responsmiddelen, zoals medische voorraden en militair logistieke middelen. </w:t>
      </w:r>
      <w:r w:rsidRPr="008B03FA" w:rsidR="00637558">
        <w:rPr>
          <w:szCs w:val="18"/>
        </w:rPr>
        <w:t>Hier</w:t>
      </w:r>
      <w:r w:rsidRPr="008B03FA">
        <w:rPr>
          <w:szCs w:val="18"/>
        </w:rPr>
        <w:t xml:space="preserve"> </w:t>
      </w:r>
      <w:r w:rsidRPr="008B03FA" w:rsidR="00637558">
        <w:rPr>
          <w:szCs w:val="18"/>
        </w:rPr>
        <w:t xml:space="preserve">kunnen </w:t>
      </w:r>
      <w:r w:rsidRPr="008B03FA">
        <w:rPr>
          <w:szCs w:val="18"/>
        </w:rPr>
        <w:t xml:space="preserve">specifieke eisen </w:t>
      </w:r>
      <w:r w:rsidRPr="008B03FA" w:rsidR="00637558">
        <w:rPr>
          <w:szCs w:val="18"/>
        </w:rPr>
        <w:t xml:space="preserve">gelden met betrekking tot de </w:t>
      </w:r>
      <w:r w:rsidRPr="008B03FA">
        <w:rPr>
          <w:szCs w:val="18"/>
        </w:rPr>
        <w:t xml:space="preserve">informatiebeveiliging en </w:t>
      </w:r>
      <w:r w:rsidRPr="008B03FA" w:rsidR="00637558">
        <w:rPr>
          <w:szCs w:val="18"/>
        </w:rPr>
        <w:t xml:space="preserve">de </w:t>
      </w:r>
      <w:r w:rsidRPr="008B03FA">
        <w:rPr>
          <w:szCs w:val="18"/>
        </w:rPr>
        <w:t xml:space="preserve">operationele integriteit. Het voorstel biedt op dit punt beperkte duiding </w:t>
      </w:r>
      <w:r w:rsidR="00510D63">
        <w:rPr>
          <w:szCs w:val="18"/>
        </w:rPr>
        <w:t>over</w:t>
      </w:r>
      <w:r w:rsidRPr="008B03FA" w:rsidR="00510D63">
        <w:rPr>
          <w:szCs w:val="18"/>
        </w:rPr>
        <w:t xml:space="preserve"> </w:t>
      </w:r>
      <w:r w:rsidRPr="008B03FA">
        <w:rPr>
          <w:szCs w:val="18"/>
        </w:rPr>
        <w:t>hoe informatiebeveiliging, interoperabiliteit en cyberveiligheid worden geborgd binnen het bredere mechanisme.</w:t>
      </w:r>
      <w:r w:rsidR="00677DB5">
        <w:rPr>
          <w:rStyle w:val="FootnoteReference"/>
          <w:szCs w:val="18"/>
        </w:rPr>
        <w:footnoteReference w:id="27"/>
      </w:r>
      <w:r w:rsidRPr="008B03FA">
        <w:rPr>
          <w:szCs w:val="18"/>
        </w:rPr>
        <w:t xml:space="preserve"> Het kabinet is voorstander van het benutten van innovatieve en flexibele capaciteiten, maar acht het van belang dat dit gepaard gaat met heldere randvoorwaarden op het gebied van digitale veiligheid en vertrouwelijkheid van </w:t>
      </w:r>
      <w:r w:rsidRPr="008B03FA" w:rsidR="000E1E28">
        <w:rPr>
          <w:szCs w:val="18"/>
        </w:rPr>
        <w:t>(</w:t>
      </w:r>
      <w:r w:rsidRPr="008B03FA">
        <w:rPr>
          <w:szCs w:val="18"/>
        </w:rPr>
        <w:t>operationele</w:t>
      </w:r>
      <w:r w:rsidRPr="008B03FA" w:rsidR="000E1E28">
        <w:rPr>
          <w:szCs w:val="18"/>
        </w:rPr>
        <w:t>)</w:t>
      </w:r>
      <w:r w:rsidRPr="008B03FA">
        <w:rPr>
          <w:szCs w:val="18"/>
        </w:rPr>
        <w:t xml:space="preserve"> data</w:t>
      </w:r>
      <w:r w:rsidRPr="008B03FA" w:rsidR="009E6657">
        <w:rPr>
          <w:szCs w:val="18"/>
        </w:rPr>
        <w:t xml:space="preserve"> (waaronder persoonsgegevens)</w:t>
      </w:r>
      <w:r w:rsidRPr="008B03FA">
        <w:rPr>
          <w:szCs w:val="18"/>
        </w:rPr>
        <w:t>.</w:t>
      </w:r>
    </w:p>
    <w:p w:rsidRPr="008B03FA" w:rsidR="002E54EA" w:rsidP="00D134EC" w:rsidRDefault="002E54EA" w14:paraId="4569F4F0" w14:textId="77777777">
      <w:pPr>
        <w:pStyle w:val="NoSpacing"/>
        <w:spacing w:line="360" w:lineRule="auto"/>
        <w:rPr>
          <w:szCs w:val="18"/>
        </w:rPr>
      </w:pPr>
    </w:p>
    <w:p w:rsidR="00C270C5" w:rsidP="00D134EC" w:rsidRDefault="002E54EA" w14:paraId="065E8B49" w14:textId="77777777">
      <w:pPr>
        <w:pStyle w:val="NoSpacing"/>
        <w:spacing w:line="360" w:lineRule="auto"/>
        <w:rPr>
          <w:szCs w:val="18"/>
        </w:rPr>
      </w:pPr>
      <w:r w:rsidRPr="008B03FA">
        <w:rPr>
          <w:szCs w:val="18"/>
        </w:rPr>
        <w:t xml:space="preserve">Ook de inrichting van </w:t>
      </w:r>
      <w:r w:rsidRPr="008B03FA" w:rsidR="00EB3C0C">
        <w:rPr>
          <w:szCs w:val="18"/>
        </w:rPr>
        <w:t>de H</w:t>
      </w:r>
      <w:r w:rsidRPr="008B03FA" w:rsidR="00637558">
        <w:rPr>
          <w:szCs w:val="18"/>
        </w:rPr>
        <w:t xml:space="preserve">ub </w:t>
      </w:r>
      <w:r w:rsidRPr="008B03FA">
        <w:rPr>
          <w:szCs w:val="18"/>
        </w:rPr>
        <w:t>steun</w:t>
      </w:r>
      <w:r w:rsidRPr="008B03FA" w:rsidR="0011409B">
        <w:rPr>
          <w:szCs w:val="18"/>
        </w:rPr>
        <w:t>t</w:t>
      </w:r>
      <w:r w:rsidRPr="008B03FA">
        <w:rPr>
          <w:szCs w:val="18"/>
        </w:rPr>
        <w:t xml:space="preserve"> het kabinet, ook hier pleitte </w:t>
      </w:r>
      <w:r w:rsidR="004E0BE2">
        <w:rPr>
          <w:szCs w:val="18"/>
        </w:rPr>
        <w:t>het kabinet</w:t>
      </w:r>
      <w:r w:rsidRPr="008B03FA" w:rsidR="004E0BE2">
        <w:rPr>
          <w:szCs w:val="18"/>
        </w:rPr>
        <w:t xml:space="preserve"> </w:t>
      </w:r>
      <w:r w:rsidRPr="008B03FA">
        <w:rPr>
          <w:szCs w:val="18"/>
        </w:rPr>
        <w:t xml:space="preserve">al voor in het </w:t>
      </w:r>
      <w:r w:rsidRPr="008B03FA" w:rsidR="008F352C">
        <w:rPr>
          <w:szCs w:val="18"/>
        </w:rPr>
        <w:t xml:space="preserve">eerder </w:t>
      </w:r>
      <w:r w:rsidRPr="008B03FA" w:rsidR="00EB3C0C">
        <w:rPr>
          <w:szCs w:val="18"/>
        </w:rPr>
        <w:t>genoemde</w:t>
      </w:r>
      <w:r w:rsidRPr="008B03FA" w:rsidR="008F352C">
        <w:rPr>
          <w:szCs w:val="18"/>
        </w:rPr>
        <w:t xml:space="preserve"> </w:t>
      </w:r>
      <w:r w:rsidRPr="008B03FA">
        <w:rPr>
          <w:szCs w:val="18"/>
        </w:rPr>
        <w:t>non-pa</w:t>
      </w:r>
      <w:r w:rsidRPr="008B03FA" w:rsidR="00E82BCA">
        <w:rPr>
          <w:szCs w:val="18"/>
        </w:rPr>
        <w:t>p</w:t>
      </w:r>
      <w:r w:rsidRPr="008B03FA">
        <w:rPr>
          <w:szCs w:val="18"/>
        </w:rPr>
        <w:t xml:space="preserve">er. </w:t>
      </w:r>
      <w:r w:rsidRPr="008B03FA" w:rsidR="008F352C">
        <w:rPr>
          <w:szCs w:val="18"/>
        </w:rPr>
        <w:t xml:space="preserve">Het kabinet </w:t>
      </w:r>
      <w:r w:rsidRPr="008B03FA">
        <w:rPr>
          <w:szCs w:val="18"/>
        </w:rPr>
        <w:t xml:space="preserve">ziet graag dat </w:t>
      </w:r>
      <w:r w:rsidRPr="008B03FA" w:rsidR="008F352C">
        <w:rPr>
          <w:szCs w:val="18"/>
        </w:rPr>
        <w:t xml:space="preserve">de EU </w:t>
      </w:r>
      <w:r w:rsidRPr="008B03FA">
        <w:rPr>
          <w:szCs w:val="18"/>
        </w:rPr>
        <w:t xml:space="preserve">over een centraal aangestuurde informatie- en coördinatiestructuur beschikt, zodat </w:t>
      </w:r>
      <w:r w:rsidRPr="0043318E">
        <w:rPr>
          <w:szCs w:val="18"/>
        </w:rPr>
        <w:t>‘</w:t>
      </w:r>
      <w:r w:rsidRPr="008B03FA">
        <w:rPr>
          <w:i/>
          <w:iCs/>
          <w:szCs w:val="18"/>
        </w:rPr>
        <w:t>fast-moving</w:t>
      </w:r>
      <w:r w:rsidRPr="0043318E">
        <w:rPr>
          <w:szCs w:val="18"/>
        </w:rPr>
        <w:t>’</w:t>
      </w:r>
      <w:r w:rsidRPr="008B03FA">
        <w:rPr>
          <w:szCs w:val="18"/>
        </w:rPr>
        <w:t xml:space="preserve"> dreigingen tijdig en coherent kunnen worden aangepakt. Deze </w:t>
      </w:r>
      <w:r w:rsidRPr="008B03FA" w:rsidR="00EB3C0C">
        <w:rPr>
          <w:szCs w:val="18"/>
        </w:rPr>
        <w:t>H</w:t>
      </w:r>
      <w:r w:rsidRPr="008B03FA">
        <w:rPr>
          <w:szCs w:val="18"/>
        </w:rPr>
        <w:t xml:space="preserve">ub biedt de </w:t>
      </w:r>
      <w:r w:rsidRPr="008B03FA" w:rsidR="000E1E28">
        <w:rPr>
          <w:szCs w:val="18"/>
        </w:rPr>
        <w:t xml:space="preserve">noodzakelijke </w:t>
      </w:r>
      <w:r w:rsidRPr="008B03FA">
        <w:rPr>
          <w:szCs w:val="18"/>
        </w:rPr>
        <w:t>schakel tussen nationale autoriteiten en bestaande EU-mechanismen.</w:t>
      </w:r>
      <w:r w:rsidRPr="008B03FA" w:rsidR="00E63CC9">
        <w:rPr>
          <w:szCs w:val="18"/>
        </w:rPr>
        <w:t xml:space="preserve"> Hoewel het kabinet het voorstel in algemene zin positief beoordeelt, zijn er enkele elementen die nadere toelichting of verdere uitwerking behoeven. </w:t>
      </w:r>
    </w:p>
    <w:p w:rsidRPr="008B03FA" w:rsidR="002E54EA" w:rsidP="00D134EC" w:rsidRDefault="00E63CC9" w14:paraId="4AA9F228" w14:textId="054D6D16">
      <w:pPr>
        <w:pStyle w:val="NoSpacing"/>
        <w:spacing w:line="360" w:lineRule="auto"/>
        <w:rPr>
          <w:szCs w:val="18"/>
        </w:rPr>
      </w:pPr>
      <w:r w:rsidRPr="008B03FA">
        <w:rPr>
          <w:szCs w:val="18"/>
        </w:rPr>
        <w:lastRenderedPageBreak/>
        <w:t xml:space="preserve">Zo is het voorstel onduidelijk over de precieze inrichting van de </w:t>
      </w:r>
      <w:r w:rsidRPr="008B03FA" w:rsidR="00EB3C0C">
        <w:rPr>
          <w:szCs w:val="18"/>
        </w:rPr>
        <w:t>H</w:t>
      </w:r>
      <w:r w:rsidRPr="008B03FA" w:rsidR="0040181B">
        <w:rPr>
          <w:szCs w:val="18"/>
        </w:rPr>
        <w:t>ub</w:t>
      </w:r>
      <w:r w:rsidRPr="008B03FA">
        <w:rPr>
          <w:szCs w:val="18"/>
        </w:rPr>
        <w:t xml:space="preserve">. De Commissie geeft aan dat deze </w:t>
      </w:r>
      <w:r w:rsidRPr="008B03FA" w:rsidR="00EB3C0C">
        <w:rPr>
          <w:szCs w:val="18"/>
        </w:rPr>
        <w:t>H</w:t>
      </w:r>
      <w:r w:rsidRPr="008B03FA" w:rsidR="0040181B">
        <w:rPr>
          <w:szCs w:val="18"/>
        </w:rPr>
        <w:t xml:space="preserve">ub </w:t>
      </w:r>
      <w:r w:rsidRPr="008B03FA" w:rsidR="005B146F">
        <w:rPr>
          <w:szCs w:val="18"/>
        </w:rPr>
        <w:t xml:space="preserve">voortbouwt op </w:t>
      </w:r>
      <w:r w:rsidRPr="008B03FA" w:rsidR="006338C4">
        <w:rPr>
          <w:szCs w:val="18"/>
        </w:rPr>
        <w:t xml:space="preserve">de </w:t>
      </w:r>
      <w:r w:rsidRPr="008B03FA" w:rsidR="005B146F">
        <w:rPr>
          <w:szCs w:val="18"/>
        </w:rPr>
        <w:t xml:space="preserve">bestaande </w:t>
      </w:r>
      <w:r w:rsidRPr="008B03FA" w:rsidR="006338C4">
        <w:rPr>
          <w:szCs w:val="18"/>
        </w:rPr>
        <w:t xml:space="preserve">structuren van het </w:t>
      </w:r>
      <w:r w:rsidRPr="00314606" w:rsidR="00314606">
        <w:rPr>
          <w:szCs w:val="18"/>
        </w:rPr>
        <w:t>Europese Coördinatiecentrum</w:t>
      </w:r>
      <w:r w:rsidRPr="008B03FA" w:rsidR="00314606">
        <w:rPr>
          <w:szCs w:val="18"/>
        </w:rPr>
        <w:t xml:space="preserve"> </w:t>
      </w:r>
      <w:r w:rsidRPr="008B03FA">
        <w:rPr>
          <w:szCs w:val="18"/>
        </w:rPr>
        <w:t xml:space="preserve">en een centrale rol zal spelen in de coördinatie van cross-sectorale crises. Het blijft echter onduidelijk hoe deze </w:t>
      </w:r>
      <w:r w:rsidRPr="008B03FA" w:rsidR="00EB3C0C">
        <w:rPr>
          <w:szCs w:val="18"/>
        </w:rPr>
        <w:t>H</w:t>
      </w:r>
      <w:r w:rsidRPr="008B03FA">
        <w:rPr>
          <w:szCs w:val="18"/>
        </w:rPr>
        <w:t xml:space="preserve">ub organisatorisch en operationeel wordt gepositioneerd ten opzichte van </w:t>
      </w:r>
      <w:r w:rsidRPr="008B03FA" w:rsidR="006338C4">
        <w:rPr>
          <w:szCs w:val="18"/>
        </w:rPr>
        <w:t>het</w:t>
      </w:r>
      <w:r w:rsidRPr="00314606" w:rsidR="00314606">
        <w:rPr>
          <w:i/>
          <w:iCs/>
          <w:szCs w:val="18"/>
        </w:rPr>
        <w:t xml:space="preserve"> </w:t>
      </w:r>
      <w:r w:rsidRPr="00314606" w:rsidR="00314606">
        <w:rPr>
          <w:szCs w:val="18"/>
        </w:rPr>
        <w:t>Europese Coördinatiecentrum</w:t>
      </w:r>
      <w:r w:rsidRPr="008B03FA" w:rsidR="005B146F">
        <w:rPr>
          <w:szCs w:val="18"/>
        </w:rPr>
        <w:t>,</w:t>
      </w:r>
      <w:r w:rsidRPr="008B03FA" w:rsidR="00EB3C0C">
        <w:rPr>
          <w:szCs w:val="18"/>
        </w:rPr>
        <w:t xml:space="preserve"> ten opzichte van</w:t>
      </w:r>
      <w:r w:rsidRPr="008B03FA" w:rsidR="005B146F">
        <w:rPr>
          <w:szCs w:val="18"/>
        </w:rPr>
        <w:t xml:space="preserve"> sectorale crisis</w:t>
      </w:r>
      <w:r w:rsidRPr="008B03FA">
        <w:rPr>
          <w:szCs w:val="18"/>
        </w:rPr>
        <w:t>structuren en in hoeverre er sprake zal zijn van aanvullende bevoegdheden, personeel of middelen.</w:t>
      </w:r>
      <w:r w:rsidR="002B6E5E">
        <w:rPr>
          <w:szCs w:val="18"/>
        </w:rPr>
        <w:t xml:space="preserve"> </w:t>
      </w:r>
      <w:r w:rsidRPr="006F1B16" w:rsidR="006F1B16">
        <w:rPr>
          <w:szCs w:val="18"/>
        </w:rPr>
        <w:t xml:space="preserve">De precieze positionering van de Hub biedt </w:t>
      </w:r>
      <w:r w:rsidR="006F1B16">
        <w:rPr>
          <w:szCs w:val="18"/>
        </w:rPr>
        <w:t xml:space="preserve">daarmee </w:t>
      </w:r>
      <w:r w:rsidRPr="006F1B16" w:rsidR="006F1B16">
        <w:rPr>
          <w:szCs w:val="18"/>
        </w:rPr>
        <w:t>ruimte voor nadere concretisering; het kabinet ziet hier een kans om bij te dragen aan een efficiënte en goed ingebedde structuur, in lijn met bestaande coördinatiemechanismen.</w:t>
      </w:r>
      <w:r w:rsidR="002B6E5E">
        <w:rPr>
          <w:szCs w:val="18"/>
        </w:rPr>
        <w:t xml:space="preserve"> </w:t>
      </w:r>
      <w:r w:rsidRPr="002B6E5E" w:rsidR="002B6E5E">
        <w:rPr>
          <w:szCs w:val="18"/>
        </w:rPr>
        <w:t xml:space="preserve">Zo blijft het bestaande Europese Coördinatiecentrum effectief en efficiënt functioneren, en wordt voorkomen dat </w:t>
      </w:r>
      <w:r w:rsidR="0021252D">
        <w:rPr>
          <w:szCs w:val="18"/>
        </w:rPr>
        <w:t xml:space="preserve">er </w:t>
      </w:r>
      <w:r w:rsidRPr="002B6E5E" w:rsidR="002B6E5E">
        <w:rPr>
          <w:szCs w:val="18"/>
        </w:rPr>
        <w:t>parallelle structuren worden opgebouwd.</w:t>
      </w:r>
      <w:r w:rsidR="00540F39">
        <w:rPr>
          <w:szCs w:val="18"/>
        </w:rPr>
        <w:t xml:space="preserve"> De inzet van het kabinet is dat er zoveel </w:t>
      </w:r>
      <w:r w:rsidRPr="00540F39" w:rsidR="00540F39">
        <w:rPr>
          <w:szCs w:val="18"/>
        </w:rPr>
        <w:t xml:space="preserve">mogelijk gebruik gemaakt </w:t>
      </w:r>
      <w:r w:rsidR="00540F39">
        <w:rPr>
          <w:szCs w:val="18"/>
        </w:rPr>
        <w:t xml:space="preserve">wordt </w:t>
      </w:r>
      <w:r w:rsidRPr="00540F39" w:rsidR="00540F39">
        <w:rPr>
          <w:szCs w:val="18"/>
        </w:rPr>
        <w:t>van de bestaande infrastructuur om efficiënt en effectief te zijn. Het kabinet is van mening dat de uitbreiding moet bijdragen aan een meer gestroomlijnde werking van het bestaande mechanisme, zonder een nieuwe bureaucratie te introduceren. De uitbreiding moet naast de operationele aspecten ook bijdragen aan het goed kunnen informeren van politieke besluitvorming in de Raad.</w:t>
      </w:r>
    </w:p>
    <w:p w:rsidRPr="008B03FA" w:rsidR="005B146F" w:rsidP="00D134EC" w:rsidRDefault="005B146F" w14:paraId="550FEF3A" w14:textId="77777777">
      <w:pPr>
        <w:pStyle w:val="NoSpacing"/>
        <w:spacing w:line="360" w:lineRule="auto"/>
        <w:rPr>
          <w:szCs w:val="18"/>
        </w:rPr>
      </w:pPr>
    </w:p>
    <w:p w:rsidR="0073018B" w:rsidP="00D134EC" w:rsidRDefault="00535824" w14:paraId="1877116B" w14:textId="29FD2E03">
      <w:pPr>
        <w:pStyle w:val="NoSpacing"/>
        <w:spacing w:line="360" w:lineRule="auto"/>
        <w:rPr>
          <w:szCs w:val="18"/>
        </w:rPr>
      </w:pPr>
      <w:bookmarkStart w:name="_Hlk204073583" w:id="3"/>
      <w:r w:rsidRPr="00535824">
        <w:rPr>
          <w:szCs w:val="18"/>
        </w:rPr>
        <w:t xml:space="preserve">Het kabinet steunt voorstellen die gericht zijn op de vereenvoudiging van regelgeving en financieringsstructuren, voor zover deze zich beperken tot administratieve en financiële aspecten, omdat dit de administratieve lasten voor zowel de EU als de lidstaten verlaagt. Dit sluit aan bij het in het hoofdlijnenakkoord opgenomen streven naar efficiëntere EU-instrumenten en minder bureaucratie zonder in te boeten op effectiviteit. De voorgestelde harmonisatie van het juridisch kader voor de financiële afwikkeling, de cofinancieringspercentages en het gebruik van sneltoetsen in noodsituaties passen daarbij, mits deze niet leiden tot harmonisatiemaatregelen op het terrein van volksgezondheid in strijd met artikel 168, vijfde lid, </w:t>
      </w:r>
      <w:r w:rsidR="00F67983">
        <w:rPr>
          <w:szCs w:val="18"/>
        </w:rPr>
        <w:t xml:space="preserve">van het </w:t>
      </w:r>
      <w:r w:rsidRPr="00535824">
        <w:rPr>
          <w:szCs w:val="18"/>
        </w:rPr>
        <w:t>VWEU. Het kabinet hecht eraan dat vereenvoudiging van het juridisch kader niet resulteert in een verhoging van de EU-cofinanciering ten koste van nationale verantwoordelijkheid. Cofinanciering dient een stimulans te blijven voor lidstaten om ook zelf substantieel bij te dragen aan crisisparaatheid.</w:t>
      </w:r>
    </w:p>
    <w:p w:rsidR="00535824" w:rsidP="00D134EC" w:rsidRDefault="00535824" w14:paraId="3BF21D7F" w14:textId="77777777">
      <w:pPr>
        <w:pStyle w:val="NoSpacing"/>
        <w:spacing w:line="360" w:lineRule="auto"/>
        <w:rPr>
          <w:szCs w:val="18"/>
        </w:rPr>
      </w:pPr>
    </w:p>
    <w:p w:rsidRPr="008B03FA" w:rsidR="002E54EA" w:rsidP="00D134EC" w:rsidRDefault="0011409B" w14:paraId="42AF3982" w14:textId="2D57724A">
      <w:pPr>
        <w:pStyle w:val="NoSpacing"/>
        <w:spacing w:line="360" w:lineRule="auto"/>
        <w:rPr>
          <w:szCs w:val="18"/>
        </w:rPr>
      </w:pPr>
      <w:r w:rsidRPr="008B03FA">
        <w:rPr>
          <w:szCs w:val="18"/>
        </w:rPr>
        <w:t xml:space="preserve">Het kabinet blijft alert dat de verdeling van budgetten binnen </w:t>
      </w:r>
      <w:r w:rsidR="00BA6244">
        <w:rPr>
          <w:szCs w:val="18"/>
        </w:rPr>
        <w:t>het Uniemechanisme</w:t>
      </w:r>
      <w:r w:rsidRPr="008B03FA">
        <w:rPr>
          <w:szCs w:val="18"/>
        </w:rPr>
        <w:t xml:space="preserve"> recht doen aan de verschillende </w:t>
      </w:r>
      <w:r w:rsidRPr="008B03FA" w:rsidR="00641EA2">
        <w:rPr>
          <w:szCs w:val="18"/>
        </w:rPr>
        <w:t>(</w:t>
      </w:r>
      <w:r w:rsidRPr="008B03FA">
        <w:rPr>
          <w:szCs w:val="18"/>
        </w:rPr>
        <w:t>gezondheids</w:t>
      </w:r>
      <w:r w:rsidR="00286B16">
        <w:rPr>
          <w:szCs w:val="18"/>
        </w:rPr>
        <w:t>-</w:t>
      </w:r>
      <w:r w:rsidRPr="008B03FA" w:rsidR="00641EA2">
        <w:rPr>
          <w:szCs w:val="18"/>
        </w:rPr>
        <w:t>)</w:t>
      </w:r>
      <w:r w:rsidRPr="008B03FA">
        <w:rPr>
          <w:szCs w:val="18"/>
        </w:rPr>
        <w:t xml:space="preserve">dreigingen die er zijn. Daar moet ook aandacht blijven voor de verschillen in karakter tussen crisis- en gezondheidsparaatheid tegenover </w:t>
      </w:r>
      <w:r w:rsidRPr="008B03FA" w:rsidR="006A3A42">
        <w:rPr>
          <w:szCs w:val="18"/>
        </w:rPr>
        <w:t>het reactieve en ad-hoc</w:t>
      </w:r>
      <w:r w:rsidRPr="008B03FA">
        <w:rPr>
          <w:szCs w:val="18"/>
        </w:rPr>
        <w:t xml:space="preserve"> karakter van respons.</w:t>
      </w:r>
      <w:bookmarkEnd w:id="3"/>
    </w:p>
    <w:p w:rsidRPr="008B03FA" w:rsidR="002E54EA" w:rsidP="00D134EC" w:rsidRDefault="002E54EA" w14:paraId="5724A9E6" w14:textId="77777777">
      <w:pPr>
        <w:pStyle w:val="NoSpacing"/>
        <w:spacing w:line="360" w:lineRule="auto"/>
        <w:rPr>
          <w:szCs w:val="18"/>
        </w:rPr>
      </w:pPr>
    </w:p>
    <w:p w:rsidRPr="008B03FA" w:rsidR="002E54EA" w:rsidP="00D134EC" w:rsidRDefault="002E54EA" w14:paraId="573E19F3" w14:textId="38EE549D">
      <w:pPr>
        <w:pStyle w:val="NoSpacing"/>
        <w:spacing w:line="360" w:lineRule="auto"/>
        <w:rPr>
          <w:szCs w:val="18"/>
        </w:rPr>
      </w:pPr>
      <w:r w:rsidRPr="008B03FA">
        <w:rPr>
          <w:szCs w:val="18"/>
        </w:rPr>
        <w:t xml:space="preserve">In lijn met de belofte uit het </w:t>
      </w:r>
      <w:r w:rsidRPr="008B03FA" w:rsidR="008F352C">
        <w:rPr>
          <w:szCs w:val="18"/>
        </w:rPr>
        <w:t xml:space="preserve">hoofdlijnenakkoord </w:t>
      </w:r>
      <w:r w:rsidRPr="008B03FA">
        <w:rPr>
          <w:szCs w:val="18"/>
        </w:rPr>
        <w:t xml:space="preserve">om civiel-militaire samenwerking te versterken, ondersteunt het kabinet de nieuwe civiel-militaire paraatheidskaders. </w:t>
      </w:r>
      <w:r w:rsidRPr="008B03FA" w:rsidR="008F7C8F">
        <w:rPr>
          <w:szCs w:val="18"/>
        </w:rPr>
        <w:t>Het kabinet</w:t>
      </w:r>
      <w:r w:rsidRPr="008B03FA">
        <w:rPr>
          <w:szCs w:val="18"/>
        </w:rPr>
        <w:t xml:space="preserve"> heeft eerder gepleit voor een heldere rolverdeling en optimale inzet van </w:t>
      </w:r>
      <w:r w:rsidRPr="008B03FA">
        <w:rPr>
          <w:i/>
          <w:iCs/>
          <w:szCs w:val="18"/>
        </w:rPr>
        <w:t>dual-use</w:t>
      </w:r>
      <w:r w:rsidRPr="008B03FA">
        <w:rPr>
          <w:szCs w:val="18"/>
        </w:rPr>
        <w:t xml:space="preserve"> capaciteiten in Europees verband, en ziet in dit voorstel een concrete vertaling van die ambitie. Dat de Commissie hierbij inzet op een </w:t>
      </w:r>
      <w:r w:rsidRPr="008B03FA" w:rsidR="004D5A75">
        <w:rPr>
          <w:szCs w:val="18"/>
        </w:rPr>
        <w:t>overheidsbrede</w:t>
      </w:r>
      <w:r w:rsidR="00A12BA1">
        <w:rPr>
          <w:szCs w:val="18"/>
        </w:rPr>
        <w:t xml:space="preserve"> </w:t>
      </w:r>
      <w:r w:rsidRPr="008B03FA">
        <w:rPr>
          <w:szCs w:val="18"/>
        </w:rPr>
        <w:t>benadering, is in lijn met wat het kabinet nationaal doet voor de weerbaarheidsopgave.</w:t>
      </w:r>
    </w:p>
    <w:p w:rsidRPr="008B03FA" w:rsidR="002E54EA" w:rsidP="00D134EC" w:rsidRDefault="002E54EA" w14:paraId="16ABFDAD" w14:textId="77777777">
      <w:pPr>
        <w:pStyle w:val="NoSpacing"/>
        <w:spacing w:line="360" w:lineRule="auto"/>
        <w:rPr>
          <w:szCs w:val="18"/>
        </w:rPr>
      </w:pPr>
    </w:p>
    <w:p w:rsidRPr="008B03FA" w:rsidR="002E54EA" w:rsidP="00D134EC" w:rsidRDefault="008B23FE" w14:paraId="0476646F" w14:textId="333B2218">
      <w:pPr>
        <w:pStyle w:val="NoSpacing"/>
        <w:spacing w:line="360" w:lineRule="auto"/>
        <w:rPr>
          <w:szCs w:val="18"/>
        </w:rPr>
      </w:pPr>
      <w:r w:rsidRPr="008B03FA">
        <w:rPr>
          <w:szCs w:val="18"/>
        </w:rPr>
        <w:t xml:space="preserve">Het kabinet steunt </w:t>
      </w:r>
      <w:r w:rsidRPr="008B03FA" w:rsidR="002E54EA">
        <w:rPr>
          <w:szCs w:val="18"/>
        </w:rPr>
        <w:t xml:space="preserve">de verdere ontwikkeling van het </w:t>
      </w:r>
      <w:r w:rsidR="003031EE">
        <w:rPr>
          <w:i/>
          <w:iCs/>
          <w:szCs w:val="18"/>
        </w:rPr>
        <w:t>Kennisnetwerk van het Uniemechanisme</w:t>
      </w:r>
      <w:r w:rsidRPr="008B03FA" w:rsidR="00B47831">
        <w:rPr>
          <w:szCs w:val="18"/>
        </w:rPr>
        <w:t xml:space="preserve"> </w:t>
      </w:r>
      <w:r w:rsidRPr="008B03FA" w:rsidR="002E54EA">
        <w:rPr>
          <w:szCs w:val="18"/>
        </w:rPr>
        <w:t xml:space="preserve">en de oprichting van een wetenschappelijke adviesstructuur. Deze kennis- en analyseknooppunten dragen bij aan continue capaciteitsopbouw en innovatieve praktijkuitwisseling, precies zoals beoogd in de </w:t>
      </w:r>
      <w:r w:rsidRPr="008B03FA" w:rsidR="002E54EA">
        <w:rPr>
          <w:szCs w:val="18"/>
        </w:rPr>
        <w:lastRenderedPageBreak/>
        <w:t>versterking van de EU-crisisrespons. Ook de uitbreiding van medische evacuatiemogelijkheden</w:t>
      </w:r>
      <w:r w:rsidRPr="008B03FA" w:rsidR="00B47214">
        <w:rPr>
          <w:szCs w:val="18"/>
        </w:rPr>
        <w:t xml:space="preserve"> met daarin een </w:t>
      </w:r>
      <w:r w:rsidRPr="008B03FA" w:rsidR="00B47214">
        <w:rPr>
          <w:i/>
          <w:iCs/>
          <w:szCs w:val="18"/>
        </w:rPr>
        <w:t>assessment-team</w:t>
      </w:r>
      <w:r w:rsidRPr="008B03FA" w:rsidR="00B47214">
        <w:rPr>
          <w:szCs w:val="18"/>
        </w:rPr>
        <w:t>, medische evacuatie hubs en het uiteenzetten van generieke procedures rondom medische evacuaties, kunnen bijdragen aan het kabinetsvoornemen om grote aantallen (militaire) gewonden op te kunnen vangen door een effectievere spreiding van patiënten</w:t>
      </w:r>
      <w:r w:rsidR="00D9132D">
        <w:rPr>
          <w:szCs w:val="18"/>
        </w:rPr>
        <w:t>.</w:t>
      </w:r>
      <w:r w:rsidRPr="008B03FA" w:rsidR="00B47214">
        <w:rPr>
          <w:rStyle w:val="FootnoteReference"/>
          <w:szCs w:val="18"/>
        </w:rPr>
        <w:footnoteReference w:id="28"/>
      </w:r>
      <w:r w:rsidR="00D9132D">
        <w:rPr>
          <w:szCs w:val="18"/>
        </w:rPr>
        <w:t xml:space="preserve"> </w:t>
      </w:r>
      <w:r w:rsidRPr="008B03FA" w:rsidR="00B47214">
        <w:rPr>
          <w:szCs w:val="18"/>
        </w:rPr>
        <w:t>Het is daarbij van essentieel belang dat lidstaten zeggenschap behouden over participatie in medische evacuaties en missies, opdat de inzet aansluit bij de nationale zorgcapaciteit en continuïteitsopgaven. Verder wordt</w:t>
      </w:r>
      <w:r w:rsidRPr="008B03FA" w:rsidR="002E54EA">
        <w:rPr>
          <w:szCs w:val="18"/>
        </w:rPr>
        <w:t xml:space="preserve"> de tijdelijke financiering van nationale bluscapaciteiten door het kabinet gesteund, gezien hun cruciale rol bij de bescherming van Nederlandse en Europese burgers in acute noodsituaties.</w:t>
      </w:r>
    </w:p>
    <w:p w:rsidRPr="008B03FA" w:rsidR="0011409B" w:rsidP="00D134EC" w:rsidRDefault="0011409B" w14:paraId="7133F4CC" w14:textId="77777777">
      <w:pPr>
        <w:pStyle w:val="NoSpacing"/>
        <w:spacing w:line="360" w:lineRule="auto"/>
        <w:rPr>
          <w:szCs w:val="18"/>
        </w:rPr>
      </w:pPr>
    </w:p>
    <w:p w:rsidRPr="008B03FA" w:rsidR="0011409B" w:rsidP="00D134EC" w:rsidRDefault="0011409B" w14:paraId="018F97BD" w14:textId="65CA3FDD">
      <w:pPr>
        <w:pStyle w:val="NoSpacing"/>
        <w:spacing w:line="360" w:lineRule="auto"/>
        <w:rPr>
          <w:szCs w:val="18"/>
        </w:rPr>
      </w:pPr>
      <w:r w:rsidRPr="008B03FA">
        <w:rPr>
          <w:szCs w:val="18"/>
        </w:rPr>
        <w:t>Het kabinet verwelkomt de</w:t>
      </w:r>
      <w:r w:rsidRPr="008B03FA" w:rsidR="009520BD">
        <w:rPr>
          <w:szCs w:val="18"/>
        </w:rPr>
        <w:t xml:space="preserve"> extra</w:t>
      </w:r>
      <w:r w:rsidRPr="008B03FA">
        <w:rPr>
          <w:szCs w:val="18"/>
        </w:rPr>
        <w:t xml:space="preserve"> inzet op de beschikbaarheid en toegankelijkheid van medische tegenmaatregelen, met name via voorraden, gezamenlijke inkoop, het aanleggen van voorraden en de inzet ervan en de coördinatie van acties en versterking van capaciteitsopbouw</w:t>
      </w:r>
      <w:r w:rsidRPr="008B03FA" w:rsidR="009520BD">
        <w:rPr>
          <w:szCs w:val="18"/>
        </w:rPr>
        <w:t>, dit in aanvulling op en ter ondersteuning van het bestaande wettelijk kader op dit vlak.</w:t>
      </w:r>
      <w:r w:rsidRPr="008B03FA" w:rsidR="009520BD">
        <w:rPr>
          <w:rStyle w:val="FootnoteReference"/>
          <w:szCs w:val="18"/>
        </w:rPr>
        <w:footnoteReference w:id="29"/>
      </w:r>
      <w:r w:rsidRPr="008B03FA">
        <w:rPr>
          <w:szCs w:val="18"/>
        </w:rPr>
        <w:t xml:space="preserve"> Het kabinet vindt het van belang dat in de uitwerking rekening gehouden wordt </w:t>
      </w:r>
      <w:r w:rsidRPr="008B03FA" w:rsidR="008D572C">
        <w:rPr>
          <w:szCs w:val="18"/>
        </w:rPr>
        <w:t xml:space="preserve">dat </w:t>
      </w:r>
      <w:r w:rsidRPr="008B03FA">
        <w:rPr>
          <w:szCs w:val="18"/>
        </w:rPr>
        <w:t>bij het opbouwen van voorraden geen tekorten in het reguliere systeem mogen ontstaan en reguliere systemen hier geen hinder van mogen ondervinden. Daarbij dienen er weloverwogen keuzes te worden gemaakt welke medische tegenmaatregelen in aanmerking komen voor welke van voorgenoemde instrumenten zoals voorraden aanleggen, gezamenlijke inkoop en dergelijke. Het kabinet zal hierbij ook pleiten voor grondig onderzoek en overleg voorafgaand aan dergelijke beslissingen, rechtdoende aan de voorziene situaties en bijpassende scenario’s, met oog voor de verdeling van nationale competenties. Er dient immers goed gekeken te worden naar subsidiariteit van de keuze van een specifiek instrument.</w:t>
      </w:r>
    </w:p>
    <w:p w:rsidRPr="008B03FA" w:rsidR="0011409B" w:rsidP="00D134EC" w:rsidRDefault="0011409B" w14:paraId="5DA0DDC7" w14:textId="77777777">
      <w:pPr>
        <w:pStyle w:val="NoSpacing"/>
        <w:spacing w:line="360" w:lineRule="auto"/>
        <w:rPr>
          <w:szCs w:val="18"/>
        </w:rPr>
      </w:pPr>
    </w:p>
    <w:p w:rsidRPr="008B03FA" w:rsidR="0011409B" w:rsidP="00D134EC" w:rsidRDefault="0011409B" w14:paraId="36C7CD2F" w14:textId="527AEF82">
      <w:pPr>
        <w:pStyle w:val="NoSpacing"/>
        <w:spacing w:line="360" w:lineRule="auto"/>
        <w:rPr>
          <w:szCs w:val="18"/>
        </w:rPr>
      </w:pPr>
      <w:r w:rsidRPr="008B03FA">
        <w:rPr>
          <w:szCs w:val="18"/>
        </w:rPr>
        <w:t xml:space="preserve">In het kader van de </w:t>
      </w:r>
      <w:r w:rsidRPr="008B03FA" w:rsidR="003E2ADD">
        <w:rPr>
          <w:szCs w:val="18"/>
        </w:rPr>
        <w:t xml:space="preserve">door de </w:t>
      </w:r>
      <w:r w:rsidRPr="008B03FA">
        <w:rPr>
          <w:szCs w:val="18"/>
        </w:rPr>
        <w:t xml:space="preserve">Commissie voorgestelde steun aan lidstaten op paraatheid en response van gezondheidsdreigingen op het bovenstaande, maar ook rondom surveillance en IT infrastructuur, vraagt het kabinet de Commissie om een verduidelijking en uitwerking van de uitvoering hiervan. </w:t>
      </w:r>
    </w:p>
    <w:p w:rsidRPr="008B03FA" w:rsidR="00C53BEF" w:rsidP="00D134EC" w:rsidRDefault="00C53BEF" w14:paraId="7784E88D" w14:textId="77777777">
      <w:pPr>
        <w:pStyle w:val="NoSpacing"/>
        <w:spacing w:line="360" w:lineRule="auto"/>
        <w:rPr>
          <w:szCs w:val="18"/>
        </w:rPr>
      </w:pPr>
    </w:p>
    <w:p w:rsidR="008B23FE" w:rsidP="00D134EC" w:rsidRDefault="003031EE" w14:paraId="7E1C6A5F" w14:textId="40952B2B">
      <w:pPr>
        <w:pStyle w:val="NoSpacing"/>
        <w:spacing w:line="360" w:lineRule="auto"/>
        <w:rPr>
          <w:szCs w:val="18"/>
        </w:rPr>
      </w:pPr>
      <w:r w:rsidRPr="003031EE">
        <w:rPr>
          <w:szCs w:val="18"/>
        </w:rPr>
        <w:t xml:space="preserve">Wat betreft bevolkingsalertering herkent het kabinet de toenemende aandacht voor Europese samenwerking op dit terrein. In het eerder uitgebrachte BNC-fiche over de Paraatheidsuniestrategie heeft het kabinet aangegeven dat het satellietsysteem </w:t>
      </w:r>
      <w:r w:rsidRPr="003031EE">
        <w:rPr>
          <w:i/>
          <w:iCs/>
          <w:szCs w:val="18"/>
        </w:rPr>
        <w:t>Galileo</w:t>
      </w:r>
      <w:r w:rsidRPr="003031EE">
        <w:rPr>
          <w:szCs w:val="18"/>
        </w:rPr>
        <w:t xml:space="preserve"> mogelijk </w:t>
      </w:r>
      <w:r>
        <w:rPr>
          <w:szCs w:val="18"/>
        </w:rPr>
        <w:t xml:space="preserve">als </w:t>
      </w:r>
      <w:r w:rsidRPr="003031EE">
        <w:rPr>
          <w:i/>
          <w:iCs/>
          <w:szCs w:val="18"/>
        </w:rPr>
        <w:t>fall-back</w:t>
      </w:r>
      <w:r w:rsidRPr="003031EE">
        <w:rPr>
          <w:szCs w:val="18"/>
        </w:rPr>
        <w:t xml:space="preserve"> voor </w:t>
      </w:r>
      <w:r>
        <w:rPr>
          <w:szCs w:val="18"/>
        </w:rPr>
        <w:t xml:space="preserve">nationale </w:t>
      </w:r>
      <w:r w:rsidRPr="003031EE">
        <w:rPr>
          <w:szCs w:val="18"/>
        </w:rPr>
        <w:t xml:space="preserve">alertering kan dienen. Daarbij is benadrukt dat </w:t>
      </w:r>
      <w:r w:rsidRPr="003031EE">
        <w:rPr>
          <w:i/>
          <w:iCs/>
          <w:szCs w:val="18"/>
        </w:rPr>
        <w:t>Galileo</w:t>
      </w:r>
      <w:r w:rsidRPr="003031EE">
        <w:rPr>
          <w:szCs w:val="18"/>
        </w:rPr>
        <w:t xml:space="preserve"> wél geschikt moet zijn als distributiekanaal voor NL-Alert, en dus moet kunnen worden geïntegreerd in </w:t>
      </w:r>
      <w:r>
        <w:rPr>
          <w:szCs w:val="18"/>
        </w:rPr>
        <w:t xml:space="preserve">processen die </w:t>
      </w:r>
      <w:r w:rsidRPr="003031EE">
        <w:rPr>
          <w:szCs w:val="18"/>
        </w:rPr>
        <w:t xml:space="preserve">de nationale crisisstructuur </w:t>
      </w:r>
      <w:r>
        <w:rPr>
          <w:szCs w:val="18"/>
        </w:rPr>
        <w:t>ondersteunen</w:t>
      </w:r>
      <w:r w:rsidRPr="003031EE">
        <w:rPr>
          <w:szCs w:val="18"/>
        </w:rPr>
        <w:t xml:space="preserve">. Cruciaal is dat de alertering voor burgers en crisispartners </w:t>
      </w:r>
      <w:r w:rsidRPr="003031EE">
        <w:rPr>
          <w:szCs w:val="18"/>
        </w:rPr>
        <w:lastRenderedPageBreak/>
        <w:t xml:space="preserve">herkenbaar en betrouwbaar blijft. Het kabinet volgt de verdere ontwikkeling van </w:t>
      </w:r>
      <w:r w:rsidRPr="003031EE">
        <w:rPr>
          <w:i/>
          <w:iCs/>
          <w:szCs w:val="18"/>
        </w:rPr>
        <w:t xml:space="preserve">Galileo </w:t>
      </w:r>
      <w:r w:rsidRPr="003031EE">
        <w:rPr>
          <w:szCs w:val="18"/>
        </w:rPr>
        <w:t>dan ook met belangstelling en gaat hierover graag in gesprek met de Commissie en andere lidstaten.</w:t>
      </w:r>
    </w:p>
    <w:p w:rsidRPr="008B03FA" w:rsidR="003031EE" w:rsidP="00D134EC" w:rsidRDefault="003031EE" w14:paraId="554B6D94" w14:textId="77777777">
      <w:pPr>
        <w:pStyle w:val="NoSpacing"/>
        <w:spacing w:line="360" w:lineRule="auto"/>
        <w:rPr>
          <w:szCs w:val="18"/>
        </w:rPr>
      </w:pPr>
    </w:p>
    <w:p w:rsidRPr="008B03FA" w:rsidR="00030E06" w:rsidP="00D134EC" w:rsidRDefault="0078362E" w14:paraId="5E81CE44" w14:textId="2A30EF37">
      <w:pPr>
        <w:pStyle w:val="NoSpacing"/>
        <w:spacing w:line="360" w:lineRule="auto"/>
        <w:rPr>
          <w:szCs w:val="18"/>
        </w:rPr>
      </w:pPr>
      <w:r w:rsidRPr="008B03FA">
        <w:rPr>
          <w:szCs w:val="18"/>
        </w:rPr>
        <w:t>Het</w:t>
      </w:r>
      <w:r w:rsidRPr="008B03FA" w:rsidR="008B23FE">
        <w:rPr>
          <w:szCs w:val="18"/>
        </w:rPr>
        <w:t xml:space="preserve"> kabinet</w:t>
      </w:r>
      <w:r w:rsidRPr="008B03FA">
        <w:rPr>
          <w:szCs w:val="18"/>
        </w:rPr>
        <w:t xml:space="preserve"> verwelkomt</w:t>
      </w:r>
      <w:r w:rsidRPr="008B03FA" w:rsidR="008B23FE">
        <w:rPr>
          <w:szCs w:val="18"/>
        </w:rPr>
        <w:t xml:space="preserve"> de aandacht voor publieke bewustwording, bevolkingstraining en samenwerking met maatschappelijke </w:t>
      </w:r>
      <w:r w:rsidRPr="008B03FA" w:rsidR="0003220C">
        <w:rPr>
          <w:szCs w:val="18"/>
        </w:rPr>
        <w:t xml:space="preserve">middenveld </w:t>
      </w:r>
      <w:r w:rsidRPr="008B03FA" w:rsidR="008B23FE">
        <w:rPr>
          <w:szCs w:val="18"/>
        </w:rPr>
        <w:t xml:space="preserve">als onderdeel van een </w:t>
      </w:r>
      <w:r w:rsidRPr="008B03FA" w:rsidR="00B47831">
        <w:rPr>
          <w:szCs w:val="18"/>
        </w:rPr>
        <w:t>overheidsbrede</w:t>
      </w:r>
      <w:r w:rsidR="00A12BA1">
        <w:rPr>
          <w:szCs w:val="18"/>
        </w:rPr>
        <w:t xml:space="preserve"> </w:t>
      </w:r>
      <w:r w:rsidRPr="008B03FA" w:rsidR="008B23FE">
        <w:rPr>
          <w:szCs w:val="18"/>
        </w:rPr>
        <w:t>benadering. Deze elementen sluiten aan bij nationale beleidsinzet op het vergroten van weerbaarheid onder burgers en vitale partners.</w:t>
      </w:r>
      <w:r w:rsidRPr="008B03FA" w:rsidR="0003220C">
        <w:rPr>
          <w:szCs w:val="18"/>
        </w:rPr>
        <w:t xml:space="preserve"> Daarbij zal het kabinet aandacht hebben voor de bijzondere positie van mensen in kwetsbare en/of achtergestelde posities, waaronder vrouwen, minderheden, en </w:t>
      </w:r>
      <w:r w:rsidRPr="006E0E9B" w:rsidR="006E0E9B">
        <w:rPr>
          <w:szCs w:val="18"/>
        </w:rPr>
        <w:t>LHBTIQ+</w:t>
      </w:r>
      <w:r w:rsidRPr="008B03FA" w:rsidR="0003220C">
        <w:rPr>
          <w:szCs w:val="18"/>
        </w:rPr>
        <w:t xml:space="preserve"> personen.</w:t>
      </w:r>
    </w:p>
    <w:p w:rsidRPr="008B03FA" w:rsidR="00030E06" w:rsidP="00D134EC" w:rsidRDefault="00030E06" w14:paraId="2A0126D7" w14:textId="77777777">
      <w:pPr>
        <w:pStyle w:val="NoSpacing"/>
        <w:spacing w:line="360" w:lineRule="auto"/>
        <w:rPr>
          <w:szCs w:val="18"/>
        </w:rPr>
      </w:pPr>
    </w:p>
    <w:p w:rsidR="00AA3EA4" w:rsidP="00D134EC" w:rsidRDefault="00030E06" w14:paraId="4E67A71D" w14:textId="42523D3B">
      <w:pPr>
        <w:pStyle w:val="NoSpacing"/>
        <w:spacing w:line="360" w:lineRule="auto"/>
        <w:rPr>
          <w:szCs w:val="18"/>
        </w:rPr>
      </w:pPr>
      <w:r w:rsidRPr="008B03FA">
        <w:rPr>
          <w:szCs w:val="18"/>
        </w:rPr>
        <w:t xml:space="preserve">Tot </w:t>
      </w:r>
      <w:r w:rsidR="00764257">
        <w:rPr>
          <w:szCs w:val="18"/>
        </w:rPr>
        <w:t xml:space="preserve">slot </w:t>
      </w:r>
      <w:r w:rsidRPr="008B03FA">
        <w:rPr>
          <w:szCs w:val="18"/>
        </w:rPr>
        <w:t xml:space="preserve">verwelkomt </w:t>
      </w:r>
      <w:r w:rsidRPr="008B03FA" w:rsidR="008F352C">
        <w:rPr>
          <w:szCs w:val="18"/>
        </w:rPr>
        <w:t>het kabinet</w:t>
      </w:r>
      <w:r w:rsidRPr="008B03FA">
        <w:rPr>
          <w:szCs w:val="18"/>
        </w:rPr>
        <w:t xml:space="preserve"> ook </w:t>
      </w:r>
      <w:r w:rsidRPr="008B03FA" w:rsidR="0078362E">
        <w:rPr>
          <w:szCs w:val="18"/>
        </w:rPr>
        <w:t xml:space="preserve">de versterking van rescEU. RescEU zal ingezet gaan worden als een strategisch instrument binnen een </w:t>
      </w:r>
      <w:r w:rsidRPr="008B03FA" w:rsidR="0078362E">
        <w:rPr>
          <w:i/>
          <w:iCs/>
          <w:szCs w:val="18"/>
        </w:rPr>
        <w:t>all-hazard</w:t>
      </w:r>
      <w:r w:rsidRPr="008B03FA" w:rsidR="0078362E">
        <w:rPr>
          <w:szCs w:val="18"/>
        </w:rPr>
        <w:t xml:space="preserve">-benadering. Gezien het grensoverschrijdend karakter van veel crises en de aanzienlijke schaalvoordelen die op Europees niveau te behalen zijn, acht het kabinet deze koerswijziging passend, noodzakelijk en wenselijk. </w:t>
      </w:r>
      <w:r w:rsidRPr="00CC0CC6" w:rsidR="00CC0CC6">
        <w:rPr>
          <w:szCs w:val="18"/>
        </w:rPr>
        <w:t>Het kabinet moedigt de versterking van rescEU aan, als strategisch instrument en ziet de meerwaarde ervan in de nationale en Europese context.</w:t>
      </w:r>
      <w:r w:rsidR="00CC0CC6">
        <w:rPr>
          <w:szCs w:val="18"/>
        </w:rPr>
        <w:t xml:space="preserve"> </w:t>
      </w:r>
      <w:r w:rsidRPr="00CC0CC6" w:rsidR="00CC0CC6">
        <w:rPr>
          <w:szCs w:val="18"/>
        </w:rPr>
        <w:t xml:space="preserve">In het voorstel wordt dit niet verder </w:t>
      </w:r>
      <w:r w:rsidR="00CC0CC6">
        <w:rPr>
          <w:szCs w:val="18"/>
        </w:rPr>
        <w:t>geconcretiseerd</w:t>
      </w:r>
      <w:r w:rsidRPr="00CC0CC6" w:rsidR="00CC0CC6">
        <w:rPr>
          <w:szCs w:val="18"/>
        </w:rPr>
        <w:t>, maar de Commissie noemt de versterking van rescEU door een verhoging van de financiering, de oprichting van een coördinatiecentrum en de bevordering van brede samenwerking, inclusief met de militaire sector. De grondhouding van het kabinet bij deze ontwikkelingen is positief.</w:t>
      </w:r>
      <w:r w:rsidR="00CC0CC6">
        <w:rPr>
          <w:szCs w:val="18"/>
        </w:rPr>
        <w:t xml:space="preserve"> Het kabinet </w:t>
      </w:r>
      <w:r w:rsidRPr="006F1B16" w:rsidR="006F1B16">
        <w:rPr>
          <w:szCs w:val="18"/>
        </w:rPr>
        <w:t>is bereid actief bij te dragen aan de uitwerking van sectorale uitbreidingen</w:t>
      </w:r>
      <w:r w:rsidR="006F1B16">
        <w:rPr>
          <w:szCs w:val="18"/>
        </w:rPr>
        <w:t xml:space="preserve">. Hierbij ziet het kabinet een </w:t>
      </w:r>
      <w:r w:rsidR="00A3473A">
        <w:rPr>
          <w:szCs w:val="18"/>
        </w:rPr>
        <w:t>meerwaarde</w:t>
      </w:r>
      <w:r w:rsidR="006F1B16">
        <w:rPr>
          <w:szCs w:val="18"/>
        </w:rPr>
        <w:t xml:space="preserve"> om de versterking van rescEU te baseren </w:t>
      </w:r>
      <w:r w:rsidRPr="006F1B16" w:rsidR="006F1B16">
        <w:rPr>
          <w:szCs w:val="18"/>
        </w:rPr>
        <w:t xml:space="preserve">op gedeelde behoeften en </w:t>
      </w:r>
      <w:r w:rsidR="006F1B16">
        <w:rPr>
          <w:szCs w:val="18"/>
        </w:rPr>
        <w:t xml:space="preserve">een </w:t>
      </w:r>
      <w:r w:rsidRPr="006F1B16" w:rsidR="006F1B16">
        <w:rPr>
          <w:szCs w:val="18"/>
        </w:rPr>
        <w:t>gezamenlijke risicoanalyses.</w:t>
      </w:r>
      <w:r w:rsidR="00DD419A">
        <w:rPr>
          <w:szCs w:val="18"/>
        </w:rPr>
        <w:t xml:space="preserve"> </w:t>
      </w:r>
      <w:r w:rsidRPr="00540F39" w:rsidR="00540F39">
        <w:rPr>
          <w:szCs w:val="18"/>
        </w:rPr>
        <w:t>Specifieke versterkingen vergen nadere afstemming en besluitvorming met inachtneming van financiële implicaties.</w:t>
      </w:r>
    </w:p>
    <w:p w:rsidRPr="008B03FA" w:rsidR="006F1B16" w:rsidP="00D134EC" w:rsidRDefault="006F1B16" w14:paraId="068C6F01" w14:textId="77777777">
      <w:pPr>
        <w:pStyle w:val="NoSpacing"/>
        <w:spacing w:line="360" w:lineRule="auto"/>
        <w:rPr>
          <w:szCs w:val="18"/>
        </w:rPr>
      </w:pPr>
    </w:p>
    <w:p w:rsidRPr="008B03FA" w:rsidR="00FB4C3F" w:rsidP="002C335D" w:rsidRDefault="001B774A" w14:paraId="43D8EAD5" w14:textId="07F3260B">
      <w:pPr>
        <w:pStyle w:val="NoSpacing"/>
        <w:spacing w:line="360" w:lineRule="auto"/>
        <w:rPr>
          <w:i/>
          <w:iCs/>
          <w:szCs w:val="18"/>
        </w:rPr>
      </w:pPr>
      <w:r>
        <w:rPr>
          <w:i/>
          <w:iCs/>
          <w:szCs w:val="18"/>
        </w:rPr>
        <w:t xml:space="preserve">c) </w:t>
      </w:r>
      <w:r w:rsidRPr="008B03FA" w:rsidR="00CF1388">
        <w:rPr>
          <w:i/>
          <w:iCs/>
          <w:szCs w:val="18"/>
        </w:rPr>
        <w:t>Eerste inschatting van krachtenveld</w:t>
      </w:r>
    </w:p>
    <w:p w:rsidR="00026A7A" w:rsidP="00D134EC" w:rsidRDefault="00026A7A" w14:paraId="63E79354" w14:textId="44CA4851">
      <w:pPr>
        <w:pStyle w:val="NoSpacing"/>
        <w:spacing w:line="360" w:lineRule="auto"/>
        <w:rPr>
          <w:szCs w:val="18"/>
        </w:rPr>
      </w:pPr>
      <w:r w:rsidRPr="008B03FA">
        <w:rPr>
          <w:szCs w:val="18"/>
        </w:rPr>
        <w:t xml:space="preserve">De eerste bespreking van het Commissievoorstel </w:t>
      </w:r>
      <w:r w:rsidRPr="008B03FA" w:rsidR="008E04F6">
        <w:rPr>
          <w:szCs w:val="18"/>
        </w:rPr>
        <w:t>vond plaats</w:t>
      </w:r>
      <w:r w:rsidRPr="008B03FA">
        <w:rPr>
          <w:szCs w:val="18"/>
        </w:rPr>
        <w:t xml:space="preserve"> </w:t>
      </w:r>
      <w:r w:rsidRPr="008B03FA" w:rsidR="008E04F6">
        <w:rPr>
          <w:szCs w:val="18"/>
        </w:rPr>
        <w:t xml:space="preserve">in de Raadswerkgroep </w:t>
      </w:r>
      <w:r w:rsidR="00F56ACA">
        <w:rPr>
          <w:szCs w:val="18"/>
        </w:rPr>
        <w:t>C</w:t>
      </w:r>
      <w:r w:rsidRPr="00F56ACA" w:rsidR="008E04F6">
        <w:rPr>
          <w:szCs w:val="18"/>
        </w:rPr>
        <w:t xml:space="preserve">iviele </w:t>
      </w:r>
      <w:r w:rsidR="00F56ACA">
        <w:rPr>
          <w:szCs w:val="18"/>
        </w:rPr>
        <w:t>B</w:t>
      </w:r>
      <w:r w:rsidRPr="00F56ACA" w:rsidR="008E04F6">
        <w:rPr>
          <w:szCs w:val="18"/>
        </w:rPr>
        <w:t>escherming</w:t>
      </w:r>
      <w:r w:rsidRPr="008B03FA" w:rsidR="008E04F6">
        <w:rPr>
          <w:szCs w:val="18"/>
        </w:rPr>
        <w:t>.</w:t>
      </w:r>
      <w:r w:rsidR="00C03E64">
        <w:rPr>
          <w:rStyle w:val="FootnoteReference"/>
          <w:szCs w:val="18"/>
        </w:rPr>
        <w:footnoteReference w:id="30"/>
      </w:r>
      <w:r w:rsidRPr="008B03FA" w:rsidR="008E04F6">
        <w:rPr>
          <w:szCs w:val="18"/>
        </w:rPr>
        <w:t xml:space="preserve"> </w:t>
      </w:r>
      <w:r w:rsidR="004907DC">
        <w:rPr>
          <w:szCs w:val="18"/>
        </w:rPr>
        <w:t>Een eerste</w:t>
      </w:r>
      <w:r w:rsidRPr="008B03FA" w:rsidR="004907DC">
        <w:rPr>
          <w:szCs w:val="18"/>
        </w:rPr>
        <w:t xml:space="preserve"> </w:t>
      </w:r>
      <w:r w:rsidRPr="008B03FA" w:rsidR="005B6AAA">
        <w:rPr>
          <w:szCs w:val="18"/>
        </w:rPr>
        <w:t xml:space="preserve">bespreking van </w:t>
      </w:r>
      <w:r w:rsidR="008765C7">
        <w:rPr>
          <w:szCs w:val="18"/>
        </w:rPr>
        <w:t xml:space="preserve">het voorstel </w:t>
      </w:r>
      <w:r w:rsidRPr="008B03FA">
        <w:rPr>
          <w:szCs w:val="18"/>
        </w:rPr>
        <w:t>liet een divers maar overwegend constructief krachtenveld zien.</w:t>
      </w:r>
      <w:bookmarkStart w:name="_Ref205142501" w:id="4"/>
      <w:r w:rsidRPr="008B03FA">
        <w:rPr>
          <w:rStyle w:val="FootnoteReference"/>
          <w:szCs w:val="18"/>
        </w:rPr>
        <w:footnoteReference w:id="31"/>
      </w:r>
      <w:bookmarkEnd w:id="4"/>
      <w:r w:rsidRPr="008B03FA">
        <w:rPr>
          <w:szCs w:val="18"/>
        </w:rPr>
        <w:t xml:space="preserve"> Lidstaten erkennen de relevantie van een versterkt </w:t>
      </w:r>
      <w:r w:rsidR="00D9132D">
        <w:rPr>
          <w:szCs w:val="18"/>
        </w:rPr>
        <w:t>Uniemechanisme</w:t>
      </w:r>
      <w:r w:rsidR="008765C7">
        <w:rPr>
          <w:rStyle w:val="FootnoteReference"/>
          <w:szCs w:val="18"/>
        </w:rPr>
        <w:footnoteReference w:id="32"/>
      </w:r>
      <w:r w:rsidRPr="008B03FA" w:rsidR="008E04F6">
        <w:rPr>
          <w:szCs w:val="18"/>
        </w:rPr>
        <w:t xml:space="preserve"> </w:t>
      </w:r>
      <w:r w:rsidRPr="008B03FA">
        <w:rPr>
          <w:szCs w:val="18"/>
        </w:rPr>
        <w:t>in het licht van de recente crisiservaringen</w:t>
      </w:r>
      <w:r w:rsidRPr="008B03FA" w:rsidR="008E04F6">
        <w:rPr>
          <w:szCs w:val="18"/>
        </w:rPr>
        <w:t>. Lidstaten</w:t>
      </w:r>
      <w:r w:rsidRPr="008B03FA">
        <w:rPr>
          <w:szCs w:val="18"/>
        </w:rPr>
        <w:t xml:space="preserve"> to</w:t>
      </w:r>
      <w:r w:rsidR="008765C7">
        <w:rPr>
          <w:szCs w:val="18"/>
        </w:rPr>
        <w:t>o</w:t>
      </w:r>
      <w:r w:rsidRPr="008B03FA">
        <w:rPr>
          <w:szCs w:val="18"/>
        </w:rPr>
        <w:t>n</w:t>
      </w:r>
      <w:r w:rsidR="008765C7">
        <w:rPr>
          <w:szCs w:val="18"/>
        </w:rPr>
        <w:t>d</w:t>
      </w:r>
      <w:r w:rsidRPr="008B03FA">
        <w:rPr>
          <w:szCs w:val="18"/>
        </w:rPr>
        <w:t xml:space="preserve">en zich </w:t>
      </w:r>
      <w:r w:rsidR="008765C7">
        <w:rPr>
          <w:szCs w:val="18"/>
        </w:rPr>
        <w:t xml:space="preserve">daarmee </w:t>
      </w:r>
      <w:r w:rsidRPr="008B03FA">
        <w:rPr>
          <w:szCs w:val="18"/>
        </w:rPr>
        <w:t xml:space="preserve">bereid om met de voorgestelde </w:t>
      </w:r>
      <w:r w:rsidRPr="008B03FA" w:rsidR="008D3975">
        <w:rPr>
          <w:szCs w:val="18"/>
        </w:rPr>
        <w:t>verordening</w:t>
      </w:r>
      <w:r w:rsidRPr="008B03FA">
        <w:rPr>
          <w:szCs w:val="18"/>
        </w:rPr>
        <w:t xml:space="preserve"> aan de slag te gaan</w:t>
      </w:r>
      <w:r w:rsidR="001045DC">
        <w:rPr>
          <w:szCs w:val="18"/>
        </w:rPr>
        <w:t>.</w:t>
      </w:r>
      <w:r w:rsidRPr="001045DC" w:rsidR="001045DC">
        <w:rPr>
          <w:szCs w:val="18"/>
        </w:rPr>
        <w:t xml:space="preserve"> </w:t>
      </w:r>
      <w:r w:rsidRPr="00A00149" w:rsidR="001045DC">
        <w:rPr>
          <w:szCs w:val="18"/>
        </w:rPr>
        <w:t>Tegelijkertijd roept de voorgestelde integratie met gezondheidsparaatheid en de bijbehorende juridische opzet vragen op, waarbij lidstaten een duidelijke behoefte hebben aan verdere juridische, financiële en operationele duiding.</w:t>
      </w:r>
    </w:p>
    <w:p w:rsidR="001045DC" w:rsidP="00D134EC" w:rsidRDefault="001045DC" w14:paraId="7BC07CF8" w14:textId="77777777">
      <w:pPr>
        <w:pStyle w:val="NoSpacing"/>
        <w:spacing w:line="360" w:lineRule="auto"/>
        <w:rPr>
          <w:szCs w:val="18"/>
        </w:rPr>
      </w:pPr>
    </w:p>
    <w:p w:rsidRPr="008B03FA" w:rsidR="001045DC" w:rsidP="001045DC" w:rsidRDefault="001045DC" w14:paraId="472B944B" w14:textId="77777777">
      <w:pPr>
        <w:pStyle w:val="NoSpacing"/>
        <w:spacing w:line="360" w:lineRule="auto"/>
        <w:rPr>
          <w:szCs w:val="18"/>
        </w:rPr>
      </w:pPr>
      <w:r w:rsidRPr="00A00149">
        <w:rPr>
          <w:szCs w:val="18"/>
        </w:rPr>
        <w:t xml:space="preserve">In grote lijnen onderschrijven de lidstaten het doel van meer coherentie en paraatheid, maar er bestaan verschillen in appreciatie van de gekozen systematiek. De eerste bespreking bevestigt dat er politiek draagvlak is om met het voorstel verder te gaan, waarbij de juridische en budgettaire onderbouwing bepalend zal zijn voor de voortgang. </w:t>
      </w:r>
      <w:r>
        <w:rPr>
          <w:szCs w:val="18"/>
        </w:rPr>
        <w:t>H</w:t>
      </w:r>
      <w:r w:rsidRPr="00A00149">
        <w:rPr>
          <w:szCs w:val="18"/>
        </w:rPr>
        <w:t xml:space="preserve">et kabinet verwacht dat in de verdere onderhandelingen voor lidstaten vooral de afbakening van nationale versus Europese rollen, de </w:t>
      </w:r>
      <w:r w:rsidRPr="00A00149">
        <w:rPr>
          <w:szCs w:val="18"/>
        </w:rPr>
        <w:lastRenderedPageBreak/>
        <w:t>status van de capaciteitsdoelen en de institutionele inbedding van de nieuwe coördinatiestructuren van belang zullen zijn.</w:t>
      </w:r>
    </w:p>
    <w:p w:rsidR="001045DC" w:rsidP="00D134EC" w:rsidRDefault="001045DC" w14:paraId="3664CF03" w14:textId="13609B5B">
      <w:pPr>
        <w:pStyle w:val="NoSpacing"/>
        <w:spacing w:line="360" w:lineRule="auto"/>
        <w:rPr>
          <w:szCs w:val="18"/>
        </w:rPr>
      </w:pPr>
    </w:p>
    <w:p w:rsidRPr="008B03FA" w:rsidR="001045DC" w:rsidP="00D134EC" w:rsidRDefault="001045DC" w14:paraId="1C47AB94" w14:textId="2B097ACB">
      <w:pPr>
        <w:pStyle w:val="NoSpacing"/>
        <w:spacing w:line="360" w:lineRule="auto"/>
        <w:rPr>
          <w:szCs w:val="18"/>
        </w:rPr>
      </w:pPr>
      <w:r w:rsidRPr="00174010">
        <w:rPr>
          <w:szCs w:val="18"/>
        </w:rPr>
        <w:t>Een bespreking van het voorstel in het Europees Parlement</w:t>
      </w:r>
      <w:r w:rsidR="00F56ACA">
        <w:rPr>
          <w:szCs w:val="18"/>
        </w:rPr>
        <w:t xml:space="preserve"> (hierna: EP)</w:t>
      </w:r>
      <w:r w:rsidRPr="00174010">
        <w:rPr>
          <w:szCs w:val="18"/>
        </w:rPr>
        <w:t xml:space="preserve"> heeft tot op heden nog niet plaatsgevonden. Gezien de eerder geuite lidstaatposities is het aannemelijk dat het voorstel in het </w:t>
      </w:r>
      <w:r>
        <w:rPr>
          <w:szCs w:val="18"/>
        </w:rPr>
        <w:t>E</w:t>
      </w:r>
      <w:r w:rsidR="00F56ACA">
        <w:rPr>
          <w:szCs w:val="18"/>
        </w:rPr>
        <w:t>P</w:t>
      </w:r>
      <w:r w:rsidRPr="00174010">
        <w:rPr>
          <w:szCs w:val="18"/>
        </w:rPr>
        <w:t xml:space="preserve"> aandacht zal krijgen voor zowel de versterking van het Uniemechanisme als de waarborgen voor nationale bevoegdheden. Mogelijk zullen leden aanvullende vragen stellen over de juridische basis en de samenhang met bestaande EU-instrumenten.</w:t>
      </w:r>
    </w:p>
    <w:p w:rsidRPr="008B03FA" w:rsidR="00EE1E88" w:rsidP="00D134EC" w:rsidRDefault="00EE1E88" w14:paraId="012E9FAF" w14:textId="77777777">
      <w:pPr>
        <w:pStyle w:val="NoSpacing"/>
        <w:spacing w:line="360" w:lineRule="auto"/>
        <w:rPr>
          <w:szCs w:val="18"/>
        </w:rPr>
      </w:pPr>
    </w:p>
    <w:p w:rsidRPr="008B03FA" w:rsidR="00A60A5B" w:rsidP="00D134EC" w:rsidRDefault="00CF1388" w14:paraId="3C2DED6E" w14:textId="3503CA20">
      <w:pPr>
        <w:pStyle w:val="NoSpacing"/>
        <w:numPr>
          <w:ilvl w:val="0"/>
          <w:numId w:val="1"/>
        </w:numPr>
        <w:spacing w:line="360" w:lineRule="auto"/>
        <w:rPr>
          <w:b/>
          <w:bCs/>
          <w:szCs w:val="18"/>
        </w:rPr>
      </w:pPr>
      <w:r w:rsidRPr="008B03FA">
        <w:rPr>
          <w:b/>
          <w:bCs/>
          <w:szCs w:val="18"/>
        </w:rPr>
        <w:t>Beoordeling bevoegdheid, subsidiariteit en proportionaliteit</w:t>
      </w:r>
    </w:p>
    <w:p w:rsidRPr="008B03FA" w:rsidR="006E3C2B" w:rsidP="00D134EC" w:rsidRDefault="006E3C2B" w14:paraId="57290F54" w14:textId="77777777">
      <w:pPr>
        <w:pStyle w:val="NoSpacing"/>
        <w:spacing w:line="360" w:lineRule="auto"/>
        <w:ind w:left="360"/>
        <w:rPr>
          <w:b/>
          <w:bCs/>
          <w:szCs w:val="18"/>
        </w:rPr>
      </w:pPr>
    </w:p>
    <w:p w:rsidRPr="008B03FA" w:rsidR="00FB4C3F" w:rsidP="00D134EC" w:rsidRDefault="00CF1388" w14:paraId="1F6663FE" w14:textId="4194798D">
      <w:pPr>
        <w:pStyle w:val="NoSpacing"/>
        <w:numPr>
          <w:ilvl w:val="1"/>
          <w:numId w:val="1"/>
        </w:numPr>
        <w:spacing w:line="360" w:lineRule="auto"/>
        <w:rPr>
          <w:i/>
          <w:iCs/>
          <w:szCs w:val="18"/>
        </w:rPr>
      </w:pPr>
      <w:r w:rsidRPr="008B03FA">
        <w:rPr>
          <w:i/>
          <w:iCs/>
          <w:szCs w:val="18"/>
        </w:rPr>
        <w:t>Bevoegdheid</w:t>
      </w:r>
    </w:p>
    <w:p w:rsidR="006B60FC" w:rsidP="00980EB6" w:rsidRDefault="006B60FC" w14:paraId="6E779D52" w14:textId="7C34B99D">
      <w:pPr>
        <w:pStyle w:val="NoSpacing"/>
        <w:spacing w:line="360" w:lineRule="auto"/>
        <w:rPr>
          <w:szCs w:val="18"/>
        </w:rPr>
      </w:pPr>
      <w:r w:rsidRPr="006C3470">
        <w:rPr>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6C3470">
        <w:rPr>
          <w:i/>
          <w:iCs/>
          <w:szCs w:val="18"/>
        </w:rPr>
        <w:t>.</w:t>
      </w:r>
      <w:r>
        <w:rPr>
          <w:i/>
          <w:iCs/>
          <w:szCs w:val="18"/>
        </w:rPr>
        <w:t xml:space="preserve"> </w:t>
      </w:r>
      <w:r w:rsidRPr="008B03FA">
        <w:rPr>
          <w:szCs w:val="18"/>
        </w:rPr>
        <w:t>Het oordeel van het kabinet over de bevoegdheid is positief</w:t>
      </w:r>
      <w:r w:rsidR="00516309">
        <w:rPr>
          <w:szCs w:val="18"/>
        </w:rPr>
        <w:t xml:space="preserve">, </w:t>
      </w:r>
      <w:r w:rsidR="001F3291">
        <w:rPr>
          <w:szCs w:val="18"/>
        </w:rPr>
        <w:t>met</w:t>
      </w:r>
      <w:r w:rsidR="00516309">
        <w:rPr>
          <w:szCs w:val="18"/>
        </w:rPr>
        <w:t xml:space="preserve"> aandachtspunt.</w:t>
      </w:r>
      <w:r w:rsidRPr="008B03FA">
        <w:rPr>
          <w:szCs w:val="18"/>
        </w:rPr>
        <w:t xml:space="preserve"> </w:t>
      </w:r>
      <w:r w:rsidRPr="001D65D9">
        <w:rPr>
          <w:szCs w:val="18"/>
        </w:rPr>
        <w:t xml:space="preserve">Het voorstel is gebaseerd op de artikelen 168, lid 5, 196 en 322, lid 1, van </w:t>
      </w:r>
      <w:r>
        <w:rPr>
          <w:szCs w:val="18"/>
        </w:rPr>
        <w:t>VWEU.</w:t>
      </w:r>
    </w:p>
    <w:p w:rsidR="006B60FC" w:rsidP="006B60FC" w:rsidRDefault="006B60FC" w14:paraId="7DDB577C" w14:textId="77777777">
      <w:pPr>
        <w:pStyle w:val="NoSpacing"/>
        <w:spacing w:line="360" w:lineRule="auto"/>
        <w:ind w:left="360"/>
        <w:rPr>
          <w:szCs w:val="18"/>
        </w:rPr>
      </w:pPr>
    </w:p>
    <w:p w:rsidR="00980EB6" w:rsidP="00980EB6" w:rsidRDefault="00980EB6" w14:paraId="195494EC" w14:textId="5077DD38">
      <w:pPr>
        <w:pStyle w:val="NoSpacing"/>
        <w:spacing w:line="360" w:lineRule="auto"/>
        <w:rPr>
          <w:szCs w:val="18"/>
        </w:rPr>
      </w:pPr>
      <w:r w:rsidRPr="00980EB6">
        <w:rPr>
          <w:szCs w:val="18"/>
        </w:rPr>
        <w:t>Hoewel crisisbeheersing raakt aan verschillende gedeelde bevoegdheden uit artikel 4 VWEU, zoals volksgezondheid en milieu, is de EU op het terrein van volksgezondheid en civiele bescherming slechts bevoegd tot het ondersteunen, coördineren of aanvullen van het optreden van de lidstaten (resp. artikel 6, sub a en sub f, VWEU). De in het voorstel genoemde “harmonisatie van het juridisch kader” ziet uitsluitend op administratieve en financiële vereenvoudiging en laat de inhoudelijke inrichting van nationale systemen onverlet. Er is daarmee sprake van het versterken van samenwerking, coördinatie en capaciteitsopbouw, in lijn met de bestaande taakverdeling tussen Unie en lidstaten.</w:t>
      </w:r>
      <w:r w:rsidR="00E7364C">
        <w:rPr>
          <w:szCs w:val="18"/>
        </w:rPr>
        <w:t xml:space="preserve"> </w:t>
      </w:r>
      <w:r w:rsidRPr="00E7364C" w:rsidR="00E7364C">
        <w:rPr>
          <w:szCs w:val="18"/>
        </w:rPr>
        <w:t>Het voorstel laat de bevoegdheidsverdeling tussen Unie en lidstaten onveranderd; het gaat nadrukkelijk om een ondersteunende, coördinerende en aanvullende rol van de Commissie, zonder harmonisatie van nationale crisisstructuren of gezondheidsstelsels.</w:t>
      </w:r>
    </w:p>
    <w:p w:rsidR="00980EB6" w:rsidP="006B60FC" w:rsidRDefault="00980EB6" w14:paraId="62A2BD69" w14:textId="77777777">
      <w:pPr>
        <w:pStyle w:val="NoSpacing"/>
        <w:spacing w:line="360" w:lineRule="auto"/>
        <w:ind w:left="360"/>
        <w:rPr>
          <w:szCs w:val="18"/>
        </w:rPr>
      </w:pPr>
    </w:p>
    <w:p w:rsidRPr="008B03FA" w:rsidR="006B60FC" w:rsidP="00980EB6" w:rsidRDefault="006B60FC" w14:paraId="62B82442" w14:textId="5CE1EF35">
      <w:pPr>
        <w:pStyle w:val="NoSpacing"/>
        <w:spacing w:line="360" w:lineRule="auto"/>
        <w:rPr>
          <w:szCs w:val="18"/>
        </w:rPr>
      </w:pPr>
      <w:r w:rsidRPr="008B03FA">
        <w:rPr>
          <w:szCs w:val="18"/>
        </w:rPr>
        <w:t xml:space="preserve">Tegelijkertijd verdient de gekozen combinatie van rechtsgrondslagen </w:t>
      </w:r>
      <w:r>
        <w:rPr>
          <w:szCs w:val="18"/>
        </w:rPr>
        <w:t>-</w:t>
      </w:r>
      <w:r w:rsidRPr="008B03FA">
        <w:rPr>
          <w:szCs w:val="18"/>
        </w:rPr>
        <w:t xml:space="preserve"> artikel 168, vijfde lid, VWEU (volksgezondheid)</w:t>
      </w:r>
      <w:r>
        <w:rPr>
          <w:szCs w:val="18"/>
        </w:rPr>
        <w:t xml:space="preserve">, </w:t>
      </w:r>
      <w:r w:rsidRPr="008B03FA">
        <w:rPr>
          <w:szCs w:val="18"/>
        </w:rPr>
        <w:t xml:space="preserve">artikel 196 VWEU (civiele bescherming) en artikel 322, eerste lid, onder a), VWEU (begrotingsrecht) </w:t>
      </w:r>
      <w:r>
        <w:rPr>
          <w:szCs w:val="18"/>
        </w:rPr>
        <w:t>-</w:t>
      </w:r>
      <w:r w:rsidRPr="008B03FA">
        <w:rPr>
          <w:szCs w:val="18"/>
        </w:rPr>
        <w:t xml:space="preserve"> nadere aandacht. Elk van deze bepalingen is verbonden aan een eigen beleidsdoel, begrenzing en institutionele logica. Artikel 196 VWEU biedt een solide basis voor maatregelen op het terrein van rampenpreventie en -respons binnen de Unie, mits de Unie zich beperkt tot ondersteunend en coördinerend optreden. Artikel 168, vijfde lid, VWEU laat coördinerende, stimulerings- en ondersteunende maatregelen toe op het terrein van grensoverschrijdende ernstige gezondheidsdreigingen, maar sluit harmonisatie van de wettelijke en bestuursrechtelijke bepalingen van de lidstaten expliciet uit. Artikel 322, eerste lid, onder a), VWEU biedt de financiële rechtsgrond</w:t>
      </w:r>
      <w:r>
        <w:rPr>
          <w:szCs w:val="18"/>
        </w:rPr>
        <w:t>slag</w:t>
      </w:r>
      <w:r w:rsidRPr="008B03FA">
        <w:rPr>
          <w:szCs w:val="18"/>
        </w:rPr>
        <w:t xml:space="preserve"> voor de uitvoering van de EU-begroting, maar veronderstelt een duidelijk verankerd materieel beleidsdoel elders in het Verdrag.</w:t>
      </w:r>
      <w:r w:rsidRPr="008B03FA">
        <w:rPr>
          <w:szCs w:val="18"/>
        </w:rPr>
        <w:br/>
      </w:r>
    </w:p>
    <w:p w:rsidR="005A54CD" w:rsidP="00D134EC" w:rsidRDefault="00980EB6" w14:paraId="694CC849" w14:textId="269E5AC2">
      <w:pPr>
        <w:pStyle w:val="NoSpacing"/>
        <w:spacing w:line="360" w:lineRule="auto"/>
        <w:rPr>
          <w:szCs w:val="18"/>
        </w:rPr>
      </w:pPr>
      <w:r w:rsidRPr="00980EB6">
        <w:rPr>
          <w:szCs w:val="18"/>
        </w:rPr>
        <w:t xml:space="preserve">Het combineren van meerdere rechtsgrondslagen is juridisch verdedigbaar indien de verschillende beleidsdoelstellingen evenwaardig en onafscheidelijk zijn. In dit geval is het kabinet van oordeel </w:t>
      </w:r>
      <w:r w:rsidRPr="00980EB6">
        <w:rPr>
          <w:szCs w:val="18"/>
        </w:rPr>
        <w:lastRenderedPageBreak/>
        <w:t xml:space="preserve">dat civiele bescherming de dominante doelstelling vormt en dat de componenten inzake volksgezondheid en begroting daaraan ondergeschikt zijn. </w:t>
      </w:r>
      <w:r w:rsidR="008346BE">
        <w:rPr>
          <w:szCs w:val="18"/>
        </w:rPr>
        <w:t>H</w:t>
      </w:r>
      <w:r w:rsidRPr="00980EB6">
        <w:rPr>
          <w:szCs w:val="18"/>
        </w:rPr>
        <w:t xml:space="preserve">et </w:t>
      </w:r>
      <w:r w:rsidR="008346BE">
        <w:rPr>
          <w:szCs w:val="18"/>
        </w:rPr>
        <w:t xml:space="preserve">ligt </w:t>
      </w:r>
      <w:r w:rsidRPr="00980EB6">
        <w:rPr>
          <w:szCs w:val="18"/>
        </w:rPr>
        <w:t>daarom in de rede het voorstel uitsluitend te baseren op artikel 196 VWEU. De toevoeging van artikel 168, vijfde lid, VWEU en artikel 322, eerste lid, onder a), VWEU is in dit licht niet noodzakelijk en kan vragen oproepen over de coherentie van de bevoegdheidsafbakening en het beginsel van bevoegdheidstoekenning (artikel 5 VEU). Het kabinet zal de Commissie verzoeken haar keuze voor deze aanvullende rechtsgrondslagen nader te motiveren.</w:t>
      </w:r>
    </w:p>
    <w:p w:rsidRPr="008B03FA" w:rsidR="00980EB6" w:rsidP="00D134EC" w:rsidRDefault="00980EB6" w14:paraId="470C7A32" w14:textId="77777777">
      <w:pPr>
        <w:pStyle w:val="NoSpacing"/>
        <w:spacing w:line="360" w:lineRule="auto"/>
        <w:rPr>
          <w:i/>
          <w:iCs/>
          <w:szCs w:val="18"/>
        </w:rPr>
      </w:pPr>
    </w:p>
    <w:p w:rsidRPr="008B03FA" w:rsidR="00FB4C3F" w:rsidP="00D134EC" w:rsidRDefault="00496966" w14:paraId="23AD8AE7" w14:textId="1468C775">
      <w:pPr>
        <w:pStyle w:val="NoSpacing"/>
        <w:numPr>
          <w:ilvl w:val="1"/>
          <w:numId w:val="1"/>
        </w:numPr>
        <w:spacing w:line="360" w:lineRule="auto"/>
        <w:rPr>
          <w:i/>
          <w:iCs/>
          <w:szCs w:val="18"/>
        </w:rPr>
      </w:pPr>
      <w:r w:rsidRPr="008B03FA">
        <w:rPr>
          <w:i/>
          <w:iCs/>
          <w:szCs w:val="18"/>
        </w:rPr>
        <w:t>Subsidiariteit</w:t>
      </w:r>
    </w:p>
    <w:p w:rsidRPr="008B03FA" w:rsidR="00695563" w:rsidP="00D134EC" w:rsidRDefault="00695563" w14:paraId="290427E0" w14:textId="369306AC">
      <w:pPr>
        <w:pStyle w:val="NoSpacing"/>
        <w:spacing w:line="360" w:lineRule="auto"/>
        <w:rPr>
          <w:szCs w:val="18"/>
        </w:rPr>
      </w:pPr>
      <w:r w:rsidRPr="008B03FA">
        <w:rPr>
          <w:szCs w:val="18"/>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p>
    <w:p w:rsidRPr="008B03FA" w:rsidR="00695563" w:rsidP="00D134EC" w:rsidRDefault="00695563" w14:paraId="57863E3D" w14:textId="77777777">
      <w:pPr>
        <w:pStyle w:val="NoSpacing"/>
        <w:spacing w:line="360" w:lineRule="auto"/>
        <w:rPr>
          <w:szCs w:val="18"/>
        </w:rPr>
      </w:pPr>
    </w:p>
    <w:p w:rsidRPr="008B03FA" w:rsidR="005A54CD" w:rsidP="00D134EC" w:rsidRDefault="00870A95" w14:paraId="202576D3" w14:textId="383B5970">
      <w:pPr>
        <w:pStyle w:val="NoSpacing"/>
        <w:spacing w:line="360" w:lineRule="auto"/>
        <w:rPr>
          <w:szCs w:val="18"/>
        </w:rPr>
      </w:pPr>
      <w:r w:rsidRPr="00174010">
        <w:rPr>
          <w:szCs w:val="18"/>
        </w:rPr>
        <w:t>Het voorstel beoogt het Uniemechanisme te herzien en verder te ontwikkelen als instrument om een beter geïntegreerd, wendbaar en sector-overstijgend systeem voor preventie, paraatheid en respons op natuurlijke, technologische en gezondheidscrises op EU-niveau te realiseren</w:t>
      </w:r>
      <w:r>
        <w:rPr>
          <w:szCs w:val="18"/>
        </w:rPr>
        <w:t>.</w:t>
      </w:r>
      <w:r w:rsidRPr="008B03FA" w:rsidR="005A54CD">
        <w:rPr>
          <w:szCs w:val="18"/>
        </w:rPr>
        <w:t>. Gezien de toenemende complexiteit en grensoverschrijdende aard van crises – zoals pandemieën, hybride dreigingen en grootschalige natuurrampen – kunnen lidstaten deze opgaven niet langer effectief en zelfstandig dragen. Daarbij is een uniforme Europese aanpak onontbeerlijk om fragmentatie te voorkomen en tijdige, gecoördineerde respons te waarborgen</w:t>
      </w:r>
      <w:r w:rsidRPr="008B03FA" w:rsidR="009520BD">
        <w:rPr>
          <w:szCs w:val="18"/>
        </w:rPr>
        <w:t>, met inachtneming van en in aanvulling of reeds bestaande sectorale preventie, paraatheid en responsmechanismen</w:t>
      </w:r>
      <w:r w:rsidRPr="008B03FA" w:rsidR="005A54CD">
        <w:rPr>
          <w:szCs w:val="18"/>
        </w:rPr>
        <w:t>.</w:t>
      </w:r>
    </w:p>
    <w:p w:rsidRPr="008B03FA" w:rsidR="005A54CD" w:rsidP="00D134EC" w:rsidRDefault="005A54CD" w14:paraId="4D091468" w14:textId="77777777">
      <w:pPr>
        <w:pStyle w:val="NoSpacing"/>
        <w:spacing w:line="360" w:lineRule="auto"/>
        <w:rPr>
          <w:szCs w:val="18"/>
        </w:rPr>
      </w:pPr>
    </w:p>
    <w:p w:rsidRPr="008B03FA" w:rsidR="00496966" w:rsidP="00D134EC" w:rsidRDefault="006B60FC" w14:paraId="0C9FF841" w14:textId="28E4DE0F">
      <w:pPr>
        <w:pStyle w:val="NoSpacing"/>
        <w:spacing w:line="360" w:lineRule="auto"/>
        <w:rPr>
          <w:szCs w:val="18"/>
        </w:rPr>
      </w:pPr>
      <w:r w:rsidRPr="006B60FC">
        <w:rPr>
          <w:szCs w:val="18"/>
        </w:rPr>
        <w:t>Gezien de grensoverschrijdende aard van gezondheidsdreigingen en de noodzaak van snelle, gecoördineerde</w:t>
      </w:r>
      <w:r w:rsidR="0054416B">
        <w:rPr>
          <w:szCs w:val="18"/>
        </w:rPr>
        <w:t xml:space="preserve"> EU-brede</w:t>
      </w:r>
      <w:r w:rsidRPr="006B60FC">
        <w:rPr>
          <w:szCs w:val="18"/>
        </w:rPr>
        <w:t xml:space="preserve"> actie, kan afzonderlijk optreden door lidstaten</w:t>
      </w:r>
      <w:r w:rsidR="008A24A6">
        <w:rPr>
          <w:szCs w:val="18"/>
        </w:rPr>
        <w:t xml:space="preserve"> op centraal, regionaal of lokaal niveau</w:t>
      </w:r>
      <w:r w:rsidRPr="006B60FC">
        <w:rPr>
          <w:szCs w:val="18"/>
        </w:rPr>
        <w:t xml:space="preserve"> onvoldoende waarborgen dat medische tegenmaatregelen tijdig en gelijkmatig beschikbaar zijn. Het voorstel voorziet daarom in instrumenten die alleen op Unieniveau doeltreffend kunnen functioneren, zoals een centrale Hub voor crisisvoorbereiding, één uniform financieringsinstrument met vereenvoudigde procedures en de verdere uitbouw van rescEU. Dergelijke structuren zijn erop gericht versnippering te voorkomen, schaalvoordelen te benutten en solidariteit tussen lidstaten te waarborgen. Gelet hierop </w:t>
      </w:r>
      <w:r w:rsidR="0054416B">
        <w:rPr>
          <w:szCs w:val="18"/>
        </w:rPr>
        <w:t>kunnen</w:t>
      </w:r>
      <w:r w:rsidRPr="006B60FC">
        <w:rPr>
          <w:szCs w:val="18"/>
        </w:rPr>
        <w:t xml:space="preserve"> om de beoogde doelstellingen effectief </w:t>
      </w:r>
      <w:r w:rsidR="0054416B">
        <w:rPr>
          <w:szCs w:val="18"/>
        </w:rPr>
        <w:t>en beter op EU-niveau worden bereikt</w:t>
      </w:r>
      <w:r w:rsidRPr="006B60FC">
        <w:rPr>
          <w:szCs w:val="18"/>
        </w:rPr>
        <w:t>.</w:t>
      </w:r>
      <w:r w:rsidR="003803AC">
        <w:rPr>
          <w:szCs w:val="18"/>
        </w:rPr>
        <w:t xml:space="preserve"> Wel vindt het kabinet dat l</w:t>
      </w:r>
      <w:r w:rsidRPr="003803AC" w:rsidR="003803AC">
        <w:rPr>
          <w:szCs w:val="18"/>
        </w:rPr>
        <w:t xml:space="preserve">idstaten nauw betrokken </w:t>
      </w:r>
      <w:r w:rsidR="003803AC">
        <w:rPr>
          <w:szCs w:val="18"/>
        </w:rPr>
        <w:t xml:space="preserve">moeten </w:t>
      </w:r>
      <w:r w:rsidRPr="003803AC" w:rsidR="003803AC">
        <w:rPr>
          <w:szCs w:val="18"/>
        </w:rPr>
        <w:t>zijn bij vervolgkeuzes over de vorm en inhoud van de voorraadopbouw</w:t>
      </w:r>
      <w:r w:rsidR="00286B16">
        <w:rPr>
          <w:szCs w:val="18"/>
        </w:rPr>
        <w:t xml:space="preserve"> op EU-niveau</w:t>
      </w:r>
      <w:r w:rsidR="003803AC">
        <w:rPr>
          <w:szCs w:val="18"/>
        </w:rPr>
        <w:t>.</w:t>
      </w:r>
      <w:r w:rsidRPr="004472BE" w:rsidR="004472BE">
        <w:rPr>
          <w:rFonts w:ascii="Segoe UI" w:hAnsi="Segoe UI" w:eastAsia="Times New Roman" w:cs="Segoe UI"/>
          <w:kern w:val="0"/>
          <w:szCs w:val="18"/>
          <w:lang w:eastAsia="nl-NL"/>
          <w14:ligatures w14:val="none"/>
        </w:rPr>
        <w:t xml:space="preserve"> </w:t>
      </w:r>
      <w:r w:rsidRPr="004472BE" w:rsidR="004472BE">
        <w:rPr>
          <w:szCs w:val="18"/>
        </w:rPr>
        <w:t>Voor de paraatheid</w:t>
      </w:r>
      <w:r w:rsidR="004472BE">
        <w:rPr>
          <w:szCs w:val="18"/>
        </w:rPr>
        <w:t xml:space="preserve"> voor</w:t>
      </w:r>
      <w:r w:rsidRPr="004472BE" w:rsidR="004472BE">
        <w:rPr>
          <w:szCs w:val="18"/>
        </w:rPr>
        <w:t xml:space="preserve"> en bestrijding van ernstige grensoverschrijdende gezondheidsbedreigingen kan het Uniemechanisme bijdragen aan het versterken van gezamenlijke capaciteiten, bijvoorbeeld rondom de beschikbaarheid van medische tegenmaatregelen. Dergelijke EU-structuren zijn erop gericht versnippering te voorkomen, schaalvoordelen te benutten en solidariteit tussen lidstaten te waarborgen. Het kabinet acht het van evident belang dat dergelijke doelstellingen primair op EU-niveau worden gerealiseerd, maar hecht er tegelijkertijd aan dat lidstaten nauw betrokken blijven </w:t>
      </w:r>
      <w:r w:rsidRPr="004472BE" w:rsidR="004472BE">
        <w:rPr>
          <w:szCs w:val="18"/>
        </w:rPr>
        <w:lastRenderedPageBreak/>
        <w:t>bij de nadere keuzes over de vorm en inhoud van de gezamenlijke voorraadopbouw, zodat aansluiting bij nationale systemen en verantwoordelijkheden geborgd blijft.</w:t>
      </w:r>
      <w:r w:rsidRPr="008B03FA" w:rsidR="006E3C2B">
        <w:rPr>
          <w:szCs w:val="18"/>
        </w:rPr>
        <w:br/>
      </w:r>
    </w:p>
    <w:p w:rsidRPr="008B03FA" w:rsidR="00FB4C3F" w:rsidP="00D134EC" w:rsidRDefault="00CF1388" w14:paraId="1D1ED135" w14:textId="6A5A1FF5">
      <w:pPr>
        <w:pStyle w:val="NoSpacing"/>
        <w:numPr>
          <w:ilvl w:val="1"/>
          <w:numId w:val="1"/>
        </w:numPr>
        <w:spacing w:line="360" w:lineRule="auto"/>
        <w:rPr>
          <w:i/>
          <w:iCs/>
          <w:szCs w:val="18"/>
        </w:rPr>
      </w:pPr>
      <w:r w:rsidRPr="008B03FA">
        <w:rPr>
          <w:i/>
          <w:iCs/>
          <w:szCs w:val="18"/>
        </w:rPr>
        <w:t>Proportionaliteit</w:t>
      </w:r>
    </w:p>
    <w:p w:rsidRPr="008B03FA" w:rsidR="005A54CD" w:rsidP="00D134EC" w:rsidRDefault="00695563" w14:paraId="294F3A1A" w14:textId="57E2E697">
      <w:pPr>
        <w:pStyle w:val="NoSpacing"/>
        <w:spacing w:line="360" w:lineRule="auto"/>
        <w:rPr>
          <w:szCs w:val="18"/>
        </w:rPr>
      </w:pPr>
      <w:r w:rsidRPr="008B03FA">
        <w:rPr>
          <w:szCs w:val="18"/>
        </w:rPr>
        <w:t xml:space="preserve">Als onderdeel van de toets of de EU mag optreden conform de EU-verdragen toetst het kabinet of de inhoud en vorm van het optreden van de Unie niet verder gaan dan wat nodig is om de doelstellingen van de EU-verdragen te verwezenlijken (het </w:t>
      </w:r>
      <w:r w:rsidRPr="008B03FA" w:rsidR="00D51311">
        <w:rPr>
          <w:szCs w:val="18"/>
        </w:rPr>
        <w:t>proportionaliteitsbeginsel</w:t>
      </w:r>
      <w:r w:rsidRPr="008B03FA">
        <w:rPr>
          <w:szCs w:val="18"/>
        </w:rPr>
        <w:t xml:space="preserve">). Het oordeel van het kabinet </w:t>
      </w:r>
      <w:r w:rsidRPr="008B03FA" w:rsidR="00C33C2F">
        <w:rPr>
          <w:szCs w:val="18"/>
        </w:rPr>
        <w:t>over</w:t>
      </w:r>
      <w:r w:rsidRPr="008B03FA">
        <w:rPr>
          <w:szCs w:val="18"/>
        </w:rPr>
        <w:t xml:space="preserve"> de proportionaliteit is positief. </w:t>
      </w:r>
      <w:r w:rsidRPr="008B03FA" w:rsidR="003B473E">
        <w:rPr>
          <w:szCs w:val="18"/>
        </w:rPr>
        <w:t xml:space="preserve">Het </w:t>
      </w:r>
      <w:r w:rsidR="006B60FC">
        <w:rPr>
          <w:szCs w:val="18"/>
        </w:rPr>
        <w:t xml:space="preserve">voorstel </w:t>
      </w:r>
      <w:r w:rsidRPr="008B03FA" w:rsidR="005A54CD">
        <w:rPr>
          <w:szCs w:val="18"/>
        </w:rPr>
        <w:t>heeft tot doel het mechanisme te herzien tot een geïntegreerd, wendbaar en sectoroverstijgend instrument voor preventie, paraatheid en respons op natuurlijke, technologische en gezondheidscrises op EU-niveau</w:t>
      </w:r>
      <w:r w:rsidR="0054416B">
        <w:rPr>
          <w:szCs w:val="18"/>
        </w:rPr>
        <w:t>.</w:t>
      </w:r>
      <w:r w:rsidRPr="008B03FA" w:rsidR="005A54CD">
        <w:rPr>
          <w:szCs w:val="18"/>
        </w:rPr>
        <w:t xml:space="preserve"> </w:t>
      </w:r>
      <w:r w:rsidR="0054416B">
        <w:rPr>
          <w:szCs w:val="18"/>
        </w:rPr>
        <w:t>D</w:t>
      </w:r>
      <w:r w:rsidRPr="008B03FA" w:rsidR="005A54CD">
        <w:rPr>
          <w:szCs w:val="18"/>
        </w:rPr>
        <w:t xml:space="preserve">aarbij </w:t>
      </w:r>
      <w:r w:rsidR="0054416B">
        <w:rPr>
          <w:szCs w:val="18"/>
        </w:rPr>
        <w:t xml:space="preserve">worden </w:t>
      </w:r>
      <w:r w:rsidRPr="008B03FA" w:rsidR="005A54CD">
        <w:rPr>
          <w:szCs w:val="18"/>
        </w:rPr>
        <w:t>onder meer richtsnoeren vastgesteld voor gezondheidscrisisvoorbereiding</w:t>
      </w:r>
      <w:r w:rsidRPr="008B03FA" w:rsidR="006E797A">
        <w:rPr>
          <w:szCs w:val="18"/>
        </w:rPr>
        <w:t xml:space="preserve"> met betrekking tot de beschikbaarheid van medische tegenmaatregelen</w:t>
      </w:r>
      <w:r w:rsidR="00286B16">
        <w:rPr>
          <w:szCs w:val="18"/>
        </w:rPr>
        <w:t xml:space="preserve"> op EU-niveau</w:t>
      </w:r>
      <w:r w:rsidRPr="008B03FA" w:rsidR="005A54CD">
        <w:rPr>
          <w:szCs w:val="18"/>
        </w:rPr>
        <w:t xml:space="preserve">, de inrichting van een </w:t>
      </w:r>
      <w:r w:rsidRPr="008B03FA" w:rsidR="008E04F6">
        <w:rPr>
          <w:szCs w:val="18"/>
        </w:rPr>
        <w:t>hub</w:t>
      </w:r>
      <w:r w:rsidRPr="008B03FA" w:rsidR="005A54CD">
        <w:rPr>
          <w:szCs w:val="18"/>
        </w:rPr>
        <w:t>, de invoering van een uniform financieringsinstrument en de versterking van rescEU. Het voorgestelde optreden is geschikt om deze doelstelling te bereiken, nu het voorziet in overkoepelende bepalingen die lidstaten ondersteunen bij het verbeteren van hun paraatheid</w:t>
      </w:r>
      <w:r w:rsidRPr="008B03FA" w:rsidR="0039457F">
        <w:rPr>
          <w:szCs w:val="18"/>
        </w:rPr>
        <w:t>.</w:t>
      </w:r>
    </w:p>
    <w:p w:rsidRPr="008B03FA" w:rsidR="005A54CD" w:rsidP="00D134EC" w:rsidRDefault="005A54CD" w14:paraId="2ECEB48C" w14:textId="77777777">
      <w:pPr>
        <w:pStyle w:val="NoSpacing"/>
        <w:spacing w:line="360" w:lineRule="auto"/>
        <w:rPr>
          <w:szCs w:val="18"/>
        </w:rPr>
      </w:pPr>
    </w:p>
    <w:p w:rsidRPr="008B03FA" w:rsidR="005A54CD" w:rsidP="00D134EC" w:rsidRDefault="0039457F" w14:paraId="5F74BFC0" w14:textId="02BD3022">
      <w:pPr>
        <w:pStyle w:val="NoSpacing"/>
        <w:spacing w:line="360" w:lineRule="auto"/>
        <w:rPr>
          <w:szCs w:val="18"/>
        </w:rPr>
      </w:pPr>
      <w:r w:rsidRPr="008B03FA">
        <w:rPr>
          <w:szCs w:val="18"/>
        </w:rPr>
        <w:t>Bovendien beperken de maatregelen</w:t>
      </w:r>
      <w:r w:rsidRPr="008B03FA" w:rsidR="005A54CD">
        <w:rPr>
          <w:szCs w:val="18"/>
        </w:rPr>
        <w:t xml:space="preserve"> zich tot wat noodzakelijk is om </w:t>
      </w:r>
      <w:r w:rsidR="006B60FC">
        <w:rPr>
          <w:szCs w:val="18"/>
        </w:rPr>
        <w:t xml:space="preserve">de doelstelling van het voorstel </w:t>
      </w:r>
      <w:r w:rsidRPr="008B03FA" w:rsidR="005A54CD">
        <w:rPr>
          <w:szCs w:val="18"/>
        </w:rPr>
        <w:t>te realiseren</w:t>
      </w:r>
      <w:r w:rsidR="006527FB">
        <w:rPr>
          <w:szCs w:val="18"/>
        </w:rPr>
        <w:t xml:space="preserve">. </w:t>
      </w:r>
      <w:r w:rsidR="004E0BE2">
        <w:rPr>
          <w:szCs w:val="18"/>
        </w:rPr>
        <w:t>N</w:t>
      </w:r>
      <w:r w:rsidRPr="008B03FA">
        <w:rPr>
          <w:szCs w:val="18"/>
        </w:rPr>
        <w:t xml:space="preserve">ationale structuren </w:t>
      </w:r>
      <w:r w:rsidR="004E0BE2">
        <w:rPr>
          <w:szCs w:val="18"/>
        </w:rPr>
        <w:t xml:space="preserve">worden </w:t>
      </w:r>
      <w:r w:rsidRPr="008B03FA">
        <w:rPr>
          <w:szCs w:val="18"/>
        </w:rPr>
        <w:t xml:space="preserve">niet geharmoniseerd en lidstaten </w:t>
      </w:r>
      <w:r w:rsidR="004E0BE2">
        <w:rPr>
          <w:szCs w:val="18"/>
        </w:rPr>
        <w:t xml:space="preserve">worden </w:t>
      </w:r>
      <w:r w:rsidRPr="008B03FA">
        <w:rPr>
          <w:szCs w:val="18"/>
        </w:rPr>
        <w:t xml:space="preserve">geen gedetailleerde verplichtingen opgelegd. Lidstaten behouden dus </w:t>
      </w:r>
      <w:r w:rsidRPr="008B03FA" w:rsidR="005A54CD">
        <w:rPr>
          <w:szCs w:val="18"/>
        </w:rPr>
        <w:t>beleidsvrijheid bij de inrichting van hun eigen crisisstructuren. Daarnaast is het voorstel ontworpen met oog voor uitvoerbaarheid: het vereenvoudigt bestaande financieringsprocedures, voorkomt overlap met andere EU-instrumenten en leidt niet tot additionele administratieve lasten voor decentrale overheden. Integendeel, door standaardisatie en vereenvoudiging van procedures wordt de administratieve druk op nationale autoriteiten naar verwachting juist verlicht.</w:t>
      </w:r>
      <w:r w:rsidRPr="008B03FA">
        <w:rPr>
          <w:szCs w:val="18"/>
        </w:rPr>
        <w:t xml:space="preserve"> </w:t>
      </w:r>
    </w:p>
    <w:p w:rsidRPr="008B03FA" w:rsidR="00EE1E88" w:rsidP="00D134EC" w:rsidRDefault="00EE1E88" w14:paraId="37CC4681" w14:textId="77777777">
      <w:pPr>
        <w:pStyle w:val="NoSpacing"/>
        <w:spacing w:line="360" w:lineRule="auto"/>
        <w:rPr>
          <w:szCs w:val="18"/>
        </w:rPr>
      </w:pPr>
    </w:p>
    <w:p w:rsidRPr="008B03FA" w:rsidR="00CF1388" w:rsidP="00D134EC" w:rsidRDefault="00CF1388" w14:paraId="385A077C" w14:textId="77777777">
      <w:pPr>
        <w:pStyle w:val="NoSpacing"/>
        <w:numPr>
          <w:ilvl w:val="0"/>
          <w:numId w:val="1"/>
        </w:numPr>
        <w:spacing w:line="360" w:lineRule="auto"/>
        <w:rPr>
          <w:b/>
          <w:bCs/>
          <w:szCs w:val="18"/>
        </w:rPr>
      </w:pPr>
      <w:r w:rsidRPr="008B03FA">
        <w:rPr>
          <w:b/>
          <w:bCs/>
          <w:szCs w:val="18"/>
        </w:rPr>
        <w:t>Financiële consequenties, gevolgen voor regeldruk, concurrentiekracht en geopolitieke aspecten</w:t>
      </w:r>
    </w:p>
    <w:p w:rsidRPr="008B03FA" w:rsidR="009A4CC6" w:rsidP="00D134EC" w:rsidRDefault="009A4CC6" w14:paraId="090EC30F" w14:textId="77777777">
      <w:pPr>
        <w:pStyle w:val="NoSpacing"/>
        <w:spacing w:line="360" w:lineRule="auto"/>
        <w:ind w:left="360"/>
        <w:rPr>
          <w:b/>
          <w:bCs/>
          <w:szCs w:val="18"/>
        </w:rPr>
      </w:pPr>
    </w:p>
    <w:p w:rsidRPr="008B03FA" w:rsidR="00CF1388" w:rsidP="00D134EC" w:rsidRDefault="00CF1388" w14:paraId="172D4FE0" w14:textId="77777777">
      <w:pPr>
        <w:pStyle w:val="NoSpacing"/>
        <w:numPr>
          <w:ilvl w:val="1"/>
          <w:numId w:val="1"/>
        </w:numPr>
        <w:spacing w:line="360" w:lineRule="auto"/>
        <w:rPr>
          <w:i/>
          <w:iCs/>
          <w:szCs w:val="18"/>
        </w:rPr>
      </w:pPr>
      <w:r w:rsidRPr="008B03FA">
        <w:rPr>
          <w:i/>
          <w:iCs/>
          <w:szCs w:val="18"/>
        </w:rPr>
        <w:t>Consequenties EU-begroting</w:t>
      </w:r>
    </w:p>
    <w:p w:rsidRPr="008B03FA" w:rsidR="00E51540" w:rsidP="005B6AAA" w:rsidRDefault="00AA6BDC" w14:paraId="40150AF5" w14:textId="389A7BDD">
      <w:pPr>
        <w:spacing w:line="360" w:lineRule="auto"/>
        <w:rPr>
          <w:rFonts w:ascii="Verdana" w:hAnsi="Verdana"/>
          <w:sz w:val="18"/>
          <w:szCs w:val="18"/>
        </w:rPr>
      </w:pPr>
      <w:r w:rsidRPr="008B03FA">
        <w:rPr>
          <w:rFonts w:ascii="Verdana" w:hAnsi="Verdana"/>
          <w:sz w:val="18"/>
          <w:szCs w:val="18"/>
        </w:rPr>
        <w:t xml:space="preserve">Voor </w:t>
      </w:r>
      <w:r w:rsidR="000654CB">
        <w:rPr>
          <w:rFonts w:ascii="Verdana" w:hAnsi="Verdana"/>
          <w:sz w:val="18"/>
          <w:szCs w:val="18"/>
        </w:rPr>
        <w:t>het voorstel</w:t>
      </w:r>
      <w:r w:rsidRPr="008B03FA">
        <w:rPr>
          <w:rFonts w:ascii="Verdana" w:hAnsi="Verdana"/>
          <w:sz w:val="18"/>
          <w:szCs w:val="18"/>
        </w:rPr>
        <w:t xml:space="preserve"> geldt een indicatief financieel kader van 10,675 miljard</w:t>
      </w:r>
      <w:r w:rsidR="009C3940">
        <w:rPr>
          <w:rFonts w:ascii="Verdana" w:hAnsi="Verdana"/>
          <w:sz w:val="18"/>
          <w:szCs w:val="18"/>
        </w:rPr>
        <w:t xml:space="preserve"> euro</w:t>
      </w:r>
      <w:r w:rsidRPr="008B03FA">
        <w:rPr>
          <w:rFonts w:ascii="Verdana" w:hAnsi="Verdana"/>
          <w:sz w:val="18"/>
          <w:szCs w:val="18"/>
        </w:rPr>
        <w:t xml:space="preserve"> (in lopende prijzen), van toepassing vanaf 1 januari 2028. </w:t>
      </w:r>
      <w:r w:rsidRPr="008B03FA" w:rsidR="00D134EC">
        <w:rPr>
          <w:rFonts w:ascii="Verdana" w:hAnsi="Verdana"/>
          <w:sz w:val="18"/>
          <w:szCs w:val="18"/>
        </w:rPr>
        <w:t>De onderhandelingen over de toekomst van het Uniemechanisme zijn wat betreft de financiële aspecten, integraal onderdeel van de onderhandelingen over het MFK 2028</w:t>
      </w:r>
      <w:r w:rsidRPr="008B03FA" w:rsidR="00554956">
        <w:rPr>
          <w:rFonts w:ascii="Verdana" w:hAnsi="Verdana"/>
          <w:sz w:val="18"/>
          <w:szCs w:val="18"/>
        </w:rPr>
        <w:t xml:space="preserve"> - </w:t>
      </w:r>
      <w:r w:rsidRPr="008B03FA" w:rsidR="00D134EC">
        <w:rPr>
          <w:rFonts w:ascii="Verdana" w:hAnsi="Verdana"/>
          <w:sz w:val="18"/>
          <w:szCs w:val="18"/>
        </w:rPr>
        <w:t xml:space="preserve">2034. </w:t>
      </w:r>
      <w:r w:rsidRPr="008B03FA" w:rsidR="002F1D84">
        <w:rPr>
          <w:rFonts w:ascii="Verdana" w:hAnsi="Verdana"/>
          <w:sz w:val="18"/>
          <w:szCs w:val="18"/>
        </w:rPr>
        <w:t>Het kabinet</w:t>
      </w:r>
      <w:r w:rsidRPr="008B03FA" w:rsidR="00D134EC">
        <w:rPr>
          <w:rFonts w:ascii="Verdana" w:hAnsi="Verdana"/>
          <w:sz w:val="18"/>
          <w:szCs w:val="18"/>
        </w:rPr>
        <w:t xml:space="preserve"> hecht eraan dat besprekingen over het </w:t>
      </w:r>
      <w:r w:rsidRPr="008B03FA" w:rsidR="00393B6B">
        <w:rPr>
          <w:rFonts w:ascii="Verdana" w:hAnsi="Verdana"/>
          <w:sz w:val="18"/>
          <w:szCs w:val="18"/>
        </w:rPr>
        <w:t>Uniemechanisme</w:t>
      </w:r>
      <w:r w:rsidRPr="008B03FA" w:rsidR="00D134EC">
        <w:rPr>
          <w:rFonts w:ascii="Verdana" w:hAnsi="Verdana"/>
          <w:sz w:val="18"/>
          <w:szCs w:val="18"/>
        </w:rPr>
        <w:t xml:space="preserve"> niet vooruitlopen op de integrale besluitvorming betreffende de budgettaire omvang van het MFK. De beleidsmatige inzet van </w:t>
      </w:r>
      <w:r w:rsidRPr="008B03FA" w:rsidR="00A653F2">
        <w:rPr>
          <w:rFonts w:ascii="Verdana" w:hAnsi="Verdana"/>
          <w:sz w:val="18"/>
          <w:szCs w:val="18"/>
        </w:rPr>
        <w:t>het kabinet</w:t>
      </w:r>
      <w:r w:rsidRPr="008B03FA" w:rsidR="00D134EC">
        <w:rPr>
          <w:rFonts w:ascii="Verdana" w:hAnsi="Verdana"/>
          <w:sz w:val="18"/>
          <w:szCs w:val="18"/>
        </w:rPr>
        <w:t xml:space="preserve"> bij het </w:t>
      </w:r>
      <w:r w:rsidRPr="008B03FA" w:rsidR="00393B6B">
        <w:rPr>
          <w:rFonts w:ascii="Verdana" w:hAnsi="Verdana"/>
          <w:sz w:val="18"/>
          <w:szCs w:val="18"/>
        </w:rPr>
        <w:t xml:space="preserve">mechanisme </w:t>
      </w:r>
      <w:r w:rsidRPr="008B03FA" w:rsidR="00D134EC">
        <w:rPr>
          <w:rFonts w:ascii="Verdana" w:hAnsi="Verdana"/>
          <w:sz w:val="18"/>
          <w:szCs w:val="18"/>
        </w:rPr>
        <w:t xml:space="preserve">moet ondersteunend zijn aan de overkoepelende </w:t>
      </w:r>
      <w:r w:rsidRPr="008B03FA" w:rsidR="002C5FE4">
        <w:rPr>
          <w:rFonts w:ascii="Verdana" w:hAnsi="Verdana"/>
          <w:sz w:val="18"/>
          <w:szCs w:val="18"/>
        </w:rPr>
        <w:t>kabinets</w:t>
      </w:r>
      <w:r w:rsidRPr="008B03FA" w:rsidR="00D134EC">
        <w:rPr>
          <w:rFonts w:ascii="Verdana" w:hAnsi="Verdana"/>
          <w:sz w:val="18"/>
          <w:szCs w:val="18"/>
        </w:rPr>
        <w:t>inzet in de MFK-onderhandelingen zoals hierboven toegelicht, te weten</w:t>
      </w:r>
      <w:r w:rsidR="00E82AFE">
        <w:rPr>
          <w:rFonts w:ascii="Verdana" w:hAnsi="Verdana"/>
          <w:sz w:val="18"/>
          <w:szCs w:val="18"/>
        </w:rPr>
        <w:t>:</w:t>
      </w:r>
      <w:r w:rsidRPr="008B03FA" w:rsidR="00D134EC">
        <w:rPr>
          <w:rFonts w:ascii="Verdana" w:hAnsi="Verdana"/>
          <w:sz w:val="18"/>
          <w:szCs w:val="18"/>
        </w:rPr>
        <w:t xml:space="preserve"> een </w:t>
      </w:r>
      <w:r w:rsidRPr="008E51AA" w:rsidR="00D134EC">
        <w:rPr>
          <w:rFonts w:ascii="Verdana" w:hAnsi="Verdana"/>
          <w:i/>
          <w:iCs/>
          <w:sz w:val="18"/>
          <w:szCs w:val="18"/>
        </w:rPr>
        <w:t>ambitieus</w:t>
      </w:r>
      <w:r w:rsidR="008E51AA">
        <w:rPr>
          <w:rFonts w:ascii="Verdana" w:hAnsi="Verdana"/>
          <w:sz w:val="18"/>
          <w:szCs w:val="18"/>
        </w:rPr>
        <w:t xml:space="preserve">, </w:t>
      </w:r>
      <w:r w:rsidRPr="008E51AA" w:rsidR="00D134EC">
        <w:rPr>
          <w:rFonts w:ascii="Verdana" w:hAnsi="Verdana"/>
          <w:i/>
          <w:iCs/>
          <w:sz w:val="18"/>
          <w:szCs w:val="18"/>
        </w:rPr>
        <w:t>gemoderniseerd</w:t>
      </w:r>
      <w:r w:rsidRPr="008B03FA" w:rsidR="00D134EC">
        <w:rPr>
          <w:rFonts w:ascii="Verdana" w:hAnsi="Verdana"/>
          <w:sz w:val="18"/>
          <w:szCs w:val="18"/>
        </w:rPr>
        <w:t xml:space="preserve"> en </w:t>
      </w:r>
      <w:r w:rsidRPr="008E51AA" w:rsidR="00D134EC">
        <w:rPr>
          <w:rFonts w:ascii="Verdana" w:hAnsi="Verdana"/>
          <w:i/>
          <w:iCs/>
          <w:sz w:val="18"/>
          <w:szCs w:val="18"/>
        </w:rPr>
        <w:t>financieel houdbaar</w:t>
      </w:r>
      <w:r w:rsidRPr="008B03FA" w:rsidR="00D134EC">
        <w:rPr>
          <w:rFonts w:ascii="Verdana" w:hAnsi="Verdana"/>
          <w:sz w:val="18"/>
          <w:szCs w:val="18"/>
        </w:rPr>
        <w:t xml:space="preserve"> MFK. Dit vraagt </w:t>
      </w:r>
      <w:r w:rsidR="00F65A38">
        <w:rPr>
          <w:rFonts w:ascii="Verdana" w:hAnsi="Verdana"/>
          <w:sz w:val="18"/>
          <w:szCs w:val="18"/>
        </w:rPr>
        <w:t xml:space="preserve">om </w:t>
      </w:r>
      <w:r w:rsidRPr="008B03FA" w:rsidR="00D134EC">
        <w:rPr>
          <w:rFonts w:ascii="Verdana" w:hAnsi="Verdana"/>
          <w:sz w:val="18"/>
          <w:szCs w:val="18"/>
        </w:rPr>
        <w:t>scherpe keuzes. Binnen dit kader blijft vanzelfsprekend ruimte bestaan om op de inhoud actief in te spelen op het verloop van de onderhandelingen.</w:t>
      </w:r>
      <w:r w:rsidRPr="008B03FA" w:rsidR="00D134EC">
        <w:rPr>
          <w:rFonts w:ascii="Verdana" w:hAnsi="Verdana"/>
          <w:sz w:val="18"/>
          <w:szCs w:val="18"/>
        </w:rPr>
        <w:br/>
      </w:r>
      <w:r w:rsidRPr="008B03FA" w:rsidR="00D134EC">
        <w:rPr>
          <w:rFonts w:ascii="Verdana" w:hAnsi="Verdana"/>
          <w:sz w:val="18"/>
          <w:szCs w:val="18"/>
        </w:rPr>
        <w:br/>
      </w:r>
      <w:r w:rsidR="006B60FC">
        <w:rPr>
          <w:rFonts w:ascii="Verdana" w:hAnsi="Verdana"/>
          <w:sz w:val="18"/>
          <w:szCs w:val="18"/>
        </w:rPr>
        <w:t>Het voorstel</w:t>
      </w:r>
      <w:r w:rsidRPr="008B03FA" w:rsidR="001C3330">
        <w:rPr>
          <w:rFonts w:ascii="Verdana" w:hAnsi="Verdana"/>
          <w:sz w:val="18"/>
          <w:szCs w:val="18"/>
        </w:rPr>
        <w:t xml:space="preserve"> heeft implicaties voor de werkzaamheden die nu al plaatsvinden onder het mechanisme, als voor crisis-gerelateerde gezondheidsgelden. </w:t>
      </w:r>
      <w:r w:rsidRPr="008B03FA" w:rsidR="00D134EC">
        <w:rPr>
          <w:rFonts w:ascii="Verdana" w:hAnsi="Verdana"/>
          <w:sz w:val="18"/>
          <w:szCs w:val="18"/>
        </w:rPr>
        <w:t>De</w:t>
      </w:r>
      <w:r w:rsidRPr="008B03FA" w:rsidR="00E51540">
        <w:rPr>
          <w:rFonts w:ascii="Verdana" w:hAnsi="Verdana"/>
          <w:sz w:val="18"/>
          <w:szCs w:val="18"/>
        </w:rPr>
        <w:t xml:space="preserve"> implicaties voor de inzet van EU-middelen</w:t>
      </w:r>
      <w:r w:rsidRPr="008B03FA" w:rsidR="001C3330">
        <w:rPr>
          <w:rFonts w:ascii="Verdana" w:hAnsi="Verdana"/>
          <w:sz w:val="18"/>
          <w:szCs w:val="18"/>
        </w:rPr>
        <w:t xml:space="preserve"> voor het huidige Uniemechanisme ziet de Commissie</w:t>
      </w:r>
      <w:r w:rsidRPr="008B03FA" w:rsidR="00E51540">
        <w:rPr>
          <w:rFonts w:ascii="Verdana" w:hAnsi="Verdana"/>
          <w:sz w:val="18"/>
          <w:szCs w:val="18"/>
        </w:rPr>
        <w:t>,</w:t>
      </w:r>
      <w:r w:rsidRPr="008B03FA" w:rsidR="001C3330">
        <w:rPr>
          <w:rFonts w:ascii="Verdana" w:hAnsi="Verdana"/>
          <w:sz w:val="18"/>
          <w:szCs w:val="18"/>
        </w:rPr>
        <w:t xml:space="preserve"> </w:t>
      </w:r>
      <w:r w:rsidRPr="008B03FA" w:rsidR="00E51540">
        <w:rPr>
          <w:rFonts w:ascii="Verdana" w:hAnsi="Verdana"/>
          <w:sz w:val="18"/>
          <w:szCs w:val="18"/>
        </w:rPr>
        <w:t xml:space="preserve">met name </w:t>
      </w:r>
      <w:r w:rsidRPr="008B03FA" w:rsidR="001C3330">
        <w:rPr>
          <w:rFonts w:ascii="Verdana" w:hAnsi="Verdana"/>
          <w:sz w:val="18"/>
          <w:szCs w:val="18"/>
        </w:rPr>
        <w:t xml:space="preserve">voor </w:t>
      </w:r>
      <w:r w:rsidRPr="008B03FA" w:rsidR="00E51540">
        <w:rPr>
          <w:rFonts w:ascii="Verdana" w:hAnsi="Verdana"/>
          <w:sz w:val="18"/>
          <w:szCs w:val="18"/>
        </w:rPr>
        <w:t xml:space="preserve">de verdere uitbouw </w:t>
      </w:r>
      <w:r w:rsidRPr="008B03FA" w:rsidR="00E51540">
        <w:rPr>
          <w:rFonts w:ascii="Verdana" w:hAnsi="Verdana"/>
          <w:sz w:val="18"/>
          <w:szCs w:val="18"/>
        </w:rPr>
        <w:lastRenderedPageBreak/>
        <w:t xml:space="preserve">van rescEU-capaciteiten, de inrichting van de </w:t>
      </w:r>
      <w:r w:rsidRPr="008B03FA" w:rsidR="000B682F">
        <w:rPr>
          <w:rFonts w:ascii="Verdana" w:hAnsi="Verdana"/>
          <w:sz w:val="18"/>
          <w:szCs w:val="18"/>
        </w:rPr>
        <w:t>Hub</w:t>
      </w:r>
      <w:r w:rsidRPr="008B03FA" w:rsidR="00E51540">
        <w:rPr>
          <w:rFonts w:ascii="Verdana" w:hAnsi="Verdana"/>
          <w:sz w:val="18"/>
          <w:szCs w:val="18"/>
        </w:rPr>
        <w:t>, en de implementatie van gestandaardiseerde paraatheidsmaatregelen (zoals risicobeoordelingen, trainingsprogramma’s en gastlandondersteuning). De Commissie geeft aan dat de administratieve lasten voor lidstaten minimaal zullen zijn en beperkt tot wat strikt noodzakelijk is voor de uitvoering van de EU-begroting</w:t>
      </w:r>
      <w:r w:rsidRPr="008B03FA" w:rsidR="009C3940">
        <w:rPr>
          <w:rFonts w:ascii="Verdana" w:hAnsi="Verdana"/>
          <w:sz w:val="18"/>
          <w:szCs w:val="18"/>
        </w:rPr>
        <w:t>.</w:t>
      </w:r>
    </w:p>
    <w:p w:rsidRPr="008B03FA" w:rsidR="00D134EC" w:rsidP="00D134EC" w:rsidRDefault="00D51311" w14:paraId="0647D9E1" w14:textId="1313F41A">
      <w:pPr>
        <w:pStyle w:val="NoSpacing"/>
        <w:spacing w:line="360" w:lineRule="auto"/>
        <w:rPr>
          <w:szCs w:val="18"/>
        </w:rPr>
      </w:pPr>
      <w:r w:rsidRPr="008B03FA">
        <w:rPr>
          <w:szCs w:val="18"/>
        </w:rPr>
        <w:t>Daarnaast wordt binnen de</w:t>
      </w:r>
      <w:r w:rsidRPr="008B03FA" w:rsidR="008D3975">
        <w:rPr>
          <w:szCs w:val="18"/>
        </w:rPr>
        <w:t xml:space="preserve"> verordening </w:t>
      </w:r>
      <w:r w:rsidRPr="008B03FA">
        <w:rPr>
          <w:szCs w:val="18"/>
        </w:rPr>
        <w:t>voorgesteld crisis-gerelateerde gezondheidsgelden (waarvan HERA</w:t>
      </w:r>
      <w:r w:rsidRPr="008B03FA" w:rsidR="00CD05AB">
        <w:rPr>
          <w:szCs w:val="18"/>
        </w:rPr>
        <w:t xml:space="preserve"> </w:t>
      </w:r>
      <w:r w:rsidRPr="008B03FA">
        <w:rPr>
          <w:szCs w:val="18"/>
        </w:rPr>
        <w:t xml:space="preserve">een belangrijk onderdeel vormt), onderdeel te maken van het </w:t>
      </w:r>
      <w:r w:rsidR="00D9132D">
        <w:rPr>
          <w:szCs w:val="18"/>
        </w:rPr>
        <w:t>Uniemechanisme</w:t>
      </w:r>
      <w:r w:rsidRPr="008B03FA">
        <w:rPr>
          <w:szCs w:val="18"/>
        </w:rPr>
        <w:t>. In het huidige MFK vallen deze gezondheidsgelden binnen het EU4Health</w:t>
      </w:r>
      <w:r w:rsidR="000654CB">
        <w:rPr>
          <w:szCs w:val="18"/>
        </w:rPr>
        <w:t>-</w:t>
      </w:r>
      <w:r w:rsidRPr="008B03FA">
        <w:rPr>
          <w:szCs w:val="18"/>
        </w:rPr>
        <w:t xml:space="preserve">programma. Dit programma </w:t>
      </w:r>
      <w:r w:rsidR="00040494">
        <w:rPr>
          <w:szCs w:val="18"/>
        </w:rPr>
        <w:t>komt</w:t>
      </w:r>
      <w:r w:rsidRPr="008B03FA">
        <w:rPr>
          <w:szCs w:val="18"/>
        </w:rPr>
        <w:t xml:space="preserve"> in </w:t>
      </w:r>
      <w:r w:rsidRPr="008B03FA" w:rsidR="002C5FE4">
        <w:rPr>
          <w:szCs w:val="18"/>
        </w:rPr>
        <w:t>de</w:t>
      </w:r>
      <w:r w:rsidRPr="008B03FA">
        <w:rPr>
          <w:szCs w:val="18"/>
        </w:rPr>
        <w:t xml:space="preserve"> huidige vorm niet terug in </w:t>
      </w:r>
      <w:r w:rsidR="00040494">
        <w:rPr>
          <w:szCs w:val="18"/>
        </w:rPr>
        <w:t>de voorstellen van de Commissie voor het</w:t>
      </w:r>
      <w:r w:rsidRPr="008B03FA">
        <w:rPr>
          <w:szCs w:val="18"/>
        </w:rPr>
        <w:t xml:space="preserve"> MFK </w:t>
      </w:r>
      <w:r w:rsidR="00040494">
        <w:rPr>
          <w:szCs w:val="18"/>
        </w:rPr>
        <w:t>voor de periode 2028-2034</w:t>
      </w:r>
      <w:r w:rsidRPr="008B03FA">
        <w:rPr>
          <w:szCs w:val="18"/>
        </w:rPr>
        <w:t>. EU-middelen, die specifiek bedoeld waren voor de aanpak van grensoverschrijdende gezondheids</w:t>
      </w:r>
      <w:r w:rsidRPr="008B03FA" w:rsidR="006E797A">
        <w:rPr>
          <w:szCs w:val="18"/>
        </w:rPr>
        <w:t>be</w:t>
      </w:r>
      <w:r w:rsidRPr="008B03FA">
        <w:rPr>
          <w:szCs w:val="18"/>
        </w:rPr>
        <w:t xml:space="preserve">dreigingen en/of voorbereiding op gezondheidscrises, worden met dit voorstel samengevoegd met de algemene crisis coördinatie. </w:t>
      </w:r>
    </w:p>
    <w:p w:rsidRPr="008B03FA" w:rsidR="00065D4B" w:rsidP="00D134EC" w:rsidRDefault="00065D4B" w14:paraId="60F8A855" w14:textId="77777777">
      <w:pPr>
        <w:pStyle w:val="NoSpacing"/>
        <w:spacing w:line="360" w:lineRule="auto"/>
        <w:rPr>
          <w:i/>
          <w:iCs/>
          <w:szCs w:val="18"/>
        </w:rPr>
      </w:pPr>
    </w:p>
    <w:p w:rsidRPr="008B03FA" w:rsidR="00183766" w:rsidP="00D134EC" w:rsidRDefault="00CF1388" w14:paraId="317F2D26" w14:textId="66E26674">
      <w:pPr>
        <w:pStyle w:val="NoSpacing"/>
        <w:numPr>
          <w:ilvl w:val="1"/>
          <w:numId w:val="1"/>
        </w:numPr>
        <w:spacing w:line="360" w:lineRule="auto"/>
        <w:rPr>
          <w:i/>
          <w:iCs/>
          <w:szCs w:val="18"/>
        </w:rPr>
      </w:pPr>
      <w:r w:rsidRPr="008B03FA">
        <w:rPr>
          <w:i/>
          <w:iCs/>
          <w:szCs w:val="18"/>
        </w:rPr>
        <w:t>Financiële consequenties (incl. personele) voor rijksoverheid en/ of medeoverheden</w:t>
      </w:r>
    </w:p>
    <w:p w:rsidR="00E82AFE" w:rsidP="008B03FA" w:rsidRDefault="00E82AFE" w14:paraId="0B0638DE" w14:textId="3B509D34">
      <w:pPr>
        <w:spacing w:line="360" w:lineRule="auto"/>
        <w:rPr>
          <w:rFonts w:ascii="Verdana" w:hAnsi="Verdana"/>
          <w:sz w:val="18"/>
          <w:szCs w:val="18"/>
        </w:rPr>
      </w:pPr>
      <w:r w:rsidRPr="00E82AFE">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Pr="008B03FA" w:rsidR="00183766" w:rsidP="008B03FA" w:rsidRDefault="00750ABC" w14:paraId="6DF93542" w14:textId="194DBB03">
      <w:pPr>
        <w:spacing w:line="360" w:lineRule="auto"/>
        <w:rPr>
          <w:rFonts w:ascii="Verdana" w:hAnsi="Verdana"/>
          <w:sz w:val="18"/>
          <w:szCs w:val="18"/>
        </w:rPr>
      </w:pPr>
      <w:r w:rsidRPr="00750ABC">
        <w:rPr>
          <w:rFonts w:ascii="Verdana" w:hAnsi="Verdana"/>
          <w:sz w:val="18"/>
          <w:szCs w:val="18"/>
        </w:rPr>
        <w:t>Het voorstel roept geen nieuwe (nationale) programma’s of aanvullende (financiële) verplichtingen in het leven.</w:t>
      </w:r>
      <w:r w:rsidR="008B03FA">
        <w:rPr>
          <w:rFonts w:ascii="Verdana" w:hAnsi="Verdana"/>
          <w:sz w:val="18"/>
          <w:szCs w:val="18"/>
        </w:rPr>
        <w:t xml:space="preserve"> </w:t>
      </w:r>
      <w:r w:rsidR="00747972">
        <w:rPr>
          <w:rFonts w:ascii="Verdana" w:hAnsi="Verdana"/>
          <w:sz w:val="18"/>
          <w:szCs w:val="18"/>
        </w:rPr>
        <w:t>Daarom kan het</w:t>
      </w:r>
      <w:r w:rsidRPr="008B03FA" w:rsidR="008F7C8F">
        <w:rPr>
          <w:rFonts w:ascii="Verdana" w:hAnsi="Verdana"/>
          <w:sz w:val="18"/>
          <w:szCs w:val="18"/>
        </w:rPr>
        <w:t xml:space="preserve"> kabinet</w:t>
      </w:r>
      <w:r w:rsidRPr="008B03FA" w:rsidR="00AA6BDC">
        <w:rPr>
          <w:rFonts w:ascii="Verdana" w:hAnsi="Verdana"/>
          <w:sz w:val="18"/>
          <w:szCs w:val="18"/>
        </w:rPr>
        <w:t xml:space="preserve"> </w:t>
      </w:r>
      <w:r w:rsidR="00747972">
        <w:rPr>
          <w:rFonts w:ascii="Verdana" w:hAnsi="Verdana"/>
          <w:sz w:val="18"/>
          <w:szCs w:val="18"/>
        </w:rPr>
        <w:t xml:space="preserve">nu </w:t>
      </w:r>
      <w:r w:rsidRPr="008B03FA" w:rsidR="00AA6BDC">
        <w:rPr>
          <w:rFonts w:ascii="Verdana" w:hAnsi="Verdana"/>
          <w:sz w:val="18"/>
          <w:szCs w:val="18"/>
        </w:rPr>
        <w:t xml:space="preserve">aangeven dat de </w:t>
      </w:r>
      <w:r w:rsidRPr="008B03FA" w:rsidR="005B146F">
        <w:rPr>
          <w:rFonts w:ascii="Verdana" w:hAnsi="Verdana"/>
          <w:sz w:val="18"/>
          <w:szCs w:val="18"/>
        </w:rPr>
        <w:t xml:space="preserve">voorgestelde oprichting van </w:t>
      </w:r>
      <w:r w:rsidRPr="008B03FA" w:rsidR="008D3975">
        <w:rPr>
          <w:rFonts w:ascii="Verdana" w:hAnsi="Verdana"/>
          <w:sz w:val="18"/>
          <w:szCs w:val="18"/>
        </w:rPr>
        <w:t>de Hub</w:t>
      </w:r>
      <w:r w:rsidRPr="008B03FA" w:rsidR="005B146F">
        <w:rPr>
          <w:rFonts w:ascii="Verdana" w:hAnsi="Verdana"/>
          <w:sz w:val="18"/>
          <w:szCs w:val="18"/>
        </w:rPr>
        <w:t>, gekoppeld aan het bestaande EU-crisiscentrum, in lijn</w:t>
      </w:r>
      <w:r w:rsidRPr="008B03FA" w:rsidR="00AA6BDC">
        <w:rPr>
          <w:rFonts w:ascii="Verdana" w:hAnsi="Verdana"/>
          <w:sz w:val="18"/>
          <w:szCs w:val="18"/>
        </w:rPr>
        <w:t xml:space="preserve"> is</w:t>
      </w:r>
      <w:r w:rsidRPr="008B03FA" w:rsidR="005B146F">
        <w:rPr>
          <w:rFonts w:ascii="Verdana" w:hAnsi="Verdana"/>
          <w:sz w:val="18"/>
          <w:szCs w:val="18"/>
        </w:rPr>
        <w:t xml:space="preserve"> met structuren die in Nederland </w:t>
      </w:r>
      <w:r w:rsidR="002E49F2">
        <w:rPr>
          <w:rFonts w:ascii="Verdana" w:hAnsi="Verdana"/>
          <w:sz w:val="18"/>
          <w:szCs w:val="18"/>
        </w:rPr>
        <w:t>al</w:t>
      </w:r>
      <w:r w:rsidRPr="008B03FA" w:rsidR="005B146F">
        <w:rPr>
          <w:rFonts w:ascii="Verdana" w:hAnsi="Verdana"/>
          <w:sz w:val="18"/>
          <w:szCs w:val="18"/>
        </w:rPr>
        <w:t xml:space="preserve"> bestaan</w:t>
      </w:r>
      <w:r w:rsidR="002E49F2">
        <w:rPr>
          <w:rFonts w:ascii="Verdana" w:hAnsi="Verdana"/>
          <w:sz w:val="18"/>
          <w:szCs w:val="18"/>
        </w:rPr>
        <w:t xml:space="preserve">, onder andere </w:t>
      </w:r>
      <w:r w:rsidRPr="008B03FA" w:rsidR="005B146F">
        <w:rPr>
          <w:rFonts w:ascii="Verdana" w:hAnsi="Verdana"/>
          <w:sz w:val="18"/>
          <w:szCs w:val="18"/>
        </w:rPr>
        <w:t xml:space="preserve">binnen </w:t>
      </w:r>
      <w:r w:rsidR="002E49F2">
        <w:rPr>
          <w:rFonts w:ascii="Verdana" w:hAnsi="Verdana"/>
          <w:sz w:val="18"/>
          <w:szCs w:val="18"/>
        </w:rPr>
        <w:t xml:space="preserve">of onder coördinatie van </w:t>
      </w:r>
      <w:r w:rsidRPr="008B03FA" w:rsidR="005B146F">
        <w:rPr>
          <w:rFonts w:ascii="Verdana" w:hAnsi="Verdana"/>
          <w:sz w:val="18"/>
          <w:szCs w:val="18"/>
        </w:rPr>
        <w:t xml:space="preserve">het </w:t>
      </w:r>
      <w:r w:rsidRPr="00613ACE" w:rsidR="005B146F">
        <w:rPr>
          <w:rFonts w:ascii="Verdana" w:hAnsi="Verdana"/>
          <w:i/>
          <w:iCs/>
          <w:sz w:val="18"/>
          <w:szCs w:val="18"/>
        </w:rPr>
        <w:t>Nationaal Crisiscentrum</w:t>
      </w:r>
      <w:r w:rsidRPr="008B03FA" w:rsidR="000B682F">
        <w:rPr>
          <w:rFonts w:ascii="Verdana" w:hAnsi="Verdana"/>
          <w:sz w:val="18"/>
          <w:szCs w:val="18"/>
        </w:rPr>
        <w:t xml:space="preserve"> (NCC)</w:t>
      </w:r>
      <w:r w:rsidRPr="008B03FA" w:rsidR="005B146F">
        <w:rPr>
          <w:rFonts w:ascii="Verdana" w:hAnsi="Verdana"/>
          <w:sz w:val="18"/>
          <w:szCs w:val="18"/>
        </w:rPr>
        <w:t xml:space="preserve"> en daarom geen additionele financiële lasten met zich mee</w:t>
      </w:r>
      <w:r w:rsidRPr="008B03FA" w:rsidR="003E2ADD">
        <w:rPr>
          <w:rFonts w:ascii="Verdana" w:hAnsi="Verdana"/>
          <w:sz w:val="18"/>
          <w:szCs w:val="18"/>
        </w:rPr>
        <w:t>brengt</w:t>
      </w:r>
      <w:r w:rsidRPr="008B03FA" w:rsidR="005B146F">
        <w:rPr>
          <w:rFonts w:ascii="Verdana" w:hAnsi="Verdana"/>
          <w:sz w:val="18"/>
          <w:szCs w:val="18"/>
        </w:rPr>
        <w:t xml:space="preserve">. </w:t>
      </w:r>
      <w:r w:rsidRPr="008B03FA" w:rsidR="009A6982">
        <w:rPr>
          <w:rFonts w:ascii="Verdana" w:hAnsi="Verdana"/>
          <w:sz w:val="18"/>
          <w:szCs w:val="18"/>
        </w:rPr>
        <w:t>Eventuele budgettaire gevolgen voor de Rijksbegroting worden ingepast op de begroting van het beleidsverantwoordelijke departement, conform de regels van de budgetdiscipline.</w:t>
      </w:r>
    </w:p>
    <w:p w:rsidRPr="008B03FA" w:rsidR="00183766" w:rsidP="00D134EC" w:rsidRDefault="00CF1388" w14:paraId="47E17A11" w14:textId="5C04A5CD">
      <w:pPr>
        <w:pStyle w:val="NoSpacing"/>
        <w:numPr>
          <w:ilvl w:val="1"/>
          <w:numId w:val="1"/>
        </w:numPr>
        <w:spacing w:line="360" w:lineRule="auto"/>
        <w:rPr>
          <w:i/>
          <w:iCs/>
          <w:szCs w:val="18"/>
        </w:rPr>
      </w:pPr>
      <w:r w:rsidRPr="008B03FA">
        <w:rPr>
          <w:i/>
          <w:iCs/>
          <w:szCs w:val="18"/>
        </w:rPr>
        <w:t>Financiële consequenties en gevolgen voor regeldruk voor bedrijfsleven en burger</w:t>
      </w:r>
    </w:p>
    <w:p w:rsidR="00183766" w:rsidP="00D134EC" w:rsidRDefault="006B60FC" w14:paraId="449DEB88" w14:textId="1903FD92">
      <w:pPr>
        <w:pStyle w:val="NoSpacing"/>
        <w:spacing w:line="360" w:lineRule="auto"/>
        <w:rPr>
          <w:szCs w:val="18"/>
        </w:rPr>
      </w:pPr>
      <w:r w:rsidRPr="006B60FC">
        <w:rPr>
          <w:szCs w:val="18"/>
        </w:rPr>
        <w:t>Het voorstel heeft geen directe financiële consequenties of gevolgen voor de regeldruk voor het bedrijfsleven en burgers.</w:t>
      </w:r>
    </w:p>
    <w:p w:rsidRPr="008B03FA" w:rsidR="006B60FC" w:rsidP="00D134EC" w:rsidRDefault="006B60FC" w14:paraId="75FF8FAB" w14:textId="77777777">
      <w:pPr>
        <w:pStyle w:val="NoSpacing"/>
        <w:spacing w:line="360" w:lineRule="auto"/>
        <w:rPr>
          <w:i/>
          <w:iCs/>
          <w:szCs w:val="18"/>
        </w:rPr>
      </w:pPr>
    </w:p>
    <w:p w:rsidRPr="008B03FA" w:rsidR="009A13C3" w:rsidP="00D134EC" w:rsidRDefault="00CF1388" w14:paraId="7402BDA1" w14:textId="4B9F70A6">
      <w:pPr>
        <w:pStyle w:val="NoSpacing"/>
        <w:numPr>
          <w:ilvl w:val="1"/>
          <w:numId w:val="1"/>
        </w:numPr>
        <w:spacing w:line="360" w:lineRule="auto"/>
        <w:rPr>
          <w:i/>
          <w:iCs/>
          <w:szCs w:val="18"/>
        </w:rPr>
      </w:pPr>
      <w:r w:rsidRPr="008B03FA">
        <w:rPr>
          <w:i/>
          <w:iCs/>
          <w:szCs w:val="18"/>
        </w:rPr>
        <w:t>Gevolgen voor concurrentiekracht en geopolitieke aspecten</w:t>
      </w:r>
    </w:p>
    <w:p w:rsidR="00C270C5" w:rsidP="00D134EC" w:rsidRDefault="006B60FC" w14:paraId="75CA0E55" w14:textId="77777777">
      <w:pPr>
        <w:pStyle w:val="NoSpacing"/>
        <w:spacing w:line="360" w:lineRule="auto"/>
        <w:rPr>
          <w:szCs w:val="18"/>
        </w:rPr>
      </w:pPr>
      <w:r>
        <w:rPr>
          <w:szCs w:val="18"/>
        </w:rPr>
        <w:t xml:space="preserve">Het voorstel </w:t>
      </w:r>
      <w:r w:rsidRPr="008B03FA" w:rsidR="00A46CF4">
        <w:rPr>
          <w:szCs w:val="18"/>
        </w:rPr>
        <w:t xml:space="preserve">bevat geen </w:t>
      </w:r>
      <w:r w:rsidR="000654CB">
        <w:rPr>
          <w:szCs w:val="18"/>
        </w:rPr>
        <w:t>maatregelen</w:t>
      </w:r>
      <w:r w:rsidRPr="008B03FA" w:rsidR="000654CB">
        <w:rPr>
          <w:szCs w:val="18"/>
        </w:rPr>
        <w:t xml:space="preserve"> </w:t>
      </w:r>
      <w:r w:rsidRPr="008B03FA" w:rsidR="00A46CF4">
        <w:rPr>
          <w:szCs w:val="18"/>
        </w:rPr>
        <w:t>die van invloed zullen zijn op de concurrentiekracht</w:t>
      </w:r>
      <w:r w:rsidRPr="008B03FA" w:rsidR="00E51540">
        <w:rPr>
          <w:szCs w:val="18"/>
        </w:rPr>
        <w:t>.</w:t>
      </w:r>
      <w:r w:rsidRPr="008B03FA" w:rsidR="00554956">
        <w:rPr>
          <w:szCs w:val="18"/>
        </w:rPr>
        <w:t xml:space="preserve"> </w:t>
      </w:r>
      <w:r>
        <w:rPr>
          <w:szCs w:val="18"/>
        </w:rPr>
        <w:t xml:space="preserve">Het voorstel </w:t>
      </w:r>
      <w:r w:rsidRPr="008B03FA" w:rsidR="00FB4C3F">
        <w:rPr>
          <w:szCs w:val="18"/>
        </w:rPr>
        <w:t xml:space="preserve">benoemt de geopolitieke implicaties niet expliciet, maar maakt wel duidelijk dat het Uniemechanisme een rol speelt in het versterken van de internationale positie van de EU. Met de verbreding van de reikwijdte ontwikkelt het </w:t>
      </w:r>
      <w:r w:rsidR="00D9132D">
        <w:rPr>
          <w:szCs w:val="18"/>
        </w:rPr>
        <w:t>mechanisme</w:t>
      </w:r>
      <w:r w:rsidRPr="008B03FA" w:rsidR="00554956">
        <w:rPr>
          <w:szCs w:val="18"/>
        </w:rPr>
        <w:t xml:space="preserve"> - </w:t>
      </w:r>
      <w:r w:rsidRPr="008B03FA" w:rsidR="00FB4C3F">
        <w:rPr>
          <w:szCs w:val="18"/>
        </w:rPr>
        <w:t>van oorsprong een civiel beschermingsinstrument</w:t>
      </w:r>
      <w:r w:rsidRPr="008B03FA" w:rsidR="00554956">
        <w:rPr>
          <w:szCs w:val="18"/>
        </w:rPr>
        <w:t xml:space="preserve"> - </w:t>
      </w:r>
      <w:r w:rsidRPr="008B03FA" w:rsidR="00FB4C3F">
        <w:rPr>
          <w:szCs w:val="18"/>
        </w:rPr>
        <w:t xml:space="preserve">zich tot een strategisch instrument dat ook inzetbaar is in geopolitiek gevoelige contexten. Deze ontwikkeling kan vragen oproepen, met name waar het gaat om inzet in gebieden waar sprake is van een actief conflict. Hier ontstaat spanning met de humanitaire grondbeginselen van neutraliteit, onpartijdigheid en onafhankelijkheid. </w:t>
      </w:r>
    </w:p>
    <w:p w:rsidRPr="008B03FA" w:rsidR="00FB4C3F" w:rsidP="00D134EC" w:rsidRDefault="00FB4C3F" w14:paraId="7BFA2986" w14:textId="74121C06">
      <w:pPr>
        <w:pStyle w:val="NoSpacing"/>
        <w:spacing w:line="360" w:lineRule="auto"/>
        <w:rPr>
          <w:szCs w:val="18"/>
        </w:rPr>
      </w:pPr>
      <w:r w:rsidRPr="008B03FA">
        <w:rPr>
          <w:szCs w:val="18"/>
        </w:rPr>
        <w:lastRenderedPageBreak/>
        <w:t>Het risico bestaat dat humanitaire hulp als politiek of militair instrument wordt geïnterpreteerd, wat de veiligheid van hulpverleners en de toegang tot getroffen bevolkingsgroepen kan ondermijnen.</w:t>
      </w:r>
    </w:p>
    <w:p w:rsidRPr="008B03FA" w:rsidR="00FB4C3F" w:rsidP="00D134EC" w:rsidRDefault="00FB4C3F" w14:paraId="7FB46F6E" w14:textId="77777777">
      <w:pPr>
        <w:pStyle w:val="NoSpacing"/>
        <w:spacing w:line="360" w:lineRule="auto"/>
        <w:rPr>
          <w:szCs w:val="18"/>
        </w:rPr>
      </w:pPr>
    </w:p>
    <w:p w:rsidR="00FB4C3F" w:rsidP="00D134EC" w:rsidRDefault="00FB4C3F" w14:paraId="58CFB04C" w14:textId="69ECD2B9">
      <w:pPr>
        <w:pStyle w:val="NoSpacing"/>
        <w:spacing w:line="360" w:lineRule="auto"/>
        <w:rPr>
          <w:szCs w:val="18"/>
        </w:rPr>
      </w:pPr>
      <w:r w:rsidRPr="008B03FA">
        <w:rPr>
          <w:szCs w:val="18"/>
        </w:rPr>
        <w:t xml:space="preserve">Tegelijkertijd kan </w:t>
      </w:r>
      <w:r w:rsidRPr="008B03FA" w:rsidR="002C5FE4">
        <w:rPr>
          <w:szCs w:val="18"/>
        </w:rPr>
        <w:t>het kabinet</w:t>
      </w:r>
      <w:r w:rsidRPr="008B03FA">
        <w:rPr>
          <w:szCs w:val="18"/>
        </w:rPr>
        <w:t xml:space="preserve">, vanuit het perspectief van het beschermen en versterken van Europese weerbaarheidsbelangen, de versterking van het </w:t>
      </w:r>
      <w:r w:rsidR="00D9132D">
        <w:rPr>
          <w:szCs w:val="18"/>
        </w:rPr>
        <w:t>Uniemechanisme</w:t>
      </w:r>
      <w:r w:rsidRPr="008B03FA">
        <w:rPr>
          <w:szCs w:val="18"/>
        </w:rPr>
        <w:t xml:space="preserve"> als strategisch instrument in beginsel steunen. Wel is het van belang dat de inzet van het Uniemechanisme in geopolitiek beladen situaties gepaard gaat met duidelijke mandaten, transparante besluitvorming en strikte waarborgen voor de humanitaire principes.</w:t>
      </w:r>
      <w:r w:rsidR="00D73EE9">
        <w:rPr>
          <w:szCs w:val="18"/>
        </w:rPr>
        <w:br/>
      </w:r>
    </w:p>
    <w:p w:rsidR="00FB4C3F" w:rsidP="00D134EC" w:rsidRDefault="00D73EE9" w14:paraId="18D3C233" w14:textId="2C72CEEB">
      <w:pPr>
        <w:pStyle w:val="NoSpacing"/>
        <w:spacing w:line="360" w:lineRule="auto"/>
        <w:rPr>
          <w:szCs w:val="18"/>
        </w:rPr>
      </w:pPr>
      <w:r w:rsidRPr="00D73EE9">
        <w:rPr>
          <w:szCs w:val="18"/>
        </w:rPr>
        <w:t xml:space="preserve">De Commissie noemt de NAVO niet in </w:t>
      </w:r>
      <w:r>
        <w:rPr>
          <w:szCs w:val="18"/>
        </w:rPr>
        <w:t>het voorstel</w:t>
      </w:r>
      <w:r w:rsidRPr="00D73EE9">
        <w:rPr>
          <w:szCs w:val="18"/>
        </w:rPr>
        <w:t>.</w:t>
      </w:r>
      <w:r>
        <w:rPr>
          <w:szCs w:val="18"/>
        </w:rPr>
        <w:t xml:space="preserve"> Hier kunnen meerdere redenen voor zijn, </w:t>
      </w:r>
      <w:r w:rsidR="00A12BA1">
        <w:rPr>
          <w:szCs w:val="18"/>
        </w:rPr>
        <w:t xml:space="preserve">waaronder het feit </w:t>
      </w:r>
      <w:r>
        <w:rPr>
          <w:szCs w:val="18"/>
        </w:rPr>
        <w:t xml:space="preserve">dat niet alle </w:t>
      </w:r>
      <w:r w:rsidRPr="00D73EE9">
        <w:rPr>
          <w:szCs w:val="18"/>
        </w:rPr>
        <w:t>EU-lidstaten ook NAVO-lid zijn.</w:t>
      </w:r>
      <w:r>
        <w:rPr>
          <w:rStyle w:val="FootnoteReference"/>
          <w:szCs w:val="18"/>
        </w:rPr>
        <w:footnoteReference w:id="33"/>
      </w:r>
      <w:r w:rsidRPr="00D73EE9">
        <w:rPr>
          <w:szCs w:val="18"/>
        </w:rPr>
        <w:t xml:space="preserve"> Het kabinet zal toezien op het leggen van verbindingen tussen de EU en de NAVO waar dat logisch, passend, effectief en efficiënt is. De samenwerking tussen beide organisaties </w:t>
      </w:r>
      <w:r>
        <w:rPr>
          <w:szCs w:val="18"/>
        </w:rPr>
        <w:t>ziet het kabinet</w:t>
      </w:r>
      <w:r w:rsidRPr="00D73EE9">
        <w:rPr>
          <w:szCs w:val="18"/>
        </w:rPr>
        <w:t xml:space="preserve"> als cruciaal, met als doel om de gezamenlijke afschrikking en verdediging te versterken.</w:t>
      </w:r>
      <w:r w:rsidR="0021252D">
        <w:rPr>
          <w:szCs w:val="18"/>
        </w:rPr>
        <w:t xml:space="preserve"> </w:t>
      </w:r>
    </w:p>
    <w:p w:rsidRPr="008B03FA" w:rsidR="00D73EE9" w:rsidP="00D134EC" w:rsidRDefault="00D73EE9" w14:paraId="0578FAC2" w14:textId="77777777">
      <w:pPr>
        <w:pStyle w:val="NoSpacing"/>
        <w:spacing w:line="360" w:lineRule="auto"/>
        <w:rPr>
          <w:szCs w:val="18"/>
        </w:rPr>
      </w:pPr>
    </w:p>
    <w:p w:rsidRPr="008B03FA" w:rsidR="00700014" w:rsidP="00D134EC" w:rsidRDefault="006B60FC" w14:paraId="380BBE06" w14:textId="52260A8E">
      <w:pPr>
        <w:pStyle w:val="NoSpacing"/>
        <w:spacing w:line="360" w:lineRule="auto"/>
        <w:rPr>
          <w:szCs w:val="18"/>
        </w:rPr>
      </w:pPr>
      <w:r>
        <w:rPr>
          <w:szCs w:val="18"/>
        </w:rPr>
        <w:t xml:space="preserve">Het voorstel </w:t>
      </w:r>
      <w:r w:rsidRPr="008B03FA" w:rsidR="00FB4C3F">
        <w:rPr>
          <w:szCs w:val="18"/>
        </w:rPr>
        <w:t xml:space="preserve">richt zich op het vergroten van de strategische autonomie door afhankelijkheden van derde landen </w:t>
      </w:r>
      <w:r w:rsidRPr="008B03FA" w:rsidR="003E2ADD">
        <w:rPr>
          <w:szCs w:val="18"/>
        </w:rPr>
        <w:t xml:space="preserve">tijdens crises </w:t>
      </w:r>
      <w:r w:rsidRPr="008B03FA" w:rsidR="00FB4C3F">
        <w:rPr>
          <w:szCs w:val="18"/>
        </w:rPr>
        <w:t>te verminderen, hulpverlening binnen en buiten de EU te versnellen en te versterken, en de civiel-militaire samenwerking te verbeteren. Tegelijkertijd positioneert de EU zich nadrukkelijker als normstellende actor op het gebied van wereldwijde paraatheid en rampenrespons. Daarmee ontwikkelt het Uniemechanisme zich tot een sleutelinstrument voor zowel Europese paraatheid als internationale invloed en draagt het bij aan een veerkrachtige en zelfredzame Unie.</w:t>
      </w:r>
    </w:p>
    <w:p w:rsidRPr="008B03FA" w:rsidR="00A46CF4" w:rsidP="00D134EC" w:rsidRDefault="00A46CF4" w14:paraId="7674B7B0" w14:textId="77777777">
      <w:pPr>
        <w:pStyle w:val="NoSpacing"/>
        <w:spacing w:line="360" w:lineRule="auto"/>
        <w:rPr>
          <w:szCs w:val="18"/>
        </w:rPr>
      </w:pPr>
    </w:p>
    <w:p w:rsidRPr="008B03FA" w:rsidR="00CF1388" w:rsidP="00D134EC" w:rsidRDefault="00CF1388" w14:paraId="353F0256" w14:textId="50D7029E">
      <w:pPr>
        <w:pStyle w:val="NoSpacing"/>
        <w:numPr>
          <w:ilvl w:val="0"/>
          <w:numId w:val="1"/>
        </w:numPr>
        <w:spacing w:line="360" w:lineRule="auto"/>
        <w:rPr>
          <w:b/>
          <w:bCs/>
          <w:szCs w:val="18"/>
        </w:rPr>
      </w:pPr>
      <w:r w:rsidRPr="008B03FA">
        <w:rPr>
          <w:b/>
          <w:bCs/>
          <w:szCs w:val="18"/>
        </w:rPr>
        <w:t>Implicaties juridisch</w:t>
      </w:r>
    </w:p>
    <w:p w:rsidRPr="008B03FA" w:rsidR="004A1B8C" w:rsidP="00D134EC" w:rsidRDefault="004A1B8C" w14:paraId="48B4D74C" w14:textId="77777777">
      <w:pPr>
        <w:pStyle w:val="NoSpacing"/>
        <w:spacing w:line="360" w:lineRule="auto"/>
        <w:ind w:left="360"/>
        <w:rPr>
          <w:b/>
          <w:bCs/>
          <w:szCs w:val="18"/>
        </w:rPr>
      </w:pPr>
    </w:p>
    <w:p w:rsidRPr="008B03FA" w:rsidR="004A1B8C" w:rsidP="00D134EC" w:rsidRDefault="00CF1388" w14:paraId="0F6411ED" w14:textId="1D4C9437">
      <w:pPr>
        <w:pStyle w:val="NoSpacing"/>
        <w:numPr>
          <w:ilvl w:val="1"/>
          <w:numId w:val="1"/>
        </w:numPr>
        <w:spacing w:line="360" w:lineRule="auto"/>
        <w:rPr>
          <w:i/>
          <w:iCs/>
          <w:szCs w:val="18"/>
        </w:rPr>
      </w:pPr>
      <w:r w:rsidRPr="008B03FA">
        <w:rPr>
          <w:i/>
          <w:iCs/>
          <w:szCs w:val="18"/>
        </w:rPr>
        <w:t>Consequenties voor nationale en decentrale regelgeving en/of sanctionering beleid (inclusief  toepassing van de lex silencio positivo)</w:t>
      </w:r>
    </w:p>
    <w:p w:rsidRPr="008B03FA" w:rsidR="00C53BEF" w:rsidP="00D134EC" w:rsidRDefault="00E0078B" w14:paraId="21F87A8C" w14:textId="52E525E2">
      <w:pPr>
        <w:pStyle w:val="NoSpacing"/>
        <w:spacing w:line="360" w:lineRule="auto"/>
        <w:rPr>
          <w:szCs w:val="18"/>
        </w:rPr>
      </w:pPr>
      <w:r w:rsidRPr="008B03FA">
        <w:rPr>
          <w:szCs w:val="18"/>
        </w:rPr>
        <w:t>De voorgestelde wijzigingen hebben rechtstreekse werking.</w:t>
      </w:r>
      <w:r w:rsidRPr="008B03FA" w:rsidR="00C53BEF">
        <w:rPr>
          <w:szCs w:val="18"/>
        </w:rPr>
        <w:t xml:space="preserve"> Het is daarom van belang om de implicaties hiervan </w:t>
      </w:r>
      <w:r w:rsidRPr="008B03FA" w:rsidR="00554956">
        <w:rPr>
          <w:szCs w:val="18"/>
        </w:rPr>
        <w:t>-</w:t>
      </w:r>
      <w:r w:rsidRPr="008B03FA" w:rsidR="00C53BEF">
        <w:rPr>
          <w:szCs w:val="18"/>
        </w:rPr>
        <w:t xml:space="preserve"> bijvoorbeeld ten aanzien van de gehanteerde definities van </w:t>
      </w:r>
      <w:r w:rsidRPr="008B03FA" w:rsidR="008D3975">
        <w:rPr>
          <w:szCs w:val="18"/>
        </w:rPr>
        <w:t>‘</w:t>
      </w:r>
      <w:r w:rsidRPr="008B03FA" w:rsidR="00C53BEF">
        <w:rPr>
          <w:szCs w:val="18"/>
        </w:rPr>
        <w:t>ramp</w:t>
      </w:r>
      <w:r w:rsidRPr="008B03FA" w:rsidR="008D3975">
        <w:rPr>
          <w:szCs w:val="18"/>
        </w:rPr>
        <w:t>’</w:t>
      </w:r>
      <w:r w:rsidRPr="008B03FA" w:rsidR="00C53BEF">
        <w:rPr>
          <w:szCs w:val="18"/>
        </w:rPr>
        <w:t xml:space="preserve"> en </w:t>
      </w:r>
      <w:r w:rsidRPr="008B03FA" w:rsidR="008D3975">
        <w:rPr>
          <w:szCs w:val="18"/>
        </w:rPr>
        <w:t>‘</w:t>
      </w:r>
      <w:r w:rsidRPr="008B03FA" w:rsidR="00C53BEF">
        <w:rPr>
          <w:szCs w:val="18"/>
        </w:rPr>
        <w:t>crisis</w:t>
      </w:r>
      <w:r w:rsidRPr="008B03FA" w:rsidR="008D3975">
        <w:rPr>
          <w:szCs w:val="18"/>
        </w:rPr>
        <w:t>’</w:t>
      </w:r>
      <w:r w:rsidRPr="008B03FA" w:rsidR="00C53BEF">
        <w:rPr>
          <w:szCs w:val="18"/>
        </w:rPr>
        <w:t xml:space="preserve"> </w:t>
      </w:r>
      <w:r w:rsidRPr="008B03FA" w:rsidR="00554956">
        <w:rPr>
          <w:szCs w:val="18"/>
        </w:rPr>
        <w:t>-</w:t>
      </w:r>
      <w:r w:rsidRPr="008B03FA" w:rsidR="00C53BEF">
        <w:rPr>
          <w:szCs w:val="18"/>
        </w:rPr>
        <w:t xml:space="preserve"> zorgvuldig te bezien in relatie tot de huidige Wet veiligheidsregio’s en het wetsvoorstel Wet versterking bovenregionale en landelijke crisisbeheersing, rampenbestrijding en brandweerzorg. </w:t>
      </w:r>
    </w:p>
    <w:p w:rsidRPr="008B03FA" w:rsidR="00E0078B" w:rsidP="00D134EC" w:rsidRDefault="00E0078B" w14:paraId="3FC0BF52" w14:textId="77777777">
      <w:pPr>
        <w:pStyle w:val="NoSpacing"/>
        <w:spacing w:line="360" w:lineRule="auto"/>
        <w:ind w:left="720"/>
        <w:rPr>
          <w:szCs w:val="18"/>
        </w:rPr>
      </w:pPr>
    </w:p>
    <w:p w:rsidRPr="008B03FA" w:rsidR="0039457F" w:rsidP="0039457F" w:rsidRDefault="00CF1388" w14:paraId="0FC5B47D" w14:textId="77777777">
      <w:pPr>
        <w:pStyle w:val="NoSpacing"/>
        <w:numPr>
          <w:ilvl w:val="1"/>
          <w:numId w:val="1"/>
        </w:numPr>
        <w:spacing w:line="360" w:lineRule="auto"/>
        <w:rPr>
          <w:i/>
          <w:iCs/>
          <w:szCs w:val="18"/>
        </w:rPr>
      </w:pPr>
      <w:r w:rsidRPr="008B03FA">
        <w:rPr>
          <w:i/>
          <w:iCs/>
          <w:szCs w:val="18"/>
        </w:rPr>
        <w:t>Gedelegeerde en/of uitvoeringshandelingen, incl. NL-beoordeling daarvan</w:t>
      </w:r>
    </w:p>
    <w:p w:rsidRPr="006B061A" w:rsidR="006B60FC" w:rsidP="006B60FC" w:rsidRDefault="006B60FC" w14:paraId="44DE9298" w14:textId="54837585">
      <w:pPr>
        <w:pStyle w:val="NoSpacing"/>
        <w:spacing w:line="360" w:lineRule="auto"/>
        <w:rPr>
          <w:szCs w:val="18"/>
        </w:rPr>
      </w:pPr>
      <w:r w:rsidRPr="006B061A">
        <w:rPr>
          <w:szCs w:val="18"/>
        </w:rPr>
        <w:t>Het voorstel bevat bevoegdheden voor de Commissie om uitvoeringshandelingen vast te stellen in artikel 18</w:t>
      </w:r>
      <w:r w:rsidR="009D73D0">
        <w:rPr>
          <w:szCs w:val="18"/>
        </w:rPr>
        <w:t xml:space="preserve">, lid </w:t>
      </w:r>
      <w:r>
        <w:rPr>
          <w:szCs w:val="18"/>
        </w:rPr>
        <w:t>10</w:t>
      </w:r>
      <w:r w:rsidRPr="006B061A">
        <w:rPr>
          <w:szCs w:val="18"/>
        </w:rPr>
        <w:t xml:space="preserve">, </w:t>
      </w:r>
      <w:r w:rsidR="009D73D0">
        <w:rPr>
          <w:szCs w:val="18"/>
        </w:rPr>
        <w:t xml:space="preserve">artikel </w:t>
      </w:r>
      <w:r w:rsidRPr="006B061A">
        <w:rPr>
          <w:szCs w:val="18"/>
        </w:rPr>
        <w:t>19</w:t>
      </w:r>
      <w:r w:rsidR="009D73D0">
        <w:rPr>
          <w:szCs w:val="18"/>
        </w:rPr>
        <w:t xml:space="preserve">, lid </w:t>
      </w:r>
      <w:r>
        <w:rPr>
          <w:szCs w:val="18"/>
        </w:rPr>
        <w:t>7</w:t>
      </w:r>
      <w:r w:rsidRPr="006B061A">
        <w:rPr>
          <w:szCs w:val="18"/>
        </w:rPr>
        <w:t xml:space="preserve">, </w:t>
      </w:r>
      <w:r w:rsidR="009D73D0">
        <w:rPr>
          <w:szCs w:val="18"/>
        </w:rPr>
        <w:t xml:space="preserve">artikel </w:t>
      </w:r>
      <w:r w:rsidRPr="006B061A">
        <w:rPr>
          <w:szCs w:val="18"/>
        </w:rPr>
        <w:t>20</w:t>
      </w:r>
      <w:r>
        <w:rPr>
          <w:szCs w:val="18"/>
        </w:rPr>
        <w:t xml:space="preserve"> </w:t>
      </w:r>
      <w:r w:rsidR="009D73D0">
        <w:rPr>
          <w:szCs w:val="18"/>
        </w:rPr>
        <w:t xml:space="preserve">lid </w:t>
      </w:r>
      <w:r>
        <w:rPr>
          <w:szCs w:val="18"/>
        </w:rPr>
        <w:t>1</w:t>
      </w:r>
      <w:r w:rsidRPr="006B061A">
        <w:rPr>
          <w:szCs w:val="18"/>
        </w:rPr>
        <w:t>,</w:t>
      </w:r>
      <w:r>
        <w:rPr>
          <w:szCs w:val="18"/>
        </w:rPr>
        <w:t xml:space="preserve"> </w:t>
      </w:r>
      <w:r w:rsidR="009D73D0">
        <w:rPr>
          <w:szCs w:val="18"/>
        </w:rPr>
        <w:t xml:space="preserve">lid 3 en lid 5, artikel </w:t>
      </w:r>
      <w:r w:rsidRPr="006B061A">
        <w:rPr>
          <w:szCs w:val="18"/>
        </w:rPr>
        <w:t>21</w:t>
      </w:r>
      <w:r w:rsidR="009D73D0">
        <w:rPr>
          <w:szCs w:val="18"/>
        </w:rPr>
        <w:t>, lid 2, lid 4, lid 5, lid 7, lid 9 en lid 17</w:t>
      </w:r>
      <w:r>
        <w:rPr>
          <w:szCs w:val="18"/>
        </w:rPr>
        <w:t>,</w:t>
      </w:r>
      <w:r w:rsidR="009D73D0">
        <w:rPr>
          <w:szCs w:val="18"/>
        </w:rPr>
        <w:t xml:space="preserve"> artikel</w:t>
      </w:r>
      <w:r>
        <w:rPr>
          <w:szCs w:val="18"/>
        </w:rPr>
        <w:t xml:space="preserve"> </w:t>
      </w:r>
      <w:r w:rsidRPr="006B061A">
        <w:rPr>
          <w:szCs w:val="18"/>
        </w:rPr>
        <w:t>25</w:t>
      </w:r>
      <w:r w:rsidR="009D73D0">
        <w:rPr>
          <w:szCs w:val="18"/>
        </w:rPr>
        <w:t>, lid 5</w:t>
      </w:r>
      <w:r w:rsidRPr="006B061A">
        <w:rPr>
          <w:szCs w:val="18"/>
        </w:rPr>
        <w:t>,</w:t>
      </w:r>
      <w:r>
        <w:rPr>
          <w:szCs w:val="18"/>
        </w:rPr>
        <w:t xml:space="preserve"> </w:t>
      </w:r>
      <w:r w:rsidR="009D73D0">
        <w:rPr>
          <w:szCs w:val="18"/>
        </w:rPr>
        <w:t xml:space="preserve">artikel </w:t>
      </w:r>
      <w:r>
        <w:rPr>
          <w:szCs w:val="18"/>
        </w:rPr>
        <w:t>27</w:t>
      </w:r>
      <w:r w:rsidR="009D73D0">
        <w:rPr>
          <w:szCs w:val="18"/>
        </w:rPr>
        <w:t>, lid 3, artikel</w:t>
      </w:r>
      <w:r w:rsidRPr="006B061A">
        <w:rPr>
          <w:szCs w:val="18"/>
        </w:rPr>
        <w:t xml:space="preserve"> 28</w:t>
      </w:r>
      <w:r w:rsidR="009D73D0">
        <w:rPr>
          <w:szCs w:val="18"/>
        </w:rPr>
        <w:t>, lid 1 en lid 3, en artikel 32, lid 7.</w:t>
      </w:r>
      <w:r w:rsidRPr="006B061A">
        <w:rPr>
          <w:szCs w:val="18"/>
        </w:rPr>
        <w:t xml:space="preserve"> Deze bevoegdheden hebben betrekking op onder meer het nader uitwerken van de procedures rondom het </w:t>
      </w:r>
      <w:r w:rsidRPr="006B061A">
        <w:rPr>
          <w:i/>
          <w:iCs/>
          <w:szCs w:val="18"/>
        </w:rPr>
        <w:t>Kennisnetwerk</w:t>
      </w:r>
      <w:r w:rsidRPr="006B061A">
        <w:rPr>
          <w:szCs w:val="18"/>
        </w:rPr>
        <w:t xml:space="preserve">, de uitreiking van medailles voor bewezen civiele diensten, het vaststellen van het type en de kwantiteit van benodigde capaciteiten in het kader van de </w:t>
      </w:r>
      <w:r w:rsidRPr="008B03FA" w:rsidR="007359D9">
        <w:rPr>
          <w:szCs w:val="18"/>
        </w:rPr>
        <w:t>Europese capaciteitenpool</w:t>
      </w:r>
      <w:r w:rsidRPr="006B061A">
        <w:rPr>
          <w:szCs w:val="18"/>
        </w:rPr>
        <w:t xml:space="preserve">, het bepalen van de inzet van rescEU-capaciteiten, het aanwijzen van contactpunten voor het ERCC, het vastleggen van operationele procedures bij inzet in lidstaten of </w:t>
      </w:r>
      <w:r w:rsidRPr="006B061A">
        <w:rPr>
          <w:szCs w:val="18"/>
        </w:rPr>
        <w:lastRenderedPageBreak/>
        <w:t xml:space="preserve">derde landen, het identificeren van internationale organisaties die het </w:t>
      </w:r>
      <w:r>
        <w:rPr>
          <w:szCs w:val="18"/>
        </w:rPr>
        <w:t>Uniemechanisme</w:t>
      </w:r>
      <w:r w:rsidRPr="006B061A">
        <w:rPr>
          <w:szCs w:val="18"/>
        </w:rPr>
        <w:t xml:space="preserve"> kunnen activeren, en het formuleren van regels voor de inzet van experts en </w:t>
      </w:r>
      <w:r w:rsidRPr="006B061A">
        <w:rPr>
          <w:i/>
          <w:iCs/>
          <w:szCs w:val="18"/>
        </w:rPr>
        <w:t>EU Civil Protection Teams</w:t>
      </w:r>
      <w:r w:rsidRPr="006B061A">
        <w:rPr>
          <w:szCs w:val="18"/>
        </w:rPr>
        <w:t xml:space="preserve"> (EUCPT).</w:t>
      </w:r>
    </w:p>
    <w:p w:rsidR="006B60FC" w:rsidP="006B60FC" w:rsidRDefault="006B60FC" w14:paraId="716892CF" w14:textId="77777777">
      <w:pPr>
        <w:pStyle w:val="NoSpacing"/>
        <w:spacing w:line="360" w:lineRule="auto"/>
        <w:rPr>
          <w:szCs w:val="18"/>
        </w:rPr>
      </w:pPr>
    </w:p>
    <w:p w:rsidRPr="006B061A" w:rsidR="006B60FC" w:rsidP="00D94FEE" w:rsidRDefault="00D94FEE" w14:paraId="78494867" w14:textId="2B837467">
      <w:pPr>
        <w:pStyle w:val="NoSpacing"/>
        <w:spacing w:line="360" w:lineRule="auto"/>
        <w:rPr>
          <w:szCs w:val="18"/>
        </w:rPr>
      </w:pPr>
      <w:r w:rsidRPr="007346CA">
        <w:rPr>
          <w:szCs w:val="18"/>
        </w:rPr>
        <w:t xml:space="preserve">Het </w:t>
      </w:r>
      <w:r w:rsidR="00367BC0">
        <w:rPr>
          <w:szCs w:val="18"/>
        </w:rPr>
        <w:t>toekennen van deze bevoegdheden is wel mogelijk</w:t>
      </w:r>
      <w:r w:rsidRPr="007346CA">
        <w:rPr>
          <w:szCs w:val="18"/>
        </w:rPr>
        <w:t xml:space="preserve"> omdat het niet-essentiële onderdelen betreft die zien op de </w:t>
      </w:r>
      <w:r w:rsidRPr="00AD3EE7">
        <w:rPr>
          <w:szCs w:val="18"/>
        </w:rPr>
        <w:t>technische en operationele uitwerking van het mechanisme.</w:t>
      </w:r>
      <w:r w:rsidRPr="00AD3EE7" w:rsidR="00367BC0">
        <w:rPr>
          <w:szCs w:val="18"/>
        </w:rPr>
        <w:t xml:space="preserve"> Toekenning van deze bevoegdheden acht het kabinet wenselijk</w:t>
      </w:r>
      <w:r w:rsidRPr="00AD3EE7" w:rsidR="003D4547">
        <w:rPr>
          <w:szCs w:val="18"/>
        </w:rPr>
        <w:t xml:space="preserve"> vanuit het oogpunt van harmonisatie.</w:t>
      </w:r>
      <w:r w:rsidRPr="00AD3EE7" w:rsidR="003D4547">
        <w:t xml:space="preserve"> </w:t>
      </w:r>
      <w:r w:rsidRPr="00AD3EE7" w:rsidR="003D4547">
        <w:rPr>
          <w:szCs w:val="18"/>
        </w:rPr>
        <w:t xml:space="preserve">De keuze voor uitvoering i.p.v. delegatie ligt hier voor de hand </w:t>
      </w:r>
      <w:r w:rsidRPr="004C704A" w:rsidR="000B61FD">
        <w:rPr>
          <w:szCs w:val="18"/>
        </w:rPr>
        <w:t>gezien het uitvoerende karakter en de noodzaak tot uniforme toepassing van de verordening</w:t>
      </w:r>
      <w:r w:rsidRPr="00AD3EE7">
        <w:rPr>
          <w:szCs w:val="18"/>
        </w:rPr>
        <w:t xml:space="preserve">. </w:t>
      </w:r>
      <w:r w:rsidR="009D73D0">
        <w:rPr>
          <w:szCs w:val="18"/>
        </w:rPr>
        <w:t>Deze uitvoeringshandelingen worden</w:t>
      </w:r>
      <w:r w:rsidR="001041C0">
        <w:rPr>
          <w:szCs w:val="18"/>
        </w:rPr>
        <w:t xml:space="preserve"> conform artikel 35, lid 2 van het voorstel, </w:t>
      </w:r>
      <w:r w:rsidRPr="00AD3EE7">
        <w:rPr>
          <w:szCs w:val="18"/>
        </w:rPr>
        <w:t>vastgesteld volgens de onderzoeksprocedure als bedoeld in artikel 5 van Verordening (EU) nr. 182/2011</w:t>
      </w:r>
      <w:r w:rsidR="001041C0">
        <w:rPr>
          <w:szCs w:val="18"/>
        </w:rPr>
        <w:t xml:space="preserve">. Daarbij merkt het kabinet op dat </w:t>
      </w:r>
      <w:r w:rsidRPr="00AD3EE7">
        <w:rPr>
          <w:szCs w:val="18"/>
        </w:rPr>
        <w:t>de formulering van artikel 21, lid 5, verwarrend</w:t>
      </w:r>
      <w:r w:rsidR="001041C0">
        <w:rPr>
          <w:szCs w:val="18"/>
        </w:rPr>
        <w:t xml:space="preserve"> is</w:t>
      </w:r>
      <w:r w:rsidRPr="00AD3EE7">
        <w:rPr>
          <w:szCs w:val="18"/>
        </w:rPr>
        <w:t>: zij wekt de indruk dat naast</w:t>
      </w:r>
      <w:r w:rsidR="001041C0">
        <w:rPr>
          <w:szCs w:val="18"/>
        </w:rPr>
        <w:t xml:space="preserve"> de onderzoeksprocedure, de</w:t>
      </w:r>
      <w:r w:rsidRPr="007346CA">
        <w:rPr>
          <w:szCs w:val="18"/>
        </w:rPr>
        <w:t xml:space="preserve"> </w:t>
      </w:r>
      <w:r w:rsidRPr="007346CA" w:rsidR="001041C0">
        <w:rPr>
          <w:szCs w:val="18"/>
        </w:rPr>
        <w:t>spoed</w:t>
      </w:r>
      <w:r w:rsidR="001041C0">
        <w:rPr>
          <w:szCs w:val="18"/>
        </w:rPr>
        <w:t>procedure</w:t>
      </w:r>
      <w:r w:rsidRPr="007346CA" w:rsidR="001041C0">
        <w:rPr>
          <w:szCs w:val="18"/>
        </w:rPr>
        <w:t xml:space="preserve"> </w:t>
      </w:r>
      <w:r w:rsidRPr="007346CA">
        <w:rPr>
          <w:szCs w:val="18"/>
        </w:rPr>
        <w:t>wordt beoogd, zonder een expliciete verwijzing naar artikel 8 (</w:t>
      </w:r>
      <w:r w:rsidR="009D73D0">
        <w:rPr>
          <w:szCs w:val="18"/>
        </w:rPr>
        <w:t>spoed</w:t>
      </w:r>
      <w:r w:rsidRPr="007346CA" w:rsidR="009D73D0">
        <w:rPr>
          <w:szCs w:val="18"/>
        </w:rPr>
        <w:t>procedure</w:t>
      </w:r>
      <w:r w:rsidRPr="007346CA">
        <w:rPr>
          <w:szCs w:val="18"/>
        </w:rPr>
        <w:t xml:space="preserve">) van </w:t>
      </w:r>
      <w:r w:rsidR="001041C0">
        <w:rPr>
          <w:szCs w:val="18"/>
        </w:rPr>
        <w:t>v</w:t>
      </w:r>
      <w:r w:rsidRPr="007346CA">
        <w:rPr>
          <w:szCs w:val="18"/>
        </w:rPr>
        <w:t>erordening (EU) nr. 182/2011.</w:t>
      </w:r>
      <w:r w:rsidR="001041C0">
        <w:rPr>
          <w:szCs w:val="18"/>
        </w:rPr>
        <w:t xml:space="preserve"> Een dergelijke verwijzing ontbreekt ook in artikel 35, lid 2 van het voorstel.</w:t>
      </w:r>
      <w:r w:rsidRPr="007346CA">
        <w:rPr>
          <w:szCs w:val="18"/>
        </w:rPr>
        <w:t xml:space="preserve"> Indien een </w:t>
      </w:r>
      <w:r w:rsidR="009D73D0">
        <w:rPr>
          <w:szCs w:val="18"/>
        </w:rPr>
        <w:t>spoed</w:t>
      </w:r>
      <w:r w:rsidRPr="007346CA">
        <w:rPr>
          <w:szCs w:val="18"/>
        </w:rPr>
        <w:t xml:space="preserve">procedure wordt bedoeld, vereist artikel 8 </w:t>
      </w:r>
      <w:r w:rsidR="001041C0">
        <w:rPr>
          <w:szCs w:val="18"/>
        </w:rPr>
        <w:t xml:space="preserve">van verordening (EU) nr. 182/2011 </w:t>
      </w:r>
      <w:r w:rsidRPr="007346CA">
        <w:rPr>
          <w:szCs w:val="18"/>
        </w:rPr>
        <w:t>dat sprake is van naar behoren gemotiveerde redenen van urgentie. Voor zover thans kan worden vastgesteld, ontbreekt  in het voorstel</w:t>
      </w:r>
      <w:r w:rsidR="00F861E3">
        <w:rPr>
          <w:szCs w:val="18"/>
        </w:rPr>
        <w:t xml:space="preserve"> een toelichting in dit verband</w:t>
      </w:r>
      <w:r w:rsidRPr="007346CA">
        <w:rPr>
          <w:szCs w:val="18"/>
        </w:rPr>
        <w:t>. Het kabinet acht verduidelijking wenselijk en stelt voor de tekst zodanig aan te passen dat wordt bepaald dat uitvoeringshandelingen overeenkomstig de onderzoeksprocedure worden vastgesteld en — in naar behoren gemotiveerde spoedgevallen — overeenkomstig de urgentieprocedure van artikel 8 van Verordening (EU) nr. 182/2011. Tot slot ligt het voor de hand hierover opheldering te vragen bij de Commissie en zo nodig een tekstsuggestie in te brengen</w:t>
      </w:r>
      <w:r>
        <w:rPr>
          <w:szCs w:val="18"/>
        </w:rPr>
        <w:t xml:space="preserve">. </w:t>
      </w:r>
    </w:p>
    <w:p w:rsidRPr="008B03FA" w:rsidR="00700014" w:rsidP="0039457F" w:rsidRDefault="0019382D" w14:paraId="0BC739A6" w14:textId="437C669A">
      <w:pPr>
        <w:pStyle w:val="NoSpacing"/>
        <w:spacing w:line="360" w:lineRule="auto"/>
        <w:rPr>
          <w:i/>
          <w:iCs/>
          <w:szCs w:val="18"/>
        </w:rPr>
      </w:pPr>
      <w:r w:rsidRPr="008B03FA">
        <w:rPr>
          <w:i/>
          <w:iCs/>
          <w:szCs w:val="18"/>
        </w:rPr>
        <w:t xml:space="preserve">      </w:t>
      </w:r>
    </w:p>
    <w:p w:rsidRPr="008B03FA" w:rsidR="004A1B8C" w:rsidP="00D134EC" w:rsidRDefault="00CF1388" w14:paraId="71DDF84B" w14:textId="280BA99B">
      <w:pPr>
        <w:pStyle w:val="NoSpacing"/>
        <w:numPr>
          <w:ilvl w:val="1"/>
          <w:numId w:val="1"/>
        </w:numPr>
        <w:spacing w:line="360" w:lineRule="auto"/>
        <w:rPr>
          <w:i/>
          <w:iCs/>
          <w:szCs w:val="18"/>
        </w:rPr>
      </w:pPr>
      <w:r w:rsidRPr="008B03FA">
        <w:rPr>
          <w:i/>
          <w:iCs/>
          <w:szCs w:val="18"/>
        </w:rPr>
        <w:t>Voorgestelde implementatietermijn (bij richtlijnen), dan wel voorgestelde datum inwerkingtreding (bij verordeningen en besluiten) met commentaar t.a.v. haalbaarheid</w:t>
      </w:r>
    </w:p>
    <w:p w:rsidRPr="00D94FEE" w:rsidR="00D94FEE" w:rsidP="00D94FEE" w:rsidRDefault="007C30FC" w14:paraId="4FD8B8EB" w14:textId="69B71287">
      <w:pPr>
        <w:pStyle w:val="NoSpacing"/>
        <w:spacing w:line="360" w:lineRule="auto"/>
        <w:rPr>
          <w:szCs w:val="18"/>
        </w:rPr>
      </w:pPr>
      <w:r>
        <w:rPr>
          <w:szCs w:val="18"/>
        </w:rPr>
        <w:t>De voorgestelde verordening</w:t>
      </w:r>
      <w:r w:rsidRPr="00D94FEE" w:rsidR="00D94FEE">
        <w:rPr>
          <w:szCs w:val="18"/>
        </w:rPr>
        <w:t xml:space="preserve"> treedt in werking op de twintigste dag na publicatie in het Publicatieblad van de Europese Unie. De bepalingen zijn van toepassing vanaf 1 januari 2028. </w:t>
      </w:r>
    </w:p>
    <w:p w:rsidRPr="00D94FEE" w:rsidR="00D94FEE" w:rsidP="00D94FEE" w:rsidRDefault="00D94FEE" w14:paraId="483AE982" w14:textId="77777777">
      <w:pPr>
        <w:pStyle w:val="NoSpacing"/>
        <w:spacing w:line="360" w:lineRule="auto"/>
        <w:rPr>
          <w:szCs w:val="18"/>
        </w:rPr>
      </w:pPr>
    </w:p>
    <w:p w:rsidR="00C36AA4" w:rsidP="00D94FEE" w:rsidRDefault="00CD0AB5" w14:paraId="2C08D1BE" w14:textId="1F4EBBFD">
      <w:pPr>
        <w:pStyle w:val="NoSpacing"/>
        <w:spacing w:line="360" w:lineRule="auto"/>
        <w:rPr>
          <w:szCs w:val="18"/>
        </w:rPr>
      </w:pPr>
      <w:r>
        <w:rPr>
          <w:szCs w:val="18"/>
        </w:rPr>
        <w:t>Dit</w:t>
      </w:r>
      <w:r w:rsidRPr="00D94FEE" w:rsidR="00D94FEE">
        <w:rPr>
          <w:szCs w:val="18"/>
        </w:rPr>
        <w:t xml:space="preserve"> lijkt </w:t>
      </w:r>
      <w:r w:rsidR="009B1458">
        <w:rPr>
          <w:szCs w:val="18"/>
        </w:rPr>
        <w:t xml:space="preserve">het kabinet </w:t>
      </w:r>
      <w:r w:rsidRPr="00D94FEE" w:rsidR="00D94FEE">
        <w:rPr>
          <w:szCs w:val="18"/>
        </w:rPr>
        <w:t>haalbaar</w:t>
      </w:r>
      <w:r w:rsidR="009B1458">
        <w:rPr>
          <w:szCs w:val="18"/>
        </w:rPr>
        <w:t>.</w:t>
      </w:r>
      <w:r w:rsidRPr="00D94FEE" w:rsidR="00D94FEE">
        <w:rPr>
          <w:szCs w:val="18"/>
        </w:rPr>
        <w:t xml:space="preserve"> </w:t>
      </w:r>
      <w:r w:rsidR="00AB204B">
        <w:rPr>
          <w:szCs w:val="18"/>
        </w:rPr>
        <w:t>h</w:t>
      </w:r>
      <w:r w:rsidRPr="00AB204B" w:rsidR="00AB204B">
        <w:rPr>
          <w:szCs w:val="18"/>
        </w:rPr>
        <w:t>et voorstel vergt een beperkt aantal nationale (uitvoerings)handelingen.</w:t>
      </w:r>
      <w:r w:rsidR="00AB204B">
        <w:rPr>
          <w:szCs w:val="18"/>
        </w:rPr>
        <w:t xml:space="preserve"> </w:t>
      </w:r>
      <w:r w:rsidRPr="00D94FEE" w:rsidR="00D94FEE">
        <w:rPr>
          <w:szCs w:val="18"/>
        </w:rPr>
        <w:t>. De verordening herziet vooral de organisatie van de Commissie. De inschatting van het kabinet is dat geplande periode voldoende ruimte biedt om interne procedures en coördinatie met bestaande systemen af te stemmen.</w:t>
      </w:r>
    </w:p>
    <w:p w:rsidRPr="008B03FA" w:rsidR="00783BF7" w:rsidP="00D134EC" w:rsidRDefault="00783BF7" w14:paraId="454CE519" w14:textId="77777777">
      <w:pPr>
        <w:pStyle w:val="NoSpacing"/>
        <w:spacing w:line="360" w:lineRule="auto"/>
        <w:rPr>
          <w:szCs w:val="18"/>
        </w:rPr>
      </w:pPr>
    </w:p>
    <w:p w:rsidRPr="008B03FA" w:rsidR="004A1B8C" w:rsidP="00D134EC" w:rsidRDefault="00CF1388" w14:paraId="26C1C258" w14:textId="3EE3398E">
      <w:pPr>
        <w:pStyle w:val="NoSpacing"/>
        <w:numPr>
          <w:ilvl w:val="1"/>
          <w:numId w:val="1"/>
        </w:numPr>
        <w:spacing w:line="360" w:lineRule="auto"/>
        <w:rPr>
          <w:i/>
          <w:iCs/>
          <w:szCs w:val="18"/>
        </w:rPr>
      </w:pPr>
      <w:r w:rsidRPr="008B03FA">
        <w:rPr>
          <w:i/>
          <w:iCs/>
          <w:szCs w:val="18"/>
        </w:rPr>
        <w:t>Wenselijkheid evaluatie-/horizonbepaling</w:t>
      </w:r>
    </w:p>
    <w:p w:rsidRPr="008B03FA" w:rsidR="00700014" w:rsidP="00D134EC" w:rsidRDefault="000B682F" w14:paraId="66A0ED1E" w14:textId="071266E0">
      <w:pPr>
        <w:pStyle w:val="NoSpacing"/>
        <w:spacing w:line="360" w:lineRule="auto"/>
        <w:rPr>
          <w:szCs w:val="18"/>
        </w:rPr>
      </w:pPr>
      <w:r w:rsidRPr="008B03FA">
        <w:rPr>
          <w:szCs w:val="18"/>
        </w:rPr>
        <w:t>Niet van toepassing</w:t>
      </w:r>
      <w:r w:rsidRPr="008B03FA" w:rsidR="004A1B8C">
        <w:rPr>
          <w:szCs w:val="18"/>
        </w:rPr>
        <w:t>.</w:t>
      </w:r>
    </w:p>
    <w:p w:rsidRPr="008B03FA" w:rsidR="000B682F" w:rsidP="00D134EC" w:rsidRDefault="000B682F" w14:paraId="1F1E02E4" w14:textId="77777777">
      <w:pPr>
        <w:pStyle w:val="NoSpacing"/>
        <w:spacing w:line="360" w:lineRule="auto"/>
        <w:rPr>
          <w:szCs w:val="18"/>
        </w:rPr>
      </w:pPr>
    </w:p>
    <w:p w:rsidRPr="008B03FA" w:rsidR="004A1B8C" w:rsidP="00554956" w:rsidRDefault="00CF1388" w14:paraId="47991C77" w14:textId="7835144F">
      <w:pPr>
        <w:pStyle w:val="NoSpacing"/>
        <w:numPr>
          <w:ilvl w:val="1"/>
          <w:numId w:val="1"/>
        </w:numPr>
        <w:spacing w:line="360" w:lineRule="auto"/>
        <w:rPr>
          <w:i/>
          <w:iCs/>
          <w:szCs w:val="18"/>
        </w:rPr>
      </w:pPr>
      <w:r w:rsidRPr="008B03FA">
        <w:rPr>
          <w:i/>
          <w:iCs/>
          <w:szCs w:val="18"/>
        </w:rPr>
        <w:t>Constitutionele toets</w:t>
      </w:r>
    </w:p>
    <w:p w:rsidRPr="008B03FA" w:rsidR="000B682F" w:rsidP="00D134EC" w:rsidRDefault="000B682F" w14:paraId="106157F5" w14:textId="7CA8EC94">
      <w:pPr>
        <w:pStyle w:val="NoSpacing"/>
        <w:spacing w:line="360" w:lineRule="auto"/>
        <w:rPr>
          <w:szCs w:val="18"/>
        </w:rPr>
      </w:pPr>
      <w:r w:rsidRPr="008B03FA">
        <w:rPr>
          <w:szCs w:val="18"/>
        </w:rPr>
        <w:t>Niet van toepassing.</w:t>
      </w:r>
    </w:p>
    <w:p w:rsidRPr="008B03FA" w:rsidR="000B682F" w:rsidP="00D134EC" w:rsidRDefault="000B682F" w14:paraId="5AEC1C2F" w14:textId="77777777">
      <w:pPr>
        <w:pStyle w:val="NoSpacing"/>
        <w:spacing w:line="360" w:lineRule="auto"/>
        <w:rPr>
          <w:szCs w:val="18"/>
        </w:rPr>
      </w:pPr>
    </w:p>
    <w:p w:rsidRPr="008B03FA" w:rsidR="00860CB9" w:rsidP="00D134EC" w:rsidRDefault="00860CB9" w14:paraId="1B099671" w14:textId="77777777">
      <w:pPr>
        <w:numPr>
          <w:ilvl w:val="0"/>
          <w:numId w:val="1"/>
        </w:numPr>
        <w:spacing w:after="0" w:line="360" w:lineRule="auto"/>
        <w:rPr>
          <w:rFonts w:ascii="Verdana" w:hAnsi="Verdana"/>
          <w:b/>
          <w:sz w:val="18"/>
          <w:szCs w:val="18"/>
        </w:rPr>
      </w:pPr>
      <w:r w:rsidRPr="008B03FA">
        <w:rPr>
          <w:rFonts w:ascii="Verdana" w:hAnsi="Verdana"/>
          <w:b/>
          <w:sz w:val="18"/>
          <w:szCs w:val="18"/>
        </w:rPr>
        <w:t>Implicaties voor uitvoering en/of handhaving</w:t>
      </w:r>
    </w:p>
    <w:p w:rsidR="00C270C5" w:rsidP="00D134EC" w:rsidRDefault="000B682F" w14:paraId="5F55DFAB" w14:textId="77777777">
      <w:pPr>
        <w:suppressAutoHyphens/>
        <w:spacing w:line="360" w:lineRule="auto"/>
        <w:rPr>
          <w:rFonts w:ascii="Verdana" w:hAnsi="Verdana"/>
          <w:bCs/>
          <w:sz w:val="18"/>
          <w:szCs w:val="18"/>
        </w:rPr>
      </w:pPr>
      <w:r w:rsidRPr="008B03FA">
        <w:rPr>
          <w:rFonts w:ascii="Verdana" w:hAnsi="Verdana"/>
          <w:bCs/>
          <w:sz w:val="18"/>
          <w:szCs w:val="18"/>
        </w:rPr>
        <w:t xml:space="preserve">Op dit moment is </w:t>
      </w:r>
      <w:r w:rsidRPr="008B03FA" w:rsidR="003E2ADD">
        <w:rPr>
          <w:rFonts w:ascii="Verdana" w:hAnsi="Verdana"/>
          <w:bCs/>
          <w:sz w:val="18"/>
          <w:szCs w:val="18"/>
        </w:rPr>
        <w:t xml:space="preserve">het </w:t>
      </w:r>
      <w:r w:rsidRPr="008B03FA">
        <w:rPr>
          <w:rFonts w:ascii="Verdana" w:hAnsi="Verdana"/>
          <w:bCs/>
          <w:sz w:val="18"/>
          <w:szCs w:val="18"/>
        </w:rPr>
        <w:t xml:space="preserve">Nederlandse </w:t>
      </w:r>
      <w:r w:rsidRPr="008B03FA">
        <w:rPr>
          <w:rFonts w:ascii="Verdana" w:hAnsi="Verdana"/>
          <w:bCs/>
          <w:i/>
          <w:iCs/>
          <w:sz w:val="18"/>
          <w:szCs w:val="18"/>
        </w:rPr>
        <w:t>Single-Point-of-Contact</w:t>
      </w:r>
      <w:r w:rsidRPr="008B03FA">
        <w:rPr>
          <w:rFonts w:ascii="Verdana" w:hAnsi="Verdana"/>
          <w:bCs/>
          <w:sz w:val="18"/>
          <w:szCs w:val="18"/>
        </w:rPr>
        <w:t xml:space="preserve"> (SPoC)</w:t>
      </w:r>
      <w:r w:rsidRPr="008B03FA">
        <w:rPr>
          <w:rFonts w:ascii="Verdana" w:hAnsi="Verdana"/>
          <w:bCs/>
          <w:i/>
          <w:iCs/>
          <w:sz w:val="18"/>
          <w:szCs w:val="18"/>
        </w:rPr>
        <w:t xml:space="preserve"> </w:t>
      </w:r>
      <w:r w:rsidRPr="008B03FA">
        <w:rPr>
          <w:rFonts w:ascii="Verdana" w:hAnsi="Verdana"/>
          <w:bCs/>
          <w:sz w:val="18"/>
          <w:szCs w:val="18"/>
        </w:rPr>
        <w:t xml:space="preserve">van het </w:t>
      </w:r>
      <w:r w:rsidRPr="00314606" w:rsidR="00314606">
        <w:rPr>
          <w:rFonts w:ascii="Verdana" w:hAnsi="Verdana"/>
          <w:bCs/>
          <w:sz w:val="18"/>
          <w:szCs w:val="18"/>
        </w:rPr>
        <w:t xml:space="preserve">Europese Coördinatiecentrum </w:t>
      </w:r>
      <w:r w:rsidRPr="008B03FA">
        <w:rPr>
          <w:rFonts w:ascii="Verdana" w:hAnsi="Verdana"/>
          <w:bCs/>
          <w:sz w:val="18"/>
          <w:szCs w:val="18"/>
        </w:rPr>
        <w:t>het</w:t>
      </w:r>
      <w:r w:rsidRPr="008B03FA" w:rsidR="00364F32">
        <w:rPr>
          <w:rFonts w:ascii="Verdana" w:hAnsi="Verdana"/>
          <w:bCs/>
          <w:sz w:val="18"/>
          <w:szCs w:val="18"/>
        </w:rPr>
        <w:t xml:space="preserve"> NCC</w:t>
      </w:r>
      <w:r w:rsidRPr="008B03FA">
        <w:rPr>
          <w:rFonts w:ascii="Verdana" w:hAnsi="Verdana"/>
          <w:bCs/>
          <w:sz w:val="18"/>
          <w:szCs w:val="18"/>
        </w:rPr>
        <w:t xml:space="preserve">. Bij de inrichting van de nieuwe </w:t>
      </w:r>
      <w:r w:rsidRPr="008B03FA" w:rsidR="00364F32">
        <w:rPr>
          <w:rFonts w:ascii="Verdana" w:hAnsi="Verdana"/>
          <w:bCs/>
          <w:sz w:val="18"/>
          <w:szCs w:val="18"/>
        </w:rPr>
        <w:t>Hub</w:t>
      </w:r>
      <w:r w:rsidRPr="008B03FA">
        <w:rPr>
          <w:rFonts w:ascii="Verdana" w:hAnsi="Verdana"/>
          <w:bCs/>
          <w:sz w:val="18"/>
          <w:szCs w:val="18"/>
        </w:rPr>
        <w:t xml:space="preserve"> zal het NCC ook fungeren als SPoC. </w:t>
      </w:r>
      <w:bookmarkStart w:name="_Hlk205391132" w:id="5"/>
      <w:r w:rsidRPr="008B03FA" w:rsidR="001A3283">
        <w:rPr>
          <w:rFonts w:ascii="Verdana" w:hAnsi="Verdana"/>
          <w:bCs/>
          <w:sz w:val="18"/>
          <w:szCs w:val="18"/>
        </w:rPr>
        <w:t xml:space="preserve">Verwacht wordt dat het NCC door deze uitbreiding een </w:t>
      </w:r>
      <w:r w:rsidR="00A26980">
        <w:rPr>
          <w:rFonts w:ascii="Verdana" w:hAnsi="Verdana"/>
          <w:bCs/>
          <w:sz w:val="18"/>
          <w:szCs w:val="18"/>
        </w:rPr>
        <w:t xml:space="preserve">bredere </w:t>
      </w:r>
      <w:r w:rsidRPr="008B03FA" w:rsidR="001A3283">
        <w:rPr>
          <w:rFonts w:ascii="Verdana" w:hAnsi="Verdana"/>
          <w:bCs/>
          <w:sz w:val="18"/>
          <w:szCs w:val="18"/>
        </w:rPr>
        <w:t xml:space="preserve">rol binnen de EU krijgt. </w:t>
      </w:r>
    </w:p>
    <w:p w:rsidRPr="008B03FA" w:rsidR="001A3283" w:rsidP="00D134EC" w:rsidRDefault="001A3283" w14:paraId="69C4FE85" w14:textId="6394D255">
      <w:pPr>
        <w:suppressAutoHyphens/>
        <w:spacing w:line="360" w:lineRule="auto"/>
        <w:rPr>
          <w:rFonts w:ascii="Verdana" w:hAnsi="Verdana"/>
          <w:bCs/>
          <w:sz w:val="18"/>
          <w:szCs w:val="18"/>
        </w:rPr>
      </w:pPr>
      <w:r w:rsidRPr="008B03FA">
        <w:rPr>
          <w:rFonts w:ascii="Verdana" w:hAnsi="Verdana"/>
          <w:bCs/>
          <w:sz w:val="18"/>
          <w:szCs w:val="18"/>
        </w:rPr>
        <w:lastRenderedPageBreak/>
        <w:t xml:space="preserve">Dat betekent ook dat </w:t>
      </w:r>
      <w:r w:rsidR="00A26980">
        <w:rPr>
          <w:rFonts w:ascii="Verdana" w:hAnsi="Verdana"/>
          <w:bCs/>
          <w:sz w:val="18"/>
          <w:szCs w:val="18"/>
        </w:rPr>
        <w:t>taken</w:t>
      </w:r>
      <w:r w:rsidRPr="008B03FA">
        <w:rPr>
          <w:rFonts w:ascii="Verdana" w:hAnsi="Verdana"/>
          <w:bCs/>
          <w:sz w:val="18"/>
          <w:szCs w:val="18"/>
        </w:rPr>
        <w:t xml:space="preserve"> voor het NCC </w:t>
      </w:r>
      <w:r w:rsidR="00A26980">
        <w:rPr>
          <w:rFonts w:ascii="Verdana" w:hAnsi="Verdana"/>
          <w:bCs/>
          <w:sz w:val="18"/>
          <w:szCs w:val="18"/>
        </w:rPr>
        <w:t>kunnen</w:t>
      </w:r>
      <w:r w:rsidRPr="008B03FA" w:rsidR="00A26980">
        <w:rPr>
          <w:rFonts w:ascii="Verdana" w:hAnsi="Verdana"/>
          <w:bCs/>
          <w:sz w:val="18"/>
          <w:szCs w:val="18"/>
        </w:rPr>
        <w:t xml:space="preserve"> </w:t>
      </w:r>
      <w:r w:rsidRPr="008B03FA">
        <w:rPr>
          <w:rFonts w:ascii="Verdana" w:hAnsi="Verdana"/>
          <w:bCs/>
          <w:sz w:val="18"/>
          <w:szCs w:val="18"/>
        </w:rPr>
        <w:t>toenemen</w:t>
      </w:r>
      <w:r w:rsidR="00A26980">
        <w:rPr>
          <w:rFonts w:ascii="Verdana" w:hAnsi="Verdana"/>
          <w:bCs/>
          <w:sz w:val="18"/>
          <w:szCs w:val="18"/>
        </w:rPr>
        <w:t>, bijvoorbeeld met taken op het meldpunt Vitaal.</w:t>
      </w:r>
      <w:r w:rsidRPr="008B03FA" w:rsidR="00C53BEF">
        <w:rPr>
          <w:rFonts w:ascii="Verdana" w:hAnsi="Verdana"/>
          <w:bCs/>
          <w:sz w:val="18"/>
          <w:szCs w:val="18"/>
        </w:rPr>
        <w:t xml:space="preserve"> </w:t>
      </w:r>
      <w:bookmarkEnd w:id="5"/>
    </w:p>
    <w:p w:rsidRPr="008B03FA" w:rsidR="001A3283" w:rsidP="00D134EC" w:rsidRDefault="001A3283" w14:paraId="534CAA23" w14:textId="1A2A2F65">
      <w:pPr>
        <w:suppressAutoHyphens/>
        <w:spacing w:line="360" w:lineRule="auto"/>
        <w:rPr>
          <w:rFonts w:ascii="Verdana" w:hAnsi="Verdana"/>
          <w:bCs/>
          <w:sz w:val="18"/>
          <w:szCs w:val="18"/>
        </w:rPr>
      </w:pPr>
      <w:r w:rsidRPr="008B03FA">
        <w:rPr>
          <w:rFonts w:ascii="Verdana" w:hAnsi="Verdana"/>
          <w:bCs/>
          <w:sz w:val="18"/>
          <w:szCs w:val="18"/>
        </w:rPr>
        <w:t xml:space="preserve">Daarnaast wordt de reikwijdte van het Uniemechanisme verruimd. Hierdoor krijgen </w:t>
      </w:r>
      <w:r w:rsidRPr="008B03FA" w:rsidR="008D3975">
        <w:rPr>
          <w:rFonts w:ascii="Verdana" w:hAnsi="Verdana"/>
          <w:bCs/>
          <w:sz w:val="18"/>
          <w:szCs w:val="18"/>
        </w:rPr>
        <w:t>de landen</w:t>
      </w:r>
      <w:r w:rsidRPr="008B03FA">
        <w:rPr>
          <w:rFonts w:ascii="Verdana" w:hAnsi="Verdana"/>
          <w:bCs/>
          <w:sz w:val="18"/>
          <w:szCs w:val="18"/>
        </w:rPr>
        <w:t xml:space="preserve"> </w:t>
      </w:r>
      <w:r w:rsidR="00E7422D">
        <w:rPr>
          <w:rFonts w:ascii="Verdana" w:hAnsi="Verdana"/>
          <w:bCs/>
          <w:sz w:val="18"/>
          <w:szCs w:val="18"/>
        </w:rPr>
        <w:t xml:space="preserve">van het Uniemechanisme </w:t>
      </w:r>
      <w:r w:rsidRPr="008B03FA">
        <w:rPr>
          <w:rFonts w:ascii="Verdana" w:hAnsi="Verdana"/>
          <w:bCs/>
          <w:sz w:val="18"/>
          <w:szCs w:val="18"/>
        </w:rPr>
        <w:t>de mogelijkheid om nieuwe soorten noodhulp of specialistische eenheden aan te bieden aan de hulpverleningspool. Dit kan echter alleen als een land daar zelf het initiatief toe neemt.</w:t>
      </w:r>
    </w:p>
    <w:p w:rsidRPr="008B03FA" w:rsidR="00AF16EC" w:rsidP="00D134EC" w:rsidRDefault="001A3283" w14:paraId="0B34116A" w14:textId="6E0011AB">
      <w:pPr>
        <w:suppressAutoHyphens/>
        <w:spacing w:line="360" w:lineRule="auto"/>
        <w:rPr>
          <w:rFonts w:ascii="Verdana" w:hAnsi="Verdana"/>
          <w:bCs/>
          <w:sz w:val="18"/>
          <w:szCs w:val="18"/>
        </w:rPr>
      </w:pPr>
      <w:r w:rsidRPr="008B03FA">
        <w:rPr>
          <w:rFonts w:ascii="Verdana" w:hAnsi="Verdana"/>
          <w:bCs/>
          <w:sz w:val="18"/>
          <w:szCs w:val="18"/>
        </w:rPr>
        <w:t xml:space="preserve">Als een land besluit een nieuwe capaciteit </w:t>
      </w:r>
      <w:r w:rsidRPr="008B03FA" w:rsidR="00554956">
        <w:rPr>
          <w:rFonts w:ascii="Verdana" w:hAnsi="Verdana"/>
          <w:bCs/>
          <w:sz w:val="18"/>
          <w:szCs w:val="18"/>
        </w:rPr>
        <w:t>-</w:t>
      </w:r>
      <w:r w:rsidRPr="008B03FA">
        <w:rPr>
          <w:rFonts w:ascii="Verdana" w:hAnsi="Verdana"/>
          <w:bCs/>
          <w:sz w:val="18"/>
          <w:szCs w:val="18"/>
        </w:rPr>
        <w:t xml:space="preserve"> ook wel een </w:t>
      </w:r>
      <w:r w:rsidRPr="008B03FA">
        <w:rPr>
          <w:rFonts w:ascii="Verdana" w:hAnsi="Verdana"/>
          <w:bCs/>
          <w:i/>
          <w:iCs/>
          <w:sz w:val="18"/>
          <w:szCs w:val="18"/>
        </w:rPr>
        <w:t>Other Response Capacity</w:t>
      </w:r>
      <w:r w:rsidRPr="008B03FA">
        <w:rPr>
          <w:rFonts w:ascii="Verdana" w:hAnsi="Verdana"/>
          <w:bCs/>
          <w:sz w:val="18"/>
          <w:szCs w:val="18"/>
        </w:rPr>
        <w:t xml:space="preserve"> (ORC)</w:t>
      </w:r>
      <w:r w:rsidRPr="008B03FA">
        <w:rPr>
          <w:rStyle w:val="FootnoteReference"/>
          <w:rFonts w:ascii="Verdana" w:hAnsi="Verdana"/>
          <w:bCs/>
          <w:sz w:val="18"/>
          <w:szCs w:val="18"/>
        </w:rPr>
        <w:t xml:space="preserve"> </w:t>
      </w:r>
      <w:r w:rsidRPr="008B03FA" w:rsidR="005B6AAA">
        <w:rPr>
          <w:rFonts w:ascii="Verdana" w:hAnsi="Verdana"/>
          <w:bCs/>
          <w:sz w:val="18"/>
          <w:szCs w:val="18"/>
        </w:rPr>
        <w:t>of module</w:t>
      </w:r>
      <w:r w:rsidRPr="008B03FA" w:rsidR="005B6AAA">
        <w:rPr>
          <w:rStyle w:val="FootnoteReference"/>
          <w:rFonts w:ascii="Verdana" w:hAnsi="Verdana"/>
          <w:bCs/>
          <w:sz w:val="18"/>
          <w:szCs w:val="18"/>
        </w:rPr>
        <w:footnoteReference w:id="34"/>
      </w:r>
      <w:r w:rsidRPr="008B03FA" w:rsidR="005B6AAA">
        <w:rPr>
          <w:rFonts w:ascii="Verdana" w:hAnsi="Verdana"/>
          <w:bCs/>
          <w:sz w:val="18"/>
          <w:szCs w:val="18"/>
        </w:rPr>
        <w:t xml:space="preserve"> </w:t>
      </w:r>
      <w:r w:rsidRPr="008B03FA" w:rsidR="00554956">
        <w:rPr>
          <w:rFonts w:ascii="Verdana" w:hAnsi="Verdana"/>
          <w:bCs/>
          <w:sz w:val="18"/>
          <w:szCs w:val="18"/>
        </w:rPr>
        <w:t>-</w:t>
      </w:r>
      <w:r w:rsidR="006B60FC">
        <w:rPr>
          <w:rFonts w:ascii="Verdana" w:hAnsi="Verdana"/>
          <w:bCs/>
          <w:sz w:val="18"/>
          <w:szCs w:val="18"/>
        </w:rPr>
        <w:t xml:space="preserve"> </w:t>
      </w:r>
      <w:r w:rsidRPr="008B03FA">
        <w:rPr>
          <w:rFonts w:ascii="Verdana" w:hAnsi="Verdana"/>
          <w:bCs/>
          <w:sz w:val="18"/>
          <w:szCs w:val="18"/>
        </w:rPr>
        <w:t>beschikbaar te stellen, brengt dat extra werk met zich mee. Denk aan administratieve, financiële en personele lasten. Het is aan de organisatie die deze capaciteit beheert – en/of de betrokken experts – om te bepalen wat daarvan de praktische gevolgen zijn.</w:t>
      </w:r>
      <w:r w:rsidRPr="008B03FA" w:rsidR="005B6AAA">
        <w:rPr>
          <w:rFonts w:ascii="Verdana" w:hAnsi="Verdana"/>
          <w:bCs/>
          <w:sz w:val="18"/>
          <w:szCs w:val="18"/>
        </w:rPr>
        <w:t xml:space="preserve"> </w:t>
      </w:r>
      <w:r w:rsidR="00A26980">
        <w:rPr>
          <w:rFonts w:ascii="Verdana" w:hAnsi="Verdana"/>
          <w:bCs/>
          <w:sz w:val="18"/>
          <w:szCs w:val="18"/>
        </w:rPr>
        <w:t>Dit kan voor de</w:t>
      </w:r>
      <w:r w:rsidRPr="008B03FA" w:rsidR="00C53BEF">
        <w:rPr>
          <w:rFonts w:ascii="Verdana" w:hAnsi="Verdana"/>
          <w:bCs/>
          <w:sz w:val="18"/>
          <w:szCs w:val="18"/>
        </w:rPr>
        <w:t xml:space="preserve"> operationele ondersteuning en coördinatie gevolgen hebben voor het LOCC-KCR2.</w:t>
      </w:r>
      <w:r w:rsidR="00E27996">
        <w:rPr>
          <w:rFonts w:ascii="Verdana" w:hAnsi="Verdana"/>
          <w:bCs/>
          <w:sz w:val="18"/>
          <w:szCs w:val="18"/>
        </w:rPr>
        <w:br/>
      </w:r>
    </w:p>
    <w:p w:rsidRPr="008B03FA" w:rsidR="00860CB9" w:rsidP="00D134EC" w:rsidRDefault="00860CB9" w14:paraId="15E4ADCF" w14:textId="77777777">
      <w:pPr>
        <w:numPr>
          <w:ilvl w:val="0"/>
          <w:numId w:val="1"/>
        </w:numPr>
        <w:spacing w:after="0" w:line="360" w:lineRule="auto"/>
        <w:rPr>
          <w:rFonts w:ascii="Verdana" w:hAnsi="Verdana"/>
          <w:b/>
          <w:sz w:val="18"/>
          <w:szCs w:val="18"/>
        </w:rPr>
      </w:pPr>
      <w:r w:rsidRPr="008B03FA">
        <w:rPr>
          <w:rFonts w:ascii="Verdana" w:hAnsi="Verdana"/>
          <w:b/>
          <w:sz w:val="18"/>
          <w:szCs w:val="18"/>
        </w:rPr>
        <w:t>Implicaties voor ontwikkelingslanden</w:t>
      </w:r>
    </w:p>
    <w:p w:rsidR="00AF16EC" w:rsidP="00D134EC" w:rsidRDefault="00F16FF7" w14:paraId="1F829F50" w14:textId="0A464DC9">
      <w:pPr>
        <w:suppressAutoHyphens/>
        <w:spacing w:line="360" w:lineRule="auto"/>
        <w:rPr>
          <w:rFonts w:ascii="Verdana" w:hAnsi="Verdana"/>
          <w:iCs/>
          <w:sz w:val="18"/>
          <w:szCs w:val="18"/>
        </w:rPr>
      </w:pPr>
      <w:r>
        <w:rPr>
          <w:rFonts w:ascii="Verdana" w:hAnsi="Verdana"/>
          <w:iCs/>
          <w:sz w:val="18"/>
          <w:szCs w:val="18"/>
        </w:rPr>
        <w:t xml:space="preserve">Het voorstel </w:t>
      </w:r>
      <w:r w:rsidRPr="008B03FA" w:rsidR="00183766">
        <w:rPr>
          <w:rFonts w:ascii="Verdana" w:hAnsi="Verdana"/>
          <w:iCs/>
          <w:sz w:val="18"/>
          <w:szCs w:val="18"/>
        </w:rPr>
        <w:t>verwijst naar gevolgen voor ontwikkelingslanden door te benadrukken dat het voorstel aansluit bij andere EU-beleidsvelden, in het bijzonder externe betrekkingen en ontwikkelingssamenwerking.</w:t>
      </w:r>
      <w:r w:rsidRPr="008B03FA" w:rsidR="00A46CF4">
        <w:rPr>
          <w:rFonts w:ascii="Verdana" w:hAnsi="Verdana"/>
          <w:iCs/>
          <w:sz w:val="18"/>
          <w:szCs w:val="18"/>
        </w:rPr>
        <w:t xml:space="preserve"> Het </w:t>
      </w:r>
      <w:r w:rsidRPr="008B03FA" w:rsidR="009D127A">
        <w:rPr>
          <w:rFonts w:ascii="Verdana" w:hAnsi="Verdana"/>
          <w:iCs/>
          <w:sz w:val="18"/>
          <w:szCs w:val="18"/>
        </w:rPr>
        <w:t>Europees Directoraat-</w:t>
      </w:r>
      <w:r w:rsidRPr="008B03FA" w:rsidR="00A46CF4">
        <w:rPr>
          <w:rFonts w:ascii="Verdana" w:hAnsi="Verdana"/>
          <w:iCs/>
          <w:sz w:val="18"/>
          <w:szCs w:val="18"/>
        </w:rPr>
        <w:t>G</w:t>
      </w:r>
      <w:r w:rsidRPr="008B03FA" w:rsidR="009D127A">
        <w:rPr>
          <w:rFonts w:ascii="Verdana" w:hAnsi="Verdana"/>
          <w:iCs/>
          <w:sz w:val="18"/>
          <w:szCs w:val="18"/>
        </w:rPr>
        <w:t>eneraal</w:t>
      </w:r>
      <w:r w:rsidRPr="008B03FA" w:rsidR="009D127A">
        <w:rPr>
          <w:rStyle w:val="FootnoteReference"/>
          <w:rFonts w:ascii="Verdana" w:hAnsi="Verdana"/>
          <w:iCs/>
          <w:sz w:val="18"/>
          <w:szCs w:val="18"/>
        </w:rPr>
        <w:footnoteReference w:id="35"/>
      </w:r>
      <w:r w:rsidRPr="008B03FA" w:rsidR="00A46CF4">
        <w:rPr>
          <w:rFonts w:ascii="Verdana" w:hAnsi="Verdana"/>
          <w:iCs/>
          <w:sz w:val="18"/>
          <w:szCs w:val="18"/>
        </w:rPr>
        <w:t xml:space="preserve"> dat verantwoordelijk is voor het Uniemechanisme richt zich ook expliciet op </w:t>
      </w:r>
      <w:r w:rsidRPr="008B03FA" w:rsidR="00183766">
        <w:rPr>
          <w:rFonts w:ascii="Verdana" w:hAnsi="Verdana"/>
          <w:iCs/>
          <w:sz w:val="18"/>
          <w:szCs w:val="18"/>
        </w:rPr>
        <w:t xml:space="preserve">de samenwerking tussen het Uniemechanisme, gezondheidscrisisvoorbereiding en humanitaire hulp </w:t>
      </w:r>
      <w:r w:rsidRPr="008B03FA" w:rsidR="00A46CF4">
        <w:rPr>
          <w:rFonts w:ascii="Verdana" w:hAnsi="Verdana"/>
          <w:iCs/>
          <w:sz w:val="18"/>
          <w:szCs w:val="18"/>
        </w:rPr>
        <w:t>met alle landen ter wereld, inclusief ontwikkelingslanden</w:t>
      </w:r>
      <w:r w:rsidRPr="008B03FA" w:rsidR="00183766">
        <w:rPr>
          <w:rFonts w:ascii="Verdana" w:hAnsi="Verdana"/>
          <w:iCs/>
          <w:sz w:val="18"/>
          <w:szCs w:val="18"/>
        </w:rPr>
        <w:t>.</w:t>
      </w:r>
      <w:r>
        <w:rPr>
          <w:rFonts w:ascii="Verdana" w:hAnsi="Verdana"/>
          <w:iCs/>
          <w:sz w:val="18"/>
          <w:szCs w:val="18"/>
        </w:rPr>
        <w:t xml:space="preserve"> Het kabinet heeft er daarom vertrouwen in dat de Commissie oog heeft voor implicaties voor ontwikkelingslanden.</w:t>
      </w:r>
      <w:r w:rsidRPr="008B03FA" w:rsidR="00A46CF4">
        <w:rPr>
          <w:rFonts w:ascii="Verdana" w:hAnsi="Verdana"/>
          <w:iCs/>
          <w:sz w:val="18"/>
          <w:szCs w:val="18"/>
        </w:rPr>
        <w:t xml:space="preserve"> </w:t>
      </w:r>
      <w:r w:rsidRPr="008B03FA" w:rsidR="00183766">
        <w:rPr>
          <w:rFonts w:ascii="Verdana" w:hAnsi="Verdana"/>
          <w:iCs/>
          <w:sz w:val="18"/>
          <w:szCs w:val="18"/>
        </w:rPr>
        <w:t>Daarmee draagt het voorstel bij aan de bredere EU-inzet op het gebied van humanitaire hulp en crisisrespons in ontwikkelingslanden, in samenhang met de doelstellingen van het externe beleid.</w:t>
      </w:r>
    </w:p>
    <w:p w:rsidRPr="00F56ACA" w:rsidR="00CF1388" w:rsidP="005B6AAA" w:rsidRDefault="00CF1388" w14:paraId="4E2ADA1B" w14:textId="1FF3560A">
      <w:pPr>
        <w:pStyle w:val="NoSpacing"/>
        <w:spacing w:line="360" w:lineRule="auto"/>
        <w:rPr>
          <w:szCs w:val="18"/>
        </w:rPr>
      </w:pPr>
    </w:p>
    <w:sectPr w:rsidRPr="00F56ACA" w:rsidR="00CF1388" w:rsidSect="00AB204B">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96E7" w14:textId="77777777" w:rsidR="00EC3E9F" w:rsidRDefault="00EC3E9F" w:rsidP="002376FA">
      <w:pPr>
        <w:spacing w:after="0" w:line="240" w:lineRule="auto"/>
      </w:pPr>
      <w:r>
        <w:separator/>
      </w:r>
    </w:p>
  </w:endnote>
  <w:endnote w:type="continuationSeparator" w:id="0">
    <w:p w14:paraId="1953B792" w14:textId="77777777" w:rsidR="00EC3E9F" w:rsidRDefault="00EC3E9F" w:rsidP="002376FA">
      <w:pPr>
        <w:spacing w:after="0" w:line="240" w:lineRule="auto"/>
      </w:pPr>
      <w:r>
        <w:continuationSeparator/>
      </w:r>
    </w:p>
  </w:endnote>
  <w:endnote w:type="continuationNotice" w:id="1">
    <w:p w14:paraId="56917DAE" w14:textId="77777777" w:rsidR="00EC3E9F" w:rsidRDefault="00EC3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F8F" w14:textId="6856CABA" w:rsidR="00791CEC" w:rsidRDefault="00791CEC">
    <w:pPr>
      <w:pStyle w:val="Footer"/>
    </w:pPr>
    <w:r>
      <w:rPr>
        <w:noProof/>
      </w:rPr>
      <mc:AlternateContent>
        <mc:Choice Requires="wps">
          <w:drawing>
            <wp:anchor distT="0" distB="0" distL="0" distR="0" simplePos="0" relativeHeight="251658241" behindDoc="0" locked="0" layoutInCell="1" allowOverlap="1" wp14:anchorId="64AC2B98" wp14:editId="6DEA4D3A">
              <wp:simplePos x="635" y="635"/>
              <wp:positionH relativeFrom="page">
                <wp:align>left</wp:align>
              </wp:positionH>
              <wp:positionV relativeFrom="page">
                <wp:align>bottom</wp:align>
              </wp:positionV>
              <wp:extent cx="982345" cy="370205"/>
              <wp:effectExtent l="0" t="0" r="8255" b="0"/>
              <wp:wrapNone/>
              <wp:docPr id="155445807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0EE27874" w14:textId="2133A620" w:rsidR="00791CEC" w:rsidRPr="00791CEC" w:rsidRDefault="00791CEC" w:rsidP="00791CEC">
                          <w:pPr>
                            <w:spacing w:after="0"/>
                            <w:rPr>
                              <w:rFonts w:ascii="Calibri" w:eastAsia="Calibri" w:hAnsi="Calibri" w:cs="Calibri"/>
                              <w:noProof/>
                              <w:color w:val="000000"/>
                              <w:sz w:val="20"/>
                              <w:szCs w:val="20"/>
                            </w:rPr>
                          </w:pPr>
                          <w:r w:rsidRPr="00791CE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4AC2B98" id="_x0000_t202" coordsize="21600,21600" o:spt="202" path="m,l,21600r21600,l21600,xe">
              <v:stroke joinstyle="miter"/>
              <v:path gradientshapeok="t" o:connecttype="rect"/>
            </v:shapetype>
            <v:shape id="Tekstvak 2" o:spid="_x0000_s1026" type="#_x0000_t202" alt="Intern gebruik" style="position:absolute;margin-left:0;margin-top:0;width:77.35pt;height:29.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textbox style="mso-fit-shape-to-text:t" inset="20pt,0,0,15pt">
                <w:txbxContent>
                  <w:p w14:paraId="0EE27874" w14:textId="2133A620" w:rsidR="00791CEC" w:rsidRPr="00791CEC" w:rsidRDefault="00791CEC" w:rsidP="00791CEC">
                    <w:pPr>
                      <w:spacing w:after="0"/>
                      <w:rPr>
                        <w:rFonts w:ascii="Calibri" w:eastAsia="Calibri" w:hAnsi="Calibri" w:cs="Calibri"/>
                        <w:noProof/>
                        <w:color w:val="000000"/>
                        <w:sz w:val="20"/>
                        <w:szCs w:val="20"/>
                      </w:rPr>
                    </w:pPr>
                    <w:r w:rsidRPr="00791CE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B7E" w14:textId="63AC8102" w:rsidR="00112C37" w:rsidRDefault="00791CEC">
    <w:pPr>
      <w:pStyle w:val="Footer"/>
      <w:jc w:val="center"/>
    </w:pPr>
    <w:r>
      <w:rPr>
        <w:noProof/>
      </w:rPr>
      <mc:AlternateContent>
        <mc:Choice Requires="wps">
          <w:drawing>
            <wp:anchor distT="0" distB="0" distL="0" distR="0" simplePos="0" relativeHeight="251658242" behindDoc="0" locked="0" layoutInCell="1" allowOverlap="1" wp14:anchorId="6BDE0B48" wp14:editId="4A3A3404">
              <wp:simplePos x="635" y="635"/>
              <wp:positionH relativeFrom="page">
                <wp:align>left</wp:align>
              </wp:positionH>
              <wp:positionV relativeFrom="page">
                <wp:align>bottom</wp:align>
              </wp:positionV>
              <wp:extent cx="982345" cy="370205"/>
              <wp:effectExtent l="0" t="0" r="8255" b="0"/>
              <wp:wrapNone/>
              <wp:docPr id="131888994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7486BA2F" w14:textId="637DD923" w:rsidR="00791CEC" w:rsidRPr="00791CEC" w:rsidRDefault="00791CEC" w:rsidP="00791CEC">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BDE0B48"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35pt;height:29.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textbox style="mso-fit-shape-to-text:t" inset="20pt,0,0,15pt">
                <w:txbxContent>
                  <w:p w14:paraId="7486BA2F" w14:textId="637DD923" w:rsidR="00791CEC" w:rsidRPr="00791CEC" w:rsidRDefault="00791CEC" w:rsidP="00791CEC">
                    <w:pPr>
                      <w:spacing w:after="0"/>
                      <w:rPr>
                        <w:rFonts w:ascii="Calibri" w:eastAsia="Calibri" w:hAnsi="Calibri" w:cs="Calibri"/>
                        <w:noProof/>
                        <w:color w:val="000000"/>
                        <w:sz w:val="20"/>
                        <w:szCs w:val="20"/>
                      </w:rPr>
                    </w:pPr>
                  </w:p>
                </w:txbxContent>
              </v:textbox>
              <w10:wrap anchorx="page" anchory="page"/>
            </v:shape>
          </w:pict>
        </mc:Fallback>
      </mc:AlternateContent>
    </w:r>
  </w:p>
  <w:sdt>
    <w:sdtPr>
      <w:id w:val="622582486"/>
      <w:docPartObj>
        <w:docPartGallery w:val="Page Numbers (Bottom of Page)"/>
        <w:docPartUnique/>
      </w:docPartObj>
    </w:sdtPr>
    <w:sdtEndPr/>
    <w:sdtContent>
      <w:p w14:paraId="66E78DF5" w14:textId="77777777" w:rsidR="00112C37" w:rsidRDefault="00112C37">
        <w:pPr>
          <w:pStyle w:val="Footer"/>
          <w:jc w:val="center"/>
        </w:pPr>
        <w:r w:rsidRPr="00796560">
          <w:rPr>
            <w:rFonts w:ascii="Verdana" w:hAnsi="Verdana"/>
            <w:sz w:val="14"/>
            <w:szCs w:val="14"/>
          </w:rPr>
          <w:fldChar w:fldCharType="begin"/>
        </w:r>
        <w:r w:rsidRPr="00796560">
          <w:rPr>
            <w:rFonts w:ascii="Verdana" w:hAnsi="Verdana"/>
            <w:sz w:val="14"/>
            <w:szCs w:val="14"/>
          </w:rPr>
          <w:instrText>PAGE   \* MERGEFORMAT</w:instrText>
        </w:r>
        <w:r w:rsidRPr="00796560">
          <w:rPr>
            <w:rFonts w:ascii="Verdana" w:hAnsi="Verdana"/>
            <w:sz w:val="14"/>
            <w:szCs w:val="14"/>
          </w:rPr>
          <w:fldChar w:fldCharType="separate"/>
        </w:r>
        <w:r w:rsidRPr="00796560">
          <w:rPr>
            <w:rFonts w:ascii="Verdana" w:hAnsi="Verdana"/>
            <w:sz w:val="14"/>
            <w:szCs w:val="14"/>
          </w:rPr>
          <w:t>2</w:t>
        </w:r>
        <w:r w:rsidRPr="00796560">
          <w:rPr>
            <w:rFonts w:ascii="Verdana" w:hAnsi="Verdana"/>
            <w:sz w:val="14"/>
            <w:szCs w:val="14"/>
          </w:rPr>
          <w:fldChar w:fldCharType="end"/>
        </w:r>
      </w:p>
    </w:sdtContent>
  </w:sdt>
  <w:p w14:paraId="58B86343" w14:textId="0B630D1A" w:rsidR="00D917ED" w:rsidRPr="00FD1838" w:rsidRDefault="00D917ED">
    <w:pPr>
      <w:pStyle w:val="Footer"/>
      <w:rPr>
        <w:rFonts w:ascii="Verdana" w:hAnsi="Verdana"/>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138C" w14:textId="01AB301A" w:rsidR="00791CEC" w:rsidRDefault="00791CEC">
    <w:pPr>
      <w:pStyle w:val="Footer"/>
    </w:pPr>
    <w:r>
      <w:rPr>
        <w:noProof/>
      </w:rPr>
      <mc:AlternateContent>
        <mc:Choice Requires="wps">
          <w:drawing>
            <wp:anchor distT="0" distB="0" distL="0" distR="0" simplePos="0" relativeHeight="251658240" behindDoc="0" locked="0" layoutInCell="1" allowOverlap="1" wp14:anchorId="1F6106D3" wp14:editId="36371B77">
              <wp:simplePos x="635" y="635"/>
              <wp:positionH relativeFrom="page">
                <wp:align>left</wp:align>
              </wp:positionH>
              <wp:positionV relativeFrom="page">
                <wp:align>bottom</wp:align>
              </wp:positionV>
              <wp:extent cx="982345" cy="370205"/>
              <wp:effectExtent l="0" t="0" r="8255" b="0"/>
              <wp:wrapNone/>
              <wp:docPr id="89341032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53A87AD4" w14:textId="017CF97A" w:rsidR="00791CEC" w:rsidRPr="00791CEC" w:rsidRDefault="00791CEC" w:rsidP="00791CEC">
                          <w:pPr>
                            <w:spacing w:after="0"/>
                            <w:rPr>
                              <w:rFonts w:ascii="Calibri" w:eastAsia="Calibri" w:hAnsi="Calibri" w:cs="Calibri"/>
                              <w:noProof/>
                              <w:color w:val="000000"/>
                              <w:sz w:val="20"/>
                              <w:szCs w:val="20"/>
                            </w:rPr>
                          </w:pPr>
                          <w:r w:rsidRPr="00791CE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F6106D3" id="_x0000_t202" coordsize="21600,21600" o:spt="202" path="m,l,21600r21600,l21600,xe">
              <v:stroke joinstyle="miter"/>
              <v:path gradientshapeok="t" o:connecttype="rect"/>
            </v:shapetype>
            <v:shape id="Tekstvak 1" o:spid="_x0000_s1028"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textbox style="mso-fit-shape-to-text:t" inset="20pt,0,0,15pt">
                <w:txbxContent>
                  <w:p w14:paraId="53A87AD4" w14:textId="017CF97A" w:rsidR="00791CEC" w:rsidRPr="00791CEC" w:rsidRDefault="00791CEC" w:rsidP="00791CEC">
                    <w:pPr>
                      <w:spacing w:after="0"/>
                      <w:rPr>
                        <w:rFonts w:ascii="Calibri" w:eastAsia="Calibri" w:hAnsi="Calibri" w:cs="Calibri"/>
                        <w:noProof/>
                        <w:color w:val="000000"/>
                        <w:sz w:val="20"/>
                        <w:szCs w:val="20"/>
                      </w:rPr>
                    </w:pPr>
                    <w:r w:rsidRPr="00791CE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0752" w14:textId="77777777" w:rsidR="00EC3E9F" w:rsidRDefault="00EC3E9F" w:rsidP="002376FA">
      <w:pPr>
        <w:spacing w:after="0" w:line="240" w:lineRule="auto"/>
      </w:pPr>
      <w:r>
        <w:separator/>
      </w:r>
    </w:p>
  </w:footnote>
  <w:footnote w:type="continuationSeparator" w:id="0">
    <w:p w14:paraId="758D4512" w14:textId="77777777" w:rsidR="00EC3E9F" w:rsidRDefault="00EC3E9F" w:rsidP="002376FA">
      <w:pPr>
        <w:spacing w:after="0" w:line="240" w:lineRule="auto"/>
      </w:pPr>
      <w:r>
        <w:continuationSeparator/>
      </w:r>
    </w:p>
  </w:footnote>
  <w:footnote w:type="continuationNotice" w:id="1">
    <w:p w14:paraId="54C0DD64" w14:textId="77777777" w:rsidR="00EC3E9F" w:rsidRDefault="00EC3E9F">
      <w:pPr>
        <w:spacing w:after="0" w:line="240" w:lineRule="auto"/>
      </w:pPr>
    </w:p>
  </w:footnote>
  <w:footnote w:id="2">
    <w:p w14:paraId="628DA75D" w14:textId="5A13813B" w:rsidR="00E17028" w:rsidRPr="00D606D5" w:rsidRDefault="00E17028">
      <w:pPr>
        <w:pStyle w:val="FootnoteText"/>
        <w:rPr>
          <w:rFonts w:ascii="Verdana" w:hAnsi="Verdana"/>
          <w:sz w:val="16"/>
          <w:szCs w:val="16"/>
          <w:lang w:val="en-US"/>
        </w:rPr>
      </w:pPr>
      <w:r w:rsidRPr="00D606D5">
        <w:rPr>
          <w:rStyle w:val="FootnoteReference"/>
          <w:rFonts w:ascii="Verdana" w:hAnsi="Verdana"/>
          <w:sz w:val="16"/>
          <w:szCs w:val="16"/>
        </w:rPr>
        <w:footnoteRef/>
      </w:r>
      <w:r w:rsidRPr="00D606D5">
        <w:rPr>
          <w:rFonts w:ascii="Verdana" w:hAnsi="Verdana"/>
          <w:sz w:val="16"/>
          <w:szCs w:val="16"/>
          <w:lang w:val="en-US"/>
        </w:rPr>
        <w:t xml:space="preserve"> De titel van het document: Proposal for a Regulation of the European Parliament and of the Council on the Union Civil Protection Mechanism and Union support for health emergency preparedness and response, and repealing Decision No 1313/2013/EU (Union Civil Protection Mechanism).</w:t>
      </w:r>
    </w:p>
  </w:footnote>
  <w:footnote w:id="3">
    <w:p w14:paraId="296F9E00" w14:textId="2D15BA5E" w:rsidR="00C851F3" w:rsidRPr="00D606D5" w:rsidRDefault="00C851F3">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Het Uniemechanisme is internationaal beter bekend onder de naam ‘UCPM’, naar de afkorting European </w:t>
      </w:r>
      <w:r w:rsidRPr="00D606D5">
        <w:rPr>
          <w:rFonts w:ascii="Verdana" w:hAnsi="Verdana"/>
          <w:i/>
          <w:iCs/>
          <w:sz w:val="16"/>
          <w:szCs w:val="16"/>
        </w:rPr>
        <w:t>Union Civil Protection Mechanism</w:t>
      </w:r>
      <w:r w:rsidRPr="00D606D5">
        <w:rPr>
          <w:rFonts w:ascii="Verdana" w:hAnsi="Verdana"/>
          <w:sz w:val="16"/>
          <w:szCs w:val="16"/>
        </w:rPr>
        <w:t>.</w:t>
      </w:r>
    </w:p>
  </w:footnote>
  <w:footnote w:id="4">
    <w:p w14:paraId="61E01C14" w14:textId="4B4F1F0F" w:rsidR="00E17028" w:rsidRPr="00D606D5" w:rsidRDefault="00E17028">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Dit was </w:t>
      </w:r>
      <w:r w:rsidR="001D6492" w:rsidRPr="00D606D5">
        <w:rPr>
          <w:rFonts w:ascii="Verdana" w:hAnsi="Verdana"/>
          <w:sz w:val="16"/>
          <w:szCs w:val="16"/>
        </w:rPr>
        <w:t>Be</w:t>
      </w:r>
      <w:r w:rsidRPr="00D606D5">
        <w:rPr>
          <w:rFonts w:ascii="Verdana" w:hAnsi="Verdana"/>
          <w:sz w:val="16"/>
          <w:szCs w:val="16"/>
        </w:rPr>
        <w:t xml:space="preserve">sluit </w:t>
      </w:r>
      <w:r w:rsidR="001D6492" w:rsidRPr="00D606D5">
        <w:rPr>
          <w:rFonts w:ascii="Verdana" w:hAnsi="Verdana"/>
          <w:sz w:val="16"/>
          <w:szCs w:val="16"/>
        </w:rPr>
        <w:t xml:space="preserve">nr. </w:t>
      </w:r>
      <w:r w:rsidRPr="00D606D5">
        <w:rPr>
          <w:rFonts w:ascii="Verdana" w:hAnsi="Verdana"/>
          <w:sz w:val="16"/>
          <w:szCs w:val="16"/>
        </w:rPr>
        <w:t>1313/2013/EU.</w:t>
      </w:r>
    </w:p>
  </w:footnote>
  <w:footnote w:id="5">
    <w:p w14:paraId="32F4E229" w14:textId="77777777" w:rsidR="00BD2066" w:rsidRPr="00D606D5" w:rsidRDefault="00BD2066" w:rsidP="00BD2066">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Naast de 27 Europese lidstaten zijn er 10 deelnemende UCMP-landen (de zogenoemde </w:t>
      </w:r>
      <w:r w:rsidRPr="00D606D5">
        <w:rPr>
          <w:rFonts w:ascii="Verdana" w:hAnsi="Verdana"/>
          <w:i/>
          <w:iCs/>
          <w:sz w:val="16"/>
          <w:szCs w:val="16"/>
        </w:rPr>
        <w:t>participating states</w:t>
      </w:r>
      <w:r w:rsidRPr="00D606D5">
        <w:rPr>
          <w:rFonts w:ascii="Verdana" w:hAnsi="Verdana"/>
          <w:sz w:val="16"/>
          <w:szCs w:val="16"/>
        </w:rPr>
        <w:t xml:space="preserve">): Albanië, Bosnië, IJsland, Moldavië, Montenegro, Noord-Macedonië, Noorwegen, Servië, Turkije en Oekraïne. </w:t>
      </w:r>
    </w:p>
  </w:footnote>
  <w:footnote w:id="6">
    <w:p w14:paraId="41596FA7" w14:textId="0F86EACE" w:rsidR="00A64A6F" w:rsidRPr="00D606D5" w:rsidRDefault="00A64A6F">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Beter bekend onder de Engelse naam, het </w:t>
      </w:r>
      <w:r w:rsidRPr="00D606D5">
        <w:rPr>
          <w:rFonts w:ascii="Verdana" w:hAnsi="Verdana"/>
          <w:i/>
          <w:iCs/>
          <w:sz w:val="16"/>
          <w:szCs w:val="16"/>
        </w:rPr>
        <w:t xml:space="preserve">Emergency Response Coordination Centre </w:t>
      </w:r>
      <w:r w:rsidRPr="00D606D5">
        <w:rPr>
          <w:rFonts w:ascii="Verdana" w:hAnsi="Verdana"/>
          <w:sz w:val="16"/>
          <w:szCs w:val="16"/>
        </w:rPr>
        <w:t>(ERCC).</w:t>
      </w:r>
    </w:p>
  </w:footnote>
  <w:footnote w:id="7">
    <w:p w14:paraId="6B05F8A7" w14:textId="47B9D8D5" w:rsidR="00700C60" w:rsidRPr="00D606D5" w:rsidRDefault="00700C60">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Het </w:t>
      </w:r>
      <w:r w:rsidRPr="00D606D5">
        <w:rPr>
          <w:rFonts w:ascii="Verdana" w:hAnsi="Verdana"/>
          <w:i/>
          <w:iCs/>
          <w:sz w:val="16"/>
          <w:szCs w:val="16"/>
        </w:rPr>
        <w:t>European Medical Corps</w:t>
      </w:r>
      <w:r w:rsidRPr="00D606D5">
        <w:rPr>
          <w:rFonts w:ascii="Verdana" w:hAnsi="Verdana"/>
          <w:sz w:val="16"/>
          <w:szCs w:val="16"/>
        </w:rPr>
        <w:t xml:space="preserve"> is een onderdeel van het Uniemechanisme en biedt snelle medische bijstand bij grensoverschrijdende noodsituaties, waaronder veldhospitalen, medische teams en gezondheidsexperts.</w:t>
      </w:r>
    </w:p>
  </w:footnote>
  <w:footnote w:id="8">
    <w:p w14:paraId="269EDC1A" w14:textId="3C931DAA" w:rsidR="007359D9" w:rsidRPr="00D606D5" w:rsidRDefault="007359D9">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w:t>
      </w:r>
      <w:r w:rsidRPr="00D606D5">
        <w:rPr>
          <w:rFonts w:ascii="Verdana" w:hAnsi="Verdana"/>
          <w:bCs/>
          <w:sz w:val="16"/>
          <w:szCs w:val="16"/>
        </w:rPr>
        <w:t xml:space="preserve">Ook bekend als de </w:t>
      </w:r>
      <w:r w:rsidRPr="00D606D5">
        <w:rPr>
          <w:rFonts w:ascii="Verdana" w:hAnsi="Verdana"/>
          <w:bCs/>
          <w:i/>
          <w:iCs/>
          <w:sz w:val="16"/>
          <w:szCs w:val="16"/>
        </w:rPr>
        <w:t>Civil Protection Pool</w:t>
      </w:r>
      <w:r w:rsidRPr="00D606D5">
        <w:rPr>
          <w:rFonts w:ascii="Verdana" w:hAnsi="Verdana"/>
          <w:bCs/>
          <w:sz w:val="16"/>
          <w:szCs w:val="16"/>
        </w:rPr>
        <w:t>, afgekort de ‘CPP’.</w:t>
      </w:r>
    </w:p>
  </w:footnote>
  <w:footnote w:id="9">
    <w:p w14:paraId="5EB7CC80" w14:textId="06DAC293" w:rsidR="00CE5066" w:rsidRPr="00D606D5" w:rsidRDefault="00CE5066">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w:t>
      </w:r>
      <w:r w:rsidRPr="00D606D5">
        <w:rPr>
          <w:rFonts w:ascii="Verdana" w:hAnsi="Verdana"/>
          <w:i/>
          <w:iCs/>
          <w:sz w:val="16"/>
          <w:szCs w:val="16"/>
        </w:rPr>
        <w:t>RescEU</w:t>
      </w:r>
      <w:r w:rsidRPr="00D606D5">
        <w:rPr>
          <w:rFonts w:ascii="Verdana" w:hAnsi="Verdana"/>
          <w:sz w:val="16"/>
          <w:szCs w:val="16"/>
        </w:rPr>
        <w:t xml:space="preserve"> is een noodcapaciteit van de Commissie binnen het Uniemechanisme die extra materieel, personeel en middelen beschikbaar stelt voor crisisrespons wanneer nationale capaciteit tekortschiet.</w:t>
      </w:r>
    </w:p>
  </w:footnote>
  <w:footnote w:id="10">
    <w:p w14:paraId="0BDC3E96" w14:textId="3F8597D9" w:rsidR="0094480B" w:rsidRPr="00D606D5" w:rsidRDefault="0094480B">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lang w:val="en-US"/>
        </w:rPr>
        <w:t xml:space="preserve"> </w:t>
      </w:r>
      <w:r w:rsidR="00F57F0B" w:rsidRPr="00D606D5">
        <w:rPr>
          <w:rFonts w:ascii="Verdana" w:hAnsi="Verdana"/>
          <w:sz w:val="16"/>
          <w:szCs w:val="16"/>
          <w:lang w:val="en-US"/>
        </w:rPr>
        <w:t xml:space="preserve">European Commission (2025). </w:t>
      </w:r>
      <w:r w:rsidR="00F57F0B" w:rsidRPr="00D606D5">
        <w:rPr>
          <w:rFonts w:ascii="Verdana" w:hAnsi="Verdana"/>
          <w:i/>
          <w:iCs/>
          <w:sz w:val="16"/>
          <w:szCs w:val="16"/>
          <w:lang w:val="en-US"/>
        </w:rPr>
        <w:t>Preparedness Union Strategy</w:t>
      </w:r>
      <w:r w:rsidR="00F57F0B" w:rsidRPr="00D606D5">
        <w:rPr>
          <w:rFonts w:ascii="Verdana" w:hAnsi="Verdana"/>
          <w:sz w:val="16"/>
          <w:szCs w:val="16"/>
          <w:lang w:val="en-US"/>
        </w:rPr>
        <w:t xml:space="preserve">. </w:t>
      </w:r>
      <w:r w:rsidR="00165952" w:rsidRPr="00D606D5">
        <w:rPr>
          <w:rFonts w:ascii="Verdana" w:hAnsi="Verdana"/>
          <w:sz w:val="16"/>
          <w:szCs w:val="16"/>
        </w:rPr>
        <w:t xml:space="preserve">Zie BNC-fiche </w:t>
      </w:r>
      <w:r w:rsidR="00165952" w:rsidRPr="00D606D5">
        <w:rPr>
          <w:rFonts w:ascii="Verdana" w:hAnsi="Verdana"/>
          <w:i/>
          <w:iCs/>
          <w:sz w:val="16"/>
          <w:szCs w:val="16"/>
        </w:rPr>
        <w:t>Mededeling Paraatheidsuniestrategie</w:t>
      </w:r>
      <w:r w:rsidR="00165952" w:rsidRPr="00D606D5">
        <w:rPr>
          <w:rFonts w:ascii="Verdana" w:hAnsi="Verdana"/>
          <w:sz w:val="16"/>
          <w:szCs w:val="16"/>
        </w:rPr>
        <w:t>, Kamerstuk 22 112, nr. 4054.</w:t>
      </w:r>
    </w:p>
  </w:footnote>
  <w:footnote w:id="11">
    <w:p w14:paraId="61E6D4B6" w14:textId="0D07BFF2" w:rsidR="005743F8" w:rsidRPr="00D606D5" w:rsidRDefault="005743F8">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verordening (EU) 2022/2371 inzake ernstige grensoverschrijdende gezondheidsbedreigingen, Raadsverordening (EU) 2022/2372 inzake het kader bij noodsituaties op Unieniveau van de volksgezondheid.</w:t>
      </w:r>
    </w:p>
  </w:footnote>
  <w:footnote w:id="12">
    <w:p w14:paraId="7C2FCD18" w14:textId="27195AE0" w:rsidR="00C34842" w:rsidRPr="00D606D5" w:rsidRDefault="00C34842">
      <w:pPr>
        <w:pStyle w:val="FootnoteText"/>
        <w:rPr>
          <w:rFonts w:ascii="Verdana" w:hAnsi="Verdana"/>
          <w:sz w:val="16"/>
          <w:szCs w:val="16"/>
        </w:rPr>
      </w:pPr>
      <w:r w:rsidRPr="00D606D5">
        <w:rPr>
          <w:rStyle w:val="FootnoteReference"/>
          <w:rFonts w:ascii="Verdana" w:hAnsi="Verdana"/>
          <w:sz w:val="16"/>
          <w:szCs w:val="16"/>
        </w:rPr>
        <w:footnoteRef/>
      </w:r>
      <w:r w:rsidR="004D5A75" w:rsidRPr="00D606D5">
        <w:rPr>
          <w:rFonts w:ascii="Verdana" w:hAnsi="Verdana"/>
          <w:sz w:val="16"/>
          <w:szCs w:val="16"/>
        </w:rPr>
        <w:t xml:space="preserve"> </w:t>
      </w:r>
      <w:r w:rsidR="004D5A75" w:rsidRPr="00D606D5">
        <w:rPr>
          <w:rFonts w:ascii="Verdana" w:hAnsi="Verdana"/>
          <w:i/>
          <w:iCs/>
          <w:sz w:val="16"/>
          <w:szCs w:val="16"/>
        </w:rPr>
        <w:t>W</w:t>
      </w:r>
      <w:r w:rsidRPr="00D606D5">
        <w:rPr>
          <w:rFonts w:ascii="Verdana" w:hAnsi="Verdana"/>
          <w:i/>
          <w:iCs/>
          <w:sz w:val="16"/>
          <w:szCs w:val="16"/>
        </w:rPr>
        <w:t>hole</w:t>
      </w:r>
      <w:r w:rsidRPr="00D606D5">
        <w:rPr>
          <w:rFonts w:ascii="Cambria Math" w:hAnsi="Cambria Math" w:cs="Cambria Math"/>
          <w:i/>
          <w:iCs/>
          <w:sz w:val="16"/>
          <w:szCs w:val="16"/>
        </w:rPr>
        <w:t>‑</w:t>
      </w:r>
      <w:r w:rsidRPr="00D606D5">
        <w:rPr>
          <w:rFonts w:ascii="Verdana" w:hAnsi="Verdana"/>
          <w:i/>
          <w:iCs/>
          <w:sz w:val="16"/>
          <w:szCs w:val="16"/>
        </w:rPr>
        <w:t>of</w:t>
      </w:r>
      <w:r w:rsidRPr="00D606D5">
        <w:rPr>
          <w:rFonts w:ascii="Cambria Math" w:hAnsi="Cambria Math" w:cs="Cambria Math"/>
          <w:i/>
          <w:iCs/>
          <w:sz w:val="16"/>
          <w:szCs w:val="16"/>
        </w:rPr>
        <w:t>‑</w:t>
      </w:r>
      <w:r w:rsidRPr="00D606D5">
        <w:rPr>
          <w:rFonts w:ascii="Verdana" w:hAnsi="Verdana"/>
          <w:i/>
          <w:iCs/>
          <w:sz w:val="16"/>
          <w:szCs w:val="16"/>
        </w:rPr>
        <w:t>government</w:t>
      </w:r>
      <w:r w:rsidR="004D5A75" w:rsidRPr="00D606D5">
        <w:rPr>
          <w:rFonts w:ascii="Verdana" w:hAnsi="Verdana" w:cs="Aptos"/>
          <w:sz w:val="16"/>
          <w:szCs w:val="16"/>
        </w:rPr>
        <w:t xml:space="preserve"> </w:t>
      </w:r>
      <w:r w:rsidRPr="00D606D5">
        <w:rPr>
          <w:rFonts w:ascii="Verdana" w:hAnsi="Verdana"/>
          <w:sz w:val="16"/>
          <w:szCs w:val="16"/>
        </w:rPr>
        <w:t>verwijst naar een ge</w:t>
      </w:r>
      <w:r w:rsidRPr="00D606D5">
        <w:rPr>
          <w:rFonts w:ascii="Verdana" w:hAnsi="Verdana" w:cs="Aptos"/>
          <w:sz w:val="16"/>
          <w:szCs w:val="16"/>
        </w:rPr>
        <w:t>ï</w:t>
      </w:r>
      <w:r w:rsidRPr="00D606D5">
        <w:rPr>
          <w:rFonts w:ascii="Verdana" w:hAnsi="Verdana"/>
          <w:sz w:val="16"/>
          <w:szCs w:val="16"/>
        </w:rPr>
        <w:t>ntegreerde, overheidsbrede co</w:t>
      </w:r>
      <w:r w:rsidRPr="00D606D5">
        <w:rPr>
          <w:rFonts w:ascii="Verdana" w:hAnsi="Verdana" w:cs="Aptos"/>
          <w:sz w:val="16"/>
          <w:szCs w:val="16"/>
        </w:rPr>
        <w:t>ö</w:t>
      </w:r>
      <w:r w:rsidRPr="00D606D5">
        <w:rPr>
          <w:rFonts w:ascii="Verdana" w:hAnsi="Verdana"/>
          <w:sz w:val="16"/>
          <w:szCs w:val="16"/>
        </w:rPr>
        <w:t xml:space="preserve">rdinatie waarbij ministeries en publieke instanties samenwerken om versnippering tegen te gaan en gezamenlijke beleidsdoelen te bereiken. </w:t>
      </w:r>
      <w:r w:rsidRPr="00D606D5">
        <w:rPr>
          <w:rFonts w:ascii="Verdana" w:hAnsi="Verdana"/>
          <w:i/>
          <w:iCs/>
          <w:sz w:val="16"/>
          <w:szCs w:val="16"/>
        </w:rPr>
        <w:t>Whole</w:t>
      </w:r>
      <w:r w:rsidRPr="00D606D5">
        <w:rPr>
          <w:rFonts w:ascii="Cambria Math" w:hAnsi="Cambria Math" w:cs="Cambria Math"/>
          <w:i/>
          <w:iCs/>
          <w:sz w:val="16"/>
          <w:szCs w:val="16"/>
        </w:rPr>
        <w:t>‑</w:t>
      </w:r>
      <w:r w:rsidRPr="00D606D5">
        <w:rPr>
          <w:rFonts w:ascii="Verdana" w:hAnsi="Verdana"/>
          <w:i/>
          <w:iCs/>
          <w:sz w:val="16"/>
          <w:szCs w:val="16"/>
        </w:rPr>
        <w:t>of</w:t>
      </w:r>
      <w:r w:rsidRPr="00D606D5">
        <w:rPr>
          <w:rFonts w:ascii="Cambria Math" w:hAnsi="Cambria Math" w:cs="Cambria Math"/>
          <w:i/>
          <w:iCs/>
          <w:sz w:val="16"/>
          <w:szCs w:val="16"/>
        </w:rPr>
        <w:t>‑</w:t>
      </w:r>
      <w:r w:rsidRPr="00D606D5">
        <w:rPr>
          <w:rFonts w:ascii="Verdana" w:hAnsi="Verdana"/>
          <w:i/>
          <w:iCs/>
          <w:sz w:val="16"/>
          <w:szCs w:val="16"/>
        </w:rPr>
        <w:t>society</w:t>
      </w:r>
      <w:r w:rsidR="004D5A75" w:rsidRPr="00D606D5">
        <w:rPr>
          <w:rFonts w:ascii="Verdana" w:hAnsi="Verdana"/>
          <w:i/>
          <w:iCs/>
          <w:sz w:val="16"/>
          <w:szCs w:val="16"/>
        </w:rPr>
        <w:t xml:space="preserve"> </w:t>
      </w:r>
      <w:r w:rsidR="004D5A75" w:rsidRPr="00D606D5">
        <w:rPr>
          <w:rFonts w:ascii="Verdana" w:hAnsi="Verdana"/>
          <w:sz w:val="16"/>
          <w:szCs w:val="16"/>
        </w:rPr>
        <w:t xml:space="preserve">typeert de maatschappij brede aanpak, waarbij </w:t>
      </w:r>
      <w:r w:rsidRPr="00D606D5">
        <w:rPr>
          <w:rFonts w:ascii="Verdana" w:hAnsi="Verdana"/>
          <w:sz w:val="16"/>
          <w:szCs w:val="16"/>
        </w:rPr>
        <w:t>overheden, bedrijfsleven, maatschappelijke organisaties en burgers gezamenlijk verantwoordelijkheid dragen en betrokken zijn bij beleid en crisisrespons.</w:t>
      </w:r>
    </w:p>
  </w:footnote>
  <w:footnote w:id="13">
    <w:p w14:paraId="1583CCC0" w14:textId="2104C838" w:rsidR="00D73EE9" w:rsidRPr="008E51AA" w:rsidRDefault="00D73EE9">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De Commissie zal geen directe acties uitvoeren die de bevoegdheden van de lidstaten overnemen; haar rol is het bieden van ondersteuning, coördinatie en het versterken van de algehele paraatheid.</w:t>
      </w:r>
    </w:p>
  </w:footnote>
  <w:footnote w:id="14">
    <w:p w14:paraId="2FDE281F" w14:textId="69E46F33" w:rsidR="00371FFE" w:rsidRPr="00D606D5" w:rsidRDefault="00371FFE">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Aanschaf van strategische voorraden i.h.k.v. risico-en rampenbeheer. Zie ook het BNC-fiche </w:t>
      </w:r>
      <w:r w:rsidRPr="00D606D5">
        <w:rPr>
          <w:rFonts w:ascii="Verdana" w:hAnsi="Verdana"/>
          <w:i/>
          <w:iCs/>
          <w:sz w:val="16"/>
          <w:szCs w:val="16"/>
        </w:rPr>
        <w:t>EU Stockpiling Strategy</w:t>
      </w:r>
      <w:r w:rsidRPr="00D606D5">
        <w:rPr>
          <w:rFonts w:ascii="Verdana" w:hAnsi="Verdana"/>
          <w:sz w:val="16"/>
          <w:szCs w:val="16"/>
        </w:rPr>
        <w:t xml:space="preserve">. </w:t>
      </w:r>
    </w:p>
  </w:footnote>
  <w:footnote w:id="15">
    <w:p w14:paraId="12501E64" w14:textId="3A598C0C" w:rsidR="00E82BCA" w:rsidRPr="00D606D5" w:rsidRDefault="00E82BCA" w:rsidP="00821AFC">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w:t>
      </w:r>
      <w:r w:rsidRPr="00D606D5">
        <w:rPr>
          <w:rFonts w:ascii="Verdana" w:hAnsi="Verdana"/>
          <w:i/>
          <w:iCs/>
          <w:sz w:val="16"/>
          <w:szCs w:val="16"/>
        </w:rPr>
        <w:t>Dual-use</w:t>
      </w:r>
      <w:r w:rsidRPr="00D606D5">
        <w:rPr>
          <w:rFonts w:ascii="Verdana" w:hAnsi="Verdana"/>
          <w:sz w:val="16"/>
          <w:szCs w:val="16"/>
        </w:rPr>
        <w:t xml:space="preserve"> middelen zijn capaciteiten die zowel voor civiele als militaire doeleinden inzetbaar zijn, zoals transportvliegtuigen, medische eenheden of communicatiesystemen. In </w:t>
      </w:r>
      <w:r w:rsidR="00C60B83" w:rsidRPr="00D606D5">
        <w:rPr>
          <w:rFonts w:ascii="Verdana" w:hAnsi="Verdana"/>
          <w:sz w:val="16"/>
          <w:szCs w:val="16"/>
        </w:rPr>
        <w:t xml:space="preserve">de </w:t>
      </w:r>
      <w:r w:rsidR="004E0773" w:rsidRPr="00D606D5">
        <w:rPr>
          <w:rFonts w:ascii="Verdana" w:hAnsi="Verdana"/>
          <w:sz w:val="16"/>
          <w:szCs w:val="16"/>
        </w:rPr>
        <w:t>verordening</w:t>
      </w:r>
      <w:r w:rsidR="00C60B83" w:rsidRPr="00D606D5">
        <w:rPr>
          <w:rFonts w:ascii="Verdana" w:hAnsi="Verdana"/>
          <w:sz w:val="16"/>
          <w:szCs w:val="16"/>
        </w:rPr>
        <w:t xml:space="preserve"> </w:t>
      </w:r>
      <w:r w:rsidRPr="00D606D5">
        <w:rPr>
          <w:rFonts w:ascii="Verdana" w:hAnsi="Verdana"/>
          <w:sz w:val="16"/>
          <w:szCs w:val="16"/>
        </w:rPr>
        <w:t xml:space="preserve">kunnen deze middelen onder voorwaarden worden ingezet via het </w:t>
      </w:r>
      <w:r w:rsidR="004D5A75" w:rsidRPr="00D606D5">
        <w:rPr>
          <w:rFonts w:ascii="Verdana" w:hAnsi="Verdana"/>
          <w:sz w:val="16"/>
          <w:szCs w:val="16"/>
        </w:rPr>
        <w:t>Uniemechanisme</w:t>
      </w:r>
      <w:r w:rsidRPr="00D606D5">
        <w:rPr>
          <w:rFonts w:ascii="Verdana" w:hAnsi="Verdana"/>
          <w:sz w:val="16"/>
          <w:szCs w:val="16"/>
        </w:rPr>
        <w:t>.</w:t>
      </w:r>
    </w:p>
  </w:footnote>
  <w:footnote w:id="16">
    <w:p w14:paraId="1CEC2CF9" w14:textId="36EDEF94" w:rsidR="003A0200" w:rsidRPr="00D606D5" w:rsidRDefault="003A0200">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Het </w:t>
      </w:r>
      <w:r w:rsidRPr="00D606D5">
        <w:rPr>
          <w:rFonts w:ascii="Verdana" w:hAnsi="Verdana"/>
          <w:i/>
          <w:iCs/>
          <w:sz w:val="16"/>
          <w:szCs w:val="16"/>
        </w:rPr>
        <w:t>UCPM Knowledge Network</w:t>
      </w:r>
      <w:r w:rsidRPr="00D606D5">
        <w:rPr>
          <w:rFonts w:ascii="Verdana" w:hAnsi="Verdana"/>
          <w:sz w:val="16"/>
          <w:szCs w:val="16"/>
        </w:rPr>
        <w:t xml:space="preserve"> verbindt uitvoerders, beleidsmakers en onderzoekers uit het civiele beschermingsdomein. Het Netwerk biedt de voornoemde groepen de mogelijkheid om </w:t>
      </w:r>
      <w:r w:rsidRPr="00D606D5">
        <w:rPr>
          <w:rFonts w:ascii="Verdana" w:hAnsi="Verdana"/>
          <w:i/>
          <w:iCs/>
          <w:sz w:val="16"/>
          <w:szCs w:val="16"/>
        </w:rPr>
        <w:t xml:space="preserve">best practices </w:t>
      </w:r>
      <w:r w:rsidRPr="00D606D5">
        <w:rPr>
          <w:rFonts w:ascii="Verdana" w:hAnsi="Verdana"/>
          <w:sz w:val="16"/>
          <w:szCs w:val="16"/>
        </w:rPr>
        <w:t xml:space="preserve">en geleerde lessen via een Europees forum uit te wisselen. </w:t>
      </w:r>
    </w:p>
  </w:footnote>
  <w:footnote w:id="17">
    <w:p w14:paraId="4662F32D" w14:textId="45729A0D" w:rsidR="00821AFC" w:rsidRPr="00251F67" w:rsidRDefault="00821AFC">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De </w:t>
      </w:r>
      <w:r w:rsidR="008354EB" w:rsidRPr="00D606D5">
        <w:rPr>
          <w:rFonts w:ascii="Verdana" w:hAnsi="Verdana"/>
          <w:sz w:val="16"/>
          <w:szCs w:val="16"/>
        </w:rPr>
        <w:t xml:space="preserve">DRGs zijn vijf strategische doelen om de weerbaarheid in de EU te verhogen. De doelen zijn: (1) anticiperen, (2) voorbereiden, (3) waarschuwen, (4) reageren en (5) beveiligen. Zie ook: </w:t>
      </w:r>
      <w:r w:rsidR="008354EB" w:rsidRPr="00D606D5">
        <w:rPr>
          <w:rFonts w:ascii="Verdana" w:hAnsi="Verdana"/>
          <w:i/>
          <w:iCs/>
          <w:sz w:val="16"/>
          <w:szCs w:val="16"/>
        </w:rPr>
        <w:t xml:space="preserve">European Commission </w:t>
      </w:r>
      <w:r w:rsidR="008354EB" w:rsidRPr="00D606D5">
        <w:rPr>
          <w:rFonts w:ascii="Verdana" w:hAnsi="Verdana"/>
          <w:sz w:val="16"/>
          <w:szCs w:val="16"/>
        </w:rPr>
        <w:t xml:space="preserve">(2023). </w:t>
      </w:r>
      <w:r w:rsidR="008354EB" w:rsidRPr="00D606D5">
        <w:rPr>
          <w:rFonts w:ascii="Verdana" w:hAnsi="Verdana"/>
          <w:i/>
          <w:iCs/>
          <w:sz w:val="16"/>
          <w:szCs w:val="16"/>
        </w:rPr>
        <w:t>Commission Recommendation on Union disaster resilience goals</w:t>
      </w:r>
      <w:r w:rsidR="008354EB" w:rsidRPr="00D606D5">
        <w:rPr>
          <w:rFonts w:ascii="Verdana" w:hAnsi="Verdana"/>
          <w:sz w:val="16"/>
          <w:szCs w:val="16"/>
        </w:rPr>
        <w:t xml:space="preserve">. </w:t>
      </w:r>
    </w:p>
  </w:footnote>
  <w:footnote w:id="18">
    <w:p w14:paraId="66988D91" w14:textId="77777777" w:rsidR="002239AF" w:rsidRPr="00251F67" w:rsidRDefault="002239AF" w:rsidP="002239AF">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Zie ook de Kamerbrief inzake Nederlandse inzet hoofdlijnen MFK van 28 maart jl. </w:t>
      </w:r>
    </w:p>
  </w:footnote>
  <w:footnote w:id="19">
    <w:p w14:paraId="4486A078" w14:textId="2C678896" w:rsidR="00773076" w:rsidRPr="00D606D5" w:rsidRDefault="00773076">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Dit non-paper is als bijlage van de Kamerbrief over Voortgang Crisisbeheersing naar de Kamer gezonden op 14 december 2023, zie </w:t>
      </w:r>
      <w:hyperlink r:id="rId1" w:history="1">
        <w:r w:rsidRPr="00D606D5">
          <w:rPr>
            <w:rStyle w:val="Hyperlink"/>
            <w:rFonts w:ascii="Verdana" w:hAnsi="Verdana"/>
            <w:sz w:val="16"/>
            <w:szCs w:val="16"/>
          </w:rPr>
          <w:t>https://www.rijksoverheid.nl/documenten/kamerstukken/2023/12/14/tk-voortgang-crisisbeheersing</w:t>
        </w:r>
      </w:hyperlink>
      <w:r w:rsidRPr="00D606D5">
        <w:rPr>
          <w:rFonts w:ascii="Verdana" w:hAnsi="Verdana"/>
          <w:sz w:val="16"/>
          <w:szCs w:val="16"/>
        </w:rPr>
        <w:t xml:space="preserve">. </w:t>
      </w:r>
    </w:p>
  </w:footnote>
  <w:footnote w:id="20">
    <w:p w14:paraId="4D17C578" w14:textId="5C5053BF" w:rsidR="00773076" w:rsidRPr="00D606D5" w:rsidRDefault="00773076">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Zie </w:t>
      </w:r>
      <w:hyperlink r:id="rId2" w:history="1">
        <w:r w:rsidR="00AA3EA4" w:rsidRPr="00D606D5">
          <w:rPr>
            <w:rStyle w:val="Hyperlink"/>
            <w:rFonts w:ascii="Verdana" w:hAnsi="Verdana"/>
            <w:sz w:val="16"/>
            <w:szCs w:val="16"/>
          </w:rPr>
          <w:t>https://www.nctv.nl/onderwerpen/landelijke-agenda-crisisbeheersing</w:t>
        </w:r>
      </w:hyperlink>
      <w:r w:rsidR="00AA3EA4" w:rsidRPr="00D606D5">
        <w:rPr>
          <w:rFonts w:ascii="Verdana" w:hAnsi="Verdana"/>
          <w:sz w:val="16"/>
          <w:szCs w:val="16"/>
        </w:rPr>
        <w:t>.</w:t>
      </w:r>
    </w:p>
  </w:footnote>
  <w:footnote w:id="21">
    <w:p w14:paraId="2BAB96B1" w14:textId="48CB1D6A" w:rsidR="00D95C93" w:rsidRPr="00D606D5" w:rsidRDefault="00D95C93">
      <w:pPr>
        <w:pStyle w:val="FootnoteText"/>
        <w:rPr>
          <w:rFonts w:ascii="Verdana" w:hAnsi="Verdana"/>
          <w:sz w:val="16"/>
          <w:szCs w:val="16"/>
          <w:lang w:val="fr-FR"/>
        </w:rPr>
      </w:pPr>
      <w:r w:rsidRPr="00D606D5">
        <w:rPr>
          <w:rStyle w:val="FootnoteReference"/>
          <w:rFonts w:ascii="Verdana" w:hAnsi="Verdana"/>
          <w:sz w:val="16"/>
          <w:szCs w:val="16"/>
        </w:rPr>
        <w:footnoteRef/>
      </w:r>
      <w:r w:rsidRPr="00D606D5">
        <w:rPr>
          <w:rFonts w:ascii="Verdana" w:hAnsi="Verdana"/>
          <w:sz w:val="16"/>
          <w:szCs w:val="16"/>
          <w:lang w:val="fr-FR"/>
        </w:rPr>
        <w:t xml:space="preserve"> European Commission (2024). </w:t>
      </w:r>
      <w:r w:rsidRPr="00D606D5">
        <w:rPr>
          <w:rFonts w:ascii="Verdana" w:hAnsi="Verdana"/>
          <w:i/>
          <w:iCs/>
          <w:sz w:val="16"/>
          <w:szCs w:val="16"/>
          <w:lang w:val="fr-FR"/>
        </w:rPr>
        <w:t>Recommendation on EU Host Nation Support</w:t>
      </w:r>
      <w:r w:rsidRPr="00D606D5">
        <w:rPr>
          <w:rFonts w:ascii="Verdana" w:hAnsi="Verdana"/>
          <w:sz w:val="16"/>
          <w:szCs w:val="16"/>
          <w:lang w:val="fr-FR"/>
        </w:rPr>
        <w:t xml:space="preserve">. </w:t>
      </w:r>
    </w:p>
  </w:footnote>
  <w:footnote w:id="22">
    <w:p w14:paraId="12ADA0B6" w14:textId="2E705A90" w:rsidR="00773076" w:rsidRPr="008E51AA" w:rsidRDefault="00773076">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w:t>
      </w:r>
      <w:r w:rsidR="00024F75" w:rsidRPr="00D606D5">
        <w:rPr>
          <w:rFonts w:ascii="Verdana" w:hAnsi="Verdana"/>
          <w:sz w:val="16"/>
          <w:szCs w:val="16"/>
        </w:rPr>
        <w:t xml:space="preserve">Het </w:t>
      </w:r>
      <w:r w:rsidR="00024F75" w:rsidRPr="00D606D5">
        <w:rPr>
          <w:rFonts w:ascii="Verdana" w:hAnsi="Verdana"/>
          <w:i/>
          <w:iCs/>
          <w:sz w:val="16"/>
          <w:szCs w:val="16"/>
        </w:rPr>
        <w:t>Landelijk Operationeel Coördinatiecentrum</w:t>
      </w:r>
      <w:r w:rsidR="00024F75" w:rsidRPr="00D606D5">
        <w:rPr>
          <w:rFonts w:ascii="Verdana" w:hAnsi="Verdana"/>
          <w:sz w:val="16"/>
          <w:szCs w:val="16"/>
        </w:rPr>
        <w:t xml:space="preserve"> (LOCC) is het centrale punt voor de coördinatie van nationale crisisbeheersing en ondersteuning bij rampen en incidenten. Het LOCC ontwikkelt zich momenteel door naar een toekomstbestendige structuur onder de naam LOCC-KCR2, met versterkte regie- en coördinatiefuncties. </w:t>
      </w:r>
      <w:r w:rsidRPr="00D606D5">
        <w:rPr>
          <w:rFonts w:ascii="Verdana" w:hAnsi="Verdana"/>
          <w:sz w:val="16"/>
          <w:szCs w:val="16"/>
        </w:rPr>
        <w:t xml:space="preserve">Zie </w:t>
      </w:r>
      <w:r w:rsidR="00024F75" w:rsidRPr="00D606D5">
        <w:rPr>
          <w:rFonts w:ascii="Verdana" w:hAnsi="Verdana"/>
          <w:sz w:val="16"/>
          <w:szCs w:val="16"/>
        </w:rPr>
        <w:t xml:space="preserve">ook </w:t>
      </w:r>
      <w:r w:rsidRPr="00D606D5">
        <w:rPr>
          <w:rFonts w:ascii="Verdana" w:hAnsi="Verdana"/>
          <w:sz w:val="16"/>
          <w:szCs w:val="16"/>
        </w:rPr>
        <w:t xml:space="preserve">het BNC-fiche op </w:t>
      </w:r>
      <w:hyperlink r:id="rId3" w:history="1">
        <w:r w:rsidR="00AA3EA4" w:rsidRPr="00D606D5">
          <w:rPr>
            <w:rStyle w:val="Hyperlink"/>
            <w:rFonts w:ascii="Verdana" w:hAnsi="Verdana"/>
            <w:sz w:val="16"/>
            <w:szCs w:val="16"/>
          </w:rPr>
          <w:t>https://open.overheid.nl/documenten/a1d73195-033a-4052-b1d6-13cd5131ee43/file</w:t>
        </w:r>
      </w:hyperlink>
      <w:r w:rsidR="00AA3EA4" w:rsidRPr="00D606D5">
        <w:rPr>
          <w:rFonts w:ascii="Verdana" w:hAnsi="Verdana"/>
          <w:sz w:val="16"/>
          <w:szCs w:val="16"/>
        </w:rPr>
        <w:t>.</w:t>
      </w:r>
      <w:r w:rsidR="0062740A" w:rsidRPr="00D606D5">
        <w:rPr>
          <w:rFonts w:ascii="Verdana" w:hAnsi="Verdana"/>
          <w:sz w:val="16"/>
          <w:szCs w:val="16"/>
        </w:rPr>
        <w:t xml:space="preserve"> In dit fiche wordt daarom de afkorting LOCC-KCR2 aangehouden.</w:t>
      </w:r>
    </w:p>
  </w:footnote>
  <w:footnote w:id="23">
    <w:p w14:paraId="4B1BDCD9" w14:textId="33D8FDCD" w:rsidR="00987CFE" w:rsidRPr="00C270C5" w:rsidRDefault="00987CFE">
      <w:pPr>
        <w:pStyle w:val="FootnoteText"/>
        <w:rPr>
          <w:rFonts w:ascii="Verdana" w:hAnsi="Verdana"/>
          <w:sz w:val="16"/>
          <w:szCs w:val="16"/>
        </w:rPr>
      </w:pPr>
      <w:r w:rsidRPr="00C270C5">
        <w:rPr>
          <w:rStyle w:val="FootnoteReference"/>
          <w:rFonts w:ascii="Verdana" w:hAnsi="Verdana"/>
          <w:sz w:val="16"/>
          <w:szCs w:val="16"/>
        </w:rPr>
        <w:footnoteRef/>
      </w:r>
      <w:r w:rsidRPr="00C270C5">
        <w:rPr>
          <w:rFonts w:ascii="Verdana" w:hAnsi="Verdana"/>
          <w:sz w:val="16"/>
          <w:szCs w:val="16"/>
        </w:rPr>
        <w:t xml:space="preserve"> Om tot een Paraatheidsunie te komen heeft de Commissie een </w:t>
      </w:r>
      <w:r w:rsidRPr="00C270C5">
        <w:rPr>
          <w:rFonts w:ascii="Verdana" w:hAnsi="Verdana"/>
          <w:i/>
          <w:iCs/>
          <w:sz w:val="16"/>
          <w:szCs w:val="16"/>
        </w:rPr>
        <w:t>Paraatheidsuniestrategie</w:t>
      </w:r>
      <w:r w:rsidRPr="00C270C5">
        <w:rPr>
          <w:rFonts w:ascii="Verdana" w:hAnsi="Verdana"/>
          <w:sz w:val="16"/>
          <w:szCs w:val="16"/>
        </w:rPr>
        <w:t>.</w:t>
      </w:r>
    </w:p>
  </w:footnote>
  <w:footnote w:id="24">
    <w:p w14:paraId="3AA0584C" w14:textId="7E1743F9" w:rsidR="00325B89" w:rsidRPr="00D606D5" w:rsidRDefault="00325B89">
      <w:pPr>
        <w:pStyle w:val="FootnoteText"/>
        <w:rPr>
          <w:rFonts w:ascii="Verdana" w:hAnsi="Verdana"/>
          <w:i/>
          <w:iCs/>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Dit is het IPCR-crisisresponsmechanisme; </w:t>
      </w:r>
      <w:r w:rsidR="00281587" w:rsidRPr="00D606D5">
        <w:rPr>
          <w:rFonts w:ascii="Verdana" w:hAnsi="Verdana"/>
          <w:sz w:val="16"/>
          <w:szCs w:val="16"/>
        </w:rPr>
        <w:t>geïntegreerde</w:t>
      </w:r>
      <w:r w:rsidRPr="00D606D5">
        <w:rPr>
          <w:rFonts w:ascii="Verdana" w:hAnsi="Verdana"/>
          <w:sz w:val="16"/>
          <w:szCs w:val="16"/>
        </w:rPr>
        <w:t xml:space="preserve"> regeling politiek crisisresponse (</w:t>
      </w:r>
      <w:r w:rsidRPr="00D606D5">
        <w:rPr>
          <w:rFonts w:ascii="Verdana" w:hAnsi="Verdana"/>
          <w:i/>
          <w:iCs/>
          <w:sz w:val="16"/>
          <w:szCs w:val="16"/>
        </w:rPr>
        <w:t>integrated political crisis response</w:t>
      </w:r>
      <w:r w:rsidRPr="00D606D5">
        <w:rPr>
          <w:rFonts w:ascii="Verdana" w:hAnsi="Verdana"/>
          <w:sz w:val="16"/>
          <w:szCs w:val="16"/>
        </w:rPr>
        <w:t>).</w:t>
      </w:r>
    </w:p>
  </w:footnote>
  <w:footnote w:id="25">
    <w:p w14:paraId="639DC847" w14:textId="77777777" w:rsidR="00B47214" w:rsidRPr="00D606D5" w:rsidRDefault="00B47214" w:rsidP="00B47214">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Het pakket rondom de gezondheidsunie omvatte onder meer verordening (EU) 2022/2371 inzake ernstige grensoverschrijdende gezondheidsbedreigingen, Raadsverordening (EU) 2022/2372 inzake het kader bij noodsituaties op Unieniveau van de volksgezondheid.</w:t>
      </w:r>
    </w:p>
  </w:footnote>
  <w:footnote w:id="26">
    <w:p w14:paraId="4F1F0C6E" w14:textId="057CB903" w:rsidR="00286B16" w:rsidRDefault="00286B16">
      <w:pPr>
        <w:pStyle w:val="FootnoteText"/>
      </w:pPr>
      <w:r w:rsidRPr="00D606D5">
        <w:rPr>
          <w:rStyle w:val="FootnoteReference"/>
          <w:rFonts w:ascii="Verdana" w:hAnsi="Verdana"/>
          <w:sz w:val="16"/>
          <w:szCs w:val="16"/>
        </w:rPr>
        <w:footnoteRef/>
      </w:r>
      <w:r w:rsidRPr="00D606D5">
        <w:rPr>
          <w:rFonts w:ascii="Verdana" w:hAnsi="Verdana"/>
          <w:sz w:val="16"/>
          <w:szCs w:val="16"/>
        </w:rPr>
        <w:t xml:space="preserve"> Het EU-gezondheidsbeveiligingscomité </w:t>
      </w:r>
      <w:r w:rsidRPr="00D606D5">
        <w:rPr>
          <w:rFonts w:ascii="Verdana" w:hAnsi="Verdana"/>
          <w:i/>
          <w:iCs/>
          <w:sz w:val="16"/>
          <w:szCs w:val="16"/>
        </w:rPr>
        <w:t>(EU Health Security Committee)</w:t>
      </w:r>
      <w:r w:rsidRPr="00D606D5">
        <w:rPr>
          <w:rFonts w:ascii="Verdana" w:hAnsi="Verdana"/>
          <w:sz w:val="16"/>
          <w:szCs w:val="16"/>
        </w:rPr>
        <w:t xml:space="preserve"> is het coördinatiemechanisme voor ernstige grensoverschrijdende gezondheidsbedreigingen onder verordening (EU) 2022/2371 en wordt ondersteund door het DG Volksgezondheid van de Europese Commissie.</w:t>
      </w:r>
    </w:p>
  </w:footnote>
  <w:footnote w:id="27">
    <w:p w14:paraId="4E27182B" w14:textId="05210134" w:rsidR="00677DB5" w:rsidRPr="008E51AA" w:rsidRDefault="00677DB5">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Ten opzichte van de huidige situatie vergroot een militaire invalshoek de zichtbaarheid en relevantie van civiele actoren voor partijen die opereren binnen het militaire domein.</w:t>
      </w:r>
    </w:p>
  </w:footnote>
  <w:footnote w:id="28">
    <w:p w14:paraId="2C16DB8E" w14:textId="77777777" w:rsidR="00B47214" w:rsidRPr="00D606D5" w:rsidRDefault="00B47214" w:rsidP="00B47214">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Zie de Kamerbrief over weerbaarheid tegen militaire en hybride dreigingen, </w:t>
      </w:r>
      <w:hyperlink r:id="rId4" w:history="1">
        <w:r w:rsidRPr="00D606D5">
          <w:rPr>
            <w:rStyle w:val="Hyperlink"/>
            <w:rFonts w:ascii="Verdana" w:hAnsi="Verdana"/>
            <w:sz w:val="16"/>
            <w:szCs w:val="16"/>
          </w:rPr>
          <w:t>https://www.rijksoverheid.nl/documenten/kamerstukken/2024/12/06/tk-weerbaarheid-tegen-militaire-en-hybride-dreigingen</w:t>
        </w:r>
      </w:hyperlink>
      <w:r w:rsidRPr="00D606D5">
        <w:rPr>
          <w:rFonts w:ascii="Verdana" w:hAnsi="Verdana"/>
          <w:sz w:val="16"/>
          <w:szCs w:val="16"/>
        </w:rPr>
        <w:t>.</w:t>
      </w:r>
    </w:p>
  </w:footnote>
  <w:footnote w:id="29">
    <w:p w14:paraId="03955657" w14:textId="4338F3B1" w:rsidR="009520BD" w:rsidRPr="008E51AA" w:rsidRDefault="009520BD" w:rsidP="009520BD">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Onder artikel 12 van verordening (EU) 2022/2371 bestaat al de mogelijkheid tot een gezamenlijke aanbestedingsprocedure om vooraf medische tegenmaatregelen bij ernstige grensoverschrijdende gezondheidsbedreigingen in te kopen. In Raadsverordening (EU) 2022/2372 is bovendien een instrumentarium aan maatregelen opgenomen om bij een noodsituatie van de publieke gezondheid op Unieniveau de beschikbaarheid van medische tegenmaatregelen te borgen. Onder verordening (EU) 2021/836 tot wijziging van Besluit nr. 1313/2013/EU was al mogelijk gemaakt dat onder het Uniemechanisme ook noodvoorraden met medische tegenmaatregelen kunnen worden aangelegd </w:t>
      </w:r>
      <w:r w:rsidR="00286B16" w:rsidRPr="00D606D5">
        <w:rPr>
          <w:rFonts w:ascii="Verdana" w:hAnsi="Verdana"/>
          <w:sz w:val="16"/>
          <w:szCs w:val="16"/>
        </w:rPr>
        <w:t xml:space="preserve">onder zeggeschap van de Commissie </w:t>
      </w:r>
      <w:r w:rsidRPr="00D606D5">
        <w:rPr>
          <w:rFonts w:ascii="Verdana" w:hAnsi="Verdana"/>
          <w:sz w:val="16"/>
          <w:szCs w:val="16"/>
        </w:rPr>
        <w:t>(rescEU).</w:t>
      </w:r>
    </w:p>
  </w:footnote>
  <w:footnote w:id="30">
    <w:p w14:paraId="145EBC77" w14:textId="7E48A908" w:rsidR="00C03E64" w:rsidRPr="00D606D5" w:rsidRDefault="00C03E64">
      <w:pPr>
        <w:pStyle w:val="FootnoteText"/>
        <w:rPr>
          <w:rFonts w:ascii="Verdana" w:hAnsi="Verdana"/>
          <w:sz w:val="16"/>
          <w:szCs w:val="16"/>
          <w:lang w:val="en-US"/>
        </w:rPr>
      </w:pPr>
      <w:r w:rsidRPr="00D606D5">
        <w:rPr>
          <w:rStyle w:val="FootnoteReference"/>
          <w:rFonts w:ascii="Verdana" w:hAnsi="Verdana"/>
          <w:sz w:val="16"/>
          <w:szCs w:val="16"/>
        </w:rPr>
        <w:footnoteRef/>
      </w:r>
      <w:r w:rsidRPr="00D606D5">
        <w:rPr>
          <w:rFonts w:ascii="Verdana" w:hAnsi="Verdana"/>
          <w:sz w:val="16"/>
          <w:szCs w:val="16"/>
          <w:lang w:val="en-US"/>
        </w:rPr>
        <w:t xml:space="preserve"> Working Party on Civil Protection; Groupe "Protection civile" (PROCIV).</w:t>
      </w:r>
    </w:p>
  </w:footnote>
  <w:footnote w:id="31">
    <w:p w14:paraId="6CFDFC14" w14:textId="2A64A0D5" w:rsidR="00026A7A" w:rsidRPr="00D606D5" w:rsidRDefault="00026A7A">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Met de kanttekening dat </w:t>
      </w:r>
      <w:r w:rsidR="00A76AC5" w:rsidRPr="00D606D5">
        <w:rPr>
          <w:rFonts w:ascii="Verdana" w:hAnsi="Verdana"/>
          <w:sz w:val="16"/>
          <w:szCs w:val="16"/>
        </w:rPr>
        <w:t>er</w:t>
      </w:r>
      <w:r w:rsidRPr="00D606D5">
        <w:rPr>
          <w:rFonts w:ascii="Verdana" w:hAnsi="Verdana"/>
          <w:sz w:val="16"/>
          <w:szCs w:val="16"/>
        </w:rPr>
        <w:t xml:space="preserve"> tussen </w:t>
      </w:r>
      <w:r w:rsidR="00A76AC5" w:rsidRPr="00D606D5">
        <w:rPr>
          <w:rFonts w:ascii="Verdana" w:hAnsi="Verdana"/>
          <w:sz w:val="16"/>
          <w:szCs w:val="16"/>
        </w:rPr>
        <w:t xml:space="preserve">het delen van de stukken </w:t>
      </w:r>
      <w:r w:rsidRPr="00D606D5">
        <w:rPr>
          <w:rFonts w:ascii="Verdana" w:hAnsi="Verdana"/>
          <w:sz w:val="16"/>
          <w:szCs w:val="16"/>
        </w:rPr>
        <w:t xml:space="preserve">op 17 juli jl. en </w:t>
      </w:r>
      <w:r w:rsidR="00A76AC5" w:rsidRPr="00D606D5">
        <w:rPr>
          <w:rFonts w:ascii="Verdana" w:hAnsi="Verdana"/>
          <w:sz w:val="16"/>
          <w:szCs w:val="16"/>
        </w:rPr>
        <w:t xml:space="preserve">de </w:t>
      </w:r>
      <w:r w:rsidRPr="00D606D5">
        <w:rPr>
          <w:rFonts w:ascii="Verdana" w:hAnsi="Verdana"/>
          <w:sz w:val="16"/>
          <w:szCs w:val="16"/>
        </w:rPr>
        <w:t xml:space="preserve">eerste bespreking </w:t>
      </w:r>
      <w:r w:rsidR="00A76AC5" w:rsidRPr="00D606D5">
        <w:rPr>
          <w:rFonts w:ascii="Verdana" w:hAnsi="Verdana"/>
          <w:sz w:val="16"/>
          <w:szCs w:val="16"/>
        </w:rPr>
        <w:t xml:space="preserve">op 18 juli jl. </w:t>
      </w:r>
      <w:r w:rsidRPr="00D606D5">
        <w:rPr>
          <w:rFonts w:ascii="Verdana" w:hAnsi="Verdana"/>
          <w:sz w:val="16"/>
          <w:szCs w:val="16"/>
        </w:rPr>
        <w:t xml:space="preserve">weinig studietijd </w:t>
      </w:r>
      <w:r w:rsidR="00A76AC5" w:rsidRPr="00D606D5">
        <w:rPr>
          <w:rFonts w:ascii="Verdana" w:hAnsi="Verdana"/>
          <w:sz w:val="16"/>
          <w:szCs w:val="16"/>
        </w:rPr>
        <w:t>zat</w:t>
      </w:r>
      <w:r w:rsidRPr="00D606D5">
        <w:rPr>
          <w:rFonts w:ascii="Verdana" w:hAnsi="Verdana"/>
          <w:sz w:val="16"/>
          <w:szCs w:val="16"/>
        </w:rPr>
        <w:t>.</w:t>
      </w:r>
    </w:p>
  </w:footnote>
  <w:footnote w:id="32">
    <w:p w14:paraId="196D8165" w14:textId="6D6A4089" w:rsidR="008765C7" w:rsidRPr="008E51AA" w:rsidRDefault="008765C7">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Informeel het ‘UCPM+’ genoemd.</w:t>
      </w:r>
    </w:p>
  </w:footnote>
  <w:footnote w:id="33">
    <w:p w14:paraId="589C9ACD" w14:textId="1ECC1375" w:rsidR="00D73EE9" w:rsidRPr="008E51AA" w:rsidRDefault="00D73EE9">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De landen die zowel EU-lid zijn als geen lid van de NAVO, zijn Ierland, Oostenrijk, Cyprus en Malta.</w:t>
      </w:r>
    </w:p>
  </w:footnote>
  <w:footnote w:id="34">
    <w:p w14:paraId="30AAF762" w14:textId="77777777" w:rsidR="005B6AAA" w:rsidRPr="00D606D5" w:rsidRDefault="005B6AAA" w:rsidP="005B6AAA">
      <w:pPr>
        <w:pStyle w:val="FootnoteText"/>
        <w:rPr>
          <w:rFonts w:ascii="Verdana" w:hAnsi="Verdana"/>
          <w:sz w:val="16"/>
          <w:szCs w:val="16"/>
        </w:rPr>
      </w:pPr>
      <w:r w:rsidRPr="00D606D5">
        <w:rPr>
          <w:rStyle w:val="FootnoteReference"/>
          <w:rFonts w:ascii="Verdana" w:hAnsi="Verdana"/>
          <w:sz w:val="16"/>
          <w:szCs w:val="16"/>
        </w:rPr>
        <w:footnoteRef/>
      </w:r>
      <w:r w:rsidRPr="00D606D5">
        <w:rPr>
          <w:rFonts w:ascii="Verdana" w:hAnsi="Verdana"/>
          <w:sz w:val="16"/>
          <w:szCs w:val="16"/>
        </w:rPr>
        <w:t xml:space="preserve"> De CPP omvat zowel ‘modules’ als ‘andere responscapaciteiten’. Modules zijn specifieke, vooraf gedefinieerde teams van menselijke en materi</w:t>
      </w:r>
      <w:r w:rsidRPr="00D606D5">
        <w:rPr>
          <w:rFonts w:ascii="Verdana" w:hAnsi="Verdana"/>
          <w:bCs/>
          <w:sz w:val="16"/>
          <w:szCs w:val="16"/>
        </w:rPr>
        <w:t>ë</w:t>
      </w:r>
      <w:r w:rsidRPr="00D606D5">
        <w:rPr>
          <w:rFonts w:ascii="Verdana" w:hAnsi="Verdana"/>
          <w:sz w:val="16"/>
          <w:szCs w:val="16"/>
        </w:rPr>
        <w:t>le middelen met minimale technische vereisten die zijn gecertificeerd binnen de CPP. ORCs zijn ook nationale capaciteiten die zijn toegezegd aan de CPP, maar niet noodzakelijkerwijs voldoen aan specifieke technische vereisten van een module. De Nederlandse CPP beschikt momenteel twee modules en drie ORCs.</w:t>
      </w:r>
    </w:p>
  </w:footnote>
  <w:footnote w:id="35">
    <w:p w14:paraId="5E3265D0" w14:textId="5ED916B2" w:rsidR="009D127A" w:rsidRPr="008E51AA" w:rsidRDefault="009D127A">
      <w:pPr>
        <w:pStyle w:val="FootnoteText"/>
        <w:rPr>
          <w:rFonts w:ascii="Verdana" w:hAnsi="Verdana"/>
          <w:sz w:val="12"/>
          <w:szCs w:val="12"/>
        </w:rPr>
      </w:pPr>
      <w:r w:rsidRPr="00D606D5">
        <w:rPr>
          <w:rStyle w:val="FootnoteReference"/>
          <w:rFonts w:ascii="Verdana" w:hAnsi="Verdana"/>
          <w:sz w:val="16"/>
          <w:szCs w:val="16"/>
        </w:rPr>
        <w:footnoteRef/>
      </w:r>
      <w:r w:rsidRPr="00D606D5">
        <w:rPr>
          <w:rFonts w:ascii="Verdana" w:hAnsi="Verdana"/>
          <w:sz w:val="16"/>
          <w:szCs w:val="16"/>
        </w:rPr>
        <w:t xml:space="preserve"> DG ECHO (</w:t>
      </w:r>
      <w:r w:rsidRPr="00D606D5">
        <w:rPr>
          <w:rFonts w:ascii="Verdana" w:hAnsi="Verdana"/>
          <w:i/>
          <w:iCs/>
          <w:sz w:val="16"/>
          <w:szCs w:val="16"/>
        </w:rPr>
        <w:t>Directorate-General for European Civil Protection and Humanitarian Aid Operations</w:t>
      </w:r>
      <w:r w:rsidRPr="00D606D5">
        <w:rPr>
          <w:rFonts w:ascii="Verdana" w:hAnsi="Verdana"/>
          <w:sz w:val="16"/>
          <w:szCs w:val="16"/>
        </w:rPr>
        <w:t xml:space="preserve">) coördineert en financiert </w:t>
      </w:r>
      <w:r w:rsidR="00071A42" w:rsidRPr="00D606D5">
        <w:rPr>
          <w:rFonts w:ascii="Verdana" w:hAnsi="Verdana"/>
          <w:sz w:val="16"/>
          <w:szCs w:val="16"/>
        </w:rPr>
        <w:t xml:space="preserve">zowel </w:t>
      </w:r>
      <w:r w:rsidRPr="00D606D5">
        <w:rPr>
          <w:rFonts w:ascii="Verdana" w:hAnsi="Verdana"/>
          <w:sz w:val="16"/>
          <w:szCs w:val="16"/>
        </w:rPr>
        <w:t xml:space="preserve">humanitaire hulp </w:t>
      </w:r>
      <w:r w:rsidR="00071A42" w:rsidRPr="00D606D5">
        <w:rPr>
          <w:rFonts w:ascii="Verdana" w:hAnsi="Verdana"/>
          <w:sz w:val="16"/>
          <w:szCs w:val="16"/>
        </w:rPr>
        <w:t xml:space="preserve">als </w:t>
      </w:r>
      <w:r w:rsidRPr="00D606D5">
        <w:rPr>
          <w:rFonts w:ascii="Verdana" w:hAnsi="Verdana"/>
          <w:sz w:val="16"/>
          <w:szCs w:val="16"/>
        </w:rPr>
        <w:t>civiele bescherming binnen de EU en wereldwijd. Het doel is snelle en effectieve noodhulp te bieden bij rampen en conflicten.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B4E0" w14:textId="2AD24114" w:rsidR="00C270C5" w:rsidRPr="00C270C5" w:rsidRDefault="00C270C5" w:rsidP="00C270C5">
    <w:pPr>
      <w:pStyle w:val="Header"/>
      <w:tabs>
        <w:tab w:val="clear" w:pos="4536"/>
        <w:tab w:val="center" w:pos="6521"/>
      </w:tabs>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9475BAD"/>
    <w:multiLevelType w:val="hybridMultilevel"/>
    <w:tmpl w:val="7C8C7440"/>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7301677"/>
    <w:multiLevelType w:val="hybridMultilevel"/>
    <w:tmpl w:val="32FEA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292637"/>
    <w:multiLevelType w:val="hybridMultilevel"/>
    <w:tmpl w:val="B09617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F34AA4"/>
    <w:multiLevelType w:val="hybridMultilevel"/>
    <w:tmpl w:val="5EC65D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0E2E43"/>
    <w:multiLevelType w:val="hybridMultilevel"/>
    <w:tmpl w:val="49F6FA20"/>
    <w:lvl w:ilvl="0" w:tplc="0413000F">
      <w:start w:val="1"/>
      <w:numFmt w:val="decimal"/>
      <w:lvlText w:val="%1."/>
      <w:lvlJc w:val="left"/>
      <w:pPr>
        <w:ind w:left="360" w:hanging="360"/>
      </w:pPr>
    </w:lvl>
    <w:lvl w:ilvl="1" w:tplc="65EC888C">
      <w:start w:val="1"/>
      <w:numFmt w:val="lowerLetter"/>
      <w:lvlText w:val="%2)"/>
      <w:lvlJc w:val="left"/>
      <w:pPr>
        <w:ind w:left="360" w:hanging="360"/>
      </w:pPr>
      <w:rPr>
        <w:i/>
        <w:iCs/>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386132D"/>
    <w:multiLevelType w:val="hybridMultilevel"/>
    <w:tmpl w:val="CE3E9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D24536"/>
    <w:multiLevelType w:val="multilevel"/>
    <w:tmpl w:val="C5303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806CF"/>
    <w:multiLevelType w:val="hybridMultilevel"/>
    <w:tmpl w:val="B1A6B9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10142898">
    <w:abstractNumId w:val="5"/>
  </w:num>
  <w:num w:numId="2" w16cid:durableId="1840541902">
    <w:abstractNumId w:val="6"/>
  </w:num>
  <w:num w:numId="3" w16cid:durableId="1085417699">
    <w:abstractNumId w:val="3"/>
  </w:num>
  <w:num w:numId="4" w16cid:durableId="1712999517">
    <w:abstractNumId w:val="4"/>
  </w:num>
  <w:num w:numId="5" w16cid:durableId="2111848499">
    <w:abstractNumId w:val="2"/>
  </w:num>
  <w:num w:numId="6" w16cid:durableId="1649750092">
    <w:abstractNumId w:val="1"/>
  </w:num>
  <w:num w:numId="7" w16cid:durableId="1180509905">
    <w:abstractNumId w:val="10"/>
  </w:num>
  <w:num w:numId="8" w16cid:durableId="1956473720">
    <w:abstractNumId w:val="0"/>
  </w:num>
  <w:num w:numId="9" w16cid:durableId="981620692">
    <w:abstractNumId w:val="9"/>
  </w:num>
  <w:num w:numId="10" w16cid:durableId="1139759737">
    <w:abstractNumId w:val="7"/>
  </w:num>
  <w:num w:numId="11" w16cid:durableId="1836069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C6"/>
    <w:rsid w:val="00000C59"/>
    <w:rsid w:val="00004C3C"/>
    <w:rsid w:val="00007CF3"/>
    <w:rsid w:val="000120A0"/>
    <w:rsid w:val="000124EC"/>
    <w:rsid w:val="00022FD6"/>
    <w:rsid w:val="000238F1"/>
    <w:rsid w:val="00024F3F"/>
    <w:rsid w:val="00024F75"/>
    <w:rsid w:val="00026A7A"/>
    <w:rsid w:val="00030E06"/>
    <w:rsid w:val="0003220C"/>
    <w:rsid w:val="00040494"/>
    <w:rsid w:val="00042AB9"/>
    <w:rsid w:val="00043598"/>
    <w:rsid w:val="00045A1D"/>
    <w:rsid w:val="00051F01"/>
    <w:rsid w:val="000654CB"/>
    <w:rsid w:val="00065D4B"/>
    <w:rsid w:val="00071A42"/>
    <w:rsid w:val="00073F57"/>
    <w:rsid w:val="0008129F"/>
    <w:rsid w:val="000841D8"/>
    <w:rsid w:val="00084D87"/>
    <w:rsid w:val="000971BD"/>
    <w:rsid w:val="0009775F"/>
    <w:rsid w:val="000B0CFD"/>
    <w:rsid w:val="000B1F02"/>
    <w:rsid w:val="000B325E"/>
    <w:rsid w:val="000B61FD"/>
    <w:rsid w:val="000B682F"/>
    <w:rsid w:val="000C0C7B"/>
    <w:rsid w:val="000D0A8A"/>
    <w:rsid w:val="000D1C68"/>
    <w:rsid w:val="000D32E7"/>
    <w:rsid w:val="000D55BD"/>
    <w:rsid w:val="000E1E28"/>
    <w:rsid w:val="000E5658"/>
    <w:rsid w:val="00100D50"/>
    <w:rsid w:val="001041C0"/>
    <w:rsid w:val="001045DC"/>
    <w:rsid w:val="001103FB"/>
    <w:rsid w:val="00110EE3"/>
    <w:rsid w:val="00112C37"/>
    <w:rsid w:val="0011409B"/>
    <w:rsid w:val="00115ED5"/>
    <w:rsid w:val="00116A21"/>
    <w:rsid w:val="00122F21"/>
    <w:rsid w:val="00125A56"/>
    <w:rsid w:val="00131A21"/>
    <w:rsid w:val="00137021"/>
    <w:rsid w:val="00140F45"/>
    <w:rsid w:val="00144032"/>
    <w:rsid w:val="001470BC"/>
    <w:rsid w:val="001517B8"/>
    <w:rsid w:val="00153E00"/>
    <w:rsid w:val="0015422F"/>
    <w:rsid w:val="00155307"/>
    <w:rsid w:val="00156C91"/>
    <w:rsid w:val="00157339"/>
    <w:rsid w:val="001644D2"/>
    <w:rsid w:val="00165952"/>
    <w:rsid w:val="001710D2"/>
    <w:rsid w:val="00171F16"/>
    <w:rsid w:val="00181289"/>
    <w:rsid w:val="00182721"/>
    <w:rsid w:val="00183766"/>
    <w:rsid w:val="00190D47"/>
    <w:rsid w:val="00191241"/>
    <w:rsid w:val="0019382D"/>
    <w:rsid w:val="001A1251"/>
    <w:rsid w:val="001A3283"/>
    <w:rsid w:val="001A40BF"/>
    <w:rsid w:val="001A6DE6"/>
    <w:rsid w:val="001B4F07"/>
    <w:rsid w:val="001B774A"/>
    <w:rsid w:val="001C3330"/>
    <w:rsid w:val="001C75FB"/>
    <w:rsid w:val="001D3619"/>
    <w:rsid w:val="001D6492"/>
    <w:rsid w:val="001D65D9"/>
    <w:rsid w:val="001F3291"/>
    <w:rsid w:val="00204094"/>
    <w:rsid w:val="002040DD"/>
    <w:rsid w:val="00204437"/>
    <w:rsid w:val="00211CB4"/>
    <w:rsid w:val="0021252D"/>
    <w:rsid w:val="002137D3"/>
    <w:rsid w:val="0022062A"/>
    <w:rsid w:val="00220DBA"/>
    <w:rsid w:val="002239AF"/>
    <w:rsid w:val="00225729"/>
    <w:rsid w:val="00225D93"/>
    <w:rsid w:val="0022688A"/>
    <w:rsid w:val="00227EF2"/>
    <w:rsid w:val="002376FA"/>
    <w:rsid w:val="00241563"/>
    <w:rsid w:val="00242BAA"/>
    <w:rsid w:val="00243C59"/>
    <w:rsid w:val="00246D69"/>
    <w:rsid w:val="00251F67"/>
    <w:rsid w:val="00256272"/>
    <w:rsid w:val="00257F31"/>
    <w:rsid w:val="00260FF6"/>
    <w:rsid w:val="00262ABB"/>
    <w:rsid w:val="0026303D"/>
    <w:rsid w:val="00274FC8"/>
    <w:rsid w:val="002804CA"/>
    <w:rsid w:val="00281587"/>
    <w:rsid w:val="00283197"/>
    <w:rsid w:val="00286B16"/>
    <w:rsid w:val="00286C00"/>
    <w:rsid w:val="00292C57"/>
    <w:rsid w:val="00296F08"/>
    <w:rsid w:val="002A7EC4"/>
    <w:rsid w:val="002B03FE"/>
    <w:rsid w:val="002B2A9D"/>
    <w:rsid w:val="002B4BAD"/>
    <w:rsid w:val="002B6E5E"/>
    <w:rsid w:val="002B7217"/>
    <w:rsid w:val="002C335D"/>
    <w:rsid w:val="002C39E3"/>
    <w:rsid w:val="002C5D1D"/>
    <w:rsid w:val="002C5FE4"/>
    <w:rsid w:val="002D1A38"/>
    <w:rsid w:val="002D5DF9"/>
    <w:rsid w:val="002D60EC"/>
    <w:rsid w:val="002E0E43"/>
    <w:rsid w:val="002E49F2"/>
    <w:rsid w:val="002E54EA"/>
    <w:rsid w:val="002E550D"/>
    <w:rsid w:val="002E6BA2"/>
    <w:rsid w:val="002E6C1E"/>
    <w:rsid w:val="002E6DD9"/>
    <w:rsid w:val="002F1D84"/>
    <w:rsid w:val="002F2B43"/>
    <w:rsid w:val="002F2F04"/>
    <w:rsid w:val="002F5C9A"/>
    <w:rsid w:val="0030068C"/>
    <w:rsid w:val="003031EE"/>
    <w:rsid w:val="00305CD5"/>
    <w:rsid w:val="00307085"/>
    <w:rsid w:val="003108CB"/>
    <w:rsid w:val="00313B19"/>
    <w:rsid w:val="00314606"/>
    <w:rsid w:val="003216E6"/>
    <w:rsid w:val="00323E90"/>
    <w:rsid w:val="00325B89"/>
    <w:rsid w:val="00326AD7"/>
    <w:rsid w:val="00326E33"/>
    <w:rsid w:val="0033006F"/>
    <w:rsid w:val="00332324"/>
    <w:rsid w:val="00332AD8"/>
    <w:rsid w:val="003464E6"/>
    <w:rsid w:val="0035062F"/>
    <w:rsid w:val="00353F01"/>
    <w:rsid w:val="00364BF4"/>
    <w:rsid w:val="00364F32"/>
    <w:rsid w:val="00367BC0"/>
    <w:rsid w:val="00371315"/>
    <w:rsid w:val="00371FFE"/>
    <w:rsid w:val="003803AC"/>
    <w:rsid w:val="00380740"/>
    <w:rsid w:val="00381898"/>
    <w:rsid w:val="0038586B"/>
    <w:rsid w:val="00393B6B"/>
    <w:rsid w:val="00393ECF"/>
    <w:rsid w:val="0039457F"/>
    <w:rsid w:val="00396A82"/>
    <w:rsid w:val="00397521"/>
    <w:rsid w:val="00397873"/>
    <w:rsid w:val="003A0200"/>
    <w:rsid w:val="003A4316"/>
    <w:rsid w:val="003A6684"/>
    <w:rsid w:val="003B1B7D"/>
    <w:rsid w:val="003B473E"/>
    <w:rsid w:val="003B4F34"/>
    <w:rsid w:val="003B7062"/>
    <w:rsid w:val="003D3783"/>
    <w:rsid w:val="003D38A2"/>
    <w:rsid w:val="003D3F1F"/>
    <w:rsid w:val="003D4547"/>
    <w:rsid w:val="003E2ADD"/>
    <w:rsid w:val="003E662D"/>
    <w:rsid w:val="003E6747"/>
    <w:rsid w:val="003E7702"/>
    <w:rsid w:val="003F0284"/>
    <w:rsid w:val="003F5643"/>
    <w:rsid w:val="003F6DD5"/>
    <w:rsid w:val="0040181B"/>
    <w:rsid w:val="00416ABD"/>
    <w:rsid w:val="0042320C"/>
    <w:rsid w:val="004233BE"/>
    <w:rsid w:val="0043318E"/>
    <w:rsid w:val="0044365D"/>
    <w:rsid w:val="00446B4E"/>
    <w:rsid w:val="004472BE"/>
    <w:rsid w:val="00457F59"/>
    <w:rsid w:val="004655A3"/>
    <w:rsid w:val="00477111"/>
    <w:rsid w:val="004907DC"/>
    <w:rsid w:val="00490AF6"/>
    <w:rsid w:val="00491082"/>
    <w:rsid w:val="00496966"/>
    <w:rsid w:val="00496CCB"/>
    <w:rsid w:val="00497B2D"/>
    <w:rsid w:val="004A1395"/>
    <w:rsid w:val="004A1B8C"/>
    <w:rsid w:val="004A2881"/>
    <w:rsid w:val="004C5341"/>
    <w:rsid w:val="004C66CD"/>
    <w:rsid w:val="004C704A"/>
    <w:rsid w:val="004D064F"/>
    <w:rsid w:val="004D3E8A"/>
    <w:rsid w:val="004D4DF4"/>
    <w:rsid w:val="004D5A75"/>
    <w:rsid w:val="004E0773"/>
    <w:rsid w:val="004E0BE2"/>
    <w:rsid w:val="004E6977"/>
    <w:rsid w:val="004E6C89"/>
    <w:rsid w:val="004E73E2"/>
    <w:rsid w:val="004F060A"/>
    <w:rsid w:val="004F4030"/>
    <w:rsid w:val="004F78C5"/>
    <w:rsid w:val="0050287E"/>
    <w:rsid w:val="00506FBD"/>
    <w:rsid w:val="00510D63"/>
    <w:rsid w:val="00511B00"/>
    <w:rsid w:val="005127FA"/>
    <w:rsid w:val="00512814"/>
    <w:rsid w:val="00516267"/>
    <w:rsid w:val="00516309"/>
    <w:rsid w:val="005169D6"/>
    <w:rsid w:val="00516FEB"/>
    <w:rsid w:val="00521E44"/>
    <w:rsid w:val="0052636B"/>
    <w:rsid w:val="005265FA"/>
    <w:rsid w:val="00533882"/>
    <w:rsid w:val="005350D8"/>
    <w:rsid w:val="00535824"/>
    <w:rsid w:val="005368F4"/>
    <w:rsid w:val="00537AC0"/>
    <w:rsid w:val="00540F39"/>
    <w:rsid w:val="0054416B"/>
    <w:rsid w:val="00554956"/>
    <w:rsid w:val="00554BD0"/>
    <w:rsid w:val="0055598D"/>
    <w:rsid w:val="00556636"/>
    <w:rsid w:val="0056509F"/>
    <w:rsid w:val="00566F36"/>
    <w:rsid w:val="005678C8"/>
    <w:rsid w:val="005743F8"/>
    <w:rsid w:val="00574DEC"/>
    <w:rsid w:val="005832D4"/>
    <w:rsid w:val="00585697"/>
    <w:rsid w:val="00590C86"/>
    <w:rsid w:val="00594488"/>
    <w:rsid w:val="005954B0"/>
    <w:rsid w:val="005A1C80"/>
    <w:rsid w:val="005A494F"/>
    <w:rsid w:val="005A54CD"/>
    <w:rsid w:val="005A5D3B"/>
    <w:rsid w:val="005A7486"/>
    <w:rsid w:val="005B146F"/>
    <w:rsid w:val="005B1F34"/>
    <w:rsid w:val="005B48E3"/>
    <w:rsid w:val="005B57EC"/>
    <w:rsid w:val="005B5FC9"/>
    <w:rsid w:val="005B6AAA"/>
    <w:rsid w:val="005C1546"/>
    <w:rsid w:val="005F21CC"/>
    <w:rsid w:val="005F46AB"/>
    <w:rsid w:val="005F46C6"/>
    <w:rsid w:val="0060774C"/>
    <w:rsid w:val="00613ACE"/>
    <w:rsid w:val="0062420D"/>
    <w:rsid w:val="00626041"/>
    <w:rsid w:val="0062740A"/>
    <w:rsid w:val="00631E82"/>
    <w:rsid w:val="006338C4"/>
    <w:rsid w:val="00637558"/>
    <w:rsid w:val="00641EA2"/>
    <w:rsid w:val="00641F92"/>
    <w:rsid w:val="00643986"/>
    <w:rsid w:val="006527FB"/>
    <w:rsid w:val="00654330"/>
    <w:rsid w:val="00655B09"/>
    <w:rsid w:val="00666D12"/>
    <w:rsid w:val="00670C44"/>
    <w:rsid w:val="0067729A"/>
    <w:rsid w:val="00677DB5"/>
    <w:rsid w:val="00695563"/>
    <w:rsid w:val="006A2F7A"/>
    <w:rsid w:val="006A3A42"/>
    <w:rsid w:val="006A5556"/>
    <w:rsid w:val="006A670B"/>
    <w:rsid w:val="006B061A"/>
    <w:rsid w:val="006B1194"/>
    <w:rsid w:val="006B2646"/>
    <w:rsid w:val="006B2984"/>
    <w:rsid w:val="006B3E3F"/>
    <w:rsid w:val="006B60FC"/>
    <w:rsid w:val="006C3524"/>
    <w:rsid w:val="006C3A52"/>
    <w:rsid w:val="006C4CED"/>
    <w:rsid w:val="006C5380"/>
    <w:rsid w:val="006D1F2E"/>
    <w:rsid w:val="006D4F1D"/>
    <w:rsid w:val="006D5C0A"/>
    <w:rsid w:val="006E01AB"/>
    <w:rsid w:val="006E0E9B"/>
    <w:rsid w:val="006E3C2B"/>
    <w:rsid w:val="006E5393"/>
    <w:rsid w:val="006E797A"/>
    <w:rsid w:val="006F1B16"/>
    <w:rsid w:val="00700014"/>
    <w:rsid w:val="00700C60"/>
    <w:rsid w:val="00702786"/>
    <w:rsid w:val="00705138"/>
    <w:rsid w:val="00710AA5"/>
    <w:rsid w:val="00712377"/>
    <w:rsid w:val="00720DF2"/>
    <w:rsid w:val="00724840"/>
    <w:rsid w:val="00727734"/>
    <w:rsid w:val="0073018B"/>
    <w:rsid w:val="00731B77"/>
    <w:rsid w:val="0073313E"/>
    <w:rsid w:val="00735881"/>
    <w:rsid w:val="007359D9"/>
    <w:rsid w:val="00747972"/>
    <w:rsid w:val="00750ABC"/>
    <w:rsid w:val="00754007"/>
    <w:rsid w:val="00761C06"/>
    <w:rsid w:val="00761CB8"/>
    <w:rsid w:val="0076225F"/>
    <w:rsid w:val="00764257"/>
    <w:rsid w:val="00764D99"/>
    <w:rsid w:val="0076573E"/>
    <w:rsid w:val="007708EF"/>
    <w:rsid w:val="00771588"/>
    <w:rsid w:val="00772F8F"/>
    <w:rsid w:val="00773076"/>
    <w:rsid w:val="00776E48"/>
    <w:rsid w:val="00780106"/>
    <w:rsid w:val="0078162B"/>
    <w:rsid w:val="00781F6A"/>
    <w:rsid w:val="0078362E"/>
    <w:rsid w:val="00783BF7"/>
    <w:rsid w:val="00786037"/>
    <w:rsid w:val="00791CEC"/>
    <w:rsid w:val="00792D42"/>
    <w:rsid w:val="00792F0F"/>
    <w:rsid w:val="00795319"/>
    <w:rsid w:val="00796560"/>
    <w:rsid w:val="007A091A"/>
    <w:rsid w:val="007A1BD3"/>
    <w:rsid w:val="007A2114"/>
    <w:rsid w:val="007B6C42"/>
    <w:rsid w:val="007C1507"/>
    <w:rsid w:val="007C30FC"/>
    <w:rsid w:val="007C7766"/>
    <w:rsid w:val="007D22B3"/>
    <w:rsid w:val="007D27C0"/>
    <w:rsid w:val="007D27D7"/>
    <w:rsid w:val="007D4982"/>
    <w:rsid w:val="007D74AC"/>
    <w:rsid w:val="007E1465"/>
    <w:rsid w:val="007E156D"/>
    <w:rsid w:val="007E54F0"/>
    <w:rsid w:val="007E7978"/>
    <w:rsid w:val="007E79FE"/>
    <w:rsid w:val="007F019B"/>
    <w:rsid w:val="007F2A9F"/>
    <w:rsid w:val="0080241E"/>
    <w:rsid w:val="00802B22"/>
    <w:rsid w:val="008044AC"/>
    <w:rsid w:val="00805F7C"/>
    <w:rsid w:val="00812757"/>
    <w:rsid w:val="00821AFC"/>
    <w:rsid w:val="008254F5"/>
    <w:rsid w:val="00827738"/>
    <w:rsid w:val="00830D59"/>
    <w:rsid w:val="0083352C"/>
    <w:rsid w:val="008346BE"/>
    <w:rsid w:val="008346F1"/>
    <w:rsid w:val="008354EB"/>
    <w:rsid w:val="008357C2"/>
    <w:rsid w:val="00841180"/>
    <w:rsid w:val="00841599"/>
    <w:rsid w:val="0084513D"/>
    <w:rsid w:val="00853F86"/>
    <w:rsid w:val="00857816"/>
    <w:rsid w:val="00860CB9"/>
    <w:rsid w:val="00863267"/>
    <w:rsid w:val="00870A95"/>
    <w:rsid w:val="008732E5"/>
    <w:rsid w:val="008759B4"/>
    <w:rsid w:val="008765C7"/>
    <w:rsid w:val="008802D8"/>
    <w:rsid w:val="00885DCC"/>
    <w:rsid w:val="008951A9"/>
    <w:rsid w:val="008965F1"/>
    <w:rsid w:val="00897C41"/>
    <w:rsid w:val="008A059F"/>
    <w:rsid w:val="008A24A6"/>
    <w:rsid w:val="008A50FA"/>
    <w:rsid w:val="008B03FA"/>
    <w:rsid w:val="008B23FE"/>
    <w:rsid w:val="008B249D"/>
    <w:rsid w:val="008B4B81"/>
    <w:rsid w:val="008C1B5E"/>
    <w:rsid w:val="008C4606"/>
    <w:rsid w:val="008C48C6"/>
    <w:rsid w:val="008D3975"/>
    <w:rsid w:val="008D572C"/>
    <w:rsid w:val="008E04F6"/>
    <w:rsid w:val="008E368C"/>
    <w:rsid w:val="008E51AA"/>
    <w:rsid w:val="008E7206"/>
    <w:rsid w:val="008E7239"/>
    <w:rsid w:val="008F33A1"/>
    <w:rsid w:val="008F352C"/>
    <w:rsid w:val="008F7C8F"/>
    <w:rsid w:val="00912E77"/>
    <w:rsid w:val="00921D9B"/>
    <w:rsid w:val="00923181"/>
    <w:rsid w:val="00924B61"/>
    <w:rsid w:val="009256B5"/>
    <w:rsid w:val="0093080B"/>
    <w:rsid w:val="009318BD"/>
    <w:rsid w:val="00933D6F"/>
    <w:rsid w:val="00934220"/>
    <w:rsid w:val="009342DA"/>
    <w:rsid w:val="00936B50"/>
    <w:rsid w:val="00942C80"/>
    <w:rsid w:val="0094480B"/>
    <w:rsid w:val="009448D4"/>
    <w:rsid w:val="009520BD"/>
    <w:rsid w:val="00952CEF"/>
    <w:rsid w:val="00952F79"/>
    <w:rsid w:val="0096456D"/>
    <w:rsid w:val="00964C0B"/>
    <w:rsid w:val="00974657"/>
    <w:rsid w:val="00980EB6"/>
    <w:rsid w:val="00984E58"/>
    <w:rsid w:val="00987CFE"/>
    <w:rsid w:val="00991FE9"/>
    <w:rsid w:val="009934A1"/>
    <w:rsid w:val="009959A7"/>
    <w:rsid w:val="00995B83"/>
    <w:rsid w:val="009A13C3"/>
    <w:rsid w:val="009A3633"/>
    <w:rsid w:val="009A497F"/>
    <w:rsid w:val="009A4CC6"/>
    <w:rsid w:val="009A56A9"/>
    <w:rsid w:val="009A6982"/>
    <w:rsid w:val="009B0663"/>
    <w:rsid w:val="009B1458"/>
    <w:rsid w:val="009B67B4"/>
    <w:rsid w:val="009B773A"/>
    <w:rsid w:val="009C3940"/>
    <w:rsid w:val="009C3C53"/>
    <w:rsid w:val="009D127A"/>
    <w:rsid w:val="009D6416"/>
    <w:rsid w:val="009D6F03"/>
    <w:rsid w:val="009D73D0"/>
    <w:rsid w:val="009E1911"/>
    <w:rsid w:val="009E5976"/>
    <w:rsid w:val="009E6657"/>
    <w:rsid w:val="009E72A2"/>
    <w:rsid w:val="009F4F2B"/>
    <w:rsid w:val="009F618E"/>
    <w:rsid w:val="00A0120D"/>
    <w:rsid w:val="00A02C9C"/>
    <w:rsid w:val="00A02CF1"/>
    <w:rsid w:val="00A02D9D"/>
    <w:rsid w:val="00A10D03"/>
    <w:rsid w:val="00A12BA1"/>
    <w:rsid w:val="00A221F8"/>
    <w:rsid w:val="00A2401E"/>
    <w:rsid w:val="00A2674E"/>
    <w:rsid w:val="00A26980"/>
    <w:rsid w:val="00A30DBA"/>
    <w:rsid w:val="00A33D5A"/>
    <w:rsid w:val="00A3473A"/>
    <w:rsid w:val="00A36153"/>
    <w:rsid w:val="00A365ED"/>
    <w:rsid w:val="00A37AF5"/>
    <w:rsid w:val="00A41054"/>
    <w:rsid w:val="00A410F6"/>
    <w:rsid w:val="00A46CF4"/>
    <w:rsid w:val="00A47915"/>
    <w:rsid w:val="00A60A5B"/>
    <w:rsid w:val="00A6373C"/>
    <w:rsid w:val="00A64A6F"/>
    <w:rsid w:val="00A653F2"/>
    <w:rsid w:val="00A6645F"/>
    <w:rsid w:val="00A7006A"/>
    <w:rsid w:val="00A74DB6"/>
    <w:rsid w:val="00A76AC5"/>
    <w:rsid w:val="00A77BFD"/>
    <w:rsid w:val="00A8602A"/>
    <w:rsid w:val="00A91EE5"/>
    <w:rsid w:val="00AA0055"/>
    <w:rsid w:val="00AA0674"/>
    <w:rsid w:val="00AA1D0F"/>
    <w:rsid w:val="00AA3EA4"/>
    <w:rsid w:val="00AA6BDC"/>
    <w:rsid w:val="00AB204B"/>
    <w:rsid w:val="00AB43C5"/>
    <w:rsid w:val="00AC0426"/>
    <w:rsid w:val="00AC1A25"/>
    <w:rsid w:val="00AC4608"/>
    <w:rsid w:val="00AD3EE7"/>
    <w:rsid w:val="00AE3F92"/>
    <w:rsid w:val="00AE4ACE"/>
    <w:rsid w:val="00AE5708"/>
    <w:rsid w:val="00AF16EC"/>
    <w:rsid w:val="00AF3D7C"/>
    <w:rsid w:val="00AF790E"/>
    <w:rsid w:val="00B00177"/>
    <w:rsid w:val="00B006B6"/>
    <w:rsid w:val="00B01898"/>
    <w:rsid w:val="00B06A5F"/>
    <w:rsid w:val="00B11C74"/>
    <w:rsid w:val="00B161BB"/>
    <w:rsid w:val="00B220FC"/>
    <w:rsid w:val="00B24F3D"/>
    <w:rsid w:val="00B37569"/>
    <w:rsid w:val="00B47214"/>
    <w:rsid w:val="00B47831"/>
    <w:rsid w:val="00B4783B"/>
    <w:rsid w:val="00B51B32"/>
    <w:rsid w:val="00B64BF4"/>
    <w:rsid w:val="00B64C31"/>
    <w:rsid w:val="00B65BC6"/>
    <w:rsid w:val="00B663CA"/>
    <w:rsid w:val="00B74190"/>
    <w:rsid w:val="00B767B0"/>
    <w:rsid w:val="00B8095E"/>
    <w:rsid w:val="00B83CB2"/>
    <w:rsid w:val="00B92E13"/>
    <w:rsid w:val="00B968EA"/>
    <w:rsid w:val="00BA2526"/>
    <w:rsid w:val="00BA6244"/>
    <w:rsid w:val="00BA65E5"/>
    <w:rsid w:val="00BB61A3"/>
    <w:rsid w:val="00BB7340"/>
    <w:rsid w:val="00BC2ABD"/>
    <w:rsid w:val="00BC3251"/>
    <w:rsid w:val="00BC6BF8"/>
    <w:rsid w:val="00BD189A"/>
    <w:rsid w:val="00BD2066"/>
    <w:rsid w:val="00BE24B2"/>
    <w:rsid w:val="00BF090C"/>
    <w:rsid w:val="00BF753E"/>
    <w:rsid w:val="00C022A1"/>
    <w:rsid w:val="00C02969"/>
    <w:rsid w:val="00C03E64"/>
    <w:rsid w:val="00C06A0D"/>
    <w:rsid w:val="00C1360C"/>
    <w:rsid w:val="00C1692B"/>
    <w:rsid w:val="00C209EA"/>
    <w:rsid w:val="00C215EB"/>
    <w:rsid w:val="00C2313D"/>
    <w:rsid w:val="00C270C5"/>
    <w:rsid w:val="00C309D2"/>
    <w:rsid w:val="00C30B96"/>
    <w:rsid w:val="00C30CBC"/>
    <w:rsid w:val="00C332C2"/>
    <w:rsid w:val="00C33C2F"/>
    <w:rsid w:val="00C340E3"/>
    <w:rsid w:val="00C34842"/>
    <w:rsid w:val="00C34D3C"/>
    <w:rsid w:val="00C36AA4"/>
    <w:rsid w:val="00C4048D"/>
    <w:rsid w:val="00C44BAE"/>
    <w:rsid w:val="00C46ABE"/>
    <w:rsid w:val="00C478FB"/>
    <w:rsid w:val="00C52D30"/>
    <w:rsid w:val="00C53BEF"/>
    <w:rsid w:val="00C53F7C"/>
    <w:rsid w:val="00C55E46"/>
    <w:rsid w:val="00C563C0"/>
    <w:rsid w:val="00C60B83"/>
    <w:rsid w:val="00C633C1"/>
    <w:rsid w:val="00C72932"/>
    <w:rsid w:val="00C8182A"/>
    <w:rsid w:val="00C851F3"/>
    <w:rsid w:val="00CA01C7"/>
    <w:rsid w:val="00CA0581"/>
    <w:rsid w:val="00CA3C92"/>
    <w:rsid w:val="00CA5F4C"/>
    <w:rsid w:val="00CB2D37"/>
    <w:rsid w:val="00CB4439"/>
    <w:rsid w:val="00CC0CC6"/>
    <w:rsid w:val="00CC5B66"/>
    <w:rsid w:val="00CC5F3C"/>
    <w:rsid w:val="00CC6398"/>
    <w:rsid w:val="00CC653E"/>
    <w:rsid w:val="00CC6EDC"/>
    <w:rsid w:val="00CD05AB"/>
    <w:rsid w:val="00CD0AB5"/>
    <w:rsid w:val="00CD4153"/>
    <w:rsid w:val="00CD5BEC"/>
    <w:rsid w:val="00CE29BE"/>
    <w:rsid w:val="00CE3AB9"/>
    <w:rsid w:val="00CE3E20"/>
    <w:rsid w:val="00CE5066"/>
    <w:rsid w:val="00CF06FC"/>
    <w:rsid w:val="00CF1388"/>
    <w:rsid w:val="00CF45AB"/>
    <w:rsid w:val="00CF5773"/>
    <w:rsid w:val="00D075DD"/>
    <w:rsid w:val="00D134EC"/>
    <w:rsid w:val="00D24B61"/>
    <w:rsid w:val="00D24E96"/>
    <w:rsid w:val="00D336E4"/>
    <w:rsid w:val="00D35800"/>
    <w:rsid w:val="00D36FA6"/>
    <w:rsid w:val="00D40B05"/>
    <w:rsid w:val="00D4599B"/>
    <w:rsid w:val="00D463D4"/>
    <w:rsid w:val="00D475AC"/>
    <w:rsid w:val="00D47E41"/>
    <w:rsid w:val="00D505CC"/>
    <w:rsid w:val="00D51311"/>
    <w:rsid w:val="00D565E2"/>
    <w:rsid w:val="00D606D5"/>
    <w:rsid w:val="00D61F0F"/>
    <w:rsid w:val="00D62FAA"/>
    <w:rsid w:val="00D7034F"/>
    <w:rsid w:val="00D73D19"/>
    <w:rsid w:val="00D73EE9"/>
    <w:rsid w:val="00D81443"/>
    <w:rsid w:val="00D85FBA"/>
    <w:rsid w:val="00D8609A"/>
    <w:rsid w:val="00D9132D"/>
    <w:rsid w:val="00D917ED"/>
    <w:rsid w:val="00D9220C"/>
    <w:rsid w:val="00D927EB"/>
    <w:rsid w:val="00D94FEE"/>
    <w:rsid w:val="00D95399"/>
    <w:rsid w:val="00D95C93"/>
    <w:rsid w:val="00DB241F"/>
    <w:rsid w:val="00DB452C"/>
    <w:rsid w:val="00DB74AE"/>
    <w:rsid w:val="00DB7B5E"/>
    <w:rsid w:val="00DC1C17"/>
    <w:rsid w:val="00DC4462"/>
    <w:rsid w:val="00DD419A"/>
    <w:rsid w:val="00DE7EC8"/>
    <w:rsid w:val="00DF3F7A"/>
    <w:rsid w:val="00DF6947"/>
    <w:rsid w:val="00E0078B"/>
    <w:rsid w:val="00E17028"/>
    <w:rsid w:val="00E2322F"/>
    <w:rsid w:val="00E23564"/>
    <w:rsid w:val="00E2654F"/>
    <w:rsid w:val="00E26E57"/>
    <w:rsid w:val="00E27996"/>
    <w:rsid w:val="00E447F3"/>
    <w:rsid w:val="00E4580D"/>
    <w:rsid w:val="00E51540"/>
    <w:rsid w:val="00E63CC9"/>
    <w:rsid w:val="00E71856"/>
    <w:rsid w:val="00E719C3"/>
    <w:rsid w:val="00E7364C"/>
    <w:rsid w:val="00E7422D"/>
    <w:rsid w:val="00E825B0"/>
    <w:rsid w:val="00E82AFE"/>
    <w:rsid w:val="00E82BCA"/>
    <w:rsid w:val="00E83F65"/>
    <w:rsid w:val="00E87BE8"/>
    <w:rsid w:val="00E94791"/>
    <w:rsid w:val="00E9629B"/>
    <w:rsid w:val="00EA0125"/>
    <w:rsid w:val="00EB3C0C"/>
    <w:rsid w:val="00EC3E9F"/>
    <w:rsid w:val="00ED3072"/>
    <w:rsid w:val="00ED4248"/>
    <w:rsid w:val="00EE1E88"/>
    <w:rsid w:val="00EE5DEE"/>
    <w:rsid w:val="00EF0F0B"/>
    <w:rsid w:val="00F040CC"/>
    <w:rsid w:val="00F04A03"/>
    <w:rsid w:val="00F16360"/>
    <w:rsid w:val="00F1693F"/>
    <w:rsid w:val="00F16FF7"/>
    <w:rsid w:val="00F34518"/>
    <w:rsid w:val="00F34DBE"/>
    <w:rsid w:val="00F43F39"/>
    <w:rsid w:val="00F45C37"/>
    <w:rsid w:val="00F4621F"/>
    <w:rsid w:val="00F56ACA"/>
    <w:rsid w:val="00F5772C"/>
    <w:rsid w:val="00F57F0B"/>
    <w:rsid w:val="00F61CD6"/>
    <w:rsid w:val="00F62603"/>
    <w:rsid w:val="00F65A38"/>
    <w:rsid w:val="00F66F6C"/>
    <w:rsid w:val="00F67983"/>
    <w:rsid w:val="00F712EE"/>
    <w:rsid w:val="00F861E3"/>
    <w:rsid w:val="00F86CA8"/>
    <w:rsid w:val="00F86F6B"/>
    <w:rsid w:val="00F90503"/>
    <w:rsid w:val="00F92EC8"/>
    <w:rsid w:val="00F973A7"/>
    <w:rsid w:val="00F975E3"/>
    <w:rsid w:val="00F97C18"/>
    <w:rsid w:val="00FB3585"/>
    <w:rsid w:val="00FB4C3F"/>
    <w:rsid w:val="00FC6126"/>
    <w:rsid w:val="00FD1838"/>
    <w:rsid w:val="00FD3564"/>
    <w:rsid w:val="00FD54ED"/>
    <w:rsid w:val="00FE2D88"/>
    <w:rsid w:val="00FE6308"/>
    <w:rsid w:val="00FE7E5B"/>
    <w:rsid w:val="00FF5479"/>
    <w:rsid w:val="00FF7443"/>
    <w:rsid w:val="76F986D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DE07"/>
  <w15:chartTrackingRefBased/>
  <w15:docId w15:val="{8134CDAB-BC6D-4287-B31F-B45EE87D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C6"/>
    <w:rPr>
      <w:rFonts w:eastAsiaTheme="majorEastAsia" w:cstheme="majorBidi"/>
      <w:color w:val="272727" w:themeColor="text1" w:themeTint="D8"/>
    </w:rPr>
  </w:style>
  <w:style w:type="paragraph" w:styleId="Title">
    <w:name w:val="Title"/>
    <w:basedOn w:val="Normal"/>
    <w:next w:val="Normal"/>
    <w:link w:val="TitleChar"/>
    <w:uiPriority w:val="10"/>
    <w:qFormat/>
    <w:rsid w:val="008C4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C6"/>
    <w:pPr>
      <w:spacing w:before="160"/>
      <w:jc w:val="center"/>
    </w:pPr>
    <w:rPr>
      <w:i/>
      <w:iCs/>
      <w:color w:val="404040" w:themeColor="text1" w:themeTint="BF"/>
    </w:rPr>
  </w:style>
  <w:style w:type="character" w:customStyle="1" w:styleId="QuoteChar">
    <w:name w:val="Quote Char"/>
    <w:basedOn w:val="DefaultParagraphFont"/>
    <w:link w:val="Quote"/>
    <w:uiPriority w:val="29"/>
    <w:rsid w:val="008C48C6"/>
    <w:rPr>
      <w:i/>
      <w:iCs/>
      <w:color w:val="404040" w:themeColor="text1" w:themeTint="BF"/>
    </w:rPr>
  </w:style>
  <w:style w:type="paragraph" w:styleId="ListParagraph">
    <w:name w:val="List Paragraph"/>
    <w:basedOn w:val="Normal"/>
    <w:uiPriority w:val="34"/>
    <w:qFormat/>
    <w:rsid w:val="008C48C6"/>
    <w:pPr>
      <w:ind w:left="720"/>
      <w:contextualSpacing/>
    </w:pPr>
  </w:style>
  <w:style w:type="character" w:styleId="IntenseEmphasis">
    <w:name w:val="Intense Emphasis"/>
    <w:basedOn w:val="DefaultParagraphFont"/>
    <w:uiPriority w:val="21"/>
    <w:qFormat/>
    <w:rsid w:val="008C48C6"/>
    <w:rPr>
      <w:i/>
      <w:iCs/>
      <w:color w:val="0F4761" w:themeColor="accent1" w:themeShade="BF"/>
    </w:rPr>
  </w:style>
  <w:style w:type="paragraph" w:styleId="IntenseQuote">
    <w:name w:val="Intense Quote"/>
    <w:basedOn w:val="Normal"/>
    <w:next w:val="Normal"/>
    <w:link w:val="IntenseQuoteChar"/>
    <w:uiPriority w:val="30"/>
    <w:qFormat/>
    <w:rsid w:val="008C4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8C6"/>
    <w:rPr>
      <w:i/>
      <w:iCs/>
      <w:color w:val="0F4761" w:themeColor="accent1" w:themeShade="BF"/>
    </w:rPr>
  </w:style>
  <w:style w:type="character" w:styleId="IntenseReference">
    <w:name w:val="Intense Reference"/>
    <w:basedOn w:val="DefaultParagraphFont"/>
    <w:uiPriority w:val="32"/>
    <w:qFormat/>
    <w:rsid w:val="008C48C6"/>
    <w:rPr>
      <w:b/>
      <w:bCs/>
      <w:smallCaps/>
      <w:color w:val="0F4761" w:themeColor="accent1" w:themeShade="BF"/>
      <w:spacing w:val="5"/>
    </w:rPr>
  </w:style>
  <w:style w:type="paragraph" w:styleId="NoSpacing">
    <w:name w:val="No Spacing"/>
    <w:uiPriority w:val="1"/>
    <w:qFormat/>
    <w:rsid w:val="00EE1E88"/>
    <w:pPr>
      <w:spacing w:after="0" w:line="240" w:lineRule="auto"/>
    </w:pPr>
    <w:rPr>
      <w:rFonts w:ascii="Verdana" w:hAnsi="Verdana"/>
      <w:sz w:val="18"/>
    </w:rPr>
  </w:style>
  <w:style w:type="paragraph" w:styleId="FootnoteText">
    <w:name w:val="footnote text"/>
    <w:basedOn w:val="Normal"/>
    <w:link w:val="FootnoteTextChar"/>
    <w:uiPriority w:val="99"/>
    <w:semiHidden/>
    <w:unhideWhenUsed/>
    <w:rsid w:val="00237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6FA"/>
    <w:rPr>
      <w:sz w:val="20"/>
      <w:szCs w:val="20"/>
    </w:rPr>
  </w:style>
  <w:style w:type="character" w:styleId="FootnoteReference">
    <w:name w:val="footnote reference"/>
    <w:basedOn w:val="DefaultParagraphFont"/>
    <w:uiPriority w:val="99"/>
    <w:semiHidden/>
    <w:unhideWhenUsed/>
    <w:rsid w:val="002376FA"/>
    <w:rPr>
      <w:vertAlign w:val="superscript"/>
    </w:rPr>
  </w:style>
  <w:style w:type="character" w:styleId="CommentReference">
    <w:name w:val="annotation reference"/>
    <w:basedOn w:val="DefaultParagraphFont"/>
    <w:uiPriority w:val="99"/>
    <w:semiHidden/>
    <w:unhideWhenUsed/>
    <w:rsid w:val="002E550D"/>
    <w:rPr>
      <w:sz w:val="16"/>
      <w:szCs w:val="16"/>
    </w:rPr>
  </w:style>
  <w:style w:type="paragraph" w:styleId="CommentText">
    <w:name w:val="annotation text"/>
    <w:basedOn w:val="Normal"/>
    <w:link w:val="CommentTextChar"/>
    <w:uiPriority w:val="99"/>
    <w:unhideWhenUsed/>
    <w:rsid w:val="002E550D"/>
    <w:pPr>
      <w:spacing w:line="240" w:lineRule="auto"/>
    </w:pPr>
    <w:rPr>
      <w:sz w:val="20"/>
      <w:szCs w:val="20"/>
    </w:rPr>
  </w:style>
  <w:style w:type="character" w:customStyle="1" w:styleId="CommentTextChar">
    <w:name w:val="Comment Text Char"/>
    <w:basedOn w:val="DefaultParagraphFont"/>
    <w:link w:val="CommentText"/>
    <w:uiPriority w:val="99"/>
    <w:rsid w:val="002E550D"/>
    <w:rPr>
      <w:sz w:val="20"/>
      <w:szCs w:val="20"/>
    </w:rPr>
  </w:style>
  <w:style w:type="paragraph" w:styleId="CommentSubject">
    <w:name w:val="annotation subject"/>
    <w:basedOn w:val="CommentText"/>
    <w:next w:val="CommentText"/>
    <w:link w:val="CommentSubjectChar"/>
    <w:uiPriority w:val="99"/>
    <w:semiHidden/>
    <w:unhideWhenUsed/>
    <w:rsid w:val="002E550D"/>
    <w:rPr>
      <w:b/>
      <w:bCs/>
    </w:rPr>
  </w:style>
  <w:style w:type="character" w:customStyle="1" w:styleId="CommentSubjectChar">
    <w:name w:val="Comment Subject Char"/>
    <w:basedOn w:val="CommentTextChar"/>
    <w:link w:val="CommentSubject"/>
    <w:uiPriority w:val="99"/>
    <w:semiHidden/>
    <w:rsid w:val="002E550D"/>
    <w:rPr>
      <w:b/>
      <w:bCs/>
      <w:sz w:val="20"/>
      <w:szCs w:val="20"/>
    </w:rPr>
  </w:style>
  <w:style w:type="paragraph" w:styleId="NormalWeb">
    <w:name w:val="Normal (Web)"/>
    <w:basedOn w:val="Normal"/>
    <w:uiPriority w:val="99"/>
    <w:semiHidden/>
    <w:unhideWhenUsed/>
    <w:rsid w:val="002E550D"/>
    <w:rPr>
      <w:rFonts w:ascii="Times New Roman" w:hAnsi="Times New Roman" w:cs="Times New Roman"/>
    </w:rPr>
  </w:style>
  <w:style w:type="character" w:styleId="Hyperlink">
    <w:name w:val="Hyperlink"/>
    <w:basedOn w:val="DefaultParagraphFont"/>
    <w:uiPriority w:val="99"/>
    <w:unhideWhenUsed/>
    <w:rsid w:val="00773076"/>
    <w:rPr>
      <w:color w:val="467886" w:themeColor="hyperlink"/>
      <w:u w:val="single"/>
    </w:rPr>
  </w:style>
  <w:style w:type="character" w:styleId="UnresolvedMention">
    <w:name w:val="Unresolved Mention"/>
    <w:basedOn w:val="DefaultParagraphFont"/>
    <w:uiPriority w:val="99"/>
    <w:semiHidden/>
    <w:unhideWhenUsed/>
    <w:rsid w:val="00773076"/>
    <w:rPr>
      <w:color w:val="605E5C"/>
      <w:shd w:val="clear" w:color="auto" w:fill="E1DFDD"/>
    </w:rPr>
  </w:style>
  <w:style w:type="table" w:styleId="TableGrid">
    <w:name w:val="Table Grid"/>
    <w:basedOn w:val="TableNormal"/>
    <w:uiPriority w:val="39"/>
    <w:rsid w:val="0089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3F7C"/>
    <w:pPr>
      <w:spacing w:after="0" w:line="240" w:lineRule="auto"/>
    </w:pPr>
  </w:style>
  <w:style w:type="paragraph" w:styleId="Header">
    <w:name w:val="header"/>
    <w:basedOn w:val="Normal"/>
    <w:link w:val="HeaderChar"/>
    <w:uiPriority w:val="99"/>
    <w:unhideWhenUsed/>
    <w:rsid w:val="00D917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7ED"/>
  </w:style>
  <w:style w:type="paragraph" w:styleId="Footer">
    <w:name w:val="footer"/>
    <w:basedOn w:val="Normal"/>
    <w:link w:val="FooterChar"/>
    <w:uiPriority w:val="99"/>
    <w:unhideWhenUsed/>
    <w:rsid w:val="00D917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7ED"/>
  </w:style>
  <w:style w:type="character" w:styleId="FollowedHyperlink">
    <w:name w:val="FollowedHyperlink"/>
    <w:basedOn w:val="DefaultParagraphFont"/>
    <w:uiPriority w:val="99"/>
    <w:semiHidden/>
    <w:unhideWhenUsed/>
    <w:rsid w:val="00CA3C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184">
      <w:bodyDiv w:val="1"/>
      <w:marLeft w:val="0"/>
      <w:marRight w:val="0"/>
      <w:marTop w:val="0"/>
      <w:marBottom w:val="0"/>
      <w:divBdr>
        <w:top w:val="none" w:sz="0" w:space="0" w:color="auto"/>
        <w:left w:val="none" w:sz="0" w:space="0" w:color="auto"/>
        <w:bottom w:val="none" w:sz="0" w:space="0" w:color="auto"/>
        <w:right w:val="none" w:sz="0" w:space="0" w:color="auto"/>
      </w:divBdr>
    </w:div>
    <w:div w:id="43141483">
      <w:bodyDiv w:val="1"/>
      <w:marLeft w:val="0"/>
      <w:marRight w:val="0"/>
      <w:marTop w:val="0"/>
      <w:marBottom w:val="0"/>
      <w:divBdr>
        <w:top w:val="none" w:sz="0" w:space="0" w:color="auto"/>
        <w:left w:val="none" w:sz="0" w:space="0" w:color="auto"/>
        <w:bottom w:val="none" w:sz="0" w:space="0" w:color="auto"/>
        <w:right w:val="none" w:sz="0" w:space="0" w:color="auto"/>
      </w:divBdr>
    </w:div>
    <w:div w:id="58212461">
      <w:bodyDiv w:val="1"/>
      <w:marLeft w:val="0"/>
      <w:marRight w:val="0"/>
      <w:marTop w:val="0"/>
      <w:marBottom w:val="0"/>
      <w:divBdr>
        <w:top w:val="none" w:sz="0" w:space="0" w:color="auto"/>
        <w:left w:val="none" w:sz="0" w:space="0" w:color="auto"/>
        <w:bottom w:val="none" w:sz="0" w:space="0" w:color="auto"/>
        <w:right w:val="none" w:sz="0" w:space="0" w:color="auto"/>
      </w:divBdr>
    </w:div>
    <w:div w:id="65494116">
      <w:bodyDiv w:val="1"/>
      <w:marLeft w:val="0"/>
      <w:marRight w:val="0"/>
      <w:marTop w:val="0"/>
      <w:marBottom w:val="0"/>
      <w:divBdr>
        <w:top w:val="none" w:sz="0" w:space="0" w:color="auto"/>
        <w:left w:val="none" w:sz="0" w:space="0" w:color="auto"/>
        <w:bottom w:val="none" w:sz="0" w:space="0" w:color="auto"/>
        <w:right w:val="none" w:sz="0" w:space="0" w:color="auto"/>
      </w:divBdr>
    </w:div>
    <w:div w:id="73089907">
      <w:bodyDiv w:val="1"/>
      <w:marLeft w:val="0"/>
      <w:marRight w:val="0"/>
      <w:marTop w:val="0"/>
      <w:marBottom w:val="0"/>
      <w:divBdr>
        <w:top w:val="none" w:sz="0" w:space="0" w:color="auto"/>
        <w:left w:val="none" w:sz="0" w:space="0" w:color="auto"/>
        <w:bottom w:val="none" w:sz="0" w:space="0" w:color="auto"/>
        <w:right w:val="none" w:sz="0" w:space="0" w:color="auto"/>
      </w:divBdr>
    </w:div>
    <w:div w:id="111368083">
      <w:bodyDiv w:val="1"/>
      <w:marLeft w:val="0"/>
      <w:marRight w:val="0"/>
      <w:marTop w:val="0"/>
      <w:marBottom w:val="0"/>
      <w:divBdr>
        <w:top w:val="none" w:sz="0" w:space="0" w:color="auto"/>
        <w:left w:val="none" w:sz="0" w:space="0" w:color="auto"/>
        <w:bottom w:val="none" w:sz="0" w:space="0" w:color="auto"/>
        <w:right w:val="none" w:sz="0" w:space="0" w:color="auto"/>
      </w:divBdr>
    </w:div>
    <w:div w:id="120148653">
      <w:bodyDiv w:val="1"/>
      <w:marLeft w:val="0"/>
      <w:marRight w:val="0"/>
      <w:marTop w:val="0"/>
      <w:marBottom w:val="0"/>
      <w:divBdr>
        <w:top w:val="none" w:sz="0" w:space="0" w:color="auto"/>
        <w:left w:val="none" w:sz="0" w:space="0" w:color="auto"/>
        <w:bottom w:val="none" w:sz="0" w:space="0" w:color="auto"/>
        <w:right w:val="none" w:sz="0" w:space="0" w:color="auto"/>
      </w:divBdr>
    </w:div>
    <w:div w:id="130944962">
      <w:bodyDiv w:val="1"/>
      <w:marLeft w:val="0"/>
      <w:marRight w:val="0"/>
      <w:marTop w:val="0"/>
      <w:marBottom w:val="0"/>
      <w:divBdr>
        <w:top w:val="none" w:sz="0" w:space="0" w:color="auto"/>
        <w:left w:val="none" w:sz="0" w:space="0" w:color="auto"/>
        <w:bottom w:val="none" w:sz="0" w:space="0" w:color="auto"/>
        <w:right w:val="none" w:sz="0" w:space="0" w:color="auto"/>
      </w:divBdr>
    </w:div>
    <w:div w:id="134489669">
      <w:bodyDiv w:val="1"/>
      <w:marLeft w:val="0"/>
      <w:marRight w:val="0"/>
      <w:marTop w:val="0"/>
      <w:marBottom w:val="0"/>
      <w:divBdr>
        <w:top w:val="none" w:sz="0" w:space="0" w:color="auto"/>
        <w:left w:val="none" w:sz="0" w:space="0" w:color="auto"/>
        <w:bottom w:val="none" w:sz="0" w:space="0" w:color="auto"/>
        <w:right w:val="none" w:sz="0" w:space="0" w:color="auto"/>
      </w:divBdr>
    </w:div>
    <w:div w:id="226305167">
      <w:bodyDiv w:val="1"/>
      <w:marLeft w:val="0"/>
      <w:marRight w:val="0"/>
      <w:marTop w:val="0"/>
      <w:marBottom w:val="0"/>
      <w:divBdr>
        <w:top w:val="none" w:sz="0" w:space="0" w:color="auto"/>
        <w:left w:val="none" w:sz="0" w:space="0" w:color="auto"/>
        <w:bottom w:val="none" w:sz="0" w:space="0" w:color="auto"/>
        <w:right w:val="none" w:sz="0" w:space="0" w:color="auto"/>
      </w:divBdr>
    </w:div>
    <w:div w:id="226382016">
      <w:bodyDiv w:val="1"/>
      <w:marLeft w:val="0"/>
      <w:marRight w:val="0"/>
      <w:marTop w:val="0"/>
      <w:marBottom w:val="0"/>
      <w:divBdr>
        <w:top w:val="none" w:sz="0" w:space="0" w:color="auto"/>
        <w:left w:val="none" w:sz="0" w:space="0" w:color="auto"/>
        <w:bottom w:val="none" w:sz="0" w:space="0" w:color="auto"/>
        <w:right w:val="none" w:sz="0" w:space="0" w:color="auto"/>
      </w:divBdr>
    </w:div>
    <w:div w:id="255284048">
      <w:bodyDiv w:val="1"/>
      <w:marLeft w:val="0"/>
      <w:marRight w:val="0"/>
      <w:marTop w:val="0"/>
      <w:marBottom w:val="0"/>
      <w:divBdr>
        <w:top w:val="none" w:sz="0" w:space="0" w:color="auto"/>
        <w:left w:val="none" w:sz="0" w:space="0" w:color="auto"/>
        <w:bottom w:val="none" w:sz="0" w:space="0" w:color="auto"/>
        <w:right w:val="none" w:sz="0" w:space="0" w:color="auto"/>
      </w:divBdr>
    </w:div>
    <w:div w:id="271791312">
      <w:bodyDiv w:val="1"/>
      <w:marLeft w:val="0"/>
      <w:marRight w:val="0"/>
      <w:marTop w:val="0"/>
      <w:marBottom w:val="0"/>
      <w:divBdr>
        <w:top w:val="none" w:sz="0" w:space="0" w:color="auto"/>
        <w:left w:val="none" w:sz="0" w:space="0" w:color="auto"/>
        <w:bottom w:val="none" w:sz="0" w:space="0" w:color="auto"/>
        <w:right w:val="none" w:sz="0" w:space="0" w:color="auto"/>
      </w:divBdr>
    </w:div>
    <w:div w:id="284653781">
      <w:bodyDiv w:val="1"/>
      <w:marLeft w:val="0"/>
      <w:marRight w:val="0"/>
      <w:marTop w:val="0"/>
      <w:marBottom w:val="0"/>
      <w:divBdr>
        <w:top w:val="none" w:sz="0" w:space="0" w:color="auto"/>
        <w:left w:val="none" w:sz="0" w:space="0" w:color="auto"/>
        <w:bottom w:val="none" w:sz="0" w:space="0" w:color="auto"/>
        <w:right w:val="none" w:sz="0" w:space="0" w:color="auto"/>
      </w:divBdr>
    </w:div>
    <w:div w:id="289555402">
      <w:bodyDiv w:val="1"/>
      <w:marLeft w:val="0"/>
      <w:marRight w:val="0"/>
      <w:marTop w:val="0"/>
      <w:marBottom w:val="0"/>
      <w:divBdr>
        <w:top w:val="none" w:sz="0" w:space="0" w:color="auto"/>
        <w:left w:val="none" w:sz="0" w:space="0" w:color="auto"/>
        <w:bottom w:val="none" w:sz="0" w:space="0" w:color="auto"/>
        <w:right w:val="none" w:sz="0" w:space="0" w:color="auto"/>
      </w:divBdr>
    </w:div>
    <w:div w:id="301470516">
      <w:bodyDiv w:val="1"/>
      <w:marLeft w:val="0"/>
      <w:marRight w:val="0"/>
      <w:marTop w:val="0"/>
      <w:marBottom w:val="0"/>
      <w:divBdr>
        <w:top w:val="none" w:sz="0" w:space="0" w:color="auto"/>
        <w:left w:val="none" w:sz="0" w:space="0" w:color="auto"/>
        <w:bottom w:val="none" w:sz="0" w:space="0" w:color="auto"/>
        <w:right w:val="none" w:sz="0" w:space="0" w:color="auto"/>
      </w:divBdr>
    </w:div>
    <w:div w:id="343633918">
      <w:bodyDiv w:val="1"/>
      <w:marLeft w:val="0"/>
      <w:marRight w:val="0"/>
      <w:marTop w:val="0"/>
      <w:marBottom w:val="0"/>
      <w:divBdr>
        <w:top w:val="none" w:sz="0" w:space="0" w:color="auto"/>
        <w:left w:val="none" w:sz="0" w:space="0" w:color="auto"/>
        <w:bottom w:val="none" w:sz="0" w:space="0" w:color="auto"/>
        <w:right w:val="none" w:sz="0" w:space="0" w:color="auto"/>
      </w:divBdr>
    </w:div>
    <w:div w:id="345905371">
      <w:bodyDiv w:val="1"/>
      <w:marLeft w:val="0"/>
      <w:marRight w:val="0"/>
      <w:marTop w:val="0"/>
      <w:marBottom w:val="0"/>
      <w:divBdr>
        <w:top w:val="none" w:sz="0" w:space="0" w:color="auto"/>
        <w:left w:val="none" w:sz="0" w:space="0" w:color="auto"/>
        <w:bottom w:val="none" w:sz="0" w:space="0" w:color="auto"/>
        <w:right w:val="none" w:sz="0" w:space="0" w:color="auto"/>
      </w:divBdr>
    </w:div>
    <w:div w:id="346254392">
      <w:bodyDiv w:val="1"/>
      <w:marLeft w:val="0"/>
      <w:marRight w:val="0"/>
      <w:marTop w:val="0"/>
      <w:marBottom w:val="0"/>
      <w:divBdr>
        <w:top w:val="none" w:sz="0" w:space="0" w:color="auto"/>
        <w:left w:val="none" w:sz="0" w:space="0" w:color="auto"/>
        <w:bottom w:val="none" w:sz="0" w:space="0" w:color="auto"/>
        <w:right w:val="none" w:sz="0" w:space="0" w:color="auto"/>
      </w:divBdr>
    </w:div>
    <w:div w:id="346256806">
      <w:bodyDiv w:val="1"/>
      <w:marLeft w:val="0"/>
      <w:marRight w:val="0"/>
      <w:marTop w:val="0"/>
      <w:marBottom w:val="0"/>
      <w:divBdr>
        <w:top w:val="none" w:sz="0" w:space="0" w:color="auto"/>
        <w:left w:val="none" w:sz="0" w:space="0" w:color="auto"/>
        <w:bottom w:val="none" w:sz="0" w:space="0" w:color="auto"/>
        <w:right w:val="none" w:sz="0" w:space="0" w:color="auto"/>
      </w:divBdr>
    </w:div>
    <w:div w:id="353465466">
      <w:bodyDiv w:val="1"/>
      <w:marLeft w:val="0"/>
      <w:marRight w:val="0"/>
      <w:marTop w:val="0"/>
      <w:marBottom w:val="0"/>
      <w:divBdr>
        <w:top w:val="none" w:sz="0" w:space="0" w:color="auto"/>
        <w:left w:val="none" w:sz="0" w:space="0" w:color="auto"/>
        <w:bottom w:val="none" w:sz="0" w:space="0" w:color="auto"/>
        <w:right w:val="none" w:sz="0" w:space="0" w:color="auto"/>
      </w:divBdr>
    </w:div>
    <w:div w:id="358317200">
      <w:bodyDiv w:val="1"/>
      <w:marLeft w:val="0"/>
      <w:marRight w:val="0"/>
      <w:marTop w:val="0"/>
      <w:marBottom w:val="0"/>
      <w:divBdr>
        <w:top w:val="none" w:sz="0" w:space="0" w:color="auto"/>
        <w:left w:val="none" w:sz="0" w:space="0" w:color="auto"/>
        <w:bottom w:val="none" w:sz="0" w:space="0" w:color="auto"/>
        <w:right w:val="none" w:sz="0" w:space="0" w:color="auto"/>
      </w:divBdr>
    </w:div>
    <w:div w:id="374307256">
      <w:bodyDiv w:val="1"/>
      <w:marLeft w:val="0"/>
      <w:marRight w:val="0"/>
      <w:marTop w:val="0"/>
      <w:marBottom w:val="0"/>
      <w:divBdr>
        <w:top w:val="none" w:sz="0" w:space="0" w:color="auto"/>
        <w:left w:val="none" w:sz="0" w:space="0" w:color="auto"/>
        <w:bottom w:val="none" w:sz="0" w:space="0" w:color="auto"/>
        <w:right w:val="none" w:sz="0" w:space="0" w:color="auto"/>
      </w:divBdr>
    </w:div>
    <w:div w:id="414978125">
      <w:bodyDiv w:val="1"/>
      <w:marLeft w:val="0"/>
      <w:marRight w:val="0"/>
      <w:marTop w:val="0"/>
      <w:marBottom w:val="0"/>
      <w:divBdr>
        <w:top w:val="none" w:sz="0" w:space="0" w:color="auto"/>
        <w:left w:val="none" w:sz="0" w:space="0" w:color="auto"/>
        <w:bottom w:val="none" w:sz="0" w:space="0" w:color="auto"/>
        <w:right w:val="none" w:sz="0" w:space="0" w:color="auto"/>
      </w:divBdr>
    </w:div>
    <w:div w:id="490753661">
      <w:bodyDiv w:val="1"/>
      <w:marLeft w:val="0"/>
      <w:marRight w:val="0"/>
      <w:marTop w:val="0"/>
      <w:marBottom w:val="0"/>
      <w:divBdr>
        <w:top w:val="none" w:sz="0" w:space="0" w:color="auto"/>
        <w:left w:val="none" w:sz="0" w:space="0" w:color="auto"/>
        <w:bottom w:val="none" w:sz="0" w:space="0" w:color="auto"/>
        <w:right w:val="none" w:sz="0" w:space="0" w:color="auto"/>
      </w:divBdr>
    </w:div>
    <w:div w:id="500510685">
      <w:bodyDiv w:val="1"/>
      <w:marLeft w:val="0"/>
      <w:marRight w:val="0"/>
      <w:marTop w:val="0"/>
      <w:marBottom w:val="0"/>
      <w:divBdr>
        <w:top w:val="none" w:sz="0" w:space="0" w:color="auto"/>
        <w:left w:val="none" w:sz="0" w:space="0" w:color="auto"/>
        <w:bottom w:val="none" w:sz="0" w:space="0" w:color="auto"/>
        <w:right w:val="none" w:sz="0" w:space="0" w:color="auto"/>
      </w:divBdr>
    </w:div>
    <w:div w:id="514344598">
      <w:bodyDiv w:val="1"/>
      <w:marLeft w:val="0"/>
      <w:marRight w:val="0"/>
      <w:marTop w:val="0"/>
      <w:marBottom w:val="0"/>
      <w:divBdr>
        <w:top w:val="none" w:sz="0" w:space="0" w:color="auto"/>
        <w:left w:val="none" w:sz="0" w:space="0" w:color="auto"/>
        <w:bottom w:val="none" w:sz="0" w:space="0" w:color="auto"/>
        <w:right w:val="none" w:sz="0" w:space="0" w:color="auto"/>
      </w:divBdr>
    </w:div>
    <w:div w:id="528035548">
      <w:bodyDiv w:val="1"/>
      <w:marLeft w:val="0"/>
      <w:marRight w:val="0"/>
      <w:marTop w:val="0"/>
      <w:marBottom w:val="0"/>
      <w:divBdr>
        <w:top w:val="none" w:sz="0" w:space="0" w:color="auto"/>
        <w:left w:val="none" w:sz="0" w:space="0" w:color="auto"/>
        <w:bottom w:val="none" w:sz="0" w:space="0" w:color="auto"/>
        <w:right w:val="none" w:sz="0" w:space="0" w:color="auto"/>
      </w:divBdr>
    </w:div>
    <w:div w:id="546717898">
      <w:bodyDiv w:val="1"/>
      <w:marLeft w:val="0"/>
      <w:marRight w:val="0"/>
      <w:marTop w:val="0"/>
      <w:marBottom w:val="0"/>
      <w:divBdr>
        <w:top w:val="none" w:sz="0" w:space="0" w:color="auto"/>
        <w:left w:val="none" w:sz="0" w:space="0" w:color="auto"/>
        <w:bottom w:val="none" w:sz="0" w:space="0" w:color="auto"/>
        <w:right w:val="none" w:sz="0" w:space="0" w:color="auto"/>
      </w:divBdr>
    </w:div>
    <w:div w:id="554203262">
      <w:bodyDiv w:val="1"/>
      <w:marLeft w:val="0"/>
      <w:marRight w:val="0"/>
      <w:marTop w:val="0"/>
      <w:marBottom w:val="0"/>
      <w:divBdr>
        <w:top w:val="none" w:sz="0" w:space="0" w:color="auto"/>
        <w:left w:val="none" w:sz="0" w:space="0" w:color="auto"/>
        <w:bottom w:val="none" w:sz="0" w:space="0" w:color="auto"/>
        <w:right w:val="none" w:sz="0" w:space="0" w:color="auto"/>
      </w:divBdr>
    </w:div>
    <w:div w:id="556281494">
      <w:bodyDiv w:val="1"/>
      <w:marLeft w:val="0"/>
      <w:marRight w:val="0"/>
      <w:marTop w:val="0"/>
      <w:marBottom w:val="0"/>
      <w:divBdr>
        <w:top w:val="none" w:sz="0" w:space="0" w:color="auto"/>
        <w:left w:val="none" w:sz="0" w:space="0" w:color="auto"/>
        <w:bottom w:val="none" w:sz="0" w:space="0" w:color="auto"/>
        <w:right w:val="none" w:sz="0" w:space="0" w:color="auto"/>
      </w:divBdr>
    </w:div>
    <w:div w:id="575822756">
      <w:bodyDiv w:val="1"/>
      <w:marLeft w:val="0"/>
      <w:marRight w:val="0"/>
      <w:marTop w:val="0"/>
      <w:marBottom w:val="0"/>
      <w:divBdr>
        <w:top w:val="none" w:sz="0" w:space="0" w:color="auto"/>
        <w:left w:val="none" w:sz="0" w:space="0" w:color="auto"/>
        <w:bottom w:val="none" w:sz="0" w:space="0" w:color="auto"/>
        <w:right w:val="none" w:sz="0" w:space="0" w:color="auto"/>
      </w:divBdr>
    </w:div>
    <w:div w:id="593319588">
      <w:bodyDiv w:val="1"/>
      <w:marLeft w:val="0"/>
      <w:marRight w:val="0"/>
      <w:marTop w:val="0"/>
      <w:marBottom w:val="0"/>
      <w:divBdr>
        <w:top w:val="none" w:sz="0" w:space="0" w:color="auto"/>
        <w:left w:val="none" w:sz="0" w:space="0" w:color="auto"/>
        <w:bottom w:val="none" w:sz="0" w:space="0" w:color="auto"/>
        <w:right w:val="none" w:sz="0" w:space="0" w:color="auto"/>
      </w:divBdr>
    </w:div>
    <w:div w:id="617570605">
      <w:bodyDiv w:val="1"/>
      <w:marLeft w:val="0"/>
      <w:marRight w:val="0"/>
      <w:marTop w:val="0"/>
      <w:marBottom w:val="0"/>
      <w:divBdr>
        <w:top w:val="none" w:sz="0" w:space="0" w:color="auto"/>
        <w:left w:val="none" w:sz="0" w:space="0" w:color="auto"/>
        <w:bottom w:val="none" w:sz="0" w:space="0" w:color="auto"/>
        <w:right w:val="none" w:sz="0" w:space="0" w:color="auto"/>
      </w:divBdr>
    </w:div>
    <w:div w:id="618881515">
      <w:bodyDiv w:val="1"/>
      <w:marLeft w:val="0"/>
      <w:marRight w:val="0"/>
      <w:marTop w:val="0"/>
      <w:marBottom w:val="0"/>
      <w:divBdr>
        <w:top w:val="none" w:sz="0" w:space="0" w:color="auto"/>
        <w:left w:val="none" w:sz="0" w:space="0" w:color="auto"/>
        <w:bottom w:val="none" w:sz="0" w:space="0" w:color="auto"/>
        <w:right w:val="none" w:sz="0" w:space="0" w:color="auto"/>
      </w:divBdr>
    </w:div>
    <w:div w:id="657340962">
      <w:bodyDiv w:val="1"/>
      <w:marLeft w:val="0"/>
      <w:marRight w:val="0"/>
      <w:marTop w:val="0"/>
      <w:marBottom w:val="0"/>
      <w:divBdr>
        <w:top w:val="none" w:sz="0" w:space="0" w:color="auto"/>
        <w:left w:val="none" w:sz="0" w:space="0" w:color="auto"/>
        <w:bottom w:val="none" w:sz="0" w:space="0" w:color="auto"/>
        <w:right w:val="none" w:sz="0" w:space="0" w:color="auto"/>
      </w:divBdr>
    </w:div>
    <w:div w:id="663584742">
      <w:bodyDiv w:val="1"/>
      <w:marLeft w:val="0"/>
      <w:marRight w:val="0"/>
      <w:marTop w:val="0"/>
      <w:marBottom w:val="0"/>
      <w:divBdr>
        <w:top w:val="none" w:sz="0" w:space="0" w:color="auto"/>
        <w:left w:val="none" w:sz="0" w:space="0" w:color="auto"/>
        <w:bottom w:val="none" w:sz="0" w:space="0" w:color="auto"/>
        <w:right w:val="none" w:sz="0" w:space="0" w:color="auto"/>
      </w:divBdr>
    </w:div>
    <w:div w:id="703948408">
      <w:bodyDiv w:val="1"/>
      <w:marLeft w:val="0"/>
      <w:marRight w:val="0"/>
      <w:marTop w:val="0"/>
      <w:marBottom w:val="0"/>
      <w:divBdr>
        <w:top w:val="none" w:sz="0" w:space="0" w:color="auto"/>
        <w:left w:val="none" w:sz="0" w:space="0" w:color="auto"/>
        <w:bottom w:val="none" w:sz="0" w:space="0" w:color="auto"/>
        <w:right w:val="none" w:sz="0" w:space="0" w:color="auto"/>
      </w:divBdr>
    </w:div>
    <w:div w:id="709308224">
      <w:bodyDiv w:val="1"/>
      <w:marLeft w:val="0"/>
      <w:marRight w:val="0"/>
      <w:marTop w:val="0"/>
      <w:marBottom w:val="0"/>
      <w:divBdr>
        <w:top w:val="none" w:sz="0" w:space="0" w:color="auto"/>
        <w:left w:val="none" w:sz="0" w:space="0" w:color="auto"/>
        <w:bottom w:val="none" w:sz="0" w:space="0" w:color="auto"/>
        <w:right w:val="none" w:sz="0" w:space="0" w:color="auto"/>
      </w:divBdr>
    </w:div>
    <w:div w:id="732967102">
      <w:bodyDiv w:val="1"/>
      <w:marLeft w:val="0"/>
      <w:marRight w:val="0"/>
      <w:marTop w:val="0"/>
      <w:marBottom w:val="0"/>
      <w:divBdr>
        <w:top w:val="none" w:sz="0" w:space="0" w:color="auto"/>
        <w:left w:val="none" w:sz="0" w:space="0" w:color="auto"/>
        <w:bottom w:val="none" w:sz="0" w:space="0" w:color="auto"/>
        <w:right w:val="none" w:sz="0" w:space="0" w:color="auto"/>
      </w:divBdr>
    </w:div>
    <w:div w:id="746800749">
      <w:bodyDiv w:val="1"/>
      <w:marLeft w:val="0"/>
      <w:marRight w:val="0"/>
      <w:marTop w:val="0"/>
      <w:marBottom w:val="0"/>
      <w:divBdr>
        <w:top w:val="none" w:sz="0" w:space="0" w:color="auto"/>
        <w:left w:val="none" w:sz="0" w:space="0" w:color="auto"/>
        <w:bottom w:val="none" w:sz="0" w:space="0" w:color="auto"/>
        <w:right w:val="none" w:sz="0" w:space="0" w:color="auto"/>
      </w:divBdr>
    </w:div>
    <w:div w:id="754322775">
      <w:bodyDiv w:val="1"/>
      <w:marLeft w:val="0"/>
      <w:marRight w:val="0"/>
      <w:marTop w:val="0"/>
      <w:marBottom w:val="0"/>
      <w:divBdr>
        <w:top w:val="none" w:sz="0" w:space="0" w:color="auto"/>
        <w:left w:val="none" w:sz="0" w:space="0" w:color="auto"/>
        <w:bottom w:val="none" w:sz="0" w:space="0" w:color="auto"/>
        <w:right w:val="none" w:sz="0" w:space="0" w:color="auto"/>
      </w:divBdr>
    </w:div>
    <w:div w:id="843201660">
      <w:bodyDiv w:val="1"/>
      <w:marLeft w:val="0"/>
      <w:marRight w:val="0"/>
      <w:marTop w:val="0"/>
      <w:marBottom w:val="0"/>
      <w:divBdr>
        <w:top w:val="none" w:sz="0" w:space="0" w:color="auto"/>
        <w:left w:val="none" w:sz="0" w:space="0" w:color="auto"/>
        <w:bottom w:val="none" w:sz="0" w:space="0" w:color="auto"/>
        <w:right w:val="none" w:sz="0" w:space="0" w:color="auto"/>
      </w:divBdr>
    </w:div>
    <w:div w:id="845246887">
      <w:bodyDiv w:val="1"/>
      <w:marLeft w:val="0"/>
      <w:marRight w:val="0"/>
      <w:marTop w:val="0"/>
      <w:marBottom w:val="0"/>
      <w:divBdr>
        <w:top w:val="none" w:sz="0" w:space="0" w:color="auto"/>
        <w:left w:val="none" w:sz="0" w:space="0" w:color="auto"/>
        <w:bottom w:val="none" w:sz="0" w:space="0" w:color="auto"/>
        <w:right w:val="none" w:sz="0" w:space="0" w:color="auto"/>
      </w:divBdr>
    </w:div>
    <w:div w:id="965890119">
      <w:bodyDiv w:val="1"/>
      <w:marLeft w:val="0"/>
      <w:marRight w:val="0"/>
      <w:marTop w:val="0"/>
      <w:marBottom w:val="0"/>
      <w:divBdr>
        <w:top w:val="none" w:sz="0" w:space="0" w:color="auto"/>
        <w:left w:val="none" w:sz="0" w:space="0" w:color="auto"/>
        <w:bottom w:val="none" w:sz="0" w:space="0" w:color="auto"/>
        <w:right w:val="none" w:sz="0" w:space="0" w:color="auto"/>
      </w:divBdr>
    </w:div>
    <w:div w:id="983776673">
      <w:bodyDiv w:val="1"/>
      <w:marLeft w:val="0"/>
      <w:marRight w:val="0"/>
      <w:marTop w:val="0"/>
      <w:marBottom w:val="0"/>
      <w:divBdr>
        <w:top w:val="none" w:sz="0" w:space="0" w:color="auto"/>
        <w:left w:val="none" w:sz="0" w:space="0" w:color="auto"/>
        <w:bottom w:val="none" w:sz="0" w:space="0" w:color="auto"/>
        <w:right w:val="none" w:sz="0" w:space="0" w:color="auto"/>
      </w:divBdr>
    </w:div>
    <w:div w:id="1027754568">
      <w:bodyDiv w:val="1"/>
      <w:marLeft w:val="0"/>
      <w:marRight w:val="0"/>
      <w:marTop w:val="0"/>
      <w:marBottom w:val="0"/>
      <w:divBdr>
        <w:top w:val="none" w:sz="0" w:space="0" w:color="auto"/>
        <w:left w:val="none" w:sz="0" w:space="0" w:color="auto"/>
        <w:bottom w:val="none" w:sz="0" w:space="0" w:color="auto"/>
        <w:right w:val="none" w:sz="0" w:space="0" w:color="auto"/>
      </w:divBdr>
    </w:div>
    <w:div w:id="1043486241">
      <w:bodyDiv w:val="1"/>
      <w:marLeft w:val="0"/>
      <w:marRight w:val="0"/>
      <w:marTop w:val="0"/>
      <w:marBottom w:val="0"/>
      <w:divBdr>
        <w:top w:val="none" w:sz="0" w:space="0" w:color="auto"/>
        <w:left w:val="none" w:sz="0" w:space="0" w:color="auto"/>
        <w:bottom w:val="none" w:sz="0" w:space="0" w:color="auto"/>
        <w:right w:val="none" w:sz="0" w:space="0" w:color="auto"/>
      </w:divBdr>
    </w:div>
    <w:div w:id="1046880299">
      <w:bodyDiv w:val="1"/>
      <w:marLeft w:val="0"/>
      <w:marRight w:val="0"/>
      <w:marTop w:val="0"/>
      <w:marBottom w:val="0"/>
      <w:divBdr>
        <w:top w:val="none" w:sz="0" w:space="0" w:color="auto"/>
        <w:left w:val="none" w:sz="0" w:space="0" w:color="auto"/>
        <w:bottom w:val="none" w:sz="0" w:space="0" w:color="auto"/>
        <w:right w:val="none" w:sz="0" w:space="0" w:color="auto"/>
      </w:divBdr>
    </w:div>
    <w:div w:id="1051609179">
      <w:bodyDiv w:val="1"/>
      <w:marLeft w:val="0"/>
      <w:marRight w:val="0"/>
      <w:marTop w:val="0"/>
      <w:marBottom w:val="0"/>
      <w:divBdr>
        <w:top w:val="none" w:sz="0" w:space="0" w:color="auto"/>
        <w:left w:val="none" w:sz="0" w:space="0" w:color="auto"/>
        <w:bottom w:val="none" w:sz="0" w:space="0" w:color="auto"/>
        <w:right w:val="none" w:sz="0" w:space="0" w:color="auto"/>
      </w:divBdr>
    </w:div>
    <w:div w:id="1060859102">
      <w:bodyDiv w:val="1"/>
      <w:marLeft w:val="0"/>
      <w:marRight w:val="0"/>
      <w:marTop w:val="0"/>
      <w:marBottom w:val="0"/>
      <w:divBdr>
        <w:top w:val="none" w:sz="0" w:space="0" w:color="auto"/>
        <w:left w:val="none" w:sz="0" w:space="0" w:color="auto"/>
        <w:bottom w:val="none" w:sz="0" w:space="0" w:color="auto"/>
        <w:right w:val="none" w:sz="0" w:space="0" w:color="auto"/>
      </w:divBdr>
    </w:div>
    <w:div w:id="1112242938">
      <w:bodyDiv w:val="1"/>
      <w:marLeft w:val="0"/>
      <w:marRight w:val="0"/>
      <w:marTop w:val="0"/>
      <w:marBottom w:val="0"/>
      <w:divBdr>
        <w:top w:val="none" w:sz="0" w:space="0" w:color="auto"/>
        <w:left w:val="none" w:sz="0" w:space="0" w:color="auto"/>
        <w:bottom w:val="none" w:sz="0" w:space="0" w:color="auto"/>
        <w:right w:val="none" w:sz="0" w:space="0" w:color="auto"/>
      </w:divBdr>
    </w:div>
    <w:div w:id="1135178399">
      <w:bodyDiv w:val="1"/>
      <w:marLeft w:val="0"/>
      <w:marRight w:val="0"/>
      <w:marTop w:val="0"/>
      <w:marBottom w:val="0"/>
      <w:divBdr>
        <w:top w:val="none" w:sz="0" w:space="0" w:color="auto"/>
        <w:left w:val="none" w:sz="0" w:space="0" w:color="auto"/>
        <w:bottom w:val="none" w:sz="0" w:space="0" w:color="auto"/>
        <w:right w:val="none" w:sz="0" w:space="0" w:color="auto"/>
      </w:divBdr>
    </w:div>
    <w:div w:id="1195001808">
      <w:bodyDiv w:val="1"/>
      <w:marLeft w:val="0"/>
      <w:marRight w:val="0"/>
      <w:marTop w:val="0"/>
      <w:marBottom w:val="0"/>
      <w:divBdr>
        <w:top w:val="none" w:sz="0" w:space="0" w:color="auto"/>
        <w:left w:val="none" w:sz="0" w:space="0" w:color="auto"/>
        <w:bottom w:val="none" w:sz="0" w:space="0" w:color="auto"/>
        <w:right w:val="none" w:sz="0" w:space="0" w:color="auto"/>
      </w:divBdr>
    </w:div>
    <w:div w:id="1195775231">
      <w:bodyDiv w:val="1"/>
      <w:marLeft w:val="0"/>
      <w:marRight w:val="0"/>
      <w:marTop w:val="0"/>
      <w:marBottom w:val="0"/>
      <w:divBdr>
        <w:top w:val="none" w:sz="0" w:space="0" w:color="auto"/>
        <w:left w:val="none" w:sz="0" w:space="0" w:color="auto"/>
        <w:bottom w:val="none" w:sz="0" w:space="0" w:color="auto"/>
        <w:right w:val="none" w:sz="0" w:space="0" w:color="auto"/>
      </w:divBdr>
    </w:div>
    <w:div w:id="1204636528">
      <w:bodyDiv w:val="1"/>
      <w:marLeft w:val="0"/>
      <w:marRight w:val="0"/>
      <w:marTop w:val="0"/>
      <w:marBottom w:val="0"/>
      <w:divBdr>
        <w:top w:val="none" w:sz="0" w:space="0" w:color="auto"/>
        <w:left w:val="none" w:sz="0" w:space="0" w:color="auto"/>
        <w:bottom w:val="none" w:sz="0" w:space="0" w:color="auto"/>
        <w:right w:val="none" w:sz="0" w:space="0" w:color="auto"/>
      </w:divBdr>
    </w:div>
    <w:div w:id="1208765189">
      <w:bodyDiv w:val="1"/>
      <w:marLeft w:val="0"/>
      <w:marRight w:val="0"/>
      <w:marTop w:val="0"/>
      <w:marBottom w:val="0"/>
      <w:divBdr>
        <w:top w:val="none" w:sz="0" w:space="0" w:color="auto"/>
        <w:left w:val="none" w:sz="0" w:space="0" w:color="auto"/>
        <w:bottom w:val="none" w:sz="0" w:space="0" w:color="auto"/>
        <w:right w:val="none" w:sz="0" w:space="0" w:color="auto"/>
      </w:divBdr>
    </w:div>
    <w:div w:id="1220363069">
      <w:bodyDiv w:val="1"/>
      <w:marLeft w:val="0"/>
      <w:marRight w:val="0"/>
      <w:marTop w:val="0"/>
      <w:marBottom w:val="0"/>
      <w:divBdr>
        <w:top w:val="none" w:sz="0" w:space="0" w:color="auto"/>
        <w:left w:val="none" w:sz="0" w:space="0" w:color="auto"/>
        <w:bottom w:val="none" w:sz="0" w:space="0" w:color="auto"/>
        <w:right w:val="none" w:sz="0" w:space="0" w:color="auto"/>
      </w:divBdr>
    </w:div>
    <w:div w:id="1228608649">
      <w:bodyDiv w:val="1"/>
      <w:marLeft w:val="0"/>
      <w:marRight w:val="0"/>
      <w:marTop w:val="0"/>
      <w:marBottom w:val="0"/>
      <w:divBdr>
        <w:top w:val="none" w:sz="0" w:space="0" w:color="auto"/>
        <w:left w:val="none" w:sz="0" w:space="0" w:color="auto"/>
        <w:bottom w:val="none" w:sz="0" w:space="0" w:color="auto"/>
        <w:right w:val="none" w:sz="0" w:space="0" w:color="auto"/>
      </w:divBdr>
    </w:div>
    <w:div w:id="1232813888">
      <w:bodyDiv w:val="1"/>
      <w:marLeft w:val="0"/>
      <w:marRight w:val="0"/>
      <w:marTop w:val="0"/>
      <w:marBottom w:val="0"/>
      <w:divBdr>
        <w:top w:val="none" w:sz="0" w:space="0" w:color="auto"/>
        <w:left w:val="none" w:sz="0" w:space="0" w:color="auto"/>
        <w:bottom w:val="none" w:sz="0" w:space="0" w:color="auto"/>
        <w:right w:val="none" w:sz="0" w:space="0" w:color="auto"/>
      </w:divBdr>
    </w:div>
    <w:div w:id="1248349339">
      <w:bodyDiv w:val="1"/>
      <w:marLeft w:val="0"/>
      <w:marRight w:val="0"/>
      <w:marTop w:val="0"/>
      <w:marBottom w:val="0"/>
      <w:divBdr>
        <w:top w:val="none" w:sz="0" w:space="0" w:color="auto"/>
        <w:left w:val="none" w:sz="0" w:space="0" w:color="auto"/>
        <w:bottom w:val="none" w:sz="0" w:space="0" w:color="auto"/>
        <w:right w:val="none" w:sz="0" w:space="0" w:color="auto"/>
      </w:divBdr>
    </w:div>
    <w:div w:id="1252814585">
      <w:bodyDiv w:val="1"/>
      <w:marLeft w:val="0"/>
      <w:marRight w:val="0"/>
      <w:marTop w:val="0"/>
      <w:marBottom w:val="0"/>
      <w:divBdr>
        <w:top w:val="none" w:sz="0" w:space="0" w:color="auto"/>
        <w:left w:val="none" w:sz="0" w:space="0" w:color="auto"/>
        <w:bottom w:val="none" w:sz="0" w:space="0" w:color="auto"/>
        <w:right w:val="none" w:sz="0" w:space="0" w:color="auto"/>
      </w:divBdr>
    </w:div>
    <w:div w:id="1278105300">
      <w:bodyDiv w:val="1"/>
      <w:marLeft w:val="0"/>
      <w:marRight w:val="0"/>
      <w:marTop w:val="0"/>
      <w:marBottom w:val="0"/>
      <w:divBdr>
        <w:top w:val="none" w:sz="0" w:space="0" w:color="auto"/>
        <w:left w:val="none" w:sz="0" w:space="0" w:color="auto"/>
        <w:bottom w:val="none" w:sz="0" w:space="0" w:color="auto"/>
        <w:right w:val="none" w:sz="0" w:space="0" w:color="auto"/>
      </w:divBdr>
    </w:div>
    <w:div w:id="1286814000">
      <w:bodyDiv w:val="1"/>
      <w:marLeft w:val="0"/>
      <w:marRight w:val="0"/>
      <w:marTop w:val="0"/>
      <w:marBottom w:val="0"/>
      <w:divBdr>
        <w:top w:val="none" w:sz="0" w:space="0" w:color="auto"/>
        <w:left w:val="none" w:sz="0" w:space="0" w:color="auto"/>
        <w:bottom w:val="none" w:sz="0" w:space="0" w:color="auto"/>
        <w:right w:val="none" w:sz="0" w:space="0" w:color="auto"/>
      </w:divBdr>
    </w:div>
    <w:div w:id="1301615729">
      <w:bodyDiv w:val="1"/>
      <w:marLeft w:val="0"/>
      <w:marRight w:val="0"/>
      <w:marTop w:val="0"/>
      <w:marBottom w:val="0"/>
      <w:divBdr>
        <w:top w:val="none" w:sz="0" w:space="0" w:color="auto"/>
        <w:left w:val="none" w:sz="0" w:space="0" w:color="auto"/>
        <w:bottom w:val="none" w:sz="0" w:space="0" w:color="auto"/>
        <w:right w:val="none" w:sz="0" w:space="0" w:color="auto"/>
      </w:divBdr>
    </w:div>
    <w:div w:id="1307273093">
      <w:bodyDiv w:val="1"/>
      <w:marLeft w:val="0"/>
      <w:marRight w:val="0"/>
      <w:marTop w:val="0"/>
      <w:marBottom w:val="0"/>
      <w:divBdr>
        <w:top w:val="none" w:sz="0" w:space="0" w:color="auto"/>
        <w:left w:val="none" w:sz="0" w:space="0" w:color="auto"/>
        <w:bottom w:val="none" w:sz="0" w:space="0" w:color="auto"/>
        <w:right w:val="none" w:sz="0" w:space="0" w:color="auto"/>
      </w:divBdr>
    </w:div>
    <w:div w:id="1308196796">
      <w:bodyDiv w:val="1"/>
      <w:marLeft w:val="0"/>
      <w:marRight w:val="0"/>
      <w:marTop w:val="0"/>
      <w:marBottom w:val="0"/>
      <w:divBdr>
        <w:top w:val="none" w:sz="0" w:space="0" w:color="auto"/>
        <w:left w:val="none" w:sz="0" w:space="0" w:color="auto"/>
        <w:bottom w:val="none" w:sz="0" w:space="0" w:color="auto"/>
        <w:right w:val="none" w:sz="0" w:space="0" w:color="auto"/>
      </w:divBdr>
    </w:div>
    <w:div w:id="1317681874">
      <w:bodyDiv w:val="1"/>
      <w:marLeft w:val="0"/>
      <w:marRight w:val="0"/>
      <w:marTop w:val="0"/>
      <w:marBottom w:val="0"/>
      <w:divBdr>
        <w:top w:val="none" w:sz="0" w:space="0" w:color="auto"/>
        <w:left w:val="none" w:sz="0" w:space="0" w:color="auto"/>
        <w:bottom w:val="none" w:sz="0" w:space="0" w:color="auto"/>
        <w:right w:val="none" w:sz="0" w:space="0" w:color="auto"/>
      </w:divBdr>
    </w:div>
    <w:div w:id="1317999331">
      <w:bodyDiv w:val="1"/>
      <w:marLeft w:val="0"/>
      <w:marRight w:val="0"/>
      <w:marTop w:val="0"/>
      <w:marBottom w:val="0"/>
      <w:divBdr>
        <w:top w:val="none" w:sz="0" w:space="0" w:color="auto"/>
        <w:left w:val="none" w:sz="0" w:space="0" w:color="auto"/>
        <w:bottom w:val="none" w:sz="0" w:space="0" w:color="auto"/>
        <w:right w:val="none" w:sz="0" w:space="0" w:color="auto"/>
      </w:divBdr>
    </w:div>
    <w:div w:id="1330478945">
      <w:bodyDiv w:val="1"/>
      <w:marLeft w:val="0"/>
      <w:marRight w:val="0"/>
      <w:marTop w:val="0"/>
      <w:marBottom w:val="0"/>
      <w:divBdr>
        <w:top w:val="none" w:sz="0" w:space="0" w:color="auto"/>
        <w:left w:val="none" w:sz="0" w:space="0" w:color="auto"/>
        <w:bottom w:val="none" w:sz="0" w:space="0" w:color="auto"/>
        <w:right w:val="none" w:sz="0" w:space="0" w:color="auto"/>
      </w:divBdr>
    </w:div>
    <w:div w:id="1338190039">
      <w:bodyDiv w:val="1"/>
      <w:marLeft w:val="0"/>
      <w:marRight w:val="0"/>
      <w:marTop w:val="0"/>
      <w:marBottom w:val="0"/>
      <w:divBdr>
        <w:top w:val="none" w:sz="0" w:space="0" w:color="auto"/>
        <w:left w:val="none" w:sz="0" w:space="0" w:color="auto"/>
        <w:bottom w:val="none" w:sz="0" w:space="0" w:color="auto"/>
        <w:right w:val="none" w:sz="0" w:space="0" w:color="auto"/>
      </w:divBdr>
    </w:div>
    <w:div w:id="1356615945">
      <w:bodyDiv w:val="1"/>
      <w:marLeft w:val="0"/>
      <w:marRight w:val="0"/>
      <w:marTop w:val="0"/>
      <w:marBottom w:val="0"/>
      <w:divBdr>
        <w:top w:val="none" w:sz="0" w:space="0" w:color="auto"/>
        <w:left w:val="none" w:sz="0" w:space="0" w:color="auto"/>
        <w:bottom w:val="none" w:sz="0" w:space="0" w:color="auto"/>
        <w:right w:val="none" w:sz="0" w:space="0" w:color="auto"/>
      </w:divBdr>
    </w:div>
    <w:div w:id="1361127179">
      <w:bodyDiv w:val="1"/>
      <w:marLeft w:val="0"/>
      <w:marRight w:val="0"/>
      <w:marTop w:val="0"/>
      <w:marBottom w:val="0"/>
      <w:divBdr>
        <w:top w:val="none" w:sz="0" w:space="0" w:color="auto"/>
        <w:left w:val="none" w:sz="0" w:space="0" w:color="auto"/>
        <w:bottom w:val="none" w:sz="0" w:space="0" w:color="auto"/>
        <w:right w:val="none" w:sz="0" w:space="0" w:color="auto"/>
      </w:divBdr>
    </w:div>
    <w:div w:id="1361391302">
      <w:bodyDiv w:val="1"/>
      <w:marLeft w:val="0"/>
      <w:marRight w:val="0"/>
      <w:marTop w:val="0"/>
      <w:marBottom w:val="0"/>
      <w:divBdr>
        <w:top w:val="none" w:sz="0" w:space="0" w:color="auto"/>
        <w:left w:val="none" w:sz="0" w:space="0" w:color="auto"/>
        <w:bottom w:val="none" w:sz="0" w:space="0" w:color="auto"/>
        <w:right w:val="none" w:sz="0" w:space="0" w:color="auto"/>
      </w:divBdr>
    </w:div>
    <w:div w:id="1374883269">
      <w:bodyDiv w:val="1"/>
      <w:marLeft w:val="0"/>
      <w:marRight w:val="0"/>
      <w:marTop w:val="0"/>
      <w:marBottom w:val="0"/>
      <w:divBdr>
        <w:top w:val="none" w:sz="0" w:space="0" w:color="auto"/>
        <w:left w:val="none" w:sz="0" w:space="0" w:color="auto"/>
        <w:bottom w:val="none" w:sz="0" w:space="0" w:color="auto"/>
        <w:right w:val="none" w:sz="0" w:space="0" w:color="auto"/>
      </w:divBdr>
    </w:div>
    <w:div w:id="1382244572">
      <w:bodyDiv w:val="1"/>
      <w:marLeft w:val="0"/>
      <w:marRight w:val="0"/>
      <w:marTop w:val="0"/>
      <w:marBottom w:val="0"/>
      <w:divBdr>
        <w:top w:val="none" w:sz="0" w:space="0" w:color="auto"/>
        <w:left w:val="none" w:sz="0" w:space="0" w:color="auto"/>
        <w:bottom w:val="none" w:sz="0" w:space="0" w:color="auto"/>
        <w:right w:val="none" w:sz="0" w:space="0" w:color="auto"/>
      </w:divBdr>
    </w:div>
    <w:div w:id="1391153193">
      <w:bodyDiv w:val="1"/>
      <w:marLeft w:val="0"/>
      <w:marRight w:val="0"/>
      <w:marTop w:val="0"/>
      <w:marBottom w:val="0"/>
      <w:divBdr>
        <w:top w:val="none" w:sz="0" w:space="0" w:color="auto"/>
        <w:left w:val="none" w:sz="0" w:space="0" w:color="auto"/>
        <w:bottom w:val="none" w:sz="0" w:space="0" w:color="auto"/>
        <w:right w:val="none" w:sz="0" w:space="0" w:color="auto"/>
      </w:divBdr>
    </w:div>
    <w:div w:id="1395665354">
      <w:bodyDiv w:val="1"/>
      <w:marLeft w:val="0"/>
      <w:marRight w:val="0"/>
      <w:marTop w:val="0"/>
      <w:marBottom w:val="0"/>
      <w:divBdr>
        <w:top w:val="none" w:sz="0" w:space="0" w:color="auto"/>
        <w:left w:val="none" w:sz="0" w:space="0" w:color="auto"/>
        <w:bottom w:val="none" w:sz="0" w:space="0" w:color="auto"/>
        <w:right w:val="none" w:sz="0" w:space="0" w:color="auto"/>
      </w:divBdr>
    </w:div>
    <w:div w:id="1398478525">
      <w:bodyDiv w:val="1"/>
      <w:marLeft w:val="0"/>
      <w:marRight w:val="0"/>
      <w:marTop w:val="0"/>
      <w:marBottom w:val="0"/>
      <w:divBdr>
        <w:top w:val="none" w:sz="0" w:space="0" w:color="auto"/>
        <w:left w:val="none" w:sz="0" w:space="0" w:color="auto"/>
        <w:bottom w:val="none" w:sz="0" w:space="0" w:color="auto"/>
        <w:right w:val="none" w:sz="0" w:space="0" w:color="auto"/>
      </w:divBdr>
    </w:div>
    <w:div w:id="1455446325">
      <w:bodyDiv w:val="1"/>
      <w:marLeft w:val="0"/>
      <w:marRight w:val="0"/>
      <w:marTop w:val="0"/>
      <w:marBottom w:val="0"/>
      <w:divBdr>
        <w:top w:val="none" w:sz="0" w:space="0" w:color="auto"/>
        <w:left w:val="none" w:sz="0" w:space="0" w:color="auto"/>
        <w:bottom w:val="none" w:sz="0" w:space="0" w:color="auto"/>
        <w:right w:val="none" w:sz="0" w:space="0" w:color="auto"/>
      </w:divBdr>
    </w:div>
    <w:div w:id="1462572857">
      <w:bodyDiv w:val="1"/>
      <w:marLeft w:val="0"/>
      <w:marRight w:val="0"/>
      <w:marTop w:val="0"/>
      <w:marBottom w:val="0"/>
      <w:divBdr>
        <w:top w:val="none" w:sz="0" w:space="0" w:color="auto"/>
        <w:left w:val="none" w:sz="0" w:space="0" w:color="auto"/>
        <w:bottom w:val="none" w:sz="0" w:space="0" w:color="auto"/>
        <w:right w:val="none" w:sz="0" w:space="0" w:color="auto"/>
      </w:divBdr>
    </w:div>
    <w:div w:id="1477531909">
      <w:bodyDiv w:val="1"/>
      <w:marLeft w:val="0"/>
      <w:marRight w:val="0"/>
      <w:marTop w:val="0"/>
      <w:marBottom w:val="0"/>
      <w:divBdr>
        <w:top w:val="none" w:sz="0" w:space="0" w:color="auto"/>
        <w:left w:val="none" w:sz="0" w:space="0" w:color="auto"/>
        <w:bottom w:val="none" w:sz="0" w:space="0" w:color="auto"/>
        <w:right w:val="none" w:sz="0" w:space="0" w:color="auto"/>
      </w:divBdr>
    </w:div>
    <w:div w:id="1492911226">
      <w:bodyDiv w:val="1"/>
      <w:marLeft w:val="0"/>
      <w:marRight w:val="0"/>
      <w:marTop w:val="0"/>
      <w:marBottom w:val="0"/>
      <w:divBdr>
        <w:top w:val="none" w:sz="0" w:space="0" w:color="auto"/>
        <w:left w:val="none" w:sz="0" w:space="0" w:color="auto"/>
        <w:bottom w:val="none" w:sz="0" w:space="0" w:color="auto"/>
        <w:right w:val="none" w:sz="0" w:space="0" w:color="auto"/>
      </w:divBdr>
    </w:div>
    <w:div w:id="1535465812">
      <w:bodyDiv w:val="1"/>
      <w:marLeft w:val="0"/>
      <w:marRight w:val="0"/>
      <w:marTop w:val="0"/>
      <w:marBottom w:val="0"/>
      <w:divBdr>
        <w:top w:val="none" w:sz="0" w:space="0" w:color="auto"/>
        <w:left w:val="none" w:sz="0" w:space="0" w:color="auto"/>
        <w:bottom w:val="none" w:sz="0" w:space="0" w:color="auto"/>
        <w:right w:val="none" w:sz="0" w:space="0" w:color="auto"/>
      </w:divBdr>
    </w:div>
    <w:div w:id="1550994088">
      <w:bodyDiv w:val="1"/>
      <w:marLeft w:val="0"/>
      <w:marRight w:val="0"/>
      <w:marTop w:val="0"/>
      <w:marBottom w:val="0"/>
      <w:divBdr>
        <w:top w:val="none" w:sz="0" w:space="0" w:color="auto"/>
        <w:left w:val="none" w:sz="0" w:space="0" w:color="auto"/>
        <w:bottom w:val="none" w:sz="0" w:space="0" w:color="auto"/>
        <w:right w:val="none" w:sz="0" w:space="0" w:color="auto"/>
      </w:divBdr>
    </w:div>
    <w:div w:id="1584681825">
      <w:bodyDiv w:val="1"/>
      <w:marLeft w:val="0"/>
      <w:marRight w:val="0"/>
      <w:marTop w:val="0"/>
      <w:marBottom w:val="0"/>
      <w:divBdr>
        <w:top w:val="none" w:sz="0" w:space="0" w:color="auto"/>
        <w:left w:val="none" w:sz="0" w:space="0" w:color="auto"/>
        <w:bottom w:val="none" w:sz="0" w:space="0" w:color="auto"/>
        <w:right w:val="none" w:sz="0" w:space="0" w:color="auto"/>
      </w:divBdr>
    </w:div>
    <w:div w:id="1620188131">
      <w:bodyDiv w:val="1"/>
      <w:marLeft w:val="0"/>
      <w:marRight w:val="0"/>
      <w:marTop w:val="0"/>
      <w:marBottom w:val="0"/>
      <w:divBdr>
        <w:top w:val="none" w:sz="0" w:space="0" w:color="auto"/>
        <w:left w:val="none" w:sz="0" w:space="0" w:color="auto"/>
        <w:bottom w:val="none" w:sz="0" w:space="0" w:color="auto"/>
        <w:right w:val="none" w:sz="0" w:space="0" w:color="auto"/>
      </w:divBdr>
    </w:div>
    <w:div w:id="1630623949">
      <w:bodyDiv w:val="1"/>
      <w:marLeft w:val="0"/>
      <w:marRight w:val="0"/>
      <w:marTop w:val="0"/>
      <w:marBottom w:val="0"/>
      <w:divBdr>
        <w:top w:val="none" w:sz="0" w:space="0" w:color="auto"/>
        <w:left w:val="none" w:sz="0" w:space="0" w:color="auto"/>
        <w:bottom w:val="none" w:sz="0" w:space="0" w:color="auto"/>
        <w:right w:val="none" w:sz="0" w:space="0" w:color="auto"/>
      </w:divBdr>
    </w:div>
    <w:div w:id="1631471643">
      <w:bodyDiv w:val="1"/>
      <w:marLeft w:val="0"/>
      <w:marRight w:val="0"/>
      <w:marTop w:val="0"/>
      <w:marBottom w:val="0"/>
      <w:divBdr>
        <w:top w:val="none" w:sz="0" w:space="0" w:color="auto"/>
        <w:left w:val="none" w:sz="0" w:space="0" w:color="auto"/>
        <w:bottom w:val="none" w:sz="0" w:space="0" w:color="auto"/>
        <w:right w:val="none" w:sz="0" w:space="0" w:color="auto"/>
      </w:divBdr>
    </w:div>
    <w:div w:id="1650868398">
      <w:bodyDiv w:val="1"/>
      <w:marLeft w:val="0"/>
      <w:marRight w:val="0"/>
      <w:marTop w:val="0"/>
      <w:marBottom w:val="0"/>
      <w:divBdr>
        <w:top w:val="none" w:sz="0" w:space="0" w:color="auto"/>
        <w:left w:val="none" w:sz="0" w:space="0" w:color="auto"/>
        <w:bottom w:val="none" w:sz="0" w:space="0" w:color="auto"/>
        <w:right w:val="none" w:sz="0" w:space="0" w:color="auto"/>
      </w:divBdr>
    </w:div>
    <w:div w:id="1663045323">
      <w:bodyDiv w:val="1"/>
      <w:marLeft w:val="0"/>
      <w:marRight w:val="0"/>
      <w:marTop w:val="0"/>
      <w:marBottom w:val="0"/>
      <w:divBdr>
        <w:top w:val="none" w:sz="0" w:space="0" w:color="auto"/>
        <w:left w:val="none" w:sz="0" w:space="0" w:color="auto"/>
        <w:bottom w:val="none" w:sz="0" w:space="0" w:color="auto"/>
        <w:right w:val="none" w:sz="0" w:space="0" w:color="auto"/>
      </w:divBdr>
    </w:div>
    <w:div w:id="1665277394">
      <w:bodyDiv w:val="1"/>
      <w:marLeft w:val="0"/>
      <w:marRight w:val="0"/>
      <w:marTop w:val="0"/>
      <w:marBottom w:val="0"/>
      <w:divBdr>
        <w:top w:val="none" w:sz="0" w:space="0" w:color="auto"/>
        <w:left w:val="none" w:sz="0" w:space="0" w:color="auto"/>
        <w:bottom w:val="none" w:sz="0" w:space="0" w:color="auto"/>
        <w:right w:val="none" w:sz="0" w:space="0" w:color="auto"/>
      </w:divBdr>
    </w:div>
    <w:div w:id="1668171906">
      <w:bodyDiv w:val="1"/>
      <w:marLeft w:val="0"/>
      <w:marRight w:val="0"/>
      <w:marTop w:val="0"/>
      <w:marBottom w:val="0"/>
      <w:divBdr>
        <w:top w:val="none" w:sz="0" w:space="0" w:color="auto"/>
        <w:left w:val="none" w:sz="0" w:space="0" w:color="auto"/>
        <w:bottom w:val="none" w:sz="0" w:space="0" w:color="auto"/>
        <w:right w:val="none" w:sz="0" w:space="0" w:color="auto"/>
      </w:divBdr>
    </w:div>
    <w:div w:id="1716730811">
      <w:bodyDiv w:val="1"/>
      <w:marLeft w:val="0"/>
      <w:marRight w:val="0"/>
      <w:marTop w:val="0"/>
      <w:marBottom w:val="0"/>
      <w:divBdr>
        <w:top w:val="none" w:sz="0" w:space="0" w:color="auto"/>
        <w:left w:val="none" w:sz="0" w:space="0" w:color="auto"/>
        <w:bottom w:val="none" w:sz="0" w:space="0" w:color="auto"/>
        <w:right w:val="none" w:sz="0" w:space="0" w:color="auto"/>
      </w:divBdr>
    </w:div>
    <w:div w:id="1724332727">
      <w:bodyDiv w:val="1"/>
      <w:marLeft w:val="0"/>
      <w:marRight w:val="0"/>
      <w:marTop w:val="0"/>
      <w:marBottom w:val="0"/>
      <w:divBdr>
        <w:top w:val="none" w:sz="0" w:space="0" w:color="auto"/>
        <w:left w:val="none" w:sz="0" w:space="0" w:color="auto"/>
        <w:bottom w:val="none" w:sz="0" w:space="0" w:color="auto"/>
        <w:right w:val="none" w:sz="0" w:space="0" w:color="auto"/>
      </w:divBdr>
    </w:div>
    <w:div w:id="1806850395">
      <w:bodyDiv w:val="1"/>
      <w:marLeft w:val="0"/>
      <w:marRight w:val="0"/>
      <w:marTop w:val="0"/>
      <w:marBottom w:val="0"/>
      <w:divBdr>
        <w:top w:val="none" w:sz="0" w:space="0" w:color="auto"/>
        <w:left w:val="none" w:sz="0" w:space="0" w:color="auto"/>
        <w:bottom w:val="none" w:sz="0" w:space="0" w:color="auto"/>
        <w:right w:val="none" w:sz="0" w:space="0" w:color="auto"/>
      </w:divBdr>
    </w:div>
    <w:div w:id="1808274938">
      <w:bodyDiv w:val="1"/>
      <w:marLeft w:val="0"/>
      <w:marRight w:val="0"/>
      <w:marTop w:val="0"/>
      <w:marBottom w:val="0"/>
      <w:divBdr>
        <w:top w:val="none" w:sz="0" w:space="0" w:color="auto"/>
        <w:left w:val="none" w:sz="0" w:space="0" w:color="auto"/>
        <w:bottom w:val="none" w:sz="0" w:space="0" w:color="auto"/>
        <w:right w:val="none" w:sz="0" w:space="0" w:color="auto"/>
      </w:divBdr>
    </w:div>
    <w:div w:id="1815102393">
      <w:bodyDiv w:val="1"/>
      <w:marLeft w:val="0"/>
      <w:marRight w:val="0"/>
      <w:marTop w:val="0"/>
      <w:marBottom w:val="0"/>
      <w:divBdr>
        <w:top w:val="none" w:sz="0" w:space="0" w:color="auto"/>
        <w:left w:val="none" w:sz="0" w:space="0" w:color="auto"/>
        <w:bottom w:val="none" w:sz="0" w:space="0" w:color="auto"/>
        <w:right w:val="none" w:sz="0" w:space="0" w:color="auto"/>
      </w:divBdr>
    </w:div>
    <w:div w:id="1824656170">
      <w:bodyDiv w:val="1"/>
      <w:marLeft w:val="0"/>
      <w:marRight w:val="0"/>
      <w:marTop w:val="0"/>
      <w:marBottom w:val="0"/>
      <w:divBdr>
        <w:top w:val="none" w:sz="0" w:space="0" w:color="auto"/>
        <w:left w:val="none" w:sz="0" w:space="0" w:color="auto"/>
        <w:bottom w:val="none" w:sz="0" w:space="0" w:color="auto"/>
        <w:right w:val="none" w:sz="0" w:space="0" w:color="auto"/>
      </w:divBdr>
    </w:div>
    <w:div w:id="1826973824">
      <w:bodyDiv w:val="1"/>
      <w:marLeft w:val="0"/>
      <w:marRight w:val="0"/>
      <w:marTop w:val="0"/>
      <w:marBottom w:val="0"/>
      <w:divBdr>
        <w:top w:val="none" w:sz="0" w:space="0" w:color="auto"/>
        <w:left w:val="none" w:sz="0" w:space="0" w:color="auto"/>
        <w:bottom w:val="none" w:sz="0" w:space="0" w:color="auto"/>
        <w:right w:val="none" w:sz="0" w:space="0" w:color="auto"/>
      </w:divBdr>
    </w:div>
    <w:div w:id="1832062568">
      <w:bodyDiv w:val="1"/>
      <w:marLeft w:val="0"/>
      <w:marRight w:val="0"/>
      <w:marTop w:val="0"/>
      <w:marBottom w:val="0"/>
      <w:divBdr>
        <w:top w:val="none" w:sz="0" w:space="0" w:color="auto"/>
        <w:left w:val="none" w:sz="0" w:space="0" w:color="auto"/>
        <w:bottom w:val="none" w:sz="0" w:space="0" w:color="auto"/>
        <w:right w:val="none" w:sz="0" w:space="0" w:color="auto"/>
      </w:divBdr>
    </w:div>
    <w:div w:id="1874729459">
      <w:bodyDiv w:val="1"/>
      <w:marLeft w:val="0"/>
      <w:marRight w:val="0"/>
      <w:marTop w:val="0"/>
      <w:marBottom w:val="0"/>
      <w:divBdr>
        <w:top w:val="none" w:sz="0" w:space="0" w:color="auto"/>
        <w:left w:val="none" w:sz="0" w:space="0" w:color="auto"/>
        <w:bottom w:val="none" w:sz="0" w:space="0" w:color="auto"/>
        <w:right w:val="none" w:sz="0" w:space="0" w:color="auto"/>
      </w:divBdr>
    </w:div>
    <w:div w:id="1879311954">
      <w:bodyDiv w:val="1"/>
      <w:marLeft w:val="0"/>
      <w:marRight w:val="0"/>
      <w:marTop w:val="0"/>
      <w:marBottom w:val="0"/>
      <w:divBdr>
        <w:top w:val="none" w:sz="0" w:space="0" w:color="auto"/>
        <w:left w:val="none" w:sz="0" w:space="0" w:color="auto"/>
        <w:bottom w:val="none" w:sz="0" w:space="0" w:color="auto"/>
        <w:right w:val="none" w:sz="0" w:space="0" w:color="auto"/>
      </w:divBdr>
    </w:div>
    <w:div w:id="1880311488">
      <w:bodyDiv w:val="1"/>
      <w:marLeft w:val="0"/>
      <w:marRight w:val="0"/>
      <w:marTop w:val="0"/>
      <w:marBottom w:val="0"/>
      <w:divBdr>
        <w:top w:val="none" w:sz="0" w:space="0" w:color="auto"/>
        <w:left w:val="none" w:sz="0" w:space="0" w:color="auto"/>
        <w:bottom w:val="none" w:sz="0" w:space="0" w:color="auto"/>
        <w:right w:val="none" w:sz="0" w:space="0" w:color="auto"/>
      </w:divBdr>
    </w:div>
    <w:div w:id="1904561871">
      <w:bodyDiv w:val="1"/>
      <w:marLeft w:val="0"/>
      <w:marRight w:val="0"/>
      <w:marTop w:val="0"/>
      <w:marBottom w:val="0"/>
      <w:divBdr>
        <w:top w:val="none" w:sz="0" w:space="0" w:color="auto"/>
        <w:left w:val="none" w:sz="0" w:space="0" w:color="auto"/>
        <w:bottom w:val="none" w:sz="0" w:space="0" w:color="auto"/>
        <w:right w:val="none" w:sz="0" w:space="0" w:color="auto"/>
      </w:divBdr>
    </w:div>
    <w:div w:id="1932471129">
      <w:bodyDiv w:val="1"/>
      <w:marLeft w:val="0"/>
      <w:marRight w:val="0"/>
      <w:marTop w:val="0"/>
      <w:marBottom w:val="0"/>
      <w:divBdr>
        <w:top w:val="none" w:sz="0" w:space="0" w:color="auto"/>
        <w:left w:val="none" w:sz="0" w:space="0" w:color="auto"/>
        <w:bottom w:val="none" w:sz="0" w:space="0" w:color="auto"/>
        <w:right w:val="none" w:sz="0" w:space="0" w:color="auto"/>
      </w:divBdr>
    </w:div>
    <w:div w:id="1935359648">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74670676">
      <w:bodyDiv w:val="1"/>
      <w:marLeft w:val="0"/>
      <w:marRight w:val="0"/>
      <w:marTop w:val="0"/>
      <w:marBottom w:val="0"/>
      <w:divBdr>
        <w:top w:val="none" w:sz="0" w:space="0" w:color="auto"/>
        <w:left w:val="none" w:sz="0" w:space="0" w:color="auto"/>
        <w:bottom w:val="none" w:sz="0" w:space="0" w:color="auto"/>
        <w:right w:val="none" w:sz="0" w:space="0" w:color="auto"/>
      </w:divBdr>
    </w:div>
    <w:div w:id="1987970953">
      <w:bodyDiv w:val="1"/>
      <w:marLeft w:val="0"/>
      <w:marRight w:val="0"/>
      <w:marTop w:val="0"/>
      <w:marBottom w:val="0"/>
      <w:divBdr>
        <w:top w:val="none" w:sz="0" w:space="0" w:color="auto"/>
        <w:left w:val="none" w:sz="0" w:space="0" w:color="auto"/>
        <w:bottom w:val="none" w:sz="0" w:space="0" w:color="auto"/>
        <w:right w:val="none" w:sz="0" w:space="0" w:color="auto"/>
      </w:divBdr>
    </w:div>
    <w:div w:id="1992295006">
      <w:bodyDiv w:val="1"/>
      <w:marLeft w:val="0"/>
      <w:marRight w:val="0"/>
      <w:marTop w:val="0"/>
      <w:marBottom w:val="0"/>
      <w:divBdr>
        <w:top w:val="none" w:sz="0" w:space="0" w:color="auto"/>
        <w:left w:val="none" w:sz="0" w:space="0" w:color="auto"/>
        <w:bottom w:val="none" w:sz="0" w:space="0" w:color="auto"/>
        <w:right w:val="none" w:sz="0" w:space="0" w:color="auto"/>
      </w:divBdr>
    </w:div>
    <w:div w:id="2000037270">
      <w:bodyDiv w:val="1"/>
      <w:marLeft w:val="0"/>
      <w:marRight w:val="0"/>
      <w:marTop w:val="0"/>
      <w:marBottom w:val="0"/>
      <w:divBdr>
        <w:top w:val="none" w:sz="0" w:space="0" w:color="auto"/>
        <w:left w:val="none" w:sz="0" w:space="0" w:color="auto"/>
        <w:bottom w:val="none" w:sz="0" w:space="0" w:color="auto"/>
        <w:right w:val="none" w:sz="0" w:space="0" w:color="auto"/>
      </w:divBdr>
    </w:div>
    <w:div w:id="2008484080">
      <w:bodyDiv w:val="1"/>
      <w:marLeft w:val="0"/>
      <w:marRight w:val="0"/>
      <w:marTop w:val="0"/>
      <w:marBottom w:val="0"/>
      <w:divBdr>
        <w:top w:val="none" w:sz="0" w:space="0" w:color="auto"/>
        <w:left w:val="none" w:sz="0" w:space="0" w:color="auto"/>
        <w:bottom w:val="none" w:sz="0" w:space="0" w:color="auto"/>
        <w:right w:val="none" w:sz="0" w:space="0" w:color="auto"/>
      </w:divBdr>
    </w:div>
    <w:div w:id="2016882858">
      <w:bodyDiv w:val="1"/>
      <w:marLeft w:val="0"/>
      <w:marRight w:val="0"/>
      <w:marTop w:val="0"/>
      <w:marBottom w:val="0"/>
      <w:divBdr>
        <w:top w:val="none" w:sz="0" w:space="0" w:color="auto"/>
        <w:left w:val="none" w:sz="0" w:space="0" w:color="auto"/>
        <w:bottom w:val="none" w:sz="0" w:space="0" w:color="auto"/>
        <w:right w:val="none" w:sz="0" w:space="0" w:color="auto"/>
      </w:divBdr>
    </w:div>
    <w:div w:id="2031947753">
      <w:bodyDiv w:val="1"/>
      <w:marLeft w:val="0"/>
      <w:marRight w:val="0"/>
      <w:marTop w:val="0"/>
      <w:marBottom w:val="0"/>
      <w:divBdr>
        <w:top w:val="none" w:sz="0" w:space="0" w:color="auto"/>
        <w:left w:val="none" w:sz="0" w:space="0" w:color="auto"/>
        <w:bottom w:val="none" w:sz="0" w:space="0" w:color="auto"/>
        <w:right w:val="none" w:sz="0" w:space="0" w:color="auto"/>
      </w:divBdr>
    </w:div>
    <w:div w:id="2072266680">
      <w:bodyDiv w:val="1"/>
      <w:marLeft w:val="0"/>
      <w:marRight w:val="0"/>
      <w:marTop w:val="0"/>
      <w:marBottom w:val="0"/>
      <w:divBdr>
        <w:top w:val="none" w:sz="0" w:space="0" w:color="auto"/>
        <w:left w:val="none" w:sz="0" w:space="0" w:color="auto"/>
        <w:bottom w:val="none" w:sz="0" w:space="0" w:color="auto"/>
        <w:right w:val="none" w:sz="0" w:space="0" w:color="auto"/>
      </w:divBdr>
    </w:div>
    <w:div w:id="2072924637">
      <w:bodyDiv w:val="1"/>
      <w:marLeft w:val="0"/>
      <w:marRight w:val="0"/>
      <w:marTop w:val="0"/>
      <w:marBottom w:val="0"/>
      <w:divBdr>
        <w:top w:val="none" w:sz="0" w:space="0" w:color="auto"/>
        <w:left w:val="none" w:sz="0" w:space="0" w:color="auto"/>
        <w:bottom w:val="none" w:sz="0" w:space="0" w:color="auto"/>
        <w:right w:val="none" w:sz="0" w:space="0" w:color="auto"/>
      </w:divBdr>
    </w:div>
    <w:div w:id="21094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eur-lex.europa.eu/legal-content/EN/TXT/?uri=CELEX%3A52025PC0548&amp;qid=1753342077522"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1d73195-033a-4052-b1d6-13cd5131ee43/file" TargetMode="External"/><Relationship Id="rId2" Type="http://schemas.openxmlformats.org/officeDocument/2006/relationships/hyperlink" Target="https://www.nctv.nl/onderwerpen/landelijke-agenda-crisisbeheersing" TargetMode="External"/><Relationship Id="rId1" Type="http://schemas.openxmlformats.org/officeDocument/2006/relationships/hyperlink" Target="https://www.rijksoverheid.nl/documenten/kamerstukken/2023/12/14/tk-voortgang-crisisbeheersing" TargetMode="External"/><Relationship Id="rId4" Type="http://schemas.openxmlformats.org/officeDocument/2006/relationships/hyperlink" Target="https://www.rijksoverheid.nl/documenten/kamerstukken/2024/12/06/tk-weerbaarheid-tegen-militaire-en-hybride-dreig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19</ap:Pages>
  <ap:Words>8395</ap:Words>
  <ap:Characters>46173</ap:Characters>
  <ap:DocSecurity>0</ap:DocSecurity>
  <ap:Lines>384</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2025-09-10T12:16:00.0000000Z</lastPrinted>
  <dcterms:created xsi:type="dcterms:W3CDTF">2025-09-11T07:58:00.0000000Z</dcterms:created>
  <dcterms:modified xsi:type="dcterms:W3CDTF">2025-09-12T13:45:00.0000000Z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ClassificationContentMarkingFooterShapeIds">
    <vt:lpwstr>35405c18,5ca725de,4e9ca9d4</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2025-08-19T14:00:00Z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c6e9582e-a9dd-46ac-b5e7-194fa9527acd</vt:lpwstr>
  </property>
  <property fmtid="{D5CDD505-2E9C-101B-9397-08002B2CF9AE}" pid="12" name="MSIP_Label_6800fede-0e59-47ad-af95-4e63bbdb932d_ContentBits">
    <vt:lpwstr>0</vt:lpwstr>
  </property>
  <property fmtid="{D5CDD505-2E9C-101B-9397-08002B2CF9AE}" pid="13" name="_dlc_DocIdItemGuid">
    <vt:lpwstr>0e32d9f0-afc9-4635-ab1a-e17586e79639</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ies>
</file>