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DCC" w:rsidR="00F54AFF" w:rsidP="0064352A" w:rsidRDefault="0064006A" w14:paraId="1A9EE7B2" w14:textId="020E30AE">
      <w:pPr>
        <w:pStyle w:val="Heading1"/>
        <w:numPr>
          <w:ilvl w:val="0"/>
          <w:numId w:val="0"/>
        </w:numPr>
        <w:spacing w:after="0" w:line="360" w:lineRule="auto"/>
        <w:rPr>
          <w:rFonts w:ascii="Verdana" w:hAnsi="Verdana"/>
          <w:sz w:val="18"/>
          <w:szCs w:val="18"/>
        </w:rPr>
      </w:pPr>
      <w:r w:rsidRPr="00DA3503">
        <w:rPr>
          <w:rFonts w:ascii="Verdana" w:hAnsi="Verdana"/>
          <w:b/>
          <w:bCs/>
          <w:sz w:val="18"/>
          <w:szCs w:val="18"/>
        </w:rPr>
        <w:t>F</w:t>
      </w:r>
      <w:r w:rsidRPr="00DA3503" w:rsidR="00F54AFF">
        <w:rPr>
          <w:rFonts w:ascii="Verdana" w:hAnsi="Verdana"/>
          <w:b/>
          <w:bCs/>
          <w:sz w:val="18"/>
          <w:szCs w:val="18"/>
        </w:rPr>
        <w:t>iche</w:t>
      </w:r>
      <w:r w:rsidRPr="00DA3503">
        <w:rPr>
          <w:rFonts w:ascii="Verdana" w:hAnsi="Verdana"/>
          <w:b/>
          <w:bCs/>
          <w:sz w:val="18"/>
          <w:szCs w:val="18"/>
        </w:rPr>
        <w:t xml:space="preserve"> </w:t>
      </w:r>
      <w:r w:rsidR="00962C60">
        <w:rPr>
          <w:rFonts w:ascii="Verdana" w:hAnsi="Verdana"/>
          <w:b/>
          <w:bCs/>
          <w:sz w:val="18"/>
          <w:szCs w:val="18"/>
        </w:rPr>
        <w:t>20</w:t>
      </w:r>
      <w:r w:rsidRPr="00DA3503">
        <w:rPr>
          <w:rFonts w:ascii="Verdana" w:hAnsi="Verdana"/>
          <w:b/>
          <w:bCs/>
          <w:sz w:val="18"/>
          <w:szCs w:val="18"/>
        </w:rPr>
        <w:t xml:space="preserve">: </w:t>
      </w:r>
      <w:r w:rsidRPr="00DA3503" w:rsidR="00AE1040">
        <w:rPr>
          <w:rFonts w:ascii="Verdana" w:hAnsi="Verdana"/>
          <w:b/>
          <w:bCs/>
          <w:sz w:val="18"/>
          <w:szCs w:val="18"/>
        </w:rPr>
        <w:t>EU Voorradenstrategie</w:t>
      </w:r>
    </w:p>
    <w:p w:rsidRPr="0064352A" w:rsidR="00F54AFF" w:rsidP="0064352A" w:rsidRDefault="00F54AFF" w14:paraId="5D2B563A" w14:textId="77777777">
      <w:pPr>
        <w:spacing w:line="360" w:lineRule="auto"/>
        <w:rPr>
          <w:rFonts w:ascii="Verdana" w:hAnsi="Verdana"/>
          <w:b/>
          <w:sz w:val="18"/>
          <w:szCs w:val="18"/>
          <w:u w:val="single"/>
        </w:rPr>
      </w:pPr>
    </w:p>
    <w:p w:rsidRPr="0008667A" w:rsidR="000D01B7" w:rsidP="0008667A" w:rsidRDefault="00F54AFF" w14:paraId="6297E29C" w14:textId="77777777">
      <w:pPr>
        <w:numPr>
          <w:ilvl w:val="0"/>
          <w:numId w:val="15"/>
        </w:numPr>
        <w:spacing w:line="360" w:lineRule="auto"/>
        <w:rPr>
          <w:rFonts w:ascii="Verdana" w:hAnsi="Verdana"/>
          <w:b/>
          <w:bCs/>
          <w:sz w:val="18"/>
          <w:szCs w:val="18"/>
        </w:rPr>
      </w:pPr>
      <w:r w:rsidRPr="00DA3503">
        <w:rPr>
          <w:rFonts w:ascii="Verdana" w:hAnsi="Verdana"/>
          <w:b/>
          <w:bCs/>
          <w:sz w:val="18"/>
          <w:szCs w:val="18"/>
        </w:rPr>
        <w:t>Algemene gegevens</w:t>
      </w:r>
    </w:p>
    <w:p w:rsidRPr="0008667A" w:rsidR="0065544E" w:rsidP="13F04252" w:rsidRDefault="0065544E" w14:paraId="5BE1B229" w14:textId="77777777">
      <w:pPr>
        <w:numPr>
          <w:ilvl w:val="0"/>
          <w:numId w:val="19"/>
        </w:numPr>
        <w:spacing w:line="360" w:lineRule="auto"/>
        <w:rPr>
          <w:rFonts w:ascii="Verdana" w:hAnsi="Verdana"/>
          <w:i/>
          <w:iCs/>
          <w:sz w:val="18"/>
          <w:szCs w:val="18"/>
        </w:rPr>
      </w:pPr>
      <w:r w:rsidRPr="13F04252">
        <w:rPr>
          <w:rFonts w:ascii="Verdana" w:hAnsi="Verdana"/>
          <w:i/>
          <w:iCs/>
          <w:sz w:val="18"/>
          <w:szCs w:val="18"/>
        </w:rPr>
        <w:t>Titel voorstel</w:t>
      </w:r>
    </w:p>
    <w:p w:rsidRPr="00D26AF3" w:rsidR="00DA3503" w:rsidP="0008667A" w:rsidRDefault="003E00FF" w14:paraId="259AFBEA" w14:textId="121E9A13">
      <w:pPr>
        <w:spacing w:line="360" w:lineRule="auto"/>
        <w:ind w:left="360"/>
        <w:rPr>
          <w:rFonts w:ascii="Verdana" w:hAnsi="Verdana"/>
          <w:sz w:val="18"/>
          <w:szCs w:val="18"/>
        </w:rPr>
      </w:pPr>
      <w:r w:rsidRPr="0008667A">
        <w:rPr>
          <w:rFonts w:ascii="Verdana" w:hAnsi="Verdana"/>
          <w:sz w:val="18"/>
          <w:szCs w:val="18"/>
        </w:rPr>
        <w:t>MEDEDELING VAN DE COMMISSIE AAN HET EUROPEES PARLEMENT, DE RAAD, HET EUROPEES ECONOMISCH EN SOCIAAL COMITÉ EN HET COMITÉ VAN DE REGIO'S EU-strategie voor het aanleggen van voorraden: de materiële paraatheid van de EU ten aanzien van crises bevorderen</w:t>
      </w:r>
    </w:p>
    <w:p w:rsidRPr="00EF5C95" w:rsidR="0065544E" w:rsidP="0065544E" w:rsidRDefault="0065544E" w14:paraId="1D3A615E" w14:textId="77777777">
      <w:pPr>
        <w:spacing w:line="360" w:lineRule="auto"/>
        <w:ind w:left="360"/>
        <w:rPr>
          <w:rFonts w:ascii="Verdana" w:hAnsi="Verdana"/>
          <w:i/>
          <w:iCs/>
          <w:sz w:val="18"/>
          <w:szCs w:val="18"/>
        </w:rPr>
      </w:pPr>
    </w:p>
    <w:p w:rsidRPr="0008667A" w:rsidR="00F54AFF" w:rsidP="13F04252" w:rsidRDefault="00F54AFF" w14:paraId="01843151" w14:textId="77777777">
      <w:pPr>
        <w:numPr>
          <w:ilvl w:val="0"/>
          <w:numId w:val="19"/>
        </w:numPr>
        <w:spacing w:line="360" w:lineRule="auto"/>
        <w:rPr>
          <w:rFonts w:ascii="Verdana" w:hAnsi="Verdana"/>
          <w:i/>
          <w:iCs/>
          <w:sz w:val="18"/>
          <w:szCs w:val="18"/>
        </w:rPr>
      </w:pPr>
      <w:r w:rsidRPr="13F04252">
        <w:rPr>
          <w:rFonts w:ascii="Verdana" w:hAnsi="Verdana"/>
          <w:i/>
          <w:iCs/>
          <w:sz w:val="18"/>
          <w:szCs w:val="18"/>
        </w:rPr>
        <w:t xml:space="preserve">Datum </w:t>
      </w:r>
      <w:r w:rsidRPr="13F04252" w:rsidR="00513C1E">
        <w:rPr>
          <w:rFonts w:ascii="Verdana" w:hAnsi="Verdana"/>
          <w:i/>
          <w:iCs/>
          <w:sz w:val="18"/>
          <w:szCs w:val="18"/>
        </w:rPr>
        <w:t xml:space="preserve">ontvangst </w:t>
      </w:r>
      <w:r w:rsidRPr="13F04252">
        <w:rPr>
          <w:rFonts w:ascii="Verdana" w:hAnsi="Verdana"/>
          <w:i/>
          <w:iCs/>
          <w:sz w:val="18"/>
          <w:szCs w:val="18"/>
        </w:rPr>
        <w:t>Commissiedocument</w:t>
      </w:r>
    </w:p>
    <w:p w:rsidR="0065544E" w:rsidP="0065544E" w:rsidRDefault="0065544E" w14:paraId="0EDD8E86" w14:textId="13C6E8C6">
      <w:pPr>
        <w:spacing w:line="360" w:lineRule="auto"/>
        <w:ind w:left="360"/>
        <w:rPr>
          <w:rFonts w:ascii="Verdana" w:hAnsi="Verdana"/>
          <w:sz w:val="18"/>
          <w:szCs w:val="18"/>
        </w:rPr>
      </w:pPr>
      <w:r>
        <w:rPr>
          <w:rFonts w:ascii="Verdana" w:hAnsi="Verdana"/>
          <w:sz w:val="18"/>
          <w:szCs w:val="18"/>
        </w:rPr>
        <w:t>9 juli 2025</w:t>
      </w:r>
    </w:p>
    <w:p w:rsidRPr="00D26AF3" w:rsidR="0065544E" w:rsidP="0065544E" w:rsidRDefault="0065544E" w14:paraId="22AB9C19" w14:textId="77777777">
      <w:pPr>
        <w:spacing w:line="360" w:lineRule="auto"/>
        <w:ind w:left="360"/>
        <w:rPr>
          <w:rFonts w:ascii="Verdana" w:hAnsi="Verdana"/>
          <w:sz w:val="18"/>
          <w:szCs w:val="18"/>
        </w:rPr>
      </w:pPr>
    </w:p>
    <w:p w:rsidRPr="0008667A" w:rsidR="0065544E" w:rsidP="13F04252" w:rsidRDefault="0065544E" w14:paraId="7959188F" w14:textId="6626347D">
      <w:pPr>
        <w:numPr>
          <w:ilvl w:val="0"/>
          <w:numId w:val="19"/>
        </w:numPr>
        <w:spacing w:line="360" w:lineRule="auto"/>
        <w:rPr>
          <w:rFonts w:ascii="Verdana" w:hAnsi="Verdana"/>
          <w:i/>
          <w:iCs/>
          <w:sz w:val="18"/>
          <w:szCs w:val="18"/>
        </w:rPr>
      </w:pPr>
      <w:r w:rsidRPr="13F04252">
        <w:rPr>
          <w:rFonts w:ascii="Verdana" w:hAnsi="Verdana"/>
          <w:i/>
          <w:iCs/>
          <w:sz w:val="18"/>
          <w:szCs w:val="18"/>
        </w:rPr>
        <w:t>Nr. Commissiedocument</w:t>
      </w:r>
    </w:p>
    <w:p w:rsidRPr="0008667A" w:rsidR="00AE1040" w:rsidP="0065544E" w:rsidRDefault="00AE1040" w14:paraId="02781FF2" w14:textId="07984954">
      <w:pPr>
        <w:spacing w:line="360" w:lineRule="auto"/>
        <w:ind w:left="360"/>
        <w:rPr>
          <w:rFonts w:ascii="Verdana" w:hAnsi="Verdana"/>
          <w:sz w:val="18"/>
          <w:szCs w:val="18"/>
        </w:rPr>
      </w:pPr>
      <w:r w:rsidRPr="0008667A">
        <w:rPr>
          <w:rFonts w:ascii="Verdana" w:hAnsi="Verdana"/>
          <w:sz w:val="18"/>
          <w:szCs w:val="18"/>
        </w:rPr>
        <w:t xml:space="preserve">COM(2025) 528 </w:t>
      </w:r>
    </w:p>
    <w:p w:rsidR="0065544E" w:rsidP="0065544E" w:rsidRDefault="0065544E" w14:paraId="21BFD620" w14:textId="77777777">
      <w:pPr>
        <w:spacing w:line="360" w:lineRule="auto"/>
        <w:ind w:left="360"/>
        <w:rPr>
          <w:rFonts w:ascii="Verdana" w:hAnsi="Verdana"/>
          <w:i/>
          <w:iCs/>
          <w:sz w:val="18"/>
          <w:szCs w:val="18"/>
        </w:rPr>
      </w:pPr>
    </w:p>
    <w:p w:rsidRPr="0008667A" w:rsidR="00F54AFF" w:rsidP="13F04252" w:rsidRDefault="001D558D" w14:paraId="7B35A37C" w14:textId="2BBCBBA9">
      <w:pPr>
        <w:numPr>
          <w:ilvl w:val="0"/>
          <w:numId w:val="19"/>
        </w:numPr>
        <w:spacing w:line="360" w:lineRule="auto"/>
        <w:rPr>
          <w:rFonts w:ascii="Verdana" w:hAnsi="Verdana"/>
          <w:i/>
          <w:iCs/>
          <w:sz w:val="18"/>
          <w:szCs w:val="18"/>
        </w:rPr>
      </w:pPr>
      <w:r w:rsidRPr="13F04252">
        <w:rPr>
          <w:rFonts w:ascii="Verdana" w:hAnsi="Verdana"/>
          <w:i/>
          <w:iCs/>
          <w:sz w:val="18"/>
          <w:szCs w:val="18"/>
        </w:rPr>
        <w:t>EUR</w:t>
      </w:r>
      <w:r w:rsidRPr="13F04252" w:rsidR="00F54AFF">
        <w:rPr>
          <w:rFonts w:ascii="Verdana" w:hAnsi="Verdana"/>
          <w:i/>
          <w:iCs/>
          <w:sz w:val="18"/>
          <w:szCs w:val="18"/>
        </w:rPr>
        <w:t>-</w:t>
      </w:r>
      <w:r w:rsidRPr="13F04252">
        <w:rPr>
          <w:rFonts w:ascii="Verdana" w:hAnsi="Verdana"/>
          <w:i/>
          <w:iCs/>
          <w:sz w:val="18"/>
          <w:szCs w:val="18"/>
        </w:rPr>
        <w:t>L</w:t>
      </w:r>
      <w:r w:rsidRPr="13F04252" w:rsidR="00F54AFF">
        <w:rPr>
          <w:rFonts w:ascii="Verdana" w:hAnsi="Verdana"/>
          <w:i/>
          <w:iCs/>
          <w:sz w:val="18"/>
          <w:szCs w:val="18"/>
        </w:rPr>
        <w:t>ex</w:t>
      </w:r>
    </w:p>
    <w:p w:rsidRPr="00A26A53" w:rsidR="0065544E" w:rsidP="002F4008" w:rsidRDefault="000906CD" w14:paraId="16406F8A" w14:textId="792CB391">
      <w:pPr>
        <w:spacing w:line="360" w:lineRule="auto"/>
        <w:ind w:left="360"/>
        <w:rPr>
          <w:rFonts w:ascii="Verdana" w:hAnsi="Verdana"/>
          <w:sz w:val="18"/>
          <w:szCs w:val="18"/>
          <w:lang w:val="fr-FR"/>
        </w:rPr>
      </w:pPr>
      <w:hyperlink w:history="1" r:id="rId13">
        <w:r w:rsidRPr="00A26A53" w:rsidR="002F4008">
          <w:rPr>
            <w:rStyle w:val="Hyperlink"/>
            <w:rFonts w:ascii="Verdana" w:hAnsi="Verdana"/>
            <w:sz w:val="18"/>
            <w:szCs w:val="18"/>
            <w:lang w:val="fr-FR"/>
          </w:rPr>
          <w:t>EUR-Lex - 52025DC0528 - EN - EUR-Lex</w:t>
        </w:r>
      </w:hyperlink>
      <w:r w:rsidRPr="00A26A53" w:rsidR="002F4008">
        <w:rPr>
          <w:rFonts w:ascii="Verdana" w:hAnsi="Verdana"/>
          <w:sz w:val="18"/>
          <w:szCs w:val="18"/>
          <w:lang w:val="fr-FR"/>
        </w:rPr>
        <w:br/>
      </w:r>
    </w:p>
    <w:p w:rsidRPr="0008667A" w:rsidR="00EA4C91" w:rsidP="60696D23" w:rsidRDefault="00F54AFF" w14:paraId="53CDC116" w14:textId="77777777">
      <w:pPr>
        <w:numPr>
          <w:ilvl w:val="0"/>
          <w:numId w:val="19"/>
        </w:numPr>
        <w:spacing w:line="360" w:lineRule="auto"/>
        <w:rPr>
          <w:rFonts w:ascii="Verdana" w:hAnsi="Verdana"/>
          <w:i/>
          <w:iCs/>
          <w:sz w:val="18"/>
          <w:szCs w:val="18"/>
          <w:lang w:val="fr-FR"/>
        </w:rPr>
      </w:pPr>
      <w:r w:rsidRPr="60696D23">
        <w:rPr>
          <w:rFonts w:ascii="Verdana" w:hAnsi="Verdana"/>
          <w:i/>
          <w:iCs/>
          <w:sz w:val="18"/>
          <w:szCs w:val="18"/>
          <w:lang w:val="fr-FR"/>
        </w:rPr>
        <w:t xml:space="preserve">Nr. impact </w:t>
      </w:r>
      <w:proofErr w:type="spellStart"/>
      <w:r w:rsidRPr="60696D23">
        <w:rPr>
          <w:rFonts w:ascii="Verdana" w:hAnsi="Verdana"/>
          <w:i/>
          <w:iCs/>
          <w:sz w:val="18"/>
          <w:szCs w:val="18"/>
          <w:lang w:val="fr-FR"/>
        </w:rPr>
        <w:t>assessment</w:t>
      </w:r>
      <w:proofErr w:type="spellEnd"/>
      <w:r w:rsidRPr="60696D23">
        <w:rPr>
          <w:rFonts w:ascii="Verdana" w:hAnsi="Verdana"/>
          <w:i/>
          <w:iCs/>
          <w:sz w:val="18"/>
          <w:szCs w:val="18"/>
          <w:lang w:val="fr-FR"/>
        </w:rPr>
        <w:t xml:space="preserve"> Commissie en </w:t>
      </w:r>
      <w:proofErr w:type="spellStart"/>
      <w:r w:rsidRPr="60696D23">
        <w:rPr>
          <w:rFonts w:ascii="Verdana" w:hAnsi="Verdana"/>
          <w:i/>
          <w:iCs/>
          <w:sz w:val="18"/>
          <w:szCs w:val="18"/>
          <w:lang w:val="fr-FR"/>
        </w:rPr>
        <w:t>Opinie</w:t>
      </w:r>
      <w:proofErr w:type="spellEnd"/>
      <w:r w:rsidRPr="60696D23" w:rsidR="00FE7565">
        <w:rPr>
          <w:rFonts w:ascii="Verdana" w:hAnsi="Verdana"/>
          <w:i/>
          <w:iCs/>
          <w:sz w:val="18"/>
          <w:szCs w:val="18"/>
          <w:lang w:val="fr-FR"/>
        </w:rPr>
        <w:t xml:space="preserve"> </w:t>
      </w:r>
    </w:p>
    <w:p w:rsidR="0065544E" w:rsidP="0065544E" w:rsidRDefault="002F4008" w14:paraId="67CA63C9" w14:textId="581D12A3">
      <w:pPr>
        <w:spacing w:line="360" w:lineRule="auto"/>
        <w:ind w:left="360"/>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D26AF3" w:rsidR="002F4008" w:rsidP="0065544E" w:rsidRDefault="002F4008" w14:paraId="437796F0" w14:textId="77777777">
      <w:pPr>
        <w:spacing w:line="360" w:lineRule="auto"/>
        <w:ind w:left="360"/>
        <w:rPr>
          <w:rFonts w:ascii="Verdana" w:hAnsi="Verdana"/>
          <w:sz w:val="18"/>
          <w:szCs w:val="18"/>
          <w:lang w:val="fr-FR"/>
        </w:rPr>
      </w:pPr>
    </w:p>
    <w:p w:rsidRPr="0008667A" w:rsidR="00F54AFF" w:rsidP="13F04252" w:rsidRDefault="00F54AFF" w14:paraId="17753858" w14:textId="77777777">
      <w:pPr>
        <w:numPr>
          <w:ilvl w:val="0"/>
          <w:numId w:val="19"/>
        </w:numPr>
        <w:spacing w:line="360" w:lineRule="auto"/>
        <w:rPr>
          <w:rFonts w:ascii="Verdana" w:hAnsi="Verdana"/>
          <w:i/>
          <w:iCs/>
          <w:sz w:val="18"/>
          <w:szCs w:val="18"/>
        </w:rPr>
      </w:pPr>
      <w:r w:rsidRPr="13F04252">
        <w:rPr>
          <w:rFonts w:ascii="Verdana" w:hAnsi="Verdana"/>
          <w:i/>
          <w:iCs/>
          <w:sz w:val="18"/>
          <w:szCs w:val="18"/>
        </w:rPr>
        <w:t>Behandelingstraject Raad</w:t>
      </w:r>
    </w:p>
    <w:p w:rsidR="0065544E" w:rsidP="0065544E" w:rsidRDefault="0091059F" w14:paraId="423DE931" w14:textId="056A184B">
      <w:pPr>
        <w:spacing w:line="360" w:lineRule="auto"/>
        <w:ind w:left="360"/>
        <w:rPr>
          <w:rFonts w:ascii="Verdana" w:hAnsi="Verdana"/>
          <w:sz w:val="18"/>
          <w:szCs w:val="18"/>
        </w:rPr>
      </w:pPr>
      <w:r>
        <w:rPr>
          <w:rFonts w:ascii="Verdana" w:hAnsi="Verdana"/>
          <w:sz w:val="18"/>
          <w:szCs w:val="18"/>
        </w:rPr>
        <w:t xml:space="preserve">Raad </w:t>
      </w:r>
      <w:r w:rsidR="0065544E">
        <w:rPr>
          <w:rFonts w:ascii="Verdana" w:hAnsi="Verdana"/>
          <w:sz w:val="18"/>
          <w:szCs w:val="18"/>
        </w:rPr>
        <w:t xml:space="preserve">Justitie en Binnenlandse Zaken </w:t>
      </w:r>
    </w:p>
    <w:p w:rsidRPr="0065544E" w:rsidR="00D26AF3" w:rsidP="0065544E" w:rsidRDefault="00D26AF3" w14:paraId="50AE5368" w14:textId="77777777">
      <w:pPr>
        <w:spacing w:line="360" w:lineRule="auto"/>
        <w:ind w:left="360"/>
        <w:rPr>
          <w:rFonts w:ascii="Verdana" w:hAnsi="Verdana"/>
          <w:sz w:val="18"/>
          <w:szCs w:val="18"/>
        </w:rPr>
      </w:pPr>
    </w:p>
    <w:p w:rsidRPr="0008667A" w:rsidR="000D01B7" w:rsidP="0008667A" w:rsidRDefault="000D01B7" w14:paraId="06FF4929" w14:textId="77777777">
      <w:pPr>
        <w:numPr>
          <w:ilvl w:val="0"/>
          <w:numId w:val="19"/>
        </w:numPr>
        <w:spacing w:line="360" w:lineRule="auto"/>
        <w:rPr>
          <w:rFonts w:ascii="Verdana" w:hAnsi="Verdana"/>
          <w:i/>
          <w:iCs/>
          <w:sz w:val="18"/>
          <w:szCs w:val="18"/>
        </w:rPr>
      </w:pPr>
      <w:r w:rsidRPr="00DA3503">
        <w:rPr>
          <w:rFonts w:ascii="Verdana" w:hAnsi="Verdana"/>
          <w:i/>
          <w:iCs/>
          <w:sz w:val="18"/>
          <w:szCs w:val="18"/>
        </w:rPr>
        <w:t>Eerstverantwoordelijk ministerie</w:t>
      </w:r>
    </w:p>
    <w:p w:rsidR="00066C36" w:rsidP="0065544E" w:rsidRDefault="0065544E" w14:paraId="0AA65E6C" w14:textId="42B8562E">
      <w:pPr>
        <w:spacing w:line="360" w:lineRule="auto"/>
        <w:ind w:left="360"/>
        <w:rPr>
          <w:rFonts w:ascii="Verdana" w:hAnsi="Verdana"/>
          <w:sz w:val="18"/>
          <w:szCs w:val="18"/>
        </w:rPr>
      </w:pPr>
      <w:r>
        <w:rPr>
          <w:rFonts w:ascii="Verdana" w:hAnsi="Verdana"/>
          <w:sz w:val="18"/>
          <w:szCs w:val="18"/>
        </w:rPr>
        <w:t>Ministerie van Justitie en Veiligheid</w:t>
      </w:r>
    </w:p>
    <w:p w:rsidRPr="00066C36" w:rsidR="0065544E" w:rsidP="00D26AF3" w:rsidRDefault="0065544E" w14:paraId="6ABCD746" w14:textId="77777777">
      <w:pPr>
        <w:spacing w:line="360" w:lineRule="auto"/>
        <w:ind w:left="360"/>
        <w:rPr>
          <w:rFonts w:ascii="Verdana" w:hAnsi="Verdana"/>
          <w:sz w:val="18"/>
          <w:szCs w:val="18"/>
        </w:rPr>
      </w:pPr>
    </w:p>
    <w:p w:rsidRPr="0008667A" w:rsidR="00F54AFF" w:rsidP="0008667A" w:rsidRDefault="008528D9" w14:paraId="2B811560" w14:textId="77777777">
      <w:pPr>
        <w:numPr>
          <w:ilvl w:val="0"/>
          <w:numId w:val="15"/>
        </w:numPr>
        <w:spacing w:line="360" w:lineRule="auto"/>
        <w:rPr>
          <w:rFonts w:ascii="Verdana" w:hAnsi="Verdana"/>
          <w:b/>
          <w:bCs/>
          <w:sz w:val="18"/>
          <w:szCs w:val="18"/>
        </w:rPr>
      </w:pPr>
      <w:r w:rsidRPr="00DA3503">
        <w:rPr>
          <w:rFonts w:ascii="Verdana" w:hAnsi="Verdana"/>
          <w:b/>
          <w:bCs/>
          <w:sz w:val="18"/>
          <w:szCs w:val="18"/>
        </w:rPr>
        <w:t>Essentie</w:t>
      </w:r>
      <w:r w:rsidRPr="00DA3503" w:rsidR="000D01B7">
        <w:rPr>
          <w:rFonts w:ascii="Verdana" w:hAnsi="Verdana"/>
          <w:b/>
          <w:bCs/>
          <w:sz w:val="18"/>
          <w:szCs w:val="18"/>
        </w:rPr>
        <w:t xml:space="preserve"> voorstel</w:t>
      </w:r>
    </w:p>
    <w:p w:rsidRPr="00220962" w:rsidR="00220962" w:rsidP="00220962" w:rsidRDefault="009243D1" w14:paraId="66E74CC3" w14:textId="574C5CAD">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Op 9 juli </w:t>
      </w:r>
      <w:r w:rsidR="0065544E">
        <w:rPr>
          <w:rFonts w:ascii="Verdana" w:hAnsi="Verdana"/>
          <w:sz w:val="18"/>
          <w:szCs w:val="18"/>
        </w:rPr>
        <w:t xml:space="preserve">publiceerde </w:t>
      </w:r>
      <w:r w:rsidR="005C7EC1">
        <w:rPr>
          <w:rFonts w:ascii="Verdana" w:hAnsi="Verdana"/>
          <w:sz w:val="18"/>
          <w:szCs w:val="18"/>
        </w:rPr>
        <w:t xml:space="preserve">de </w:t>
      </w:r>
      <w:r>
        <w:rPr>
          <w:rFonts w:ascii="Verdana" w:hAnsi="Verdana"/>
          <w:sz w:val="18"/>
          <w:szCs w:val="18"/>
        </w:rPr>
        <w:t xml:space="preserve">Europese </w:t>
      </w:r>
      <w:r w:rsidR="005C7EC1">
        <w:rPr>
          <w:rFonts w:ascii="Verdana" w:hAnsi="Verdana"/>
          <w:sz w:val="18"/>
          <w:szCs w:val="18"/>
        </w:rPr>
        <w:t>Commissie</w:t>
      </w:r>
      <w:r>
        <w:rPr>
          <w:rFonts w:ascii="Verdana" w:hAnsi="Verdana"/>
          <w:sz w:val="18"/>
          <w:szCs w:val="18"/>
        </w:rPr>
        <w:t xml:space="preserve"> </w:t>
      </w:r>
      <w:r w:rsidR="00DC7EC7">
        <w:rPr>
          <w:rFonts w:ascii="Verdana" w:hAnsi="Verdana"/>
          <w:sz w:val="18"/>
          <w:szCs w:val="18"/>
        </w:rPr>
        <w:t>(hierna</w:t>
      </w:r>
      <w:r w:rsidR="0091059F">
        <w:rPr>
          <w:rFonts w:ascii="Verdana" w:hAnsi="Verdana"/>
          <w:sz w:val="18"/>
          <w:szCs w:val="18"/>
        </w:rPr>
        <w:t>:</w:t>
      </w:r>
      <w:r w:rsidR="00DC7EC7">
        <w:rPr>
          <w:rFonts w:ascii="Verdana" w:hAnsi="Verdana"/>
          <w:sz w:val="18"/>
          <w:szCs w:val="18"/>
        </w:rPr>
        <w:t xml:space="preserve"> Commissie) </w:t>
      </w:r>
      <w:r w:rsidRPr="005C7EC1" w:rsidR="005C7EC1">
        <w:rPr>
          <w:rFonts w:ascii="Verdana" w:hAnsi="Verdana"/>
          <w:sz w:val="18"/>
          <w:szCs w:val="18"/>
        </w:rPr>
        <w:t>de EU</w:t>
      </w:r>
      <w:r w:rsidR="00DA3503">
        <w:rPr>
          <w:rFonts w:ascii="Verdana" w:hAnsi="Verdana"/>
          <w:sz w:val="18"/>
          <w:szCs w:val="18"/>
        </w:rPr>
        <w:t>-</w:t>
      </w:r>
      <w:r w:rsidRPr="005C7EC1" w:rsidR="005C7EC1">
        <w:rPr>
          <w:rFonts w:ascii="Verdana" w:hAnsi="Verdana"/>
          <w:sz w:val="18"/>
          <w:szCs w:val="18"/>
        </w:rPr>
        <w:t>voorradenstrategie (</w:t>
      </w:r>
      <w:r w:rsidR="003163BA">
        <w:rPr>
          <w:rFonts w:ascii="Verdana" w:hAnsi="Verdana"/>
          <w:sz w:val="18"/>
          <w:szCs w:val="18"/>
        </w:rPr>
        <w:t xml:space="preserve">hierna </w:t>
      </w:r>
      <w:r w:rsidR="00D47EEA">
        <w:rPr>
          <w:rFonts w:ascii="Verdana" w:hAnsi="Verdana"/>
          <w:sz w:val="18"/>
          <w:szCs w:val="18"/>
        </w:rPr>
        <w:t>voorradens</w:t>
      </w:r>
      <w:r w:rsidR="003163BA">
        <w:rPr>
          <w:rFonts w:ascii="Verdana" w:hAnsi="Verdana"/>
          <w:sz w:val="18"/>
          <w:szCs w:val="18"/>
        </w:rPr>
        <w:t>trategie</w:t>
      </w:r>
      <w:r w:rsidRPr="005C7EC1" w:rsidR="005C7EC1">
        <w:rPr>
          <w:rFonts w:ascii="Verdana" w:hAnsi="Verdana"/>
          <w:sz w:val="18"/>
          <w:szCs w:val="18"/>
        </w:rPr>
        <w:t>)</w:t>
      </w:r>
      <w:r w:rsidR="005C7EC1">
        <w:rPr>
          <w:rFonts w:ascii="Verdana" w:hAnsi="Verdana"/>
          <w:sz w:val="18"/>
          <w:szCs w:val="18"/>
        </w:rPr>
        <w:t xml:space="preserve">. </w:t>
      </w:r>
      <w:r>
        <w:rPr>
          <w:rFonts w:ascii="Verdana" w:hAnsi="Verdana"/>
          <w:sz w:val="18"/>
          <w:szCs w:val="18"/>
        </w:rPr>
        <w:t xml:space="preserve">Samen met de </w:t>
      </w:r>
      <w:r w:rsidR="005C7EC1">
        <w:rPr>
          <w:rFonts w:ascii="Verdana" w:hAnsi="Verdana"/>
          <w:sz w:val="18"/>
          <w:szCs w:val="18"/>
        </w:rPr>
        <w:t>str</w:t>
      </w:r>
      <w:r w:rsidRPr="005C7EC1" w:rsidR="005C7EC1">
        <w:rPr>
          <w:rFonts w:ascii="Verdana" w:hAnsi="Verdana"/>
          <w:sz w:val="18"/>
          <w:szCs w:val="18"/>
        </w:rPr>
        <w:t>ategie voor medische tegenmaatregelen</w:t>
      </w:r>
      <w:r w:rsidR="00E47DB4">
        <w:rPr>
          <w:rStyle w:val="FootnoteReference"/>
          <w:rFonts w:ascii="Verdana" w:hAnsi="Verdana"/>
          <w:sz w:val="18"/>
          <w:szCs w:val="18"/>
        </w:rPr>
        <w:footnoteReference w:id="2"/>
      </w:r>
      <w:r>
        <w:rPr>
          <w:rFonts w:ascii="Verdana" w:hAnsi="Verdana"/>
          <w:sz w:val="18"/>
          <w:szCs w:val="18"/>
        </w:rPr>
        <w:t xml:space="preserve"> wordt </w:t>
      </w:r>
      <w:r w:rsidR="009A3B7F">
        <w:rPr>
          <w:rFonts w:ascii="Verdana" w:hAnsi="Verdana"/>
          <w:sz w:val="18"/>
          <w:szCs w:val="18"/>
        </w:rPr>
        <w:t>hiermee</w:t>
      </w:r>
      <w:r w:rsidR="00BF4C04">
        <w:rPr>
          <w:rFonts w:ascii="Verdana" w:hAnsi="Verdana"/>
          <w:sz w:val="18"/>
          <w:szCs w:val="18"/>
        </w:rPr>
        <w:t xml:space="preserve"> mede</w:t>
      </w:r>
      <w:r w:rsidR="009A3B7F">
        <w:rPr>
          <w:rFonts w:ascii="Verdana" w:hAnsi="Verdana"/>
          <w:sz w:val="18"/>
          <w:szCs w:val="18"/>
        </w:rPr>
        <w:t xml:space="preserve"> </w:t>
      </w:r>
      <w:r>
        <w:rPr>
          <w:rFonts w:ascii="Verdana" w:hAnsi="Verdana"/>
          <w:sz w:val="18"/>
          <w:szCs w:val="18"/>
        </w:rPr>
        <w:t>opvolging gegeven aan</w:t>
      </w:r>
      <w:r w:rsidR="0093550C">
        <w:rPr>
          <w:rFonts w:ascii="Verdana" w:hAnsi="Verdana"/>
          <w:sz w:val="18"/>
          <w:szCs w:val="18"/>
        </w:rPr>
        <w:t xml:space="preserve"> de</w:t>
      </w:r>
      <w:r>
        <w:rPr>
          <w:rFonts w:ascii="Verdana" w:hAnsi="Verdana"/>
          <w:sz w:val="18"/>
          <w:szCs w:val="18"/>
        </w:rPr>
        <w:t xml:space="preserve"> voorgenomen acties uit de Europese strategie voor een </w:t>
      </w:r>
      <w:r w:rsidRPr="005C7EC1">
        <w:rPr>
          <w:rFonts w:ascii="Verdana" w:hAnsi="Verdana"/>
          <w:sz w:val="18"/>
          <w:szCs w:val="18"/>
        </w:rPr>
        <w:t>Paraatheidsunie</w:t>
      </w:r>
      <w:r w:rsidR="003E00FF">
        <w:rPr>
          <w:rStyle w:val="FootnoteReference"/>
          <w:rFonts w:ascii="Verdana" w:hAnsi="Verdana"/>
          <w:sz w:val="18"/>
          <w:szCs w:val="18"/>
        </w:rPr>
        <w:footnoteReference w:id="3"/>
      </w:r>
      <w:r w:rsidRPr="005C7EC1" w:rsidR="005C7EC1">
        <w:rPr>
          <w:rFonts w:ascii="Verdana" w:hAnsi="Verdana"/>
          <w:sz w:val="18"/>
          <w:szCs w:val="18"/>
        </w:rPr>
        <w:t xml:space="preserve">. Beide strategieën beogen toegang tot essentiële goederen te allen tijde te waarborgen, met name </w:t>
      </w:r>
      <w:r w:rsidR="00585B07">
        <w:rPr>
          <w:rFonts w:ascii="Verdana" w:hAnsi="Verdana"/>
          <w:sz w:val="18"/>
          <w:szCs w:val="18"/>
        </w:rPr>
        <w:t>gedurende</w:t>
      </w:r>
      <w:r w:rsidRPr="005C7EC1" w:rsidR="00585B07">
        <w:rPr>
          <w:rFonts w:ascii="Verdana" w:hAnsi="Verdana"/>
          <w:sz w:val="18"/>
          <w:szCs w:val="18"/>
        </w:rPr>
        <w:t xml:space="preserve"> </w:t>
      </w:r>
      <w:r w:rsidRPr="005C7EC1" w:rsidR="005C7EC1">
        <w:rPr>
          <w:rFonts w:ascii="Verdana" w:hAnsi="Verdana"/>
          <w:sz w:val="18"/>
          <w:szCs w:val="18"/>
        </w:rPr>
        <w:t>crises.</w:t>
      </w:r>
      <w:r w:rsidR="00D47EEA">
        <w:rPr>
          <w:rFonts w:ascii="Verdana" w:hAnsi="Verdana"/>
          <w:sz w:val="18"/>
          <w:szCs w:val="18"/>
        </w:rPr>
        <w:t xml:space="preserve"> De voorradenstrategie wordt voor een deel concreet uitgewerkt in de verordening </w:t>
      </w:r>
      <w:r w:rsidR="00220962">
        <w:rPr>
          <w:rFonts w:ascii="Verdana" w:hAnsi="Verdana"/>
          <w:sz w:val="18"/>
          <w:szCs w:val="18"/>
        </w:rPr>
        <w:t>die het Uniemechanisme</w:t>
      </w:r>
      <w:r w:rsidR="003A0EDB">
        <w:rPr>
          <w:rFonts w:ascii="Verdana" w:hAnsi="Verdana"/>
          <w:sz w:val="18"/>
          <w:szCs w:val="18"/>
        </w:rPr>
        <w:t xml:space="preserve"> voor Civiele Bescherming</w:t>
      </w:r>
      <w:r w:rsidR="00220962">
        <w:rPr>
          <w:rFonts w:ascii="Verdana" w:hAnsi="Verdana"/>
          <w:sz w:val="18"/>
          <w:szCs w:val="18"/>
        </w:rPr>
        <w:t xml:space="preserve"> (</w:t>
      </w:r>
      <w:r w:rsidRPr="60696D23" w:rsidR="00220962">
        <w:rPr>
          <w:rFonts w:ascii="Verdana" w:hAnsi="Verdana"/>
          <w:i/>
          <w:iCs/>
          <w:sz w:val="18"/>
          <w:szCs w:val="18"/>
        </w:rPr>
        <w:t>European</w:t>
      </w:r>
      <w:r w:rsidR="00220962">
        <w:rPr>
          <w:rFonts w:ascii="Verdana" w:hAnsi="Verdana"/>
          <w:sz w:val="18"/>
          <w:szCs w:val="18"/>
        </w:rPr>
        <w:t xml:space="preserve"> </w:t>
      </w:r>
      <w:r w:rsidRPr="60696D23" w:rsidR="00220962">
        <w:rPr>
          <w:rFonts w:ascii="Verdana" w:hAnsi="Verdana"/>
          <w:i/>
          <w:iCs/>
          <w:sz w:val="18"/>
          <w:szCs w:val="18"/>
        </w:rPr>
        <w:t xml:space="preserve">Union </w:t>
      </w:r>
      <w:proofErr w:type="spellStart"/>
      <w:r w:rsidRPr="60696D23" w:rsidR="00220962">
        <w:rPr>
          <w:rFonts w:ascii="Verdana" w:hAnsi="Verdana"/>
          <w:i/>
          <w:iCs/>
          <w:sz w:val="18"/>
          <w:szCs w:val="18"/>
        </w:rPr>
        <w:t>Civil</w:t>
      </w:r>
      <w:proofErr w:type="spellEnd"/>
      <w:r w:rsidRPr="60696D23" w:rsidR="00220962">
        <w:rPr>
          <w:rFonts w:ascii="Verdana" w:hAnsi="Verdana"/>
          <w:i/>
          <w:iCs/>
          <w:sz w:val="18"/>
          <w:szCs w:val="18"/>
        </w:rPr>
        <w:t xml:space="preserve"> </w:t>
      </w:r>
      <w:proofErr w:type="spellStart"/>
      <w:r w:rsidRPr="60696D23" w:rsidR="00220962">
        <w:rPr>
          <w:rFonts w:ascii="Verdana" w:hAnsi="Verdana"/>
          <w:i/>
          <w:iCs/>
          <w:sz w:val="18"/>
          <w:szCs w:val="18"/>
        </w:rPr>
        <w:t>Protection</w:t>
      </w:r>
      <w:proofErr w:type="spellEnd"/>
      <w:r w:rsidRPr="60696D23" w:rsidR="00220962">
        <w:rPr>
          <w:rFonts w:ascii="Verdana" w:hAnsi="Verdana"/>
          <w:i/>
          <w:iCs/>
          <w:sz w:val="18"/>
          <w:szCs w:val="18"/>
        </w:rPr>
        <w:t xml:space="preserve"> </w:t>
      </w:r>
      <w:proofErr w:type="spellStart"/>
      <w:r w:rsidRPr="60696D23" w:rsidR="00220962">
        <w:rPr>
          <w:rFonts w:ascii="Verdana" w:hAnsi="Verdana"/>
          <w:i/>
          <w:iCs/>
          <w:sz w:val="18"/>
          <w:szCs w:val="18"/>
        </w:rPr>
        <w:t>Mechanism</w:t>
      </w:r>
      <w:proofErr w:type="spellEnd"/>
      <w:r w:rsidR="005B0C00">
        <w:rPr>
          <w:rFonts w:ascii="Verdana" w:hAnsi="Verdana"/>
          <w:sz w:val="18"/>
          <w:szCs w:val="18"/>
        </w:rPr>
        <w:t>; UCPM</w:t>
      </w:r>
      <w:r w:rsidR="00220962">
        <w:rPr>
          <w:rFonts w:ascii="Verdana" w:hAnsi="Verdana"/>
          <w:sz w:val="18"/>
          <w:szCs w:val="18"/>
        </w:rPr>
        <w:t>)</w:t>
      </w:r>
      <w:r w:rsidR="00220962">
        <w:rPr>
          <w:rStyle w:val="FootnoteReference"/>
          <w:rFonts w:ascii="Verdana" w:hAnsi="Verdana"/>
          <w:sz w:val="18"/>
          <w:szCs w:val="18"/>
        </w:rPr>
        <w:footnoteReference w:id="4"/>
      </w:r>
      <w:r w:rsidR="00220962">
        <w:rPr>
          <w:rFonts w:ascii="Verdana" w:hAnsi="Verdana"/>
          <w:sz w:val="18"/>
          <w:szCs w:val="18"/>
        </w:rPr>
        <w:t xml:space="preserve"> herziet. </w:t>
      </w:r>
      <w:r w:rsidR="0091059F">
        <w:rPr>
          <w:rFonts w:ascii="Verdana" w:hAnsi="Verdana"/>
          <w:sz w:val="18"/>
          <w:szCs w:val="18"/>
        </w:rPr>
        <w:t>Het voorstel voor deze</w:t>
      </w:r>
      <w:r w:rsidR="00220962">
        <w:rPr>
          <w:rFonts w:ascii="Verdana" w:hAnsi="Verdana"/>
          <w:sz w:val="18"/>
          <w:szCs w:val="18"/>
        </w:rPr>
        <w:t xml:space="preserve"> verordening is </w:t>
      </w:r>
      <w:r w:rsidR="00D47EEA">
        <w:rPr>
          <w:rFonts w:ascii="Verdana" w:hAnsi="Verdana"/>
          <w:sz w:val="18"/>
          <w:szCs w:val="18"/>
        </w:rPr>
        <w:t xml:space="preserve">op 17 juli </w:t>
      </w:r>
      <w:r w:rsidR="0005085C">
        <w:rPr>
          <w:rFonts w:ascii="Verdana" w:hAnsi="Verdana"/>
          <w:sz w:val="18"/>
          <w:szCs w:val="18"/>
        </w:rPr>
        <w:t xml:space="preserve">2025 </w:t>
      </w:r>
      <w:r w:rsidR="00D47EEA">
        <w:rPr>
          <w:rFonts w:ascii="Verdana" w:hAnsi="Verdana"/>
          <w:sz w:val="18"/>
          <w:szCs w:val="18"/>
        </w:rPr>
        <w:t xml:space="preserve">gepubliceerd. </w:t>
      </w:r>
    </w:p>
    <w:p w:rsidR="005C7EC1" w:rsidP="0064352A" w:rsidRDefault="005C7EC1" w14:paraId="30EE6DAF" w14:textId="77777777">
      <w:pPr>
        <w:tabs>
          <w:tab w:val="left" w:pos="360"/>
          <w:tab w:val="left" w:pos="4500"/>
          <w:tab w:val="left" w:pos="5580"/>
        </w:tabs>
        <w:spacing w:line="360" w:lineRule="auto"/>
        <w:rPr>
          <w:rFonts w:ascii="Verdana" w:hAnsi="Verdana"/>
          <w:sz w:val="18"/>
          <w:szCs w:val="18"/>
        </w:rPr>
      </w:pPr>
    </w:p>
    <w:p w:rsidRPr="0009633C" w:rsidR="0009633C" w:rsidP="0009633C" w:rsidRDefault="00E52BF9" w14:paraId="21280914" w14:textId="5ABA0A9A">
      <w:pPr>
        <w:tabs>
          <w:tab w:val="left" w:pos="360"/>
          <w:tab w:val="left" w:pos="4500"/>
          <w:tab w:val="left" w:pos="5580"/>
        </w:tabs>
        <w:spacing w:line="360" w:lineRule="auto"/>
        <w:rPr>
          <w:rFonts w:ascii="Verdana" w:hAnsi="Verdana"/>
          <w:sz w:val="18"/>
          <w:szCs w:val="18"/>
        </w:rPr>
      </w:pPr>
      <w:r w:rsidRPr="00E52BF9">
        <w:rPr>
          <w:rFonts w:ascii="Verdana" w:hAnsi="Verdana"/>
          <w:sz w:val="18"/>
          <w:szCs w:val="18"/>
        </w:rPr>
        <w:lastRenderedPageBreak/>
        <w:t xml:space="preserve">De </w:t>
      </w:r>
      <w:r w:rsidR="00D47EEA">
        <w:rPr>
          <w:rFonts w:ascii="Verdana" w:hAnsi="Verdana"/>
          <w:sz w:val="18"/>
          <w:szCs w:val="18"/>
        </w:rPr>
        <w:t>voorraden</w:t>
      </w:r>
      <w:r w:rsidR="003163BA">
        <w:rPr>
          <w:rFonts w:ascii="Verdana" w:hAnsi="Verdana"/>
          <w:sz w:val="18"/>
          <w:szCs w:val="18"/>
        </w:rPr>
        <w:t>strategie</w:t>
      </w:r>
      <w:r w:rsidRPr="00E52BF9">
        <w:rPr>
          <w:rFonts w:ascii="Verdana" w:hAnsi="Verdana"/>
          <w:sz w:val="18"/>
          <w:szCs w:val="18"/>
        </w:rPr>
        <w:t xml:space="preserve"> bouwt voort op ervaringen tijdens de COVID-pandemie en de oorlog in Oekraïne, </w:t>
      </w:r>
      <w:r w:rsidRPr="00BF4C04" w:rsidR="00BF4C04">
        <w:rPr>
          <w:rFonts w:ascii="Verdana" w:hAnsi="Verdana"/>
          <w:sz w:val="18"/>
          <w:szCs w:val="18"/>
        </w:rPr>
        <w:t>waarbij kwetsbaarheden in toeleveringsketens aan het licht kwamen, onder andere op het gebied van medische producten, energie, landbouw- en voedingsproducten en kritieke grondstoffen</w:t>
      </w:r>
      <w:r w:rsidRPr="00E52BF9">
        <w:rPr>
          <w:rFonts w:ascii="Verdana" w:hAnsi="Verdana"/>
          <w:sz w:val="18"/>
          <w:szCs w:val="18"/>
        </w:rPr>
        <w:t>.</w:t>
      </w:r>
      <w:r w:rsidR="009243D1">
        <w:rPr>
          <w:rFonts w:ascii="Verdana" w:hAnsi="Verdana"/>
          <w:sz w:val="18"/>
          <w:szCs w:val="18"/>
        </w:rPr>
        <w:t xml:space="preserve"> </w:t>
      </w:r>
      <w:r w:rsidRPr="0009633C" w:rsidR="0009633C">
        <w:rPr>
          <w:rFonts w:ascii="Verdana" w:hAnsi="Verdana"/>
          <w:sz w:val="18"/>
          <w:szCs w:val="18"/>
        </w:rPr>
        <w:t>De Commissie constateert dat lidstaten weliswaar tegen dezelfde uitdagingen aanlopen, maar desondanks een sterk gefragmenteerde aanpak hanteren.</w:t>
      </w:r>
      <w:r w:rsidR="006E62A9">
        <w:rPr>
          <w:rFonts w:ascii="Verdana" w:hAnsi="Verdana"/>
          <w:sz w:val="18"/>
          <w:szCs w:val="18"/>
        </w:rPr>
        <w:t xml:space="preserve"> </w:t>
      </w:r>
      <w:r w:rsidR="00D0008E">
        <w:rPr>
          <w:rFonts w:ascii="Verdana" w:hAnsi="Verdana"/>
          <w:sz w:val="18"/>
          <w:szCs w:val="18"/>
        </w:rPr>
        <w:t>Hierdoor</w:t>
      </w:r>
      <w:r w:rsidR="006E62A9">
        <w:rPr>
          <w:rFonts w:ascii="Verdana" w:hAnsi="Verdana"/>
          <w:sz w:val="18"/>
          <w:szCs w:val="18"/>
        </w:rPr>
        <w:t xml:space="preserve"> bestaat er een beperkt gezamenlijk beeld over welke essentiële goederen nodig zijn gedurende crises en is er sprake van beperkte informatie-uitwisseling en coördinatie</w:t>
      </w:r>
      <w:r w:rsidR="00D0008E">
        <w:rPr>
          <w:rFonts w:ascii="Verdana" w:hAnsi="Verdana"/>
          <w:sz w:val="18"/>
          <w:szCs w:val="18"/>
        </w:rPr>
        <w:t>, niet alleen</w:t>
      </w:r>
      <w:r w:rsidR="006E62A9">
        <w:rPr>
          <w:rFonts w:ascii="Verdana" w:hAnsi="Verdana"/>
          <w:sz w:val="18"/>
          <w:szCs w:val="18"/>
        </w:rPr>
        <w:t xml:space="preserve"> tussen de EU en lidstaten </w:t>
      </w:r>
      <w:r w:rsidR="00D0008E">
        <w:rPr>
          <w:rFonts w:ascii="Verdana" w:hAnsi="Verdana"/>
          <w:sz w:val="18"/>
          <w:szCs w:val="18"/>
        </w:rPr>
        <w:t>maar</w:t>
      </w:r>
      <w:r w:rsidR="006E62A9">
        <w:rPr>
          <w:rFonts w:ascii="Verdana" w:hAnsi="Verdana"/>
          <w:sz w:val="18"/>
          <w:szCs w:val="18"/>
        </w:rPr>
        <w:t xml:space="preserve"> ook tussen civiele en militaire </w:t>
      </w:r>
      <w:r w:rsidR="00D0008E">
        <w:rPr>
          <w:rFonts w:ascii="Verdana" w:hAnsi="Verdana"/>
          <w:sz w:val="18"/>
          <w:szCs w:val="18"/>
        </w:rPr>
        <w:t>capaciteiten</w:t>
      </w:r>
      <w:r w:rsidR="006E62A9">
        <w:rPr>
          <w:rFonts w:ascii="Verdana" w:hAnsi="Verdana"/>
          <w:sz w:val="18"/>
          <w:szCs w:val="18"/>
        </w:rPr>
        <w:t xml:space="preserve">. Daarnaast constateert de Commissie uitdagingen op het gebied van </w:t>
      </w:r>
      <w:r w:rsidRPr="0009633C" w:rsidR="0009633C">
        <w:rPr>
          <w:rFonts w:ascii="Verdana" w:hAnsi="Verdana"/>
          <w:sz w:val="18"/>
          <w:szCs w:val="18"/>
        </w:rPr>
        <w:t>horizontale samenwerking met de private sector en partnerschappen met derde partijen.</w:t>
      </w:r>
    </w:p>
    <w:p w:rsidR="009A3B7F" w:rsidP="0009633C" w:rsidRDefault="009A3B7F" w14:paraId="0F9B181F" w14:textId="77777777">
      <w:pPr>
        <w:tabs>
          <w:tab w:val="left" w:pos="360"/>
          <w:tab w:val="left" w:pos="4500"/>
          <w:tab w:val="left" w:pos="5580"/>
        </w:tabs>
        <w:spacing w:line="360" w:lineRule="auto"/>
        <w:rPr>
          <w:rFonts w:ascii="Verdana" w:hAnsi="Verdana"/>
          <w:sz w:val="18"/>
          <w:szCs w:val="18"/>
        </w:rPr>
      </w:pPr>
    </w:p>
    <w:p w:rsidRPr="00E52BF9" w:rsidR="00E52BF9" w:rsidP="00874E5F" w:rsidRDefault="00563CA2" w14:paraId="179602F7" w14:textId="5DE0C4D4">
      <w:pPr>
        <w:tabs>
          <w:tab w:val="left" w:pos="360"/>
          <w:tab w:val="left" w:pos="4500"/>
          <w:tab w:val="left" w:pos="5580"/>
        </w:tabs>
        <w:spacing w:line="360" w:lineRule="auto"/>
        <w:rPr>
          <w:rFonts w:ascii="Verdana" w:hAnsi="Verdana"/>
          <w:sz w:val="18"/>
          <w:szCs w:val="18"/>
        </w:rPr>
      </w:pPr>
      <w:r>
        <w:rPr>
          <w:rFonts w:ascii="Verdana" w:hAnsi="Verdana"/>
          <w:sz w:val="18"/>
          <w:szCs w:val="18"/>
        </w:rPr>
        <w:t>Me</w:t>
      </w:r>
      <w:r w:rsidR="00D9480B">
        <w:rPr>
          <w:rFonts w:ascii="Verdana" w:hAnsi="Verdana"/>
          <w:sz w:val="18"/>
          <w:szCs w:val="18"/>
        </w:rPr>
        <w:t xml:space="preserve">t een </w:t>
      </w:r>
      <w:proofErr w:type="spellStart"/>
      <w:r w:rsidRPr="60696D23" w:rsidR="00D9480B">
        <w:rPr>
          <w:rFonts w:ascii="Verdana" w:hAnsi="Verdana"/>
          <w:i/>
          <w:iCs/>
          <w:sz w:val="18"/>
          <w:szCs w:val="18"/>
        </w:rPr>
        <w:t>all</w:t>
      </w:r>
      <w:proofErr w:type="spellEnd"/>
      <w:r w:rsidRPr="60696D23" w:rsidR="00D9480B">
        <w:rPr>
          <w:rFonts w:ascii="Verdana" w:hAnsi="Verdana"/>
          <w:i/>
          <w:iCs/>
          <w:sz w:val="18"/>
          <w:szCs w:val="18"/>
        </w:rPr>
        <w:t>-hazard</w:t>
      </w:r>
      <w:r w:rsidRPr="0093550C" w:rsidR="00D9480B">
        <w:rPr>
          <w:rFonts w:ascii="Verdana" w:hAnsi="Verdana"/>
          <w:sz w:val="18"/>
          <w:szCs w:val="18"/>
        </w:rPr>
        <w:t>,</w:t>
      </w:r>
      <w:r w:rsidRPr="60696D23" w:rsidR="00D9480B">
        <w:rPr>
          <w:rFonts w:ascii="Verdana" w:hAnsi="Verdana"/>
          <w:i/>
          <w:iCs/>
          <w:sz w:val="18"/>
          <w:szCs w:val="18"/>
        </w:rPr>
        <w:t xml:space="preserve"> </w:t>
      </w:r>
      <w:proofErr w:type="spellStart"/>
      <w:r w:rsidRPr="60696D23" w:rsidR="00D9480B">
        <w:rPr>
          <w:rFonts w:ascii="Verdana" w:hAnsi="Verdana"/>
          <w:i/>
          <w:iCs/>
          <w:sz w:val="18"/>
          <w:szCs w:val="18"/>
        </w:rPr>
        <w:t>whole</w:t>
      </w:r>
      <w:proofErr w:type="spellEnd"/>
      <w:r w:rsidRPr="60696D23" w:rsidR="00D9480B">
        <w:rPr>
          <w:rFonts w:ascii="Verdana" w:hAnsi="Verdana"/>
          <w:i/>
          <w:iCs/>
          <w:sz w:val="18"/>
          <w:szCs w:val="18"/>
        </w:rPr>
        <w:t xml:space="preserve">-of </w:t>
      </w:r>
      <w:proofErr w:type="spellStart"/>
      <w:r w:rsidRPr="60696D23" w:rsidR="00D9480B">
        <w:rPr>
          <w:rFonts w:ascii="Verdana" w:hAnsi="Verdana"/>
          <w:i/>
          <w:iCs/>
          <w:sz w:val="18"/>
          <w:szCs w:val="18"/>
        </w:rPr>
        <w:t>government</w:t>
      </w:r>
      <w:proofErr w:type="spellEnd"/>
      <w:r w:rsidRPr="60696D23" w:rsidR="00D9480B">
        <w:rPr>
          <w:rFonts w:ascii="Verdana" w:hAnsi="Verdana"/>
          <w:i/>
          <w:iCs/>
          <w:sz w:val="18"/>
          <w:szCs w:val="18"/>
        </w:rPr>
        <w:t xml:space="preserve"> </w:t>
      </w:r>
      <w:r w:rsidRPr="0093550C" w:rsidR="00D9480B">
        <w:rPr>
          <w:rFonts w:ascii="Verdana" w:hAnsi="Verdana"/>
          <w:sz w:val="18"/>
          <w:szCs w:val="18"/>
        </w:rPr>
        <w:t>en</w:t>
      </w:r>
      <w:r w:rsidRPr="60696D23" w:rsidR="00D9480B">
        <w:rPr>
          <w:rFonts w:ascii="Verdana" w:hAnsi="Verdana"/>
          <w:i/>
          <w:iCs/>
          <w:sz w:val="18"/>
          <w:szCs w:val="18"/>
        </w:rPr>
        <w:t xml:space="preserve"> </w:t>
      </w:r>
      <w:proofErr w:type="spellStart"/>
      <w:r w:rsidRPr="60696D23" w:rsidR="00D9480B">
        <w:rPr>
          <w:rFonts w:ascii="Verdana" w:hAnsi="Verdana"/>
          <w:i/>
          <w:iCs/>
          <w:sz w:val="18"/>
          <w:szCs w:val="18"/>
        </w:rPr>
        <w:t>whole</w:t>
      </w:r>
      <w:proofErr w:type="spellEnd"/>
      <w:r w:rsidRPr="60696D23" w:rsidR="00D9480B">
        <w:rPr>
          <w:rFonts w:ascii="Verdana" w:hAnsi="Verdana"/>
          <w:i/>
          <w:iCs/>
          <w:sz w:val="18"/>
          <w:szCs w:val="18"/>
        </w:rPr>
        <w:t>-of society</w:t>
      </w:r>
      <w:r w:rsidR="00D9480B">
        <w:rPr>
          <w:rFonts w:ascii="Verdana" w:hAnsi="Verdana"/>
          <w:sz w:val="18"/>
          <w:szCs w:val="18"/>
        </w:rPr>
        <w:t xml:space="preserve"> aanpak wil de Commissie met de</w:t>
      </w:r>
      <w:r w:rsidR="005B0C00">
        <w:rPr>
          <w:rFonts w:ascii="Verdana" w:hAnsi="Verdana"/>
          <w:sz w:val="18"/>
          <w:szCs w:val="18"/>
        </w:rPr>
        <w:t>ze</w:t>
      </w:r>
      <w:r w:rsidR="00D9480B">
        <w:rPr>
          <w:rFonts w:ascii="Verdana" w:hAnsi="Verdana"/>
          <w:sz w:val="18"/>
          <w:szCs w:val="18"/>
        </w:rPr>
        <w:t xml:space="preserve"> </w:t>
      </w:r>
      <w:r w:rsidR="003163BA">
        <w:rPr>
          <w:rFonts w:ascii="Verdana" w:hAnsi="Verdana"/>
          <w:sz w:val="18"/>
          <w:szCs w:val="18"/>
        </w:rPr>
        <w:t>s</w:t>
      </w:r>
      <w:r w:rsidR="00D9480B">
        <w:rPr>
          <w:rFonts w:ascii="Verdana" w:hAnsi="Verdana"/>
          <w:sz w:val="18"/>
          <w:szCs w:val="18"/>
        </w:rPr>
        <w:t>trategie een antwoord op deze uitdagingen geven.</w:t>
      </w:r>
      <w:r w:rsidR="003163BA">
        <w:rPr>
          <w:rFonts w:ascii="Verdana" w:hAnsi="Verdana"/>
          <w:sz w:val="18"/>
          <w:szCs w:val="18"/>
        </w:rPr>
        <w:t xml:space="preserve"> Daarbij bouwt de </w:t>
      </w:r>
      <w:r w:rsidRPr="00E52BF9" w:rsidR="00E52BF9">
        <w:rPr>
          <w:rFonts w:ascii="Verdana" w:hAnsi="Verdana"/>
          <w:sz w:val="18"/>
          <w:szCs w:val="18"/>
        </w:rPr>
        <w:t xml:space="preserve">strategie op </w:t>
      </w:r>
      <w:r w:rsidR="005B0C00">
        <w:rPr>
          <w:rFonts w:ascii="Verdana" w:hAnsi="Verdana"/>
          <w:sz w:val="18"/>
          <w:szCs w:val="18"/>
        </w:rPr>
        <w:t>zeven</w:t>
      </w:r>
      <w:r w:rsidRPr="00E52BF9" w:rsidR="00E52BF9">
        <w:rPr>
          <w:rFonts w:ascii="Verdana" w:hAnsi="Verdana"/>
          <w:sz w:val="18"/>
          <w:szCs w:val="18"/>
        </w:rPr>
        <w:t xml:space="preserve"> pijlers</w:t>
      </w:r>
      <w:r w:rsidR="00AD0B31">
        <w:rPr>
          <w:rFonts w:ascii="Verdana" w:hAnsi="Verdana"/>
          <w:sz w:val="18"/>
          <w:szCs w:val="18"/>
        </w:rPr>
        <w:t xml:space="preserve">: (1) </w:t>
      </w:r>
      <w:r w:rsidR="00874E5F">
        <w:rPr>
          <w:rFonts w:ascii="Verdana" w:hAnsi="Verdana"/>
          <w:sz w:val="18"/>
          <w:szCs w:val="18"/>
        </w:rPr>
        <w:t>v</w:t>
      </w:r>
      <w:r w:rsidRPr="00AD0B31" w:rsidR="00E52BF9">
        <w:rPr>
          <w:rFonts w:ascii="Verdana" w:hAnsi="Verdana"/>
          <w:sz w:val="18"/>
          <w:szCs w:val="18"/>
        </w:rPr>
        <w:t>erbetering van de coördinatie tussen lidstaten en EU instellingen</w:t>
      </w:r>
      <w:r w:rsidR="00874E5F">
        <w:rPr>
          <w:rFonts w:ascii="Verdana" w:hAnsi="Verdana"/>
          <w:sz w:val="18"/>
          <w:szCs w:val="18"/>
        </w:rPr>
        <w:t>,</w:t>
      </w:r>
      <w:r w:rsidR="00AD0B31">
        <w:rPr>
          <w:rFonts w:ascii="Verdana" w:hAnsi="Verdana"/>
          <w:sz w:val="18"/>
          <w:szCs w:val="18"/>
        </w:rPr>
        <w:t xml:space="preserve"> (2) </w:t>
      </w:r>
      <w:r w:rsidR="00874E5F">
        <w:rPr>
          <w:rFonts w:ascii="Verdana" w:hAnsi="Verdana"/>
          <w:sz w:val="18"/>
          <w:szCs w:val="18"/>
        </w:rPr>
        <w:t>v</w:t>
      </w:r>
      <w:r w:rsidRPr="00AD0B31" w:rsidR="00E52BF9">
        <w:rPr>
          <w:rFonts w:ascii="Verdana" w:hAnsi="Verdana"/>
          <w:sz w:val="18"/>
          <w:szCs w:val="18"/>
        </w:rPr>
        <w:t>oorspellende analyses en strategische planning</w:t>
      </w:r>
      <w:r w:rsidR="00874E5F">
        <w:rPr>
          <w:rFonts w:ascii="Verdana" w:hAnsi="Verdana"/>
          <w:sz w:val="18"/>
          <w:szCs w:val="18"/>
        </w:rPr>
        <w:t xml:space="preserve">, (3) </w:t>
      </w:r>
      <w:r w:rsidRPr="00FB2B19" w:rsidR="00FB2B19">
        <w:rPr>
          <w:rFonts w:ascii="Verdana" w:hAnsi="Verdana"/>
          <w:sz w:val="18"/>
          <w:szCs w:val="18"/>
        </w:rPr>
        <w:t>versterken van de crisisparaatheid via het identificeren van lacunes in</w:t>
      </w:r>
      <w:r w:rsidRPr="00FB2B19" w:rsidDel="00FB2B19" w:rsidR="00FB2B19">
        <w:rPr>
          <w:rFonts w:ascii="Verdana" w:hAnsi="Verdana"/>
          <w:sz w:val="18"/>
          <w:szCs w:val="18"/>
        </w:rPr>
        <w:t xml:space="preserve"> </w:t>
      </w:r>
      <w:r w:rsidR="00874E5F">
        <w:rPr>
          <w:rFonts w:ascii="Verdana" w:hAnsi="Verdana"/>
          <w:sz w:val="18"/>
          <w:szCs w:val="18"/>
        </w:rPr>
        <w:t xml:space="preserve">strategische EU-voorraden, (4) </w:t>
      </w:r>
      <w:r w:rsidRPr="00D26AF3" w:rsidR="00D26AF3">
        <w:rPr>
          <w:rFonts w:ascii="Verdana" w:hAnsi="Verdana"/>
          <w:sz w:val="18"/>
          <w:szCs w:val="18"/>
        </w:rPr>
        <w:t>een veerkrachtige en onderling verbonden logistieke</w:t>
      </w:r>
      <w:r w:rsidR="00585B07">
        <w:rPr>
          <w:rFonts w:ascii="Verdana" w:hAnsi="Verdana"/>
          <w:sz w:val="18"/>
          <w:szCs w:val="18"/>
        </w:rPr>
        <w:t>-</w:t>
      </w:r>
      <w:r w:rsidRPr="00D26AF3" w:rsidR="00D26AF3">
        <w:rPr>
          <w:rFonts w:ascii="Verdana" w:hAnsi="Verdana"/>
          <w:sz w:val="18"/>
          <w:szCs w:val="18"/>
        </w:rPr>
        <w:t xml:space="preserve"> en transportinfrastructuur</w:t>
      </w:r>
      <w:r w:rsidR="00874E5F">
        <w:rPr>
          <w:rFonts w:ascii="Verdana" w:hAnsi="Verdana"/>
          <w:sz w:val="18"/>
          <w:szCs w:val="18"/>
        </w:rPr>
        <w:t>, (5) v</w:t>
      </w:r>
      <w:r w:rsidRPr="00E52BF9" w:rsidR="00E52BF9">
        <w:rPr>
          <w:rFonts w:ascii="Verdana" w:hAnsi="Verdana"/>
          <w:sz w:val="18"/>
          <w:szCs w:val="18"/>
        </w:rPr>
        <w:t>ersterking van civiel-militaire samenwerking</w:t>
      </w:r>
      <w:r w:rsidR="00874E5F">
        <w:rPr>
          <w:rFonts w:ascii="Verdana" w:hAnsi="Verdana"/>
          <w:sz w:val="18"/>
          <w:szCs w:val="18"/>
        </w:rPr>
        <w:t>, (6) v</w:t>
      </w:r>
      <w:r w:rsidRPr="00E52BF9" w:rsidR="00E52BF9">
        <w:rPr>
          <w:rFonts w:ascii="Verdana" w:hAnsi="Verdana"/>
          <w:sz w:val="18"/>
          <w:szCs w:val="18"/>
        </w:rPr>
        <w:t>ersterking</w:t>
      </w:r>
      <w:r w:rsidR="0009633C">
        <w:rPr>
          <w:rFonts w:ascii="Verdana" w:hAnsi="Verdana"/>
          <w:sz w:val="18"/>
          <w:szCs w:val="18"/>
        </w:rPr>
        <w:t xml:space="preserve"> van</w:t>
      </w:r>
      <w:r w:rsidRPr="00E52BF9" w:rsidR="00E52BF9">
        <w:rPr>
          <w:rFonts w:ascii="Verdana" w:hAnsi="Verdana"/>
          <w:sz w:val="18"/>
          <w:szCs w:val="18"/>
        </w:rPr>
        <w:t xml:space="preserve"> publiek</w:t>
      </w:r>
      <w:r w:rsidR="00E10AD6">
        <w:rPr>
          <w:rFonts w:ascii="Verdana" w:hAnsi="Verdana"/>
          <w:sz w:val="18"/>
          <w:szCs w:val="18"/>
        </w:rPr>
        <w:t>-</w:t>
      </w:r>
      <w:r w:rsidRPr="00E52BF9" w:rsidR="00E52BF9">
        <w:rPr>
          <w:rFonts w:ascii="Verdana" w:hAnsi="Verdana"/>
          <w:sz w:val="18"/>
          <w:szCs w:val="18"/>
        </w:rPr>
        <w:t>private samenwerking</w:t>
      </w:r>
      <w:r w:rsidR="00874E5F">
        <w:rPr>
          <w:rFonts w:ascii="Verdana" w:hAnsi="Verdana"/>
          <w:sz w:val="18"/>
          <w:szCs w:val="18"/>
        </w:rPr>
        <w:t>, (7) i</w:t>
      </w:r>
      <w:r w:rsidRPr="00E52BF9" w:rsidR="00E52BF9">
        <w:rPr>
          <w:rFonts w:ascii="Verdana" w:hAnsi="Verdana"/>
          <w:sz w:val="18"/>
          <w:szCs w:val="18"/>
        </w:rPr>
        <w:t>nternationale samenwerking en externe partnerschappen.</w:t>
      </w:r>
    </w:p>
    <w:p w:rsidR="00E52BF9" w:rsidP="0064352A" w:rsidRDefault="00E52BF9" w14:paraId="01F5CF81" w14:textId="77777777">
      <w:pPr>
        <w:tabs>
          <w:tab w:val="left" w:pos="360"/>
          <w:tab w:val="left" w:pos="4500"/>
          <w:tab w:val="left" w:pos="5580"/>
        </w:tabs>
        <w:spacing w:line="360" w:lineRule="auto"/>
        <w:rPr>
          <w:rFonts w:ascii="Verdana" w:hAnsi="Verdana"/>
          <w:sz w:val="18"/>
          <w:szCs w:val="18"/>
        </w:rPr>
      </w:pPr>
    </w:p>
    <w:p w:rsidR="002225CD" w:rsidP="0064352A" w:rsidRDefault="00874E5F" w14:paraId="4370B451" w14:textId="7D805C28">
      <w:pPr>
        <w:tabs>
          <w:tab w:val="left" w:pos="360"/>
          <w:tab w:val="left" w:pos="4500"/>
          <w:tab w:val="left" w:pos="5580"/>
        </w:tabs>
        <w:spacing w:line="360" w:lineRule="auto"/>
        <w:rPr>
          <w:rFonts w:ascii="Verdana" w:hAnsi="Verdana"/>
          <w:sz w:val="18"/>
          <w:szCs w:val="18"/>
        </w:rPr>
      </w:pPr>
      <w:r>
        <w:rPr>
          <w:rFonts w:ascii="Verdana" w:hAnsi="Verdana"/>
          <w:sz w:val="18"/>
          <w:szCs w:val="18"/>
        </w:rPr>
        <w:t>Om de samenwerking tussen lidstaten en de EU</w:t>
      </w:r>
      <w:r w:rsidR="00DA3503">
        <w:rPr>
          <w:rFonts w:ascii="Verdana" w:hAnsi="Verdana"/>
          <w:sz w:val="18"/>
          <w:szCs w:val="18"/>
        </w:rPr>
        <w:t>-</w:t>
      </w:r>
      <w:r>
        <w:rPr>
          <w:rFonts w:ascii="Verdana" w:hAnsi="Verdana"/>
          <w:sz w:val="18"/>
          <w:szCs w:val="18"/>
        </w:rPr>
        <w:t xml:space="preserve">instellingen te versterken wil de Commissie een </w:t>
      </w:r>
      <w:r w:rsidRPr="00DA3503" w:rsidR="00D37F6C">
        <w:rPr>
          <w:rFonts w:ascii="Verdana" w:hAnsi="Verdana"/>
          <w:sz w:val="18"/>
          <w:szCs w:val="18"/>
        </w:rPr>
        <w:t>voorradennetwerk</w:t>
      </w:r>
      <w:r w:rsidDel="0047622F" w:rsidR="00D37F6C">
        <w:rPr>
          <w:rFonts w:ascii="Verdana" w:hAnsi="Verdana"/>
          <w:sz w:val="18"/>
          <w:szCs w:val="18"/>
        </w:rPr>
        <w:t xml:space="preserve"> </w:t>
      </w:r>
      <w:r>
        <w:rPr>
          <w:rFonts w:ascii="Verdana" w:hAnsi="Verdana"/>
          <w:sz w:val="18"/>
          <w:szCs w:val="18"/>
        </w:rPr>
        <w:t>oprichten</w:t>
      </w:r>
      <w:r w:rsidR="00E35F3E">
        <w:rPr>
          <w:rFonts w:ascii="Verdana" w:hAnsi="Verdana"/>
          <w:sz w:val="18"/>
          <w:szCs w:val="18"/>
        </w:rPr>
        <w:t xml:space="preserve">, dat als een </w:t>
      </w:r>
      <w:r>
        <w:rPr>
          <w:rFonts w:ascii="Verdana" w:hAnsi="Verdana"/>
          <w:sz w:val="18"/>
          <w:szCs w:val="18"/>
        </w:rPr>
        <w:t xml:space="preserve">forum voor discussie </w:t>
      </w:r>
      <w:r w:rsidR="003231B8">
        <w:rPr>
          <w:rFonts w:ascii="Verdana" w:hAnsi="Verdana"/>
          <w:sz w:val="18"/>
          <w:szCs w:val="18"/>
        </w:rPr>
        <w:t xml:space="preserve">en </w:t>
      </w:r>
      <w:r w:rsidR="007074E9">
        <w:rPr>
          <w:rFonts w:ascii="Verdana" w:hAnsi="Verdana"/>
          <w:sz w:val="18"/>
          <w:szCs w:val="18"/>
        </w:rPr>
        <w:t>informatie-</w:t>
      </w:r>
      <w:r w:rsidR="003231B8">
        <w:rPr>
          <w:rFonts w:ascii="Verdana" w:hAnsi="Verdana"/>
          <w:sz w:val="18"/>
          <w:szCs w:val="18"/>
        </w:rPr>
        <w:t xml:space="preserve">uitwisseling </w:t>
      </w:r>
      <w:r w:rsidR="00E35F3E">
        <w:rPr>
          <w:rFonts w:ascii="Verdana" w:hAnsi="Verdana"/>
          <w:sz w:val="18"/>
          <w:szCs w:val="18"/>
        </w:rPr>
        <w:t>kan functioneren</w:t>
      </w:r>
      <w:r w:rsidR="003231B8">
        <w:rPr>
          <w:rFonts w:ascii="Verdana" w:hAnsi="Verdana"/>
          <w:sz w:val="18"/>
          <w:szCs w:val="18"/>
        </w:rPr>
        <w:t xml:space="preserve">. Daarnaast </w:t>
      </w:r>
      <w:r w:rsidR="00585B07">
        <w:rPr>
          <w:rFonts w:ascii="Verdana" w:hAnsi="Verdana"/>
          <w:sz w:val="18"/>
          <w:szCs w:val="18"/>
        </w:rPr>
        <w:t>kan dit</w:t>
      </w:r>
      <w:r w:rsidR="003231B8">
        <w:rPr>
          <w:rFonts w:ascii="Verdana" w:hAnsi="Verdana"/>
          <w:sz w:val="18"/>
          <w:szCs w:val="18"/>
        </w:rPr>
        <w:t xml:space="preserve"> netwerk advies</w:t>
      </w:r>
      <w:r w:rsidR="0009633C">
        <w:rPr>
          <w:rFonts w:ascii="Verdana" w:hAnsi="Verdana"/>
          <w:sz w:val="18"/>
          <w:szCs w:val="18"/>
        </w:rPr>
        <w:t xml:space="preserve"> </w:t>
      </w:r>
      <w:r w:rsidR="003231B8">
        <w:rPr>
          <w:rFonts w:ascii="Verdana" w:hAnsi="Verdana"/>
          <w:sz w:val="18"/>
          <w:szCs w:val="18"/>
        </w:rPr>
        <w:t xml:space="preserve">uitbrengen over </w:t>
      </w:r>
      <w:r w:rsidR="00585B07">
        <w:rPr>
          <w:rFonts w:ascii="Verdana" w:hAnsi="Verdana"/>
          <w:sz w:val="18"/>
          <w:szCs w:val="18"/>
        </w:rPr>
        <w:t xml:space="preserve">beoogde voorraadcategorieën, </w:t>
      </w:r>
      <w:r w:rsidR="003231B8">
        <w:rPr>
          <w:rFonts w:ascii="Verdana" w:hAnsi="Verdana"/>
          <w:sz w:val="18"/>
          <w:szCs w:val="18"/>
        </w:rPr>
        <w:t xml:space="preserve">volumevereisten, toezichtinstrumenten en de </w:t>
      </w:r>
      <w:r w:rsidR="00F62C39">
        <w:rPr>
          <w:rFonts w:ascii="Verdana" w:hAnsi="Verdana"/>
          <w:sz w:val="18"/>
          <w:szCs w:val="18"/>
        </w:rPr>
        <w:t>coördinatie</w:t>
      </w:r>
      <w:r w:rsidR="003231B8">
        <w:rPr>
          <w:rFonts w:ascii="Verdana" w:hAnsi="Verdana"/>
          <w:sz w:val="18"/>
          <w:szCs w:val="18"/>
        </w:rPr>
        <w:t xml:space="preserve"> van minimumvereisten</w:t>
      </w:r>
      <w:r>
        <w:rPr>
          <w:rFonts w:ascii="Verdana" w:hAnsi="Verdana"/>
          <w:sz w:val="18"/>
          <w:szCs w:val="18"/>
        </w:rPr>
        <w:t xml:space="preserve">. </w:t>
      </w:r>
      <w:r w:rsidR="003231B8">
        <w:rPr>
          <w:rFonts w:ascii="Verdana" w:hAnsi="Verdana"/>
          <w:sz w:val="18"/>
          <w:szCs w:val="18"/>
        </w:rPr>
        <w:t xml:space="preserve">Het netwerk biedt onder meer ruimte om EU-brede en </w:t>
      </w:r>
      <w:proofErr w:type="spellStart"/>
      <w:r w:rsidR="003231B8">
        <w:rPr>
          <w:rFonts w:ascii="Verdana" w:hAnsi="Verdana"/>
          <w:sz w:val="18"/>
          <w:szCs w:val="18"/>
        </w:rPr>
        <w:t>sectoroverstijgende</w:t>
      </w:r>
      <w:proofErr w:type="spellEnd"/>
      <w:r w:rsidR="003231B8">
        <w:rPr>
          <w:rFonts w:ascii="Verdana" w:hAnsi="Verdana"/>
          <w:sz w:val="18"/>
          <w:szCs w:val="18"/>
        </w:rPr>
        <w:t xml:space="preserve"> criteria en procedures op te stellen voor de verschillende fasen in de strategische voorradencyclus. </w:t>
      </w:r>
      <w:r w:rsidR="00F62C39">
        <w:rPr>
          <w:rFonts w:ascii="Verdana" w:hAnsi="Verdana"/>
          <w:sz w:val="18"/>
          <w:szCs w:val="18"/>
        </w:rPr>
        <w:t xml:space="preserve">Met oog voor bestaande sectorale systemen, wil de Commissie </w:t>
      </w:r>
      <w:r w:rsidR="005B0C00">
        <w:rPr>
          <w:rFonts w:ascii="Verdana" w:hAnsi="Verdana"/>
          <w:sz w:val="18"/>
          <w:szCs w:val="18"/>
        </w:rPr>
        <w:t xml:space="preserve">vanuit de </w:t>
      </w:r>
      <w:proofErr w:type="spellStart"/>
      <w:r w:rsidRPr="00220962" w:rsidR="005B0C00">
        <w:rPr>
          <w:rFonts w:ascii="Verdana" w:hAnsi="Verdana"/>
          <w:sz w:val="18"/>
          <w:szCs w:val="18"/>
        </w:rPr>
        <w:t>crisiscoördinatiehub</w:t>
      </w:r>
      <w:proofErr w:type="spellEnd"/>
      <w:r w:rsidR="00905B76">
        <w:rPr>
          <w:rFonts w:ascii="Verdana" w:hAnsi="Verdana"/>
          <w:sz w:val="18"/>
          <w:szCs w:val="18"/>
        </w:rPr>
        <w:t xml:space="preserve"> (hierna: de hub)</w:t>
      </w:r>
      <w:r w:rsidR="005B0C00">
        <w:rPr>
          <w:rStyle w:val="FootnoteReference"/>
          <w:rFonts w:ascii="Verdana" w:hAnsi="Verdana"/>
          <w:sz w:val="18"/>
          <w:szCs w:val="18"/>
        </w:rPr>
        <w:footnoteReference w:id="5"/>
      </w:r>
      <w:r w:rsidR="005B0C00">
        <w:rPr>
          <w:rFonts w:ascii="Verdana" w:hAnsi="Verdana"/>
          <w:sz w:val="18"/>
          <w:szCs w:val="18"/>
        </w:rPr>
        <w:t xml:space="preserve"> </w:t>
      </w:r>
      <w:r w:rsidR="00F62C39">
        <w:rPr>
          <w:rFonts w:ascii="Verdana" w:hAnsi="Verdana"/>
          <w:sz w:val="18"/>
          <w:szCs w:val="18"/>
        </w:rPr>
        <w:t>verkennen of een platform voor veilige informatie</w:t>
      </w:r>
      <w:r w:rsidR="007074E9">
        <w:rPr>
          <w:rFonts w:ascii="Verdana" w:hAnsi="Verdana"/>
          <w:sz w:val="18"/>
          <w:szCs w:val="18"/>
        </w:rPr>
        <w:t>-uit</w:t>
      </w:r>
      <w:r w:rsidR="00F62C39">
        <w:rPr>
          <w:rFonts w:ascii="Verdana" w:hAnsi="Verdana"/>
          <w:sz w:val="18"/>
          <w:szCs w:val="18"/>
        </w:rPr>
        <w:t xml:space="preserve">wisseling over </w:t>
      </w:r>
      <w:r w:rsidR="00305251">
        <w:rPr>
          <w:rFonts w:ascii="Verdana" w:hAnsi="Verdana"/>
          <w:sz w:val="18"/>
          <w:szCs w:val="18"/>
        </w:rPr>
        <w:t xml:space="preserve">strategische </w:t>
      </w:r>
      <w:r w:rsidR="00F62C39">
        <w:rPr>
          <w:rFonts w:ascii="Verdana" w:hAnsi="Verdana"/>
          <w:sz w:val="18"/>
          <w:szCs w:val="18"/>
        </w:rPr>
        <w:t xml:space="preserve">voorraden kan worden ontwikkeld. </w:t>
      </w:r>
      <w:r w:rsidR="00D0008E">
        <w:rPr>
          <w:rFonts w:ascii="Verdana" w:hAnsi="Verdana"/>
          <w:sz w:val="18"/>
          <w:szCs w:val="18"/>
        </w:rPr>
        <w:t>Daarnaast streeft d</w:t>
      </w:r>
      <w:r w:rsidRPr="00B55C50" w:rsidR="00B55C50">
        <w:rPr>
          <w:rFonts w:ascii="Verdana" w:hAnsi="Verdana"/>
          <w:sz w:val="18"/>
          <w:szCs w:val="18"/>
        </w:rPr>
        <w:t>e Commissie ernaar om gecentraliseerde en/of gezamenlijke aanbestedingsmechanismen</w:t>
      </w:r>
      <w:r w:rsidR="00FB2B19">
        <w:rPr>
          <w:rFonts w:ascii="Verdana" w:hAnsi="Verdana"/>
          <w:sz w:val="18"/>
          <w:szCs w:val="18"/>
        </w:rPr>
        <w:t xml:space="preserve"> </w:t>
      </w:r>
      <w:r w:rsidRPr="00FB2B19" w:rsidR="00FB2B19">
        <w:rPr>
          <w:rFonts w:ascii="Verdana" w:hAnsi="Verdana"/>
          <w:sz w:val="18"/>
          <w:szCs w:val="18"/>
        </w:rPr>
        <w:t>op EU</w:t>
      </w:r>
      <w:r w:rsidR="00CD38F2">
        <w:rPr>
          <w:rFonts w:ascii="Verdana" w:hAnsi="Verdana"/>
          <w:sz w:val="18"/>
          <w:szCs w:val="18"/>
        </w:rPr>
        <w:t>-</w:t>
      </w:r>
      <w:r w:rsidRPr="00FB2B19" w:rsidR="00FB2B19">
        <w:rPr>
          <w:rFonts w:ascii="Verdana" w:hAnsi="Verdana"/>
          <w:sz w:val="18"/>
          <w:szCs w:val="18"/>
        </w:rPr>
        <w:t>niveau en/of tussen lidstaten</w:t>
      </w:r>
      <w:r w:rsidRPr="00B55C50" w:rsidR="00B55C50">
        <w:rPr>
          <w:rFonts w:ascii="Verdana" w:hAnsi="Verdana"/>
          <w:sz w:val="18"/>
          <w:szCs w:val="18"/>
        </w:rPr>
        <w:t xml:space="preserve"> te stimuleren, </w:t>
      </w:r>
      <w:r w:rsidR="00FB2B19">
        <w:rPr>
          <w:rFonts w:ascii="Verdana" w:hAnsi="Verdana"/>
          <w:sz w:val="18"/>
          <w:szCs w:val="18"/>
        </w:rPr>
        <w:t>zoals deze in sommige</w:t>
      </w:r>
      <w:r w:rsidRPr="00B55C50" w:rsidR="00B55C50">
        <w:rPr>
          <w:rFonts w:ascii="Verdana" w:hAnsi="Verdana"/>
          <w:sz w:val="18"/>
          <w:szCs w:val="18"/>
        </w:rPr>
        <w:t xml:space="preserve"> </w:t>
      </w:r>
      <w:r w:rsidRPr="00B55C50" w:rsidR="00FB2B19">
        <w:rPr>
          <w:rFonts w:ascii="Verdana" w:hAnsi="Verdana"/>
          <w:sz w:val="18"/>
          <w:szCs w:val="18"/>
        </w:rPr>
        <w:t>sector</w:t>
      </w:r>
      <w:r w:rsidR="00FB2B19">
        <w:rPr>
          <w:rFonts w:ascii="Verdana" w:hAnsi="Verdana"/>
          <w:sz w:val="18"/>
          <w:szCs w:val="18"/>
        </w:rPr>
        <w:t>en al bestaan</w:t>
      </w:r>
      <w:r w:rsidRPr="00B55C50" w:rsidR="00B55C50">
        <w:rPr>
          <w:rFonts w:ascii="Verdana" w:hAnsi="Verdana"/>
          <w:sz w:val="18"/>
          <w:szCs w:val="18"/>
        </w:rPr>
        <w:t xml:space="preserve">. </w:t>
      </w:r>
      <w:r w:rsidR="0009633C">
        <w:rPr>
          <w:rFonts w:ascii="Verdana" w:hAnsi="Verdana"/>
          <w:sz w:val="18"/>
          <w:szCs w:val="18"/>
        </w:rPr>
        <w:t>Zoals ook in de</w:t>
      </w:r>
      <w:r w:rsidRPr="00B55C50" w:rsidR="00B55C50">
        <w:rPr>
          <w:rFonts w:ascii="Verdana" w:hAnsi="Verdana"/>
          <w:sz w:val="18"/>
          <w:szCs w:val="18"/>
        </w:rPr>
        <w:t xml:space="preserve"> Paraatheidsuniestrategie</w:t>
      </w:r>
      <w:r w:rsidR="0009633C">
        <w:rPr>
          <w:rFonts w:ascii="Verdana" w:hAnsi="Verdana"/>
          <w:sz w:val="18"/>
          <w:szCs w:val="18"/>
        </w:rPr>
        <w:t xml:space="preserve"> </w:t>
      </w:r>
      <w:r w:rsidR="00011F51">
        <w:rPr>
          <w:rFonts w:ascii="Verdana" w:hAnsi="Verdana"/>
          <w:sz w:val="18"/>
          <w:szCs w:val="18"/>
        </w:rPr>
        <w:t>beschreven</w:t>
      </w:r>
      <w:r w:rsidR="0009633C">
        <w:rPr>
          <w:rFonts w:ascii="Verdana" w:hAnsi="Verdana"/>
          <w:sz w:val="18"/>
          <w:szCs w:val="18"/>
        </w:rPr>
        <w:t xml:space="preserve">, zet </w:t>
      </w:r>
      <w:r w:rsidRPr="00B55C50" w:rsidR="00B55C50">
        <w:rPr>
          <w:rFonts w:ascii="Verdana" w:hAnsi="Verdana"/>
          <w:sz w:val="18"/>
          <w:szCs w:val="18"/>
        </w:rPr>
        <w:t xml:space="preserve">de Commissie </w:t>
      </w:r>
      <w:r w:rsidR="0009633C">
        <w:rPr>
          <w:rFonts w:ascii="Verdana" w:hAnsi="Verdana"/>
          <w:sz w:val="18"/>
          <w:szCs w:val="18"/>
        </w:rPr>
        <w:t>in op</w:t>
      </w:r>
      <w:r w:rsidRPr="00B55C50" w:rsidR="00B55C50">
        <w:rPr>
          <w:rFonts w:ascii="Verdana" w:hAnsi="Verdana"/>
          <w:sz w:val="18"/>
          <w:szCs w:val="18"/>
        </w:rPr>
        <w:t xml:space="preserve"> een herziening van het publieke aanbestedingskader.</w:t>
      </w:r>
    </w:p>
    <w:p w:rsidR="00D103E3" w:rsidP="0064352A" w:rsidRDefault="00D103E3" w14:paraId="5F55BDF7" w14:textId="77777777">
      <w:pPr>
        <w:tabs>
          <w:tab w:val="left" w:pos="360"/>
          <w:tab w:val="left" w:pos="4500"/>
          <w:tab w:val="left" w:pos="5580"/>
        </w:tabs>
        <w:spacing w:line="360" w:lineRule="auto"/>
        <w:rPr>
          <w:rFonts w:ascii="Verdana" w:hAnsi="Verdana"/>
          <w:sz w:val="18"/>
          <w:szCs w:val="18"/>
        </w:rPr>
      </w:pPr>
    </w:p>
    <w:p w:rsidR="00B55C50" w:rsidP="0064352A" w:rsidRDefault="00B55C50" w14:paraId="087F034D" w14:textId="405C6364">
      <w:pPr>
        <w:tabs>
          <w:tab w:val="left" w:pos="360"/>
          <w:tab w:val="left" w:pos="4500"/>
          <w:tab w:val="left" w:pos="5580"/>
        </w:tabs>
        <w:spacing w:line="360" w:lineRule="auto"/>
        <w:rPr>
          <w:rFonts w:ascii="Verdana" w:hAnsi="Verdana"/>
          <w:sz w:val="18"/>
          <w:szCs w:val="18"/>
        </w:rPr>
      </w:pPr>
      <w:r w:rsidRPr="00B55C50">
        <w:rPr>
          <w:rFonts w:ascii="Verdana" w:hAnsi="Verdana"/>
          <w:sz w:val="18"/>
          <w:szCs w:val="18"/>
        </w:rPr>
        <w:t>De Commissie herhaalt haar voornemen, zoals uiteengezet in de Paraatheidsuniestrategie, om in het kader van strategische vooruitzichten en planning een EU-brede risicoanalyse</w:t>
      </w:r>
      <w:r w:rsidR="00905B76">
        <w:rPr>
          <w:rFonts w:ascii="Verdana" w:hAnsi="Verdana"/>
          <w:sz w:val="18"/>
          <w:szCs w:val="18"/>
        </w:rPr>
        <w:t xml:space="preserve"> (</w:t>
      </w:r>
      <w:r w:rsidRPr="13F04252" w:rsidR="00905B76">
        <w:rPr>
          <w:rFonts w:ascii="Verdana" w:hAnsi="Verdana"/>
          <w:i/>
          <w:iCs/>
          <w:sz w:val="18"/>
          <w:szCs w:val="18"/>
        </w:rPr>
        <w:t>Comprehensive EU Risk Assessment</w:t>
      </w:r>
      <w:r w:rsidR="00905B76">
        <w:rPr>
          <w:rFonts w:ascii="Verdana" w:hAnsi="Verdana"/>
          <w:sz w:val="18"/>
          <w:szCs w:val="18"/>
        </w:rPr>
        <w:t>)</w:t>
      </w:r>
      <w:r w:rsidRPr="00B55C50">
        <w:rPr>
          <w:rFonts w:ascii="Verdana" w:hAnsi="Verdana"/>
          <w:sz w:val="18"/>
          <w:szCs w:val="18"/>
        </w:rPr>
        <w:t xml:space="preserve"> uit te voeren. Hier</w:t>
      </w:r>
      <w:r w:rsidR="00585B07">
        <w:rPr>
          <w:rFonts w:ascii="Verdana" w:hAnsi="Verdana"/>
          <w:sz w:val="18"/>
          <w:szCs w:val="18"/>
        </w:rPr>
        <w:t>in</w:t>
      </w:r>
      <w:r w:rsidRPr="00B55C50">
        <w:rPr>
          <w:rFonts w:ascii="Verdana" w:hAnsi="Verdana"/>
          <w:sz w:val="18"/>
          <w:szCs w:val="18"/>
        </w:rPr>
        <w:t xml:space="preserve"> zullen ook de risico's en </w:t>
      </w:r>
      <w:r w:rsidR="006B55A5">
        <w:rPr>
          <w:rFonts w:ascii="Verdana" w:hAnsi="Verdana"/>
          <w:sz w:val="18"/>
          <w:szCs w:val="18"/>
        </w:rPr>
        <w:t>kwetsbaarheden</w:t>
      </w:r>
      <w:r w:rsidRPr="00B55C50">
        <w:rPr>
          <w:rFonts w:ascii="Verdana" w:hAnsi="Verdana"/>
          <w:sz w:val="18"/>
          <w:szCs w:val="18"/>
        </w:rPr>
        <w:t xml:space="preserve"> binnen toeleveringsketens worden meegenomen.</w:t>
      </w:r>
      <w:r w:rsidR="00905B76">
        <w:rPr>
          <w:rFonts w:ascii="Verdana" w:hAnsi="Verdana"/>
          <w:sz w:val="18"/>
          <w:szCs w:val="18"/>
        </w:rPr>
        <w:t xml:space="preserve"> </w:t>
      </w:r>
      <w:r w:rsidRPr="00B55C50">
        <w:rPr>
          <w:rFonts w:ascii="Verdana" w:hAnsi="Verdana"/>
          <w:sz w:val="18"/>
          <w:szCs w:val="18"/>
        </w:rPr>
        <w:t xml:space="preserve">Daarnaast wil de Commissie sectorale monitoringsmechanismen voor toeleveringsketens in kaart brengen. De voorgenomen </w:t>
      </w:r>
      <w:r w:rsidR="00905B76">
        <w:rPr>
          <w:rFonts w:ascii="Verdana" w:hAnsi="Verdana"/>
          <w:sz w:val="18"/>
          <w:szCs w:val="18"/>
        </w:rPr>
        <w:t>hub</w:t>
      </w:r>
      <w:r w:rsidRPr="00B55C50">
        <w:rPr>
          <w:rFonts w:ascii="Verdana" w:hAnsi="Verdana"/>
          <w:sz w:val="18"/>
          <w:szCs w:val="18"/>
        </w:rPr>
        <w:t xml:space="preserve"> zal tot slot risico's voor </w:t>
      </w:r>
      <w:proofErr w:type="spellStart"/>
      <w:r w:rsidRPr="00B55C50">
        <w:rPr>
          <w:rFonts w:ascii="Verdana" w:hAnsi="Verdana"/>
          <w:sz w:val="18"/>
          <w:szCs w:val="18"/>
        </w:rPr>
        <w:t>sectoroverstijgende</w:t>
      </w:r>
      <w:proofErr w:type="spellEnd"/>
      <w:r w:rsidRPr="00B55C50">
        <w:rPr>
          <w:rFonts w:ascii="Verdana" w:hAnsi="Verdana"/>
          <w:sz w:val="18"/>
          <w:szCs w:val="18"/>
        </w:rPr>
        <w:t xml:space="preserve"> crises </w:t>
      </w:r>
      <w:r w:rsidR="00585B07">
        <w:rPr>
          <w:rFonts w:ascii="Verdana" w:hAnsi="Verdana"/>
          <w:sz w:val="18"/>
          <w:szCs w:val="18"/>
        </w:rPr>
        <w:t>monitoren en hierop anticiperen</w:t>
      </w:r>
      <w:r w:rsidRPr="00B55C50">
        <w:rPr>
          <w:rFonts w:ascii="Verdana" w:hAnsi="Verdana"/>
          <w:sz w:val="18"/>
          <w:szCs w:val="18"/>
        </w:rPr>
        <w:t>.</w:t>
      </w:r>
    </w:p>
    <w:p w:rsidR="008F153B" w:rsidP="0064352A" w:rsidRDefault="008F153B" w14:paraId="262CB596" w14:textId="77777777">
      <w:pPr>
        <w:tabs>
          <w:tab w:val="left" w:pos="360"/>
          <w:tab w:val="left" w:pos="4500"/>
          <w:tab w:val="left" w:pos="5580"/>
        </w:tabs>
        <w:spacing w:line="360" w:lineRule="auto"/>
        <w:rPr>
          <w:rFonts w:ascii="Verdana" w:hAnsi="Verdana"/>
          <w:sz w:val="18"/>
          <w:szCs w:val="18"/>
        </w:rPr>
      </w:pPr>
    </w:p>
    <w:p w:rsidRPr="00B55C50" w:rsidR="00B55C50" w:rsidP="00B55C50" w:rsidRDefault="00B55C50" w14:paraId="4ADB9909" w14:textId="3F61E74B">
      <w:pPr>
        <w:tabs>
          <w:tab w:val="left" w:pos="360"/>
          <w:tab w:val="left" w:pos="4500"/>
          <w:tab w:val="left" w:pos="5580"/>
        </w:tabs>
        <w:spacing w:line="360" w:lineRule="auto"/>
        <w:rPr>
          <w:rFonts w:ascii="Verdana" w:hAnsi="Verdana"/>
          <w:sz w:val="18"/>
          <w:szCs w:val="18"/>
        </w:rPr>
      </w:pPr>
      <w:r w:rsidRPr="00B55C50">
        <w:rPr>
          <w:rFonts w:ascii="Verdana" w:hAnsi="Verdana"/>
          <w:sz w:val="18"/>
          <w:szCs w:val="18"/>
        </w:rPr>
        <w:lastRenderedPageBreak/>
        <w:t xml:space="preserve">De Commissie benadrukt dat recente crises de noodzaak hebben aangetoond van de ontwikkeling van strategische voorraden op EU-niveau en </w:t>
      </w:r>
      <w:r w:rsidR="002C79C7">
        <w:rPr>
          <w:rFonts w:ascii="Verdana" w:hAnsi="Verdana"/>
          <w:sz w:val="18"/>
          <w:szCs w:val="18"/>
        </w:rPr>
        <w:t>wil</w:t>
      </w:r>
      <w:r w:rsidRPr="00B55C50">
        <w:rPr>
          <w:rFonts w:ascii="Verdana" w:hAnsi="Verdana"/>
          <w:sz w:val="18"/>
          <w:szCs w:val="18"/>
        </w:rPr>
        <w:t xml:space="preserve"> daarom </w:t>
      </w:r>
      <w:r w:rsidR="002C79C7">
        <w:rPr>
          <w:rFonts w:ascii="Verdana" w:hAnsi="Verdana"/>
          <w:sz w:val="18"/>
          <w:szCs w:val="18"/>
        </w:rPr>
        <w:t xml:space="preserve">de </w:t>
      </w:r>
      <w:r w:rsidRPr="00B55C50">
        <w:rPr>
          <w:rFonts w:ascii="Verdana" w:hAnsi="Verdana"/>
          <w:sz w:val="18"/>
          <w:szCs w:val="18"/>
        </w:rPr>
        <w:t>strategische reserves</w:t>
      </w:r>
      <w:r w:rsidR="002C79C7">
        <w:rPr>
          <w:rFonts w:ascii="Verdana" w:hAnsi="Verdana"/>
          <w:sz w:val="18"/>
          <w:szCs w:val="18"/>
        </w:rPr>
        <w:t xml:space="preserve"> van de EU</w:t>
      </w:r>
      <w:r w:rsidR="00FB2B19">
        <w:rPr>
          <w:rFonts w:ascii="Verdana" w:hAnsi="Verdana"/>
          <w:sz w:val="18"/>
          <w:szCs w:val="18"/>
        </w:rPr>
        <w:t xml:space="preserve"> verder</w:t>
      </w:r>
      <w:r w:rsidR="002C79C7">
        <w:rPr>
          <w:rFonts w:ascii="Verdana" w:hAnsi="Verdana"/>
          <w:sz w:val="18"/>
          <w:szCs w:val="18"/>
        </w:rPr>
        <w:t xml:space="preserve"> uitbreiden</w:t>
      </w:r>
      <w:r w:rsidR="00B1460F">
        <w:rPr>
          <w:rFonts w:ascii="Verdana" w:hAnsi="Verdana"/>
          <w:sz w:val="18"/>
          <w:szCs w:val="18"/>
        </w:rPr>
        <w:t xml:space="preserve"> </w:t>
      </w:r>
      <w:r w:rsidRPr="00B1460F" w:rsidR="00B1460F">
        <w:rPr>
          <w:rFonts w:ascii="Verdana" w:hAnsi="Verdana"/>
          <w:sz w:val="18"/>
          <w:szCs w:val="18"/>
        </w:rPr>
        <w:t xml:space="preserve">op basis van het model van het noodhulpreserve-instrument </w:t>
      </w:r>
      <w:proofErr w:type="spellStart"/>
      <w:r w:rsidRPr="009E1923" w:rsidR="00B1460F">
        <w:rPr>
          <w:rFonts w:ascii="Verdana" w:hAnsi="Verdana"/>
          <w:sz w:val="18"/>
          <w:szCs w:val="18"/>
        </w:rPr>
        <w:t>rescEU</w:t>
      </w:r>
      <w:proofErr w:type="spellEnd"/>
      <w:r w:rsidRPr="00B1460F" w:rsidR="00B1460F">
        <w:rPr>
          <w:rFonts w:ascii="Verdana" w:hAnsi="Verdana"/>
          <w:sz w:val="18"/>
          <w:szCs w:val="18"/>
        </w:rPr>
        <w:t>, waarbij er verspreid over de EU</w:t>
      </w:r>
      <w:r w:rsidR="00E10AD6">
        <w:rPr>
          <w:rFonts w:ascii="Verdana" w:hAnsi="Verdana"/>
          <w:sz w:val="18"/>
          <w:szCs w:val="18"/>
        </w:rPr>
        <w:t>-</w:t>
      </w:r>
      <w:r w:rsidRPr="00B1460F" w:rsidR="00B1460F">
        <w:rPr>
          <w:rFonts w:ascii="Verdana" w:hAnsi="Verdana"/>
          <w:sz w:val="18"/>
          <w:szCs w:val="18"/>
        </w:rPr>
        <w:t>lidstaten voorraadlocaties zijn ingericht</w:t>
      </w:r>
      <w:r w:rsidRPr="00B55C50">
        <w:rPr>
          <w:rFonts w:ascii="Verdana" w:hAnsi="Verdana"/>
          <w:sz w:val="18"/>
          <w:szCs w:val="18"/>
        </w:rPr>
        <w:t xml:space="preserve">. </w:t>
      </w:r>
      <w:r w:rsidR="007E1551">
        <w:rPr>
          <w:rFonts w:ascii="Verdana" w:hAnsi="Verdana"/>
          <w:sz w:val="18"/>
          <w:szCs w:val="18"/>
        </w:rPr>
        <w:t>Hierbij hanteert de Commissie een horizontale crisis</w:t>
      </w:r>
      <w:r w:rsidR="00890E1A">
        <w:rPr>
          <w:rFonts w:ascii="Verdana" w:hAnsi="Verdana"/>
          <w:sz w:val="18"/>
          <w:szCs w:val="18"/>
        </w:rPr>
        <w:t>-</w:t>
      </w:r>
      <w:r w:rsidR="007E1551">
        <w:rPr>
          <w:rFonts w:ascii="Verdana" w:hAnsi="Verdana"/>
          <w:sz w:val="18"/>
          <w:szCs w:val="18"/>
        </w:rPr>
        <w:t xml:space="preserve">scope, waarbij het zowel kijkt naar klimatologische als </w:t>
      </w:r>
      <w:proofErr w:type="spellStart"/>
      <w:r w:rsidR="007E1551">
        <w:rPr>
          <w:rFonts w:ascii="Verdana" w:hAnsi="Verdana"/>
          <w:sz w:val="18"/>
          <w:szCs w:val="18"/>
        </w:rPr>
        <w:t>veiligheidsgerelateerde</w:t>
      </w:r>
      <w:proofErr w:type="spellEnd"/>
      <w:r w:rsidR="007E1551">
        <w:rPr>
          <w:rFonts w:ascii="Verdana" w:hAnsi="Verdana"/>
          <w:sz w:val="18"/>
          <w:szCs w:val="18"/>
        </w:rPr>
        <w:t xml:space="preserve"> dreigingen. De</w:t>
      </w:r>
      <w:r w:rsidRPr="00B55C50">
        <w:rPr>
          <w:rFonts w:ascii="Verdana" w:hAnsi="Verdana"/>
          <w:sz w:val="18"/>
          <w:szCs w:val="18"/>
        </w:rPr>
        <w:t xml:space="preserve"> Commissie </w:t>
      </w:r>
      <w:r w:rsidR="007E1551">
        <w:rPr>
          <w:rFonts w:ascii="Verdana" w:hAnsi="Verdana"/>
          <w:sz w:val="18"/>
          <w:szCs w:val="18"/>
        </w:rPr>
        <w:t xml:space="preserve">is voornemens </w:t>
      </w:r>
      <w:proofErr w:type="spellStart"/>
      <w:r w:rsidRPr="00B55C50">
        <w:rPr>
          <w:rFonts w:ascii="Verdana" w:hAnsi="Verdana"/>
          <w:sz w:val="18"/>
          <w:szCs w:val="18"/>
        </w:rPr>
        <w:t>rescEU</w:t>
      </w:r>
      <w:proofErr w:type="spellEnd"/>
      <w:r w:rsidRPr="00B55C50">
        <w:rPr>
          <w:rFonts w:ascii="Verdana" w:hAnsi="Verdana"/>
          <w:sz w:val="18"/>
          <w:szCs w:val="18"/>
        </w:rPr>
        <w:t xml:space="preserve"> verder uit</w:t>
      </w:r>
      <w:r w:rsidR="00B1460F">
        <w:rPr>
          <w:rFonts w:ascii="Verdana" w:hAnsi="Verdana"/>
          <w:sz w:val="18"/>
          <w:szCs w:val="18"/>
        </w:rPr>
        <w:t xml:space="preserve"> te </w:t>
      </w:r>
      <w:r w:rsidRPr="00B55C50">
        <w:rPr>
          <w:rFonts w:ascii="Verdana" w:hAnsi="Verdana"/>
          <w:sz w:val="18"/>
          <w:szCs w:val="18"/>
        </w:rPr>
        <w:t>breiden</w:t>
      </w:r>
      <w:r w:rsidRPr="00B55C50" w:rsidR="00E10AD6">
        <w:rPr>
          <w:rFonts w:ascii="Verdana" w:hAnsi="Verdana"/>
          <w:sz w:val="18"/>
          <w:szCs w:val="18"/>
        </w:rPr>
        <w:t>,</w:t>
      </w:r>
      <w:r w:rsidR="007E1551">
        <w:rPr>
          <w:rStyle w:val="FootnoteReference"/>
          <w:rFonts w:ascii="Verdana" w:hAnsi="Verdana"/>
          <w:sz w:val="18"/>
          <w:szCs w:val="18"/>
        </w:rPr>
        <w:footnoteReference w:id="6"/>
      </w:r>
      <w:r w:rsidRPr="00B55C50">
        <w:rPr>
          <w:rFonts w:ascii="Verdana" w:hAnsi="Verdana"/>
          <w:sz w:val="18"/>
          <w:szCs w:val="18"/>
        </w:rPr>
        <w:t xml:space="preserve"> gebaseerd op lacune-analyses en input van de lidstaten</w:t>
      </w:r>
      <w:r w:rsidR="003E00FF">
        <w:rPr>
          <w:rFonts w:ascii="Verdana" w:hAnsi="Verdana"/>
          <w:sz w:val="18"/>
          <w:szCs w:val="18"/>
        </w:rPr>
        <w:t xml:space="preserve">, en zet in op innovatieve oplossingen als de inrichting van een </w:t>
      </w:r>
      <w:r w:rsidRPr="000451AD" w:rsidR="003E00FF">
        <w:rPr>
          <w:rFonts w:ascii="Verdana" w:hAnsi="Verdana"/>
          <w:i/>
          <w:iCs/>
          <w:sz w:val="18"/>
          <w:szCs w:val="18"/>
        </w:rPr>
        <w:t xml:space="preserve">Critical </w:t>
      </w:r>
      <w:proofErr w:type="spellStart"/>
      <w:r w:rsidRPr="000451AD" w:rsidR="003E00FF">
        <w:rPr>
          <w:rFonts w:ascii="Verdana" w:hAnsi="Verdana"/>
          <w:i/>
          <w:iCs/>
          <w:sz w:val="18"/>
          <w:szCs w:val="18"/>
        </w:rPr>
        <w:t>Raw</w:t>
      </w:r>
      <w:proofErr w:type="spellEnd"/>
      <w:r w:rsidRPr="000451AD" w:rsidR="003E00FF">
        <w:rPr>
          <w:rFonts w:ascii="Verdana" w:hAnsi="Verdana"/>
          <w:i/>
          <w:iCs/>
          <w:sz w:val="18"/>
          <w:szCs w:val="18"/>
        </w:rPr>
        <w:t xml:space="preserve"> </w:t>
      </w:r>
      <w:proofErr w:type="spellStart"/>
      <w:r w:rsidRPr="000451AD" w:rsidR="003E00FF">
        <w:rPr>
          <w:rFonts w:ascii="Verdana" w:hAnsi="Verdana"/>
          <w:i/>
          <w:iCs/>
          <w:sz w:val="18"/>
          <w:szCs w:val="18"/>
        </w:rPr>
        <w:t>Materials</w:t>
      </w:r>
      <w:proofErr w:type="spellEnd"/>
      <w:r w:rsidRPr="000451AD" w:rsidR="003E00FF">
        <w:rPr>
          <w:rFonts w:ascii="Verdana" w:hAnsi="Verdana"/>
          <w:i/>
          <w:iCs/>
          <w:sz w:val="18"/>
          <w:szCs w:val="18"/>
        </w:rPr>
        <w:t xml:space="preserve"> Centre</w:t>
      </w:r>
      <w:r w:rsidRPr="00B55C50" w:rsidR="003E00FF">
        <w:rPr>
          <w:rFonts w:ascii="Verdana" w:hAnsi="Verdana"/>
          <w:sz w:val="18"/>
          <w:szCs w:val="18"/>
        </w:rPr>
        <w:t>.</w:t>
      </w:r>
      <w:r w:rsidRPr="00B55C50">
        <w:rPr>
          <w:rFonts w:ascii="Verdana" w:hAnsi="Verdana"/>
          <w:sz w:val="18"/>
          <w:szCs w:val="18"/>
        </w:rPr>
        <w:t xml:space="preserve">. De Commissie zal ervoor zorgen dat </w:t>
      </w:r>
      <w:proofErr w:type="spellStart"/>
      <w:r w:rsidRPr="00B55C50">
        <w:rPr>
          <w:rFonts w:ascii="Verdana" w:hAnsi="Verdana"/>
          <w:sz w:val="18"/>
          <w:szCs w:val="18"/>
        </w:rPr>
        <w:t>rescEU</w:t>
      </w:r>
      <w:proofErr w:type="spellEnd"/>
      <w:r w:rsidRPr="00B55C50">
        <w:rPr>
          <w:rFonts w:ascii="Verdana" w:hAnsi="Verdana"/>
          <w:sz w:val="18"/>
          <w:szCs w:val="18"/>
        </w:rPr>
        <w:t xml:space="preserve">-voorraden na inzet weer worden aangevuld. Tevens wil de Commissie bestaande instrumenten bundelen om de private sector in staat te stellen </w:t>
      </w:r>
      <w:r w:rsidRPr="001D33FF">
        <w:rPr>
          <w:rFonts w:ascii="Verdana" w:hAnsi="Verdana"/>
          <w:sz w:val="18"/>
          <w:szCs w:val="18"/>
        </w:rPr>
        <w:t>in-</w:t>
      </w:r>
      <w:r w:rsidRPr="001D33FF" w:rsidR="009E1923">
        <w:rPr>
          <w:rFonts w:ascii="Verdana" w:hAnsi="Verdana"/>
          <w:sz w:val="18"/>
          <w:szCs w:val="18"/>
        </w:rPr>
        <w:t>natura</w:t>
      </w:r>
      <w:r w:rsidRPr="00B55C50">
        <w:rPr>
          <w:rFonts w:ascii="Verdana" w:hAnsi="Verdana"/>
          <w:sz w:val="18"/>
          <w:szCs w:val="18"/>
        </w:rPr>
        <w:t xml:space="preserve"> steun te leveren als onderdeel van </w:t>
      </w:r>
      <w:proofErr w:type="spellStart"/>
      <w:r w:rsidRPr="00B55C50">
        <w:rPr>
          <w:rFonts w:ascii="Verdana" w:hAnsi="Verdana"/>
          <w:sz w:val="18"/>
          <w:szCs w:val="18"/>
        </w:rPr>
        <w:t>rescEU</w:t>
      </w:r>
      <w:proofErr w:type="spellEnd"/>
      <w:r w:rsidRPr="00B55C50">
        <w:rPr>
          <w:rFonts w:ascii="Verdana" w:hAnsi="Verdana"/>
          <w:sz w:val="18"/>
          <w:szCs w:val="18"/>
        </w:rPr>
        <w:t xml:space="preserve">. </w:t>
      </w:r>
    </w:p>
    <w:p w:rsidR="00943035" w:rsidP="0064352A" w:rsidRDefault="00943035" w14:paraId="05E1FAC2" w14:textId="77777777">
      <w:pPr>
        <w:tabs>
          <w:tab w:val="left" w:pos="360"/>
          <w:tab w:val="left" w:pos="4500"/>
          <w:tab w:val="left" w:pos="5580"/>
        </w:tabs>
        <w:spacing w:line="360" w:lineRule="auto"/>
        <w:rPr>
          <w:rFonts w:ascii="Verdana" w:hAnsi="Verdana"/>
          <w:sz w:val="18"/>
          <w:szCs w:val="18"/>
        </w:rPr>
      </w:pPr>
    </w:p>
    <w:p w:rsidR="00943035" w:rsidP="0064352A" w:rsidRDefault="00D433A9" w14:paraId="2895268E" w14:textId="29F2F43A">
      <w:pPr>
        <w:tabs>
          <w:tab w:val="left" w:pos="360"/>
          <w:tab w:val="left" w:pos="4500"/>
          <w:tab w:val="left" w:pos="5580"/>
        </w:tabs>
        <w:spacing w:line="360" w:lineRule="auto"/>
        <w:rPr>
          <w:rFonts w:ascii="Verdana" w:hAnsi="Verdana"/>
          <w:sz w:val="18"/>
          <w:szCs w:val="18"/>
        </w:rPr>
      </w:pPr>
      <w:r w:rsidRPr="00D433A9">
        <w:rPr>
          <w:rFonts w:ascii="Verdana" w:hAnsi="Verdana"/>
          <w:sz w:val="18"/>
          <w:szCs w:val="18"/>
        </w:rPr>
        <w:t xml:space="preserve">De Commissie ziet </w:t>
      </w:r>
      <w:r w:rsidRPr="00D26AF3" w:rsidR="00D36CE9">
        <w:rPr>
          <w:rFonts w:ascii="Verdana" w:hAnsi="Verdana"/>
          <w:sz w:val="18"/>
          <w:szCs w:val="18"/>
        </w:rPr>
        <w:t>een veerkrachtige en onderling verbonden logistieke</w:t>
      </w:r>
      <w:r w:rsidR="00D36CE9">
        <w:rPr>
          <w:rFonts w:ascii="Verdana" w:hAnsi="Verdana"/>
          <w:sz w:val="18"/>
          <w:szCs w:val="18"/>
        </w:rPr>
        <w:t>-</w:t>
      </w:r>
      <w:r w:rsidRPr="00D26AF3" w:rsidR="00D36CE9">
        <w:rPr>
          <w:rFonts w:ascii="Verdana" w:hAnsi="Verdana"/>
          <w:sz w:val="18"/>
          <w:szCs w:val="18"/>
        </w:rPr>
        <w:t xml:space="preserve"> en transportinfrastructuur</w:t>
      </w:r>
      <w:r w:rsidR="00D36CE9">
        <w:rPr>
          <w:rFonts w:ascii="Verdana" w:hAnsi="Verdana"/>
          <w:sz w:val="18"/>
          <w:szCs w:val="18"/>
        </w:rPr>
        <w:t xml:space="preserve"> </w:t>
      </w:r>
      <w:r w:rsidRPr="00D433A9">
        <w:rPr>
          <w:rFonts w:ascii="Verdana" w:hAnsi="Verdana"/>
          <w:sz w:val="18"/>
          <w:szCs w:val="18"/>
        </w:rPr>
        <w:t xml:space="preserve">als </w:t>
      </w:r>
      <w:r w:rsidR="00D36CE9">
        <w:rPr>
          <w:rFonts w:ascii="Verdana" w:hAnsi="Verdana"/>
          <w:sz w:val="18"/>
          <w:szCs w:val="18"/>
        </w:rPr>
        <w:t xml:space="preserve">een </w:t>
      </w:r>
      <w:r w:rsidRPr="00D433A9">
        <w:rPr>
          <w:rFonts w:ascii="Verdana" w:hAnsi="Verdana"/>
          <w:sz w:val="18"/>
          <w:szCs w:val="18"/>
        </w:rPr>
        <w:t>belangrijk</w:t>
      </w:r>
      <w:r w:rsidR="00D36CE9">
        <w:rPr>
          <w:rFonts w:ascii="Verdana" w:hAnsi="Verdana"/>
          <w:sz w:val="18"/>
          <w:szCs w:val="18"/>
        </w:rPr>
        <w:t>e</w:t>
      </w:r>
      <w:r w:rsidRPr="00D433A9">
        <w:rPr>
          <w:rFonts w:ascii="Verdana" w:hAnsi="Verdana"/>
          <w:sz w:val="18"/>
          <w:szCs w:val="18"/>
        </w:rPr>
        <w:t xml:space="preserve"> vereiste om de beschikbaarheid van </w:t>
      </w:r>
      <w:r w:rsidRPr="00D433A9" w:rsidR="00B55C50">
        <w:rPr>
          <w:rFonts w:ascii="Verdana" w:hAnsi="Verdana"/>
          <w:sz w:val="18"/>
          <w:szCs w:val="18"/>
        </w:rPr>
        <w:t>essentiële</w:t>
      </w:r>
      <w:r w:rsidRPr="00D433A9">
        <w:rPr>
          <w:rFonts w:ascii="Verdana" w:hAnsi="Verdana"/>
          <w:sz w:val="18"/>
          <w:szCs w:val="18"/>
        </w:rPr>
        <w:t xml:space="preserve"> </w:t>
      </w:r>
      <w:r w:rsidR="00FA03F3">
        <w:rPr>
          <w:rFonts w:ascii="Verdana" w:hAnsi="Verdana"/>
          <w:sz w:val="18"/>
          <w:szCs w:val="18"/>
        </w:rPr>
        <w:t xml:space="preserve">goederen </w:t>
      </w:r>
      <w:r w:rsidRPr="00D433A9">
        <w:rPr>
          <w:rFonts w:ascii="Verdana" w:hAnsi="Verdana"/>
          <w:sz w:val="18"/>
          <w:szCs w:val="18"/>
        </w:rPr>
        <w:t xml:space="preserve">in tijden van crisis te garanderen. Daartoe wil de Commissie de samenwerking tussen </w:t>
      </w:r>
      <w:r w:rsidR="00D36CE9">
        <w:rPr>
          <w:rFonts w:ascii="Verdana" w:hAnsi="Verdana"/>
          <w:sz w:val="18"/>
          <w:szCs w:val="18"/>
        </w:rPr>
        <w:t>het</w:t>
      </w:r>
      <w:r w:rsidRPr="00D433A9" w:rsidR="00D36CE9">
        <w:rPr>
          <w:rFonts w:ascii="Verdana" w:hAnsi="Verdana"/>
          <w:sz w:val="18"/>
          <w:szCs w:val="18"/>
        </w:rPr>
        <w:t xml:space="preserve"> </w:t>
      </w:r>
      <w:r w:rsidR="00D37F6C">
        <w:rPr>
          <w:rFonts w:ascii="Verdana" w:hAnsi="Verdana"/>
          <w:sz w:val="18"/>
          <w:szCs w:val="18"/>
        </w:rPr>
        <w:t xml:space="preserve">netwerk van nationale transport contactpunten </w:t>
      </w:r>
      <w:r w:rsidRPr="00D433A9">
        <w:rPr>
          <w:rFonts w:ascii="Verdana" w:hAnsi="Verdana"/>
          <w:sz w:val="18"/>
          <w:szCs w:val="18"/>
        </w:rPr>
        <w:t xml:space="preserve">en </w:t>
      </w:r>
      <w:r w:rsidR="005C6FD2">
        <w:rPr>
          <w:rFonts w:ascii="Verdana" w:hAnsi="Verdana"/>
          <w:sz w:val="18"/>
          <w:szCs w:val="18"/>
        </w:rPr>
        <w:t>het</w:t>
      </w:r>
      <w:r w:rsidRPr="00D433A9" w:rsidR="005C6FD2">
        <w:rPr>
          <w:rFonts w:ascii="Verdana" w:hAnsi="Verdana"/>
          <w:sz w:val="18"/>
          <w:szCs w:val="18"/>
        </w:rPr>
        <w:t xml:space="preserve"> </w:t>
      </w:r>
      <w:r w:rsidRPr="006B6AD4">
        <w:rPr>
          <w:rFonts w:ascii="Verdana" w:hAnsi="Verdana"/>
          <w:sz w:val="18"/>
          <w:szCs w:val="18"/>
        </w:rPr>
        <w:t>EU</w:t>
      </w:r>
      <w:r w:rsidRPr="60696D23">
        <w:rPr>
          <w:rFonts w:ascii="Verdana" w:hAnsi="Verdana"/>
          <w:i/>
          <w:iCs/>
          <w:sz w:val="18"/>
          <w:szCs w:val="18"/>
        </w:rPr>
        <w:t xml:space="preserve"> </w:t>
      </w:r>
      <w:r w:rsidRPr="00DA3503" w:rsidR="00D37F6C">
        <w:rPr>
          <w:rFonts w:ascii="Verdana" w:hAnsi="Verdana"/>
          <w:sz w:val="18"/>
          <w:szCs w:val="18"/>
        </w:rPr>
        <w:t>voorradennetwerk</w:t>
      </w:r>
      <w:r w:rsidRPr="60696D23" w:rsidDel="00D37F6C" w:rsidR="00D37F6C">
        <w:rPr>
          <w:rFonts w:ascii="Verdana" w:hAnsi="Verdana"/>
          <w:i/>
          <w:iCs/>
          <w:sz w:val="18"/>
          <w:szCs w:val="18"/>
        </w:rPr>
        <w:t xml:space="preserve"> </w:t>
      </w:r>
      <w:r w:rsidRPr="00D433A9">
        <w:rPr>
          <w:rFonts w:ascii="Verdana" w:hAnsi="Verdana"/>
          <w:sz w:val="18"/>
          <w:szCs w:val="18"/>
        </w:rPr>
        <w:t>faciliteren.</w:t>
      </w:r>
      <w:r>
        <w:rPr>
          <w:rFonts w:ascii="Verdana" w:hAnsi="Verdana"/>
          <w:sz w:val="18"/>
          <w:szCs w:val="18"/>
        </w:rPr>
        <w:t xml:space="preserve"> De Commissie zal daarnaast met betrokken partijen werken aan de versterking van crisisparaatheid aan de hand van het </w:t>
      </w:r>
      <w:r w:rsidRPr="60696D23">
        <w:rPr>
          <w:rFonts w:ascii="Verdana" w:hAnsi="Verdana"/>
          <w:i/>
          <w:iCs/>
          <w:sz w:val="18"/>
          <w:szCs w:val="18"/>
        </w:rPr>
        <w:t xml:space="preserve">EU </w:t>
      </w:r>
      <w:proofErr w:type="spellStart"/>
      <w:r w:rsidRPr="60696D23">
        <w:rPr>
          <w:rFonts w:ascii="Verdana" w:hAnsi="Verdana"/>
          <w:i/>
          <w:iCs/>
          <w:sz w:val="18"/>
          <w:szCs w:val="18"/>
        </w:rPr>
        <w:t>Contingency</w:t>
      </w:r>
      <w:proofErr w:type="spellEnd"/>
      <w:r w:rsidRPr="60696D23">
        <w:rPr>
          <w:rFonts w:ascii="Verdana" w:hAnsi="Verdana"/>
          <w:i/>
          <w:iCs/>
          <w:sz w:val="18"/>
          <w:szCs w:val="18"/>
        </w:rPr>
        <w:t xml:space="preserve"> Plan </w:t>
      </w:r>
      <w:proofErr w:type="spellStart"/>
      <w:r w:rsidRPr="60696D23">
        <w:rPr>
          <w:rFonts w:ascii="Verdana" w:hAnsi="Verdana"/>
          <w:i/>
          <w:iCs/>
          <w:sz w:val="18"/>
          <w:szCs w:val="18"/>
        </w:rPr>
        <w:t>for</w:t>
      </w:r>
      <w:proofErr w:type="spellEnd"/>
      <w:r w:rsidRPr="60696D23">
        <w:rPr>
          <w:rFonts w:ascii="Verdana" w:hAnsi="Verdana"/>
          <w:i/>
          <w:iCs/>
          <w:sz w:val="18"/>
          <w:szCs w:val="18"/>
        </w:rPr>
        <w:t xml:space="preserve"> Transport</w:t>
      </w:r>
      <w:r w:rsidRPr="00D36CE9">
        <w:rPr>
          <w:rFonts w:ascii="Verdana" w:hAnsi="Verdana"/>
          <w:sz w:val="18"/>
          <w:szCs w:val="18"/>
        </w:rPr>
        <w:t xml:space="preserve">. </w:t>
      </w:r>
      <w:r w:rsidR="0093550C">
        <w:rPr>
          <w:rFonts w:ascii="Verdana" w:hAnsi="Verdana"/>
          <w:sz w:val="18"/>
          <w:szCs w:val="18"/>
        </w:rPr>
        <w:t>Ook</w:t>
      </w:r>
      <w:r w:rsidR="00EB7881">
        <w:rPr>
          <w:rFonts w:ascii="Verdana" w:hAnsi="Verdana"/>
          <w:sz w:val="18"/>
          <w:szCs w:val="18"/>
        </w:rPr>
        <w:t xml:space="preserve"> </w:t>
      </w:r>
      <w:r>
        <w:rPr>
          <w:rFonts w:ascii="Verdana" w:hAnsi="Verdana"/>
          <w:sz w:val="18"/>
          <w:szCs w:val="18"/>
        </w:rPr>
        <w:t xml:space="preserve">is de Commissie voornemens </w:t>
      </w:r>
      <w:r w:rsidR="00EB7881">
        <w:rPr>
          <w:rFonts w:ascii="Verdana" w:hAnsi="Verdana"/>
          <w:sz w:val="18"/>
          <w:szCs w:val="18"/>
        </w:rPr>
        <w:t>de locatie van</w:t>
      </w:r>
      <w:r w:rsidR="00B1460F">
        <w:rPr>
          <w:rFonts w:ascii="Verdana" w:hAnsi="Verdana"/>
          <w:sz w:val="18"/>
          <w:szCs w:val="18"/>
        </w:rPr>
        <w:t xml:space="preserve"> civiele</w:t>
      </w:r>
      <w:r w:rsidR="00EB7881">
        <w:rPr>
          <w:rFonts w:ascii="Verdana" w:hAnsi="Verdana"/>
          <w:sz w:val="18"/>
          <w:szCs w:val="18"/>
        </w:rPr>
        <w:t xml:space="preserve"> voorraden </w:t>
      </w:r>
      <w:r>
        <w:rPr>
          <w:rFonts w:ascii="Verdana" w:hAnsi="Verdana"/>
          <w:sz w:val="18"/>
          <w:szCs w:val="18"/>
        </w:rPr>
        <w:t xml:space="preserve">beter </w:t>
      </w:r>
      <w:r w:rsidR="00EB7881">
        <w:rPr>
          <w:rFonts w:ascii="Verdana" w:hAnsi="Verdana"/>
          <w:sz w:val="18"/>
          <w:szCs w:val="18"/>
        </w:rPr>
        <w:t>af te stemmen</w:t>
      </w:r>
      <w:r>
        <w:rPr>
          <w:rFonts w:ascii="Verdana" w:hAnsi="Verdana"/>
          <w:sz w:val="18"/>
          <w:szCs w:val="18"/>
        </w:rPr>
        <w:t xml:space="preserve"> met</w:t>
      </w:r>
      <w:r w:rsidR="00EB7881">
        <w:rPr>
          <w:rFonts w:ascii="Verdana" w:hAnsi="Verdana"/>
          <w:sz w:val="18"/>
          <w:szCs w:val="18"/>
        </w:rPr>
        <w:t xml:space="preserve"> het</w:t>
      </w:r>
      <w:r>
        <w:rPr>
          <w:rFonts w:ascii="Verdana" w:hAnsi="Verdana"/>
          <w:sz w:val="18"/>
          <w:szCs w:val="18"/>
        </w:rPr>
        <w:t xml:space="preserve"> EU</w:t>
      </w:r>
      <w:r w:rsidR="00D36CE9">
        <w:rPr>
          <w:rFonts w:ascii="Verdana" w:hAnsi="Verdana"/>
          <w:sz w:val="18"/>
          <w:szCs w:val="18"/>
        </w:rPr>
        <w:t>-beleid inzake</w:t>
      </w:r>
      <w:r>
        <w:rPr>
          <w:rFonts w:ascii="Verdana" w:hAnsi="Verdana"/>
          <w:sz w:val="18"/>
          <w:szCs w:val="18"/>
        </w:rPr>
        <w:t xml:space="preserve"> militaire </w:t>
      </w:r>
      <w:r w:rsidR="00B55C50">
        <w:rPr>
          <w:rFonts w:ascii="Verdana" w:hAnsi="Verdana"/>
          <w:sz w:val="18"/>
          <w:szCs w:val="18"/>
        </w:rPr>
        <w:t>mobiliteit</w:t>
      </w:r>
      <w:r>
        <w:rPr>
          <w:rFonts w:ascii="Verdana" w:hAnsi="Verdana"/>
          <w:sz w:val="18"/>
          <w:szCs w:val="18"/>
        </w:rPr>
        <w:t xml:space="preserve"> en worden investeringen in transportinfrastructuur en </w:t>
      </w:r>
      <w:proofErr w:type="spellStart"/>
      <w:r w:rsidRPr="60696D23">
        <w:rPr>
          <w:rFonts w:ascii="Verdana" w:hAnsi="Verdana"/>
          <w:i/>
          <w:iCs/>
          <w:sz w:val="18"/>
          <w:szCs w:val="18"/>
        </w:rPr>
        <w:t>dual-use</w:t>
      </w:r>
      <w:proofErr w:type="spellEnd"/>
      <w:r w:rsidR="00B55C50">
        <w:rPr>
          <w:rStyle w:val="FootnoteReference"/>
          <w:rFonts w:ascii="Verdana" w:hAnsi="Verdana"/>
          <w:sz w:val="18"/>
          <w:szCs w:val="18"/>
        </w:rPr>
        <w:footnoteReference w:id="7"/>
      </w:r>
      <w:r>
        <w:rPr>
          <w:rFonts w:ascii="Verdana" w:hAnsi="Verdana"/>
          <w:sz w:val="18"/>
          <w:szCs w:val="18"/>
        </w:rPr>
        <w:t xml:space="preserve"> transportmiddelen gestimuleerd. </w:t>
      </w:r>
    </w:p>
    <w:p w:rsidRPr="00D433A9" w:rsidR="0088650A" w:rsidP="0064352A" w:rsidRDefault="0088650A" w14:paraId="5E44D2EF" w14:textId="77777777">
      <w:pPr>
        <w:tabs>
          <w:tab w:val="left" w:pos="360"/>
          <w:tab w:val="left" w:pos="4500"/>
          <w:tab w:val="left" w:pos="5580"/>
        </w:tabs>
        <w:spacing w:line="360" w:lineRule="auto"/>
        <w:rPr>
          <w:rFonts w:ascii="Verdana" w:hAnsi="Verdana"/>
          <w:sz w:val="18"/>
          <w:szCs w:val="18"/>
        </w:rPr>
      </w:pPr>
    </w:p>
    <w:p w:rsidR="002225CD" w:rsidP="0064352A" w:rsidRDefault="0088650A" w14:paraId="1EC68C1C" w14:textId="5130F8F6">
      <w:pPr>
        <w:tabs>
          <w:tab w:val="left" w:pos="360"/>
          <w:tab w:val="left" w:pos="4500"/>
          <w:tab w:val="left" w:pos="5580"/>
        </w:tabs>
        <w:spacing w:line="360" w:lineRule="auto"/>
        <w:rPr>
          <w:rFonts w:ascii="Verdana" w:hAnsi="Verdana"/>
          <w:sz w:val="18"/>
          <w:szCs w:val="18"/>
        </w:rPr>
      </w:pPr>
      <w:r>
        <w:rPr>
          <w:rFonts w:ascii="Verdana" w:hAnsi="Verdana"/>
          <w:sz w:val="18"/>
          <w:szCs w:val="18"/>
        </w:rPr>
        <w:t>Om de civiel-militaire samenwerking verder te versterken zal de Commissie hierover discussies</w:t>
      </w:r>
      <w:r w:rsidR="00683A3E">
        <w:rPr>
          <w:rFonts w:ascii="Verdana" w:hAnsi="Verdana"/>
          <w:sz w:val="18"/>
          <w:szCs w:val="18"/>
        </w:rPr>
        <w:t xml:space="preserve"> faciliteren</w:t>
      </w:r>
      <w:r>
        <w:rPr>
          <w:rFonts w:ascii="Verdana" w:hAnsi="Verdana"/>
          <w:sz w:val="18"/>
          <w:szCs w:val="18"/>
        </w:rPr>
        <w:t xml:space="preserve"> binnen het </w:t>
      </w:r>
      <w:r w:rsidR="00D37F6C">
        <w:rPr>
          <w:rFonts w:ascii="Verdana" w:hAnsi="Verdana"/>
          <w:sz w:val="18"/>
          <w:szCs w:val="18"/>
        </w:rPr>
        <w:t xml:space="preserve">EU </w:t>
      </w:r>
      <w:r w:rsidRPr="00DA3503" w:rsidR="00D37F6C">
        <w:rPr>
          <w:rFonts w:ascii="Verdana" w:hAnsi="Verdana"/>
          <w:sz w:val="18"/>
          <w:szCs w:val="18"/>
        </w:rPr>
        <w:t>voorradennetwerk</w:t>
      </w:r>
      <w:r w:rsidR="00683A3E">
        <w:rPr>
          <w:rFonts w:ascii="Verdana" w:hAnsi="Verdana"/>
          <w:sz w:val="18"/>
          <w:szCs w:val="18"/>
        </w:rPr>
        <w:t xml:space="preserve">, </w:t>
      </w:r>
      <w:r w:rsidR="0093550C">
        <w:rPr>
          <w:rFonts w:ascii="Verdana" w:hAnsi="Verdana"/>
          <w:sz w:val="18"/>
          <w:szCs w:val="18"/>
        </w:rPr>
        <w:t>onder andere</w:t>
      </w:r>
      <w:r w:rsidRPr="00683A3E" w:rsidR="00683A3E">
        <w:rPr>
          <w:rFonts w:ascii="Verdana" w:hAnsi="Verdana"/>
          <w:sz w:val="18"/>
          <w:szCs w:val="18"/>
        </w:rPr>
        <w:t xml:space="preserve"> om uit te zoeken hoe er bij civiele voorraden ook rekening kan worden gehouden met militaire vereisten en noden</w:t>
      </w:r>
      <w:r>
        <w:rPr>
          <w:rFonts w:ascii="Verdana" w:hAnsi="Verdana"/>
          <w:sz w:val="18"/>
          <w:szCs w:val="18"/>
        </w:rPr>
        <w:t>. Ook wordt de samenwerking tussen de NAVO en de EU</w:t>
      </w:r>
      <w:r w:rsidR="00D36CE9">
        <w:rPr>
          <w:rFonts w:ascii="Verdana" w:hAnsi="Verdana"/>
          <w:sz w:val="18"/>
          <w:szCs w:val="18"/>
        </w:rPr>
        <w:t xml:space="preserve"> verder uitgebreid</w:t>
      </w:r>
      <w:r>
        <w:rPr>
          <w:rFonts w:ascii="Verdana" w:hAnsi="Verdana"/>
          <w:sz w:val="18"/>
          <w:szCs w:val="18"/>
        </w:rPr>
        <w:t xml:space="preserve">, in het bijzonder </w:t>
      </w:r>
      <w:r w:rsidR="00D36CE9">
        <w:rPr>
          <w:rFonts w:ascii="Verdana" w:hAnsi="Verdana"/>
          <w:sz w:val="18"/>
          <w:szCs w:val="18"/>
        </w:rPr>
        <w:t xml:space="preserve">via </w:t>
      </w:r>
      <w:r>
        <w:rPr>
          <w:rFonts w:ascii="Verdana" w:hAnsi="Verdana"/>
          <w:sz w:val="18"/>
          <w:szCs w:val="18"/>
        </w:rPr>
        <w:t>de gestructureerde dialogen o</w:t>
      </w:r>
      <w:r w:rsidR="00D36CE9">
        <w:rPr>
          <w:rFonts w:ascii="Verdana" w:hAnsi="Verdana"/>
          <w:sz w:val="18"/>
          <w:szCs w:val="18"/>
        </w:rPr>
        <w:t>ver</w:t>
      </w:r>
      <w:r>
        <w:rPr>
          <w:rFonts w:ascii="Verdana" w:hAnsi="Verdana"/>
          <w:sz w:val="18"/>
          <w:szCs w:val="18"/>
        </w:rPr>
        <w:t xml:space="preserve"> weerbaarheid</w:t>
      </w:r>
      <w:r w:rsidR="00D36CE9">
        <w:rPr>
          <w:rFonts w:ascii="Verdana" w:hAnsi="Verdana"/>
          <w:sz w:val="18"/>
          <w:szCs w:val="18"/>
        </w:rPr>
        <w:t>.</w:t>
      </w:r>
    </w:p>
    <w:p w:rsidR="0088650A" w:rsidP="0064352A" w:rsidRDefault="0088650A" w14:paraId="724EB87E" w14:textId="77777777">
      <w:pPr>
        <w:tabs>
          <w:tab w:val="left" w:pos="360"/>
          <w:tab w:val="left" w:pos="4500"/>
          <w:tab w:val="left" w:pos="5580"/>
        </w:tabs>
        <w:spacing w:line="360" w:lineRule="auto"/>
        <w:rPr>
          <w:rFonts w:ascii="Verdana" w:hAnsi="Verdana"/>
          <w:sz w:val="18"/>
          <w:szCs w:val="18"/>
        </w:rPr>
      </w:pPr>
    </w:p>
    <w:p w:rsidR="00B54200" w:rsidP="0064352A" w:rsidRDefault="0088650A" w14:paraId="5D3619CB" w14:textId="68900F96">
      <w:pPr>
        <w:tabs>
          <w:tab w:val="left" w:pos="360"/>
          <w:tab w:val="left" w:pos="4500"/>
          <w:tab w:val="left" w:pos="5580"/>
        </w:tabs>
        <w:spacing w:line="360" w:lineRule="auto"/>
        <w:rPr>
          <w:rFonts w:ascii="Verdana" w:hAnsi="Verdana"/>
          <w:sz w:val="18"/>
          <w:szCs w:val="18"/>
        </w:rPr>
      </w:pPr>
      <w:r>
        <w:rPr>
          <w:rFonts w:ascii="Verdana" w:hAnsi="Verdana"/>
          <w:sz w:val="18"/>
          <w:szCs w:val="18"/>
        </w:rPr>
        <w:t>De Commissie onderstreept het belang van publiek-private samenwerking</w:t>
      </w:r>
      <w:r w:rsidR="00EF4689">
        <w:rPr>
          <w:rFonts w:ascii="Verdana" w:hAnsi="Verdana"/>
          <w:sz w:val="18"/>
          <w:szCs w:val="18"/>
        </w:rPr>
        <w:t>.</w:t>
      </w:r>
      <w:r>
        <w:rPr>
          <w:rFonts w:ascii="Verdana" w:hAnsi="Verdana"/>
          <w:sz w:val="18"/>
          <w:szCs w:val="18"/>
        </w:rPr>
        <w:t xml:space="preserve"> </w:t>
      </w:r>
      <w:r w:rsidR="00EF4689">
        <w:rPr>
          <w:rFonts w:ascii="Verdana" w:hAnsi="Verdana"/>
          <w:sz w:val="18"/>
          <w:szCs w:val="18"/>
        </w:rPr>
        <w:t xml:space="preserve">Zo wil de Commissie dat het </w:t>
      </w:r>
      <w:r w:rsidR="00D37F6C">
        <w:rPr>
          <w:rFonts w:ascii="Verdana" w:hAnsi="Verdana"/>
          <w:sz w:val="18"/>
          <w:szCs w:val="18"/>
        </w:rPr>
        <w:t>EU</w:t>
      </w:r>
      <w:r w:rsidR="00E10AD6">
        <w:rPr>
          <w:rFonts w:ascii="Verdana" w:hAnsi="Verdana"/>
          <w:sz w:val="18"/>
          <w:szCs w:val="18"/>
        </w:rPr>
        <w:t>-</w:t>
      </w:r>
      <w:r w:rsidRPr="00DA3503" w:rsidR="00D37F6C">
        <w:rPr>
          <w:rFonts w:ascii="Verdana" w:hAnsi="Verdana"/>
          <w:sz w:val="18"/>
          <w:szCs w:val="18"/>
        </w:rPr>
        <w:t>voorradennetwerk</w:t>
      </w:r>
      <w:r w:rsidRPr="00683A3E" w:rsidR="00683A3E">
        <w:rPr>
          <w:rFonts w:ascii="Verdana" w:hAnsi="Verdana"/>
          <w:sz w:val="18"/>
          <w:szCs w:val="18"/>
        </w:rPr>
        <w:t xml:space="preserve"> </w:t>
      </w:r>
      <w:r w:rsidR="00EF4689">
        <w:rPr>
          <w:rFonts w:ascii="Verdana" w:hAnsi="Verdana"/>
          <w:sz w:val="18"/>
          <w:szCs w:val="18"/>
        </w:rPr>
        <w:t xml:space="preserve">goede voorbeelden en innovatieve oplossingen in kaart </w:t>
      </w:r>
      <w:r w:rsidR="00ED1CFA">
        <w:rPr>
          <w:rFonts w:ascii="Verdana" w:hAnsi="Verdana"/>
          <w:sz w:val="18"/>
          <w:szCs w:val="18"/>
        </w:rPr>
        <w:t xml:space="preserve">brengt </w:t>
      </w:r>
      <w:r w:rsidR="00EF4689">
        <w:rPr>
          <w:rFonts w:ascii="Verdana" w:hAnsi="Verdana"/>
          <w:sz w:val="18"/>
          <w:szCs w:val="18"/>
        </w:rPr>
        <w:t xml:space="preserve">om bedrijven te stimuleren bij te dragen aan de levering van </w:t>
      </w:r>
      <w:r w:rsidR="00F81F73">
        <w:rPr>
          <w:rFonts w:ascii="Verdana" w:hAnsi="Verdana"/>
          <w:sz w:val="18"/>
          <w:szCs w:val="18"/>
        </w:rPr>
        <w:t>essentiële</w:t>
      </w:r>
      <w:r w:rsidR="00EF4689">
        <w:rPr>
          <w:rFonts w:ascii="Verdana" w:hAnsi="Verdana"/>
          <w:sz w:val="18"/>
          <w:szCs w:val="18"/>
        </w:rPr>
        <w:t xml:space="preserve"> goederen. Binnen de </w:t>
      </w:r>
      <w:proofErr w:type="spellStart"/>
      <w:r w:rsidRPr="60696D23" w:rsidR="00EF4689">
        <w:rPr>
          <w:rFonts w:ascii="Verdana" w:hAnsi="Verdana"/>
          <w:i/>
          <w:iCs/>
          <w:sz w:val="18"/>
          <w:szCs w:val="18"/>
        </w:rPr>
        <w:t>Preparedness</w:t>
      </w:r>
      <w:proofErr w:type="spellEnd"/>
      <w:r w:rsidRPr="60696D23" w:rsidR="00EF4689">
        <w:rPr>
          <w:rFonts w:ascii="Verdana" w:hAnsi="Verdana"/>
          <w:i/>
          <w:iCs/>
          <w:sz w:val="18"/>
          <w:szCs w:val="18"/>
        </w:rPr>
        <w:t xml:space="preserve"> Taskforce</w:t>
      </w:r>
      <w:r w:rsidR="00EF4689">
        <w:rPr>
          <w:rFonts w:ascii="Verdana" w:hAnsi="Verdana"/>
          <w:sz w:val="18"/>
          <w:szCs w:val="18"/>
        </w:rPr>
        <w:t xml:space="preserve"> (zoals voorzien in de Paraatheidsuniestrategie) wordt daarnaast</w:t>
      </w:r>
      <w:r w:rsidR="00D36CE9">
        <w:rPr>
          <w:rFonts w:ascii="Verdana" w:hAnsi="Verdana"/>
          <w:sz w:val="18"/>
          <w:szCs w:val="18"/>
        </w:rPr>
        <w:t xml:space="preserve"> in samenwerking met de private sector</w:t>
      </w:r>
      <w:r w:rsidR="00EF4689">
        <w:rPr>
          <w:rFonts w:ascii="Verdana" w:hAnsi="Verdana"/>
          <w:sz w:val="18"/>
          <w:szCs w:val="18"/>
        </w:rPr>
        <w:t xml:space="preserve"> gewerkt aan criteria om belangrijke producenten van </w:t>
      </w:r>
      <w:r w:rsidR="00AA15CF">
        <w:rPr>
          <w:rFonts w:ascii="Verdana" w:hAnsi="Verdana"/>
          <w:sz w:val="18"/>
          <w:szCs w:val="18"/>
        </w:rPr>
        <w:t>essentiële</w:t>
      </w:r>
      <w:r w:rsidR="00EF4689">
        <w:rPr>
          <w:rFonts w:ascii="Verdana" w:hAnsi="Verdana"/>
          <w:sz w:val="18"/>
          <w:szCs w:val="18"/>
        </w:rPr>
        <w:t xml:space="preserve"> goederen te identificeren en </w:t>
      </w:r>
      <w:r w:rsidRPr="60696D23" w:rsidR="00EF4689">
        <w:rPr>
          <w:rFonts w:ascii="Verdana" w:hAnsi="Verdana"/>
          <w:i/>
          <w:iCs/>
          <w:sz w:val="18"/>
          <w:szCs w:val="18"/>
        </w:rPr>
        <w:t xml:space="preserve">best </w:t>
      </w:r>
      <w:proofErr w:type="spellStart"/>
      <w:r w:rsidRPr="60696D23" w:rsidR="00EF4689">
        <w:rPr>
          <w:rFonts w:ascii="Verdana" w:hAnsi="Verdana"/>
          <w:i/>
          <w:iCs/>
          <w:sz w:val="18"/>
          <w:szCs w:val="18"/>
        </w:rPr>
        <w:t>practices</w:t>
      </w:r>
      <w:proofErr w:type="spellEnd"/>
      <w:r w:rsidR="00EF4689">
        <w:rPr>
          <w:rFonts w:ascii="Verdana" w:hAnsi="Verdana"/>
          <w:sz w:val="18"/>
          <w:szCs w:val="18"/>
        </w:rPr>
        <w:t xml:space="preserve"> uit te wisselen.</w:t>
      </w:r>
      <w:r w:rsidR="00B54200">
        <w:rPr>
          <w:rFonts w:ascii="Verdana" w:hAnsi="Verdana"/>
          <w:sz w:val="18"/>
          <w:szCs w:val="18"/>
        </w:rPr>
        <w:t xml:space="preserve"> </w:t>
      </w:r>
    </w:p>
    <w:p w:rsidR="00B54200" w:rsidP="0064352A" w:rsidRDefault="00B54200" w14:paraId="319429CA" w14:textId="77777777">
      <w:pPr>
        <w:tabs>
          <w:tab w:val="left" w:pos="360"/>
          <w:tab w:val="left" w:pos="4500"/>
          <w:tab w:val="left" w:pos="5580"/>
        </w:tabs>
        <w:spacing w:line="360" w:lineRule="auto"/>
        <w:rPr>
          <w:rFonts w:ascii="Verdana" w:hAnsi="Verdana"/>
          <w:sz w:val="18"/>
          <w:szCs w:val="18"/>
        </w:rPr>
      </w:pPr>
    </w:p>
    <w:p w:rsidR="002225CD" w:rsidP="0064352A" w:rsidRDefault="00EF4689" w14:paraId="256CF024" w14:textId="5220A388">
      <w:pPr>
        <w:tabs>
          <w:tab w:val="left" w:pos="360"/>
          <w:tab w:val="left" w:pos="4500"/>
          <w:tab w:val="left" w:pos="5580"/>
        </w:tabs>
        <w:spacing w:line="360" w:lineRule="auto"/>
        <w:rPr>
          <w:rFonts w:ascii="Verdana" w:hAnsi="Verdana"/>
          <w:sz w:val="18"/>
          <w:szCs w:val="18"/>
        </w:rPr>
      </w:pPr>
      <w:r w:rsidRPr="00EF4689">
        <w:rPr>
          <w:rFonts w:ascii="Verdana" w:hAnsi="Verdana"/>
          <w:sz w:val="18"/>
          <w:szCs w:val="18"/>
        </w:rPr>
        <w:t xml:space="preserve">Tot slot zet de </w:t>
      </w:r>
      <w:r w:rsidR="00D36CE9">
        <w:rPr>
          <w:rFonts w:ascii="Verdana" w:hAnsi="Verdana"/>
          <w:sz w:val="18"/>
          <w:szCs w:val="18"/>
        </w:rPr>
        <w:t>Commissie</w:t>
      </w:r>
      <w:r w:rsidRPr="00EF4689" w:rsidR="00D36CE9">
        <w:rPr>
          <w:rFonts w:ascii="Verdana" w:hAnsi="Verdana"/>
          <w:sz w:val="18"/>
          <w:szCs w:val="18"/>
        </w:rPr>
        <w:t xml:space="preserve"> </w:t>
      </w:r>
      <w:r w:rsidRPr="00EF4689">
        <w:rPr>
          <w:rFonts w:ascii="Verdana" w:hAnsi="Verdana"/>
          <w:sz w:val="18"/>
          <w:szCs w:val="18"/>
        </w:rPr>
        <w:t>in op samenwerking met derde landen en internationale organisaties, via handelspartnerschappen, gezamenlijke opslagplaatsen en humanitaire voorraden.</w:t>
      </w:r>
    </w:p>
    <w:p w:rsidR="005811B1" w:rsidP="0064352A" w:rsidRDefault="005811B1" w14:paraId="0496286B" w14:textId="77777777">
      <w:pPr>
        <w:tabs>
          <w:tab w:val="left" w:pos="360"/>
          <w:tab w:val="left" w:pos="4500"/>
          <w:tab w:val="left" w:pos="5580"/>
        </w:tabs>
        <w:spacing w:line="360" w:lineRule="auto"/>
        <w:rPr>
          <w:rFonts w:ascii="Verdana" w:hAnsi="Verdana"/>
          <w:sz w:val="18"/>
          <w:szCs w:val="18"/>
        </w:rPr>
      </w:pPr>
    </w:p>
    <w:p w:rsidR="005811B1" w:rsidP="0064352A" w:rsidRDefault="005811B1" w14:paraId="035BF8FA" w14:textId="77777777">
      <w:pPr>
        <w:tabs>
          <w:tab w:val="left" w:pos="360"/>
          <w:tab w:val="left" w:pos="4500"/>
          <w:tab w:val="left" w:pos="5580"/>
        </w:tabs>
        <w:spacing w:line="360" w:lineRule="auto"/>
        <w:rPr>
          <w:rFonts w:ascii="Verdana" w:hAnsi="Verdana"/>
          <w:sz w:val="18"/>
          <w:szCs w:val="18"/>
        </w:rPr>
      </w:pPr>
    </w:p>
    <w:p w:rsidR="002225CD" w:rsidP="0064352A" w:rsidRDefault="002225CD" w14:paraId="057AE205" w14:textId="77777777">
      <w:pPr>
        <w:tabs>
          <w:tab w:val="left" w:pos="360"/>
          <w:tab w:val="left" w:pos="4500"/>
          <w:tab w:val="left" w:pos="5580"/>
        </w:tabs>
        <w:spacing w:line="360" w:lineRule="auto"/>
        <w:rPr>
          <w:rFonts w:ascii="Verdana" w:hAnsi="Verdana"/>
          <w:sz w:val="18"/>
          <w:szCs w:val="18"/>
        </w:rPr>
      </w:pPr>
    </w:p>
    <w:p w:rsidRPr="0008667A" w:rsidR="008528D9" w:rsidP="0008667A" w:rsidRDefault="008528D9" w14:paraId="1BD8A94C" w14:textId="77777777">
      <w:pPr>
        <w:numPr>
          <w:ilvl w:val="0"/>
          <w:numId w:val="15"/>
        </w:numPr>
        <w:tabs>
          <w:tab w:val="left" w:pos="360"/>
        </w:tabs>
        <w:spacing w:line="360" w:lineRule="auto"/>
        <w:rPr>
          <w:rFonts w:ascii="Verdana" w:hAnsi="Verdana"/>
          <w:b/>
          <w:bCs/>
          <w:sz w:val="18"/>
          <w:szCs w:val="18"/>
        </w:rPr>
      </w:pPr>
      <w:r w:rsidRPr="00DA3503">
        <w:rPr>
          <w:rFonts w:ascii="Verdana" w:hAnsi="Verdana"/>
          <w:b/>
          <w:bCs/>
          <w:sz w:val="18"/>
          <w:szCs w:val="18"/>
        </w:rPr>
        <w:lastRenderedPageBreak/>
        <w:t>Nederlandse positie ten aanzien van het voorstel</w:t>
      </w:r>
    </w:p>
    <w:p w:rsidRPr="0008667A" w:rsidR="00FD0CBD" w:rsidP="0008667A" w:rsidRDefault="00FD0CBD" w14:paraId="61E3896C" w14:textId="77777777">
      <w:pPr>
        <w:numPr>
          <w:ilvl w:val="0"/>
          <w:numId w:val="21"/>
        </w:numPr>
        <w:spacing w:line="360" w:lineRule="auto"/>
        <w:rPr>
          <w:rFonts w:ascii="Verdana" w:hAnsi="Verdana"/>
          <w:i/>
          <w:iCs/>
          <w:sz w:val="18"/>
          <w:szCs w:val="18"/>
        </w:rPr>
      </w:pPr>
      <w:r w:rsidRPr="00DA3503">
        <w:rPr>
          <w:rFonts w:ascii="Verdana" w:hAnsi="Verdana"/>
          <w:i/>
          <w:iCs/>
          <w:sz w:val="18"/>
          <w:szCs w:val="18"/>
        </w:rPr>
        <w:t>Essentie Nederlands beleid op dit terrein</w:t>
      </w:r>
    </w:p>
    <w:p w:rsidR="003A2387" w:rsidP="003A2387" w:rsidRDefault="003A2387" w14:paraId="4ABAE3C7" w14:textId="492E788A">
      <w:pPr>
        <w:spacing w:line="360" w:lineRule="auto"/>
        <w:rPr>
          <w:rFonts w:ascii="Verdana" w:hAnsi="Verdana"/>
          <w:sz w:val="18"/>
          <w:szCs w:val="18"/>
        </w:rPr>
      </w:pPr>
      <w:r w:rsidRPr="00B3261F">
        <w:rPr>
          <w:rFonts w:ascii="Verdana" w:hAnsi="Verdana"/>
          <w:sz w:val="18"/>
          <w:szCs w:val="18"/>
        </w:rPr>
        <w:t xml:space="preserve">In de </w:t>
      </w:r>
      <w:r>
        <w:rPr>
          <w:rFonts w:ascii="Verdana" w:hAnsi="Verdana"/>
          <w:sz w:val="18"/>
          <w:szCs w:val="18"/>
        </w:rPr>
        <w:t>K</w:t>
      </w:r>
      <w:r w:rsidRPr="00B3261F">
        <w:rPr>
          <w:rFonts w:ascii="Verdana" w:hAnsi="Verdana"/>
          <w:sz w:val="18"/>
          <w:szCs w:val="18"/>
        </w:rPr>
        <w:t>amerbrief van 6 december 2024</w:t>
      </w:r>
      <w:r>
        <w:rPr>
          <w:rStyle w:val="FootnoteReference"/>
          <w:rFonts w:ascii="Verdana" w:hAnsi="Verdana"/>
          <w:sz w:val="18"/>
          <w:szCs w:val="18"/>
        </w:rPr>
        <w:footnoteReference w:id="8"/>
      </w:r>
      <w:r w:rsidRPr="00B3261F">
        <w:rPr>
          <w:rFonts w:ascii="Verdana" w:hAnsi="Verdana"/>
          <w:sz w:val="18"/>
          <w:szCs w:val="18"/>
        </w:rPr>
        <w:t xml:space="preserve"> benadrukt het kabinet de noodzaak om de weerbaarheid van Nederland tegen militaire en hybride dreigingen te versterken en introduceert het </w:t>
      </w:r>
      <w:r>
        <w:rPr>
          <w:rFonts w:ascii="Verdana" w:hAnsi="Verdana"/>
          <w:sz w:val="18"/>
          <w:szCs w:val="18"/>
        </w:rPr>
        <w:t xml:space="preserve">kabinet </w:t>
      </w:r>
      <w:r w:rsidRPr="00B3261F">
        <w:rPr>
          <w:rFonts w:ascii="Verdana" w:hAnsi="Verdana"/>
          <w:sz w:val="18"/>
          <w:szCs w:val="18"/>
        </w:rPr>
        <w:t xml:space="preserve">een </w:t>
      </w:r>
      <w:proofErr w:type="spellStart"/>
      <w:r w:rsidRPr="00B3261F">
        <w:rPr>
          <w:rFonts w:ascii="Verdana" w:hAnsi="Verdana"/>
          <w:sz w:val="18"/>
          <w:szCs w:val="18"/>
        </w:rPr>
        <w:t>maatschappijbrede</w:t>
      </w:r>
      <w:proofErr w:type="spellEnd"/>
      <w:r w:rsidRPr="00B3261F">
        <w:rPr>
          <w:rFonts w:ascii="Verdana" w:hAnsi="Verdana"/>
          <w:sz w:val="18"/>
          <w:szCs w:val="18"/>
        </w:rPr>
        <w:t xml:space="preserve"> aanpak die zowel de maatschappelijke weerbaarheid als de militaire paraatheid vergroot. </w:t>
      </w:r>
      <w:r>
        <w:rPr>
          <w:rFonts w:ascii="Verdana" w:hAnsi="Verdana"/>
          <w:sz w:val="18"/>
          <w:szCs w:val="18"/>
        </w:rPr>
        <w:t>Deze weerbaarheidsopgave</w:t>
      </w:r>
      <w:r w:rsidRPr="00B3261F">
        <w:rPr>
          <w:rFonts w:ascii="Verdana" w:hAnsi="Verdana"/>
          <w:sz w:val="18"/>
          <w:szCs w:val="18"/>
        </w:rPr>
        <w:t xml:space="preserve"> omvat het beschermen van vitale processen, het versterken van de veerkracht van de samenleving, het waarborgen van de democratische rechtsorde, het bevorderen van een weerbare economie, het beschermen van </w:t>
      </w:r>
      <w:r>
        <w:rPr>
          <w:rFonts w:ascii="Verdana" w:hAnsi="Verdana"/>
          <w:sz w:val="18"/>
          <w:szCs w:val="18"/>
        </w:rPr>
        <w:t xml:space="preserve">het </w:t>
      </w:r>
      <w:r w:rsidRPr="00B3261F">
        <w:rPr>
          <w:rFonts w:ascii="Verdana" w:hAnsi="Verdana"/>
          <w:sz w:val="18"/>
          <w:szCs w:val="18"/>
        </w:rPr>
        <w:t>grondgebied en het waarborgen van de civiel</w:t>
      </w:r>
      <w:r>
        <w:rPr>
          <w:rFonts w:ascii="Verdana" w:hAnsi="Verdana"/>
          <w:sz w:val="18"/>
          <w:szCs w:val="18"/>
        </w:rPr>
        <w:t>e</w:t>
      </w:r>
      <w:r w:rsidRPr="00B3261F">
        <w:rPr>
          <w:rFonts w:ascii="Verdana" w:hAnsi="Verdana"/>
          <w:sz w:val="18"/>
          <w:szCs w:val="18"/>
        </w:rPr>
        <w:t xml:space="preserve"> ondersteuning van de krijgsmacht. </w:t>
      </w:r>
      <w:r>
        <w:rPr>
          <w:rFonts w:ascii="Verdana" w:hAnsi="Verdana"/>
          <w:sz w:val="18"/>
          <w:szCs w:val="18"/>
        </w:rPr>
        <w:t>Alle departementen werken</w:t>
      </w:r>
      <w:r w:rsidRPr="00CF52A7">
        <w:rPr>
          <w:rFonts w:ascii="Verdana" w:hAnsi="Verdana"/>
          <w:sz w:val="18"/>
          <w:szCs w:val="18"/>
        </w:rPr>
        <w:t xml:space="preserve"> </w:t>
      </w:r>
      <w:r>
        <w:rPr>
          <w:rFonts w:ascii="Verdana" w:hAnsi="Verdana"/>
          <w:sz w:val="18"/>
          <w:szCs w:val="18"/>
        </w:rPr>
        <w:t xml:space="preserve">op dit moment </w:t>
      </w:r>
      <w:r w:rsidRPr="00CF52A7">
        <w:rPr>
          <w:rFonts w:ascii="Verdana" w:hAnsi="Verdana"/>
          <w:sz w:val="18"/>
          <w:szCs w:val="18"/>
        </w:rPr>
        <w:t xml:space="preserve">samen met </w:t>
      </w:r>
      <w:r>
        <w:rPr>
          <w:rFonts w:ascii="Verdana" w:hAnsi="Verdana"/>
          <w:sz w:val="18"/>
          <w:szCs w:val="18"/>
        </w:rPr>
        <w:t>mede</w:t>
      </w:r>
      <w:r w:rsidRPr="00CF52A7">
        <w:rPr>
          <w:rFonts w:ascii="Verdana" w:hAnsi="Verdana"/>
          <w:sz w:val="18"/>
          <w:szCs w:val="18"/>
        </w:rPr>
        <w:t>overheden</w:t>
      </w:r>
      <w:r w:rsidR="00EB7881">
        <w:rPr>
          <w:rFonts w:ascii="Verdana" w:hAnsi="Verdana"/>
          <w:sz w:val="18"/>
          <w:szCs w:val="18"/>
        </w:rPr>
        <w:t>, het bedrijfsleven</w:t>
      </w:r>
      <w:r w:rsidRPr="00CF52A7">
        <w:rPr>
          <w:rFonts w:ascii="Verdana" w:hAnsi="Verdana"/>
          <w:sz w:val="18"/>
          <w:szCs w:val="18"/>
        </w:rPr>
        <w:t xml:space="preserve"> en maatschappelijke partijen </w:t>
      </w:r>
      <w:r>
        <w:rPr>
          <w:rFonts w:ascii="Verdana" w:hAnsi="Verdana"/>
          <w:sz w:val="18"/>
          <w:szCs w:val="18"/>
        </w:rPr>
        <w:t>om de maatregelen ten behoeve van de weerbaarheid tegen hybride en militaire dreigingen verder te concretiseren.</w:t>
      </w:r>
    </w:p>
    <w:p w:rsidR="003A2387" w:rsidP="003A2387" w:rsidRDefault="003A2387" w14:paraId="41CC4805" w14:textId="77777777">
      <w:pPr>
        <w:spacing w:line="360" w:lineRule="auto"/>
        <w:rPr>
          <w:rFonts w:ascii="Verdana" w:hAnsi="Verdana"/>
          <w:sz w:val="18"/>
          <w:szCs w:val="18"/>
        </w:rPr>
      </w:pPr>
    </w:p>
    <w:p w:rsidR="00432F12" w:rsidP="00432F12" w:rsidRDefault="00AA0E04" w14:paraId="3EEF6B08" w14:textId="5F898084">
      <w:pPr>
        <w:spacing w:line="360" w:lineRule="auto"/>
        <w:rPr>
          <w:rFonts w:ascii="Verdana" w:hAnsi="Verdana"/>
          <w:sz w:val="18"/>
          <w:szCs w:val="18"/>
        </w:rPr>
      </w:pPr>
      <w:r w:rsidRPr="00AA0E04">
        <w:rPr>
          <w:rFonts w:ascii="Verdana" w:hAnsi="Verdana"/>
          <w:sz w:val="18"/>
          <w:szCs w:val="18"/>
        </w:rPr>
        <w:t>De Algemene Rekenkamer benoemt in het focusonderzoek ‘Focus op strategische voorraden’ uit 2022</w:t>
      </w:r>
      <w:r w:rsidR="00682F7C">
        <w:rPr>
          <w:rStyle w:val="FootnoteReference"/>
          <w:rFonts w:ascii="Verdana" w:hAnsi="Verdana"/>
          <w:sz w:val="18"/>
          <w:szCs w:val="18"/>
        </w:rPr>
        <w:footnoteReference w:id="9"/>
      </w:r>
      <w:r w:rsidRPr="00AA0E04">
        <w:rPr>
          <w:rFonts w:ascii="Verdana" w:hAnsi="Verdana"/>
          <w:sz w:val="18"/>
          <w:szCs w:val="18"/>
        </w:rPr>
        <w:t xml:space="preserve"> dat het op Rijksniveau ontbreekt aan een totaaloverzicht en definitie van strategische voorraden. De Rekenkamer legt zich in dit onderzoek toe op water, voedsel, medische voorraden, olie, gas en contant geld. </w:t>
      </w:r>
      <w:r w:rsidR="00C30788">
        <w:rPr>
          <w:rFonts w:ascii="Verdana" w:hAnsi="Verdana"/>
          <w:sz w:val="18"/>
          <w:szCs w:val="18"/>
        </w:rPr>
        <w:t>Eerste interdepartementale gesprekken geven</w:t>
      </w:r>
      <w:r w:rsidRPr="00AA0E04">
        <w:rPr>
          <w:rFonts w:ascii="Verdana" w:hAnsi="Verdana"/>
          <w:sz w:val="18"/>
          <w:szCs w:val="18"/>
        </w:rPr>
        <w:t xml:space="preserve"> een vergelijkbaar beeld van de producten en grondstoffen die mogelijk </w:t>
      </w:r>
      <w:r w:rsidR="00C30788">
        <w:rPr>
          <w:rFonts w:ascii="Verdana" w:hAnsi="Verdana"/>
          <w:sz w:val="18"/>
          <w:szCs w:val="18"/>
        </w:rPr>
        <w:t>kunnen worden aangehouden</w:t>
      </w:r>
      <w:r w:rsidRPr="00AA0E04">
        <w:rPr>
          <w:rFonts w:ascii="Verdana" w:hAnsi="Verdana"/>
          <w:sz w:val="18"/>
          <w:szCs w:val="18"/>
        </w:rPr>
        <w:t>.</w:t>
      </w:r>
      <w:r w:rsidR="00B1460F">
        <w:rPr>
          <w:rFonts w:ascii="Verdana" w:hAnsi="Verdana"/>
          <w:sz w:val="18"/>
          <w:szCs w:val="18"/>
        </w:rPr>
        <w:t xml:space="preserve"> </w:t>
      </w:r>
      <w:r w:rsidR="00432F12">
        <w:rPr>
          <w:rFonts w:ascii="Verdana" w:hAnsi="Verdana"/>
          <w:sz w:val="18"/>
          <w:szCs w:val="18"/>
        </w:rPr>
        <w:t>Hoewel er binnen</w:t>
      </w:r>
      <w:r w:rsidR="00ED1CFA">
        <w:rPr>
          <w:rFonts w:ascii="Verdana" w:hAnsi="Verdana"/>
          <w:sz w:val="18"/>
          <w:szCs w:val="18"/>
        </w:rPr>
        <w:t xml:space="preserve"> enkele sectoren (bijvoorbeeld olie of contant geld) enig</w:t>
      </w:r>
      <w:r w:rsidRPr="00B1460F" w:rsidR="00B1460F">
        <w:rPr>
          <w:rFonts w:ascii="Verdana" w:hAnsi="Verdana"/>
          <w:sz w:val="18"/>
          <w:szCs w:val="18"/>
        </w:rPr>
        <w:t xml:space="preserve"> zicht i</w:t>
      </w:r>
      <w:r w:rsidR="00432F12">
        <w:rPr>
          <w:rFonts w:ascii="Verdana" w:hAnsi="Verdana"/>
          <w:sz w:val="18"/>
          <w:szCs w:val="18"/>
        </w:rPr>
        <w:t>s in</w:t>
      </w:r>
      <w:r w:rsidR="00ED1CFA">
        <w:rPr>
          <w:rFonts w:ascii="Verdana" w:hAnsi="Verdana"/>
          <w:sz w:val="18"/>
          <w:szCs w:val="18"/>
        </w:rPr>
        <w:t xml:space="preserve"> de</w:t>
      </w:r>
      <w:r w:rsidRPr="00B1460F" w:rsidR="00B1460F">
        <w:rPr>
          <w:rFonts w:ascii="Verdana" w:hAnsi="Verdana"/>
          <w:sz w:val="18"/>
          <w:szCs w:val="18"/>
        </w:rPr>
        <w:t xml:space="preserve"> beschikbare strategische voorraden, </w:t>
      </w:r>
      <w:r w:rsidR="00432F12">
        <w:rPr>
          <w:rFonts w:ascii="Verdana" w:hAnsi="Verdana"/>
          <w:sz w:val="18"/>
          <w:szCs w:val="18"/>
        </w:rPr>
        <w:t xml:space="preserve">ontbreekt een </w:t>
      </w:r>
      <w:proofErr w:type="spellStart"/>
      <w:r w:rsidR="00432F12">
        <w:rPr>
          <w:rFonts w:ascii="Verdana" w:hAnsi="Verdana"/>
          <w:sz w:val="18"/>
          <w:szCs w:val="18"/>
        </w:rPr>
        <w:t>Rijksbreed</w:t>
      </w:r>
      <w:proofErr w:type="spellEnd"/>
      <w:r w:rsidR="00071034">
        <w:rPr>
          <w:rFonts w:ascii="Verdana" w:hAnsi="Verdana"/>
          <w:sz w:val="18"/>
          <w:szCs w:val="18"/>
        </w:rPr>
        <w:t xml:space="preserve"> </w:t>
      </w:r>
      <w:r w:rsidR="00432F12">
        <w:rPr>
          <w:rFonts w:ascii="Verdana" w:hAnsi="Verdana"/>
          <w:sz w:val="18"/>
          <w:szCs w:val="18"/>
        </w:rPr>
        <w:t>beeld</w:t>
      </w:r>
      <w:r w:rsidRPr="00B1460F" w:rsidR="00B1460F">
        <w:rPr>
          <w:rFonts w:ascii="Verdana" w:hAnsi="Verdana"/>
          <w:sz w:val="18"/>
          <w:szCs w:val="18"/>
        </w:rPr>
        <w:t>.</w:t>
      </w:r>
      <w:r w:rsidRPr="00432F12" w:rsidR="00432F12">
        <w:rPr>
          <w:rFonts w:ascii="Verdana" w:hAnsi="Verdana"/>
          <w:sz w:val="18"/>
          <w:szCs w:val="18"/>
        </w:rPr>
        <w:t xml:space="preserve"> </w:t>
      </w:r>
      <w:r w:rsidRPr="005401BD" w:rsidR="00432F12">
        <w:rPr>
          <w:rFonts w:ascii="Verdana" w:hAnsi="Verdana"/>
          <w:sz w:val="18"/>
          <w:szCs w:val="18"/>
        </w:rPr>
        <w:t xml:space="preserve">Gelet op het bovenstaande, het </w:t>
      </w:r>
      <w:r w:rsidRPr="009E1923" w:rsidR="00432F12">
        <w:rPr>
          <w:rFonts w:ascii="Verdana" w:hAnsi="Verdana"/>
          <w:sz w:val="18"/>
          <w:szCs w:val="18"/>
        </w:rPr>
        <w:t>Hoof</w:t>
      </w:r>
      <w:r w:rsidRPr="009E1923" w:rsidR="006D0D52">
        <w:rPr>
          <w:rFonts w:ascii="Verdana" w:hAnsi="Verdana"/>
          <w:sz w:val="18"/>
          <w:szCs w:val="18"/>
        </w:rPr>
        <w:t>d</w:t>
      </w:r>
      <w:r w:rsidRPr="009E1923" w:rsidR="00432F12">
        <w:rPr>
          <w:rFonts w:ascii="Verdana" w:hAnsi="Verdana"/>
          <w:sz w:val="18"/>
          <w:szCs w:val="18"/>
        </w:rPr>
        <w:t>lijnenakkoord</w:t>
      </w:r>
      <w:r w:rsidRPr="005401BD" w:rsidR="00432F12">
        <w:rPr>
          <w:rFonts w:ascii="Verdana" w:hAnsi="Verdana"/>
          <w:sz w:val="18"/>
          <w:szCs w:val="18"/>
        </w:rPr>
        <w:t xml:space="preserve"> en de motie van het lid Idsinga</w:t>
      </w:r>
      <w:r w:rsidRPr="005401BD" w:rsidR="00E10AD6">
        <w:rPr>
          <w:rFonts w:ascii="Verdana" w:hAnsi="Verdana"/>
          <w:sz w:val="18"/>
          <w:szCs w:val="18"/>
        </w:rPr>
        <w:t>,</w:t>
      </w:r>
      <w:r w:rsidR="00432F12">
        <w:rPr>
          <w:rStyle w:val="FootnoteReference"/>
          <w:rFonts w:ascii="Verdana" w:hAnsi="Verdana"/>
          <w:sz w:val="18"/>
          <w:szCs w:val="18"/>
        </w:rPr>
        <w:footnoteReference w:id="10"/>
      </w:r>
      <w:r w:rsidRPr="005401BD" w:rsidR="00432F12">
        <w:rPr>
          <w:rFonts w:ascii="Verdana" w:hAnsi="Verdana"/>
          <w:sz w:val="18"/>
          <w:szCs w:val="18"/>
        </w:rPr>
        <w:t xml:space="preserve"> wordt </w:t>
      </w:r>
      <w:r w:rsidRPr="00A26A53" w:rsidR="00432F12">
        <w:rPr>
          <w:rFonts w:ascii="Verdana" w:hAnsi="Verdana"/>
          <w:sz w:val="18"/>
          <w:szCs w:val="18"/>
        </w:rPr>
        <w:t>een onderzoek gestart</w:t>
      </w:r>
      <w:r w:rsidRPr="005401BD" w:rsidR="00432F12">
        <w:rPr>
          <w:rFonts w:ascii="Verdana" w:hAnsi="Verdana"/>
          <w:sz w:val="18"/>
          <w:szCs w:val="18"/>
        </w:rPr>
        <w:t xml:space="preserve"> naar de rol die strategische voorraden kunnen spelen. Het aanhouden van strategische voorraden kan namelijk naast andere maatregelen een instrument zijn om </w:t>
      </w:r>
      <w:r w:rsidR="00432F12">
        <w:rPr>
          <w:rFonts w:ascii="Verdana" w:hAnsi="Verdana"/>
          <w:sz w:val="18"/>
          <w:szCs w:val="18"/>
        </w:rPr>
        <w:t xml:space="preserve">potentiële </w:t>
      </w:r>
      <w:r w:rsidRPr="005401BD" w:rsidR="00432F12">
        <w:rPr>
          <w:rFonts w:ascii="Verdana" w:hAnsi="Verdana"/>
          <w:sz w:val="18"/>
          <w:szCs w:val="18"/>
        </w:rPr>
        <w:t xml:space="preserve">tekorten op te vangen en de leveringszekerheid van bepaalde goederen te borgen. Daarbij benadrukt het </w:t>
      </w:r>
      <w:r w:rsidR="00E10AD6">
        <w:rPr>
          <w:rFonts w:ascii="Verdana" w:hAnsi="Verdana"/>
          <w:sz w:val="18"/>
          <w:szCs w:val="18"/>
        </w:rPr>
        <w:t>k</w:t>
      </w:r>
      <w:r w:rsidRPr="005401BD" w:rsidR="00432F12">
        <w:rPr>
          <w:rFonts w:ascii="Verdana" w:hAnsi="Verdana"/>
          <w:sz w:val="18"/>
          <w:szCs w:val="18"/>
        </w:rPr>
        <w:t xml:space="preserve">abinet dat beleid </w:t>
      </w:r>
      <w:r w:rsidR="00432F12">
        <w:rPr>
          <w:rFonts w:ascii="Verdana" w:hAnsi="Verdana"/>
          <w:sz w:val="18"/>
          <w:szCs w:val="18"/>
        </w:rPr>
        <w:t>ten aanzien van</w:t>
      </w:r>
      <w:r w:rsidRPr="005401BD" w:rsidR="00432F12">
        <w:rPr>
          <w:rFonts w:ascii="Verdana" w:hAnsi="Verdana"/>
          <w:sz w:val="18"/>
          <w:szCs w:val="18"/>
        </w:rPr>
        <w:t xml:space="preserve"> strategische voorraden rekening moet houden met mogelijk marktverstorende effecten.   </w:t>
      </w:r>
    </w:p>
    <w:p w:rsidR="00466FEE" w:rsidP="003A2387" w:rsidRDefault="00466FEE" w14:paraId="06EE9EE6" w14:textId="77777777">
      <w:pPr>
        <w:spacing w:line="360" w:lineRule="auto"/>
        <w:rPr>
          <w:rFonts w:ascii="Verdana" w:hAnsi="Verdana"/>
          <w:sz w:val="18"/>
          <w:szCs w:val="18"/>
        </w:rPr>
      </w:pPr>
    </w:p>
    <w:p w:rsidR="0033611D" w:rsidP="003A2387" w:rsidRDefault="00466FEE" w14:paraId="2EFAD6A5" w14:textId="57ED918D">
      <w:pPr>
        <w:spacing w:line="360" w:lineRule="auto"/>
        <w:rPr>
          <w:rFonts w:ascii="Verdana" w:hAnsi="Verdana"/>
          <w:sz w:val="18"/>
          <w:szCs w:val="18"/>
        </w:rPr>
      </w:pPr>
      <w:r>
        <w:rPr>
          <w:rFonts w:ascii="Verdana" w:hAnsi="Verdana"/>
          <w:sz w:val="18"/>
          <w:szCs w:val="18"/>
        </w:rPr>
        <w:t>Vanuit de nationale weerbaarheidsopgave zet het kabinet zich in</w:t>
      </w:r>
      <w:r w:rsidRPr="00B3261F">
        <w:rPr>
          <w:rFonts w:ascii="Verdana" w:hAnsi="Verdana"/>
          <w:sz w:val="18"/>
          <w:szCs w:val="18"/>
        </w:rPr>
        <w:t xml:space="preserve"> internationaal verband </w:t>
      </w:r>
      <w:r>
        <w:rPr>
          <w:rFonts w:ascii="Verdana" w:hAnsi="Verdana"/>
          <w:sz w:val="18"/>
          <w:szCs w:val="18"/>
        </w:rPr>
        <w:t xml:space="preserve">in om </w:t>
      </w:r>
      <w:r w:rsidRPr="00B3261F">
        <w:rPr>
          <w:rFonts w:ascii="Verdana" w:hAnsi="Verdana"/>
          <w:sz w:val="18"/>
          <w:szCs w:val="18"/>
        </w:rPr>
        <w:t>het weerbaarheidsbeleid binnen de EU en NAVO te versterken.</w:t>
      </w:r>
      <w:r w:rsidRPr="005A7145">
        <w:rPr>
          <w:rStyle w:val="FootnoteReference"/>
          <w:rFonts w:ascii="Verdana" w:hAnsi="Verdana"/>
          <w:sz w:val="18"/>
          <w:szCs w:val="18"/>
        </w:rPr>
        <w:footnoteReference w:id="11"/>
      </w:r>
      <w:r>
        <w:rPr>
          <w:rFonts w:ascii="Verdana" w:hAnsi="Verdana"/>
          <w:sz w:val="18"/>
          <w:szCs w:val="18"/>
        </w:rPr>
        <w:t xml:space="preserve"> </w:t>
      </w:r>
      <w:r w:rsidRPr="00144FC9" w:rsidR="00144FC9">
        <w:rPr>
          <w:rFonts w:ascii="Verdana" w:hAnsi="Verdana"/>
          <w:sz w:val="18"/>
          <w:szCs w:val="18"/>
        </w:rPr>
        <w:t>Op sectoraal niveau wordt in</w:t>
      </w:r>
      <w:r w:rsidR="00683A3E">
        <w:rPr>
          <w:rFonts w:ascii="Verdana" w:hAnsi="Verdana"/>
          <w:sz w:val="18"/>
          <w:szCs w:val="18"/>
        </w:rPr>
        <w:t xml:space="preserve"> </w:t>
      </w:r>
      <w:r w:rsidRPr="00144FC9" w:rsidR="00144FC9">
        <w:rPr>
          <w:rFonts w:ascii="Verdana" w:hAnsi="Verdana"/>
          <w:sz w:val="18"/>
          <w:szCs w:val="18"/>
        </w:rPr>
        <w:t>Nederland al langer gewerkt aan diverse voorraadstrategieën op</w:t>
      </w:r>
      <w:r w:rsidR="0033611D">
        <w:rPr>
          <w:rFonts w:ascii="Verdana" w:hAnsi="Verdana"/>
          <w:sz w:val="18"/>
          <w:szCs w:val="18"/>
        </w:rPr>
        <w:t xml:space="preserve"> nationaal en</w:t>
      </w:r>
      <w:r w:rsidRPr="00144FC9" w:rsidR="00144FC9">
        <w:rPr>
          <w:rFonts w:ascii="Verdana" w:hAnsi="Verdana"/>
          <w:sz w:val="18"/>
          <w:szCs w:val="18"/>
        </w:rPr>
        <w:t xml:space="preserve"> internationaal niveau</w:t>
      </w:r>
      <w:r w:rsidR="00432F12">
        <w:rPr>
          <w:rFonts w:ascii="Verdana" w:hAnsi="Verdana"/>
          <w:sz w:val="18"/>
          <w:szCs w:val="18"/>
        </w:rPr>
        <w:t>. Zo zijn er op nationaal niveau</w:t>
      </w:r>
      <w:r w:rsidR="0069578E">
        <w:rPr>
          <w:rFonts w:ascii="Verdana" w:hAnsi="Verdana"/>
          <w:sz w:val="18"/>
          <w:szCs w:val="18"/>
        </w:rPr>
        <w:t xml:space="preserve"> </w:t>
      </w:r>
      <w:r w:rsidRPr="0069578E" w:rsidR="0069578E">
        <w:rPr>
          <w:rFonts w:ascii="Verdana" w:hAnsi="Verdana"/>
          <w:sz w:val="18"/>
          <w:szCs w:val="18"/>
        </w:rPr>
        <w:t>twee pilots</w:t>
      </w:r>
      <w:r w:rsidR="00432F12">
        <w:rPr>
          <w:rFonts w:ascii="Verdana" w:hAnsi="Verdana"/>
          <w:sz w:val="18"/>
          <w:szCs w:val="18"/>
        </w:rPr>
        <w:t xml:space="preserve"> gestart</w:t>
      </w:r>
      <w:r w:rsidRPr="0069578E" w:rsidR="0069578E">
        <w:rPr>
          <w:rFonts w:ascii="Verdana" w:hAnsi="Verdana"/>
          <w:sz w:val="18"/>
          <w:szCs w:val="18"/>
        </w:rPr>
        <w:t xml:space="preserve"> — één in de militaire sector en één in de civiele sector — om ervaring op te doen met hoe voorraadvorming voor kritieke grondstoffen in de praktijk kan werken en zo bij te dragen aan sterkere en beter beschermde vitale ketens</w:t>
      </w:r>
      <w:r w:rsidR="0069578E">
        <w:rPr>
          <w:rFonts w:ascii="Verdana" w:hAnsi="Verdana"/>
          <w:sz w:val="18"/>
          <w:szCs w:val="18"/>
        </w:rPr>
        <w:t xml:space="preserve">. </w:t>
      </w:r>
      <w:r w:rsidR="00432F12">
        <w:rPr>
          <w:rFonts w:ascii="Verdana" w:hAnsi="Verdana"/>
          <w:sz w:val="18"/>
          <w:szCs w:val="18"/>
        </w:rPr>
        <w:t>Op EU-niveau neemt Nederland deel</w:t>
      </w:r>
      <w:r w:rsidRPr="00144FC9" w:rsidR="00144FC9">
        <w:rPr>
          <w:rFonts w:ascii="Verdana" w:hAnsi="Verdana"/>
          <w:sz w:val="18"/>
          <w:szCs w:val="18"/>
        </w:rPr>
        <w:t xml:space="preserve"> </w:t>
      </w:r>
      <w:r w:rsidR="003A2607">
        <w:rPr>
          <w:rFonts w:ascii="Verdana" w:hAnsi="Verdana"/>
          <w:sz w:val="18"/>
          <w:szCs w:val="18"/>
        </w:rPr>
        <w:t xml:space="preserve">aan </w:t>
      </w:r>
      <w:r w:rsidRPr="00144FC9" w:rsidR="00144FC9">
        <w:rPr>
          <w:rFonts w:ascii="Verdana" w:hAnsi="Verdana"/>
          <w:sz w:val="18"/>
          <w:szCs w:val="18"/>
        </w:rPr>
        <w:t xml:space="preserve">een Europese </w:t>
      </w:r>
      <w:r w:rsidRPr="60696D23" w:rsidR="00144FC9">
        <w:rPr>
          <w:rFonts w:ascii="Verdana" w:hAnsi="Verdana"/>
          <w:i/>
          <w:iCs/>
          <w:sz w:val="18"/>
          <w:szCs w:val="18"/>
        </w:rPr>
        <w:t xml:space="preserve">Joint Action </w:t>
      </w:r>
      <w:proofErr w:type="spellStart"/>
      <w:r w:rsidRPr="60696D23" w:rsidR="00144FC9">
        <w:rPr>
          <w:rFonts w:ascii="Verdana" w:hAnsi="Verdana"/>
          <w:i/>
          <w:iCs/>
          <w:sz w:val="18"/>
          <w:szCs w:val="18"/>
        </w:rPr>
        <w:t>Stockpiling</w:t>
      </w:r>
      <w:proofErr w:type="spellEnd"/>
      <w:r w:rsidRPr="00144FC9" w:rsidR="00144FC9">
        <w:rPr>
          <w:rFonts w:ascii="Verdana" w:hAnsi="Verdana"/>
          <w:sz w:val="18"/>
          <w:szCs w:val="18"/>
        </w:rPr>
        <w:t xml:space="preserve"> </w:t>
      </w:r>
      <w:r w:rsidRPr="00561061" w:rsidR="007C6908">
        <w:rPr>
          <w:rFonts w:ascii="Verdana" w:hAnsi="Verdana"/>
          <w:sz w:val="18"/>
          <w:szCs w:val="18"/>
        </w:rPr>
        <w:t xml:space="preserve">voor medische tegenmaatregelen </w:t>
      </w:r>
      <w:r w:rsidR="00942F90">
        <w:rPr>
          <w:rFonts w:ascii="Verdana" w:hAnsi="Verdana"/>
          <w:sz w:val="18"/>
          <w:szCs w:val="18"/>
        </w:rPr>
        <w:t>in het kader van</w:t>
      </w:r>
      <w:r w:rsidRPr="00144FC9" w:rsidR="00144FC9">
        <w:rPr>
          <w:rFonts w:ascii="Verdana" w:hAnsi="Verdana"/>
          <w:sz w:val="18"/>
          <w:szCs w:val="18"/>
        </w:rPr>
        <w:t xml:space="preserve"> </w:t>
      </w:r>
      <w:r w:rsidRPr="60696D23" w:rsidR="00144FC9">
        <w:rPr>
          <w:rFonts w:ascii="Verdana" w:hAnsi="Verdana"/>
          <w:i/>
          <w:iCs/>
          <w:sz w:val="18"/>
          <w:szCs w:val="18"/>
        </w:rPr>
        <w:t>EU4Health</w:t>
      </w:r>
      <w:r w:rsidR="00AA15CF">
        <w:rPr>
          <w:rStyle w:val="FootnoteReference"/>
          <w:rFonts w:ascii="Verdana" w:hAnsi="Verdana"/>
          <w:sz w:val="18"/>
          <w:szCs w:val="18"/>
        </w:rPr>
        <w:footnoteReference w:id="12"/>
      </w:r>
      <w:r w:rsidRPr="00144FC9" w:rsidR="00144FC9">
        <w:rPr>
          <w:rFonts w:ascii="Verdana" w:hAnsi="Verdana"/>
          <w:sz w:val="18"/>
          <w:szCs w:val="18"/>
        </w:rPr>
        <w:t xml:space="preserve"> </w:t>
      </w:r>
      <w:r w:rsidR="0069578E">
        <w:rPr>
          <w:rFonts w:ascii="Verdana" w:hAnsi="Verdana"/>
          <w:sz w:val="18"/>
          <w:szCs w:val="18"/>
        </w:rPr>
        <w:t>en</w:t>
      </w:r>
      <w:r w:rsidR="003772B7">
        <w:rPr>
          <w:rFonts w:ascii="Verdana" w:hAnsi="Verdana"/>
          <w:sz w:val="18"/>
          <w:szCs w:val="18"/>
        </w:rPr>
        <w:t xml:space="preserve"> </w:t>
      </w:r>
      <w:r w:rsidR="0069578E">
        <w:rPr>
          <w:rFonts w:ascii="Verdana" w:hAnsi="Verdana"/>
          <w:sz w:val="18"/>
          <w:szCs w:val="18"/>
        </w:rPr>
        <w:t xml:space="preserve">zijn </w:t>
      </w:r>
      <w:r w:rsidR="003772B7">
        <w:rPr>
          <w:rFonts w:ascii="Verdana" w:hAnsi="Verdana"/>
          <w:sz w:val="18"/>
          <w:szCs w:val="18"/>
        </w:rPr>
        <w:t xml:space="preserve">de afgelopen jaren via het </w:t>
      </w:r>
      <w:proofErr w:type="spellStart"/>
      <w:r w:rsidRPr="60696D23" w:rsidR="00D37F6C">
        <w:rPr>
          <w:rFonts w:ascii="Verdana" w:hAnsi="Verdana"/>
          <w:i/>
          <w:iCs/>
          <w:sz w:val="18"/>
          <w:szCs w:val="18"/>
        </w:rPr>
        <w:t>r</w:t>
      </w:r>
      <w:r w:rsidRPr="60696D23" w:rsidR="003772B7">
        <w:rPr>
          <w:rFonts w:ascii="Verdana" w:hAnsi="Verdana"/>
          <w:i/>
          <w:iCs/>
          <w:sz w:val="18"/>
          <w:szCs w:val="18"/>
        </w:rPr>
        <w:t>escEU</w:t>
      </w:r>
      <w:proofErr w:type="spellEnd"/>
      <w:r w:rsidRPr="60696D23" w:rsidR="003772B7">
        <w:rPr>
          <w:rFonts w:ascii="Verdana" w:hAnsi="Verdana"/>
          <w:i/>
          <w:iCs/>
          <w:sz w:val="18"/>
          <w:szCs w:val="18"/>
        </w:rPr>
        <w:t xml:space="preserve"> </w:t>
      </w:r>
      <w:r w:rsidRPr="006B6AD4" w:rsidR="003772B7">
        <w:rPr>
          <w:rFonts w:ascii="Verdana" w:hAnsi="Verdana"/>
          <w:sz w:val="18"/>
          <w:szCs w:val="18"/>
        </w:rPr>
        <w:t>instrument</w:t>
      </w:r>
      <w:r w:rsidR="003772B7">
        <w:rPr>
          <w:rFonts w:ascii="Verdana" w:hAnsi="Verdana"/>
          <w:sz w:val="18"/>
          <w:szCs w:val="18"/>
        </w:rPr>
        <w:t xml:space="preserve"> in zestien landen voorraden aangelegd met medische tegenmaatregelen voor de </w:t>
      </w:r>
      <w:r w:rsidR="003772B7">
        <w:rPr>
          <w:rFonts w:ascii="Verdana" w:hAnsi="Verdana"/>
          <w:sz w:val="18"/>
          <w:szCs w:val="18"/>
        </w:rPr>
        <w:lastRenderedPageBreak/>
        <w:t xml:space="preserve">bestrijding van gezondheidscrises en voor de paraatheid op </w:t>
      </w:r>
      <w:r w:rsidRPr="00DA0488" w:rsidR="003772B7">
        <w:rPr>
          <w:rFonts w:ascii="Verdana" w:hAnsi="Verdana"/>
          <w:sz w:val="18"/>
          <w:szCs w:val="18"/>
        </w:rPr>
        <w:t xml:space="preserve">chemische, biologische of radio nucleaire </w:t>
      </w:r>
      <w:r w:rsidR="003772B7">
        <w:rPr>
          <w:rFonts w:ascii="Verdana" w:hAnsi="Verdana"/>
          <w:sz w:val="18"/>
          <w:szCs w:val="18"/>
        </w:rPr>
        <w:t xml:space="preserve">(CBRN) </w:t>
      </w:r>
      <w:r w:rsidRPr="00DA0488" w:rsidR="003772B7">
        <w:rPr>
          <w:rFonts w:ascii="Verdana" w:hAnsi="Verdana"/>
          <w:sz w:val="18"/>
          <w:szCs w:val="18"/>
        </w:rPr>
        <w:t>bedreigingen</w:t>
      </w:r>
      <w:r w:rsidR="003772B7">
        <w:rPr>
          <w:rFonts w:ascii="Verdana" w:hAnsi="Verdana"/>
          <w:sz w:val="18"/>
          <w:szCs w:val="18"/>
        </w:rPr>
        <w:t xml:space="preserve">, waaronder ook in Nederland. In samenwerking met de private sector beheert en exploiteert </w:t>
      </w:r>
      <w:r w:rsidR="00E10AD6">
        <w:rPr>
          <w:rFonts w:ascii="Verdana" w:hAnsi="Verdana"/>
          <w:sz w:val="18"/>
          <w:szCs w:val="18"/>
        </w:rPr>
        <w:t xml:space="preserve">Nederland </w:t>
      </w:r>
      <w:r w:rsidR="003772B7">
        <w:rPr>
          <w:rFonts w:ascii="Verdana" w:hAnsi="Verdana"/>
          <w:sz w:val="18"/>
          <w:szCs w:val="18"/>
        </w:rPr>
        <w:t>een voorraad medische apparatuur die de afgelopen jaren verschillende keren is ingezet.</w:t>
      </w:r>
      <w:r w:rsidDel="003772B7" w:rsidR="003772B7">
        <w:rPr>
          <w:rFonts w:ascii="Verdana" w:hAnsi="Verdana"/>
          <w:sz w:val="18"/>
          <w:szCs w:val="18"/>
        </w:rPr>
        <w:t xml:space="preserve"> </w:t>
      </w:r>
    </w:p>
    <w:p w:rsidRPr="00FD0CBD" w:rsidR="003A2387" w:rsidP="003A2387" w:rsidRDefault="003A2387" w14:paraId="3F7E777C" w14:textId="77777777">
      <w:pPr>
        <w:spacing w:line="360" w:lineRule="auto"/>
        <w:rPr>
          <w:rFonts w:ascii="Verdana" w:hAnsi="Verdana"/>
          <w:i/>
          <w:sz w:val="18"/>
          <w:szCs w:val="18"/>
        </w:rPr>
      </w:pPr>
    </w:p>
    <w:p w:rsidRPr="0008667A" w:rsidR="00FD0CBD" w:rsidP="0008667A" w:rsidRDefault="00FD0CBD" w14:paraId="711BD2A4" w14:textId="77777777">
      <w:pPr>
        <w:numPr>
          <w:ilvl w:val="0"/>
          <w:numId w:val="21"/>
        </w:numPr>
        <w:spacing w:line="360" w:lineRule="auto"/>
        <w:rPr>
          <w:rFonts w:ascii="Verdana" w:hAnsi="Verdana"/>
          <w:i/>
          <w:iCs/>
          <w:sz w:val="18"/>
          <w:szCs w:val="18"/>
        </w:rPr>
      </w:pPr>
      <w:r w:rsidRPr="00DA3503">
        <w:rPr>
          <w:rFonts w:ascii="Verdana" w:hAnsi="Verdana"/>
          <w:i/>
          <w:iCs/>
          <w:sz w:val="18"/>
          <w:szCs w:val="18"/>
        </w:rPr>
        <w:t>Beoordeling + inzet ten aanzien van dit voorstel</w:t>
      </w:r>
    </w:p>
    <w:p w:rsidR="00753917" w:rsidRDefault="00144FC9" w14:paraId="79401E6C" w14:textId="5F04E85F">
      <w:pPr>
        <w:spacing w:line="360" w:lineRule="auto"/>
        <w:rPr>
          <w:rFonts w:ascii="Verdana" w:hAnsi="Verdana"/>
          <w:sz w:val="18"/>
          <w:szCs w:val="18"/>
        </w:rPr>
      </w:pPr>
      <w:r w:rsidRPr="00DA3503">
        <w:rPr>
          <w:rFonts w:ascii="Verdana" w:hAnsi="Verdana"/>
          <w:sz w:val="18"/>
          <w:szCs w:val="18"/>
        </w:rPr>
        <w:t>Het kabinet verwelkomt de strategie van de Commissie</w:t>
      </w:r>
      <w:r w:rsidRPr="00DA3503" w:rsidR="008C5D3E">
        <w:rPr>
          <w:rFonts w:ascii="Verdana" w:hAnsi="Verdana"/>
          <w:sz w:val="18"/>
          <w:szCs w:val="18"/>
        </w:rPr>
        <w:t xml:space="preserve"> en</w:t>
      </w:r>
      <w:r w:rsidRPr="00DA3503" w:rsidR="006B21BB">
        <w:rPr>
          <w:rFonts w:ascii="Verdana" w:hAnsi="Verdana"/>
          <w:sz w:val="18"/>
          <w:szCs w:val="18"/>
        </w:rPr>
        <w:t xml:space="preserve"> haar</w:t>
      </w:r>
      <w:r w:rsidRPr="00DA3503" w:rsidR="008C5D3E">
        <w:rPr>
          <w:rFonts w:ascii="Verdana" w:hAnsi="Verdana"/>
          <w:sz w:val="18"/>
          <w:szCs w:val="18"/>
        </w:rPr>
        <w:t xml:space="preserve"> inzet </w:t>
      </w:r>
      <w:r w:rsidRPr="00DA3503" w:rsidR="006B21BB">
        <w:rPr>
          <w:rFonts w:ascii="Verdana" w:hAnsi="Verdana"/>
          <w:sz w:val="18"/>
          <w:szCs w:val="18"/>
        </w:rPr>
        <w:t xml:space="preserve">voor </w:t>
      </w:r>
      <w:r w:rsidRPr="00DA3503" w:rsidR="008C5D3E">
        <w:rPr>
          <w:rFonts w:ascii="Verdana" w:hAnsi="Verdana"/>
          <w:sz w:val="18"/>
          <w:szCs w:val="18"/>
        </w:rPr>
        <w:t xml:space="preserve">een </w:t>
      </w:r>
      <w:proofErr w:type="spellStart"/>
      <w:r w:rsidRPr="00DA3503" w:rsidR="008C5D3E">
        <w:rPr>
          <w:rFonts w:ascii="Verdana" w:hAnsi="Verdana"/>
          <w:sz w:val="18"/>
          <w:szCs w:val="18"/>
        </w:rPr>
        <w:t>sectoroverstijgend</w:t>
      </w:r>
      <w:proofErr w:type="spellEnd"/>
      <w:r w:rsidRPr="00DA3503" w:rsidR="008C5D3E">
        <w:rPr>
          <w:rFonts w:ascii="Verdana" w:hAnsi="Verdana"/>
          <w:sz w:val="18"/>
          <w:szCs w:val="18"/>
        </w:rPr>
        <w:t xml:space="preserve"> overzicht en coördinatie op de versnipperde initiatieven</w:t>
      </w:r>
      <w:r w:rsidRPr="00DA3503" w:rsidR="003772B7">
        <w:rPr>
          <w:rFonts w:ascii="Verdana" w:hAnsi="Verdana"/>
          <w:sz w:val="18"/>
          <w:szCs w:val="18"/>
        </w:rPr>
        <w:t xml:space="preserve"> rondom het inrichten en optimaal exploiteren van strategische voorraden binnen de EU. </w:t>
      </w:r>
      <w:r w:rsidRPr="00DA3503" w:rsidR="008C5D3E">
        <w:rPr>
          <w:rFonts w:ascii="Verdana" w:hAnsi="Verdana"/>
          <w:sz w:val="18"/>
          <w:szCs w:val="18"/>
        </w:rPr>
        <w:t xml:space="preserve">De strategie sluit daarmee nauw aan op het </w:t>
      </w:r>
      <w:r w:rsidRPr="00DA3503" w:rsidR="00545D91">
        <w:rPr>
          <w:rFonts w:ascii="Verdana" w:hAnsi="Verdana"/>
          <w:sz w:val="18"/>
          <w:szCs w:val="18"/>
        </w:rPr>
        <w:t xml:space="preserve">te starten </w:t>
      </w:r>
      <w:r w:rsidRPr="00DA3503" w:rsidR="008C5D3E">
        <w:rPr>
          <w:rFonts w:ascii="Verdana" w:hAnsi="Verdana"/>
          <w:sz w:val="18"/>
          <w:szCs w:val="18"/>
        </w:rPr>
        <w:t xml:space="preserve">nationale onderzoek en </w:t>
      </w:r>
      <w:r w:rsidRPr="00DA3503" w:rsidR="009533DB">
        <w:rPr>
          <w:rFonts w:ascii="Verdana" w:hAnsi="Verdana"/>
          <w:sz w:val="18"/>
          <w:szCs w:val="18"/>
        </w:rPr>
        <w:t xml:space="preserve">de verdere versterking van het Nederlands </w:t>
      </w:r>
      <w:r w:rsidRPr="00DA3503" w:rsidR="00EE26B9">
        <w:rPr>
          <w:rFonts w:ascii="Verdana" w:hAnsi="Verdana"/>
          <w:sz w:val="18"/>
          <w:szCs w:val="18"/>
        </w:rPr>
        <w:t>weerbaarheids</w:t>
      </w:r>
      <w:r w:rsidRPr="00DA3503" w:rsidR="009533DB">
        <w:rPr>
          <w:rFonts w:ascii="Verdana" w:hAnsi="Verdana"/>
          <w:sz w:val="18"/>
          <w:szCs w:val="18"/>
        </w:rPr>
        <w:t>beleid</w:t>
      </w:r>
      <w:r w:rsidRPr="00DA3503" w:rsidR="008C5D3E">
        <w:rPr>
          <w:rFonts w:ascii="Verdana" w:hAnsi="Verdana"/>
          <w:sz w:val="18"/>
          <w:szCs w:val="18"/>
        </w:rPr>
        <w:t xml:space="preserve">. Het kabinet </w:t>
      </w:r>
      <w:r w:rsidRPr="00DA3503" w:rsidR="00E1114E">
        <w:rPr>
          <w:rFonts w:ascii="Verdana" w:hAnsi="Verdana"/>
          <w:sz w:val="18"/>
          <w:szCs w:val="18"/>
        </w:rPr>
        <w:t>constateert</w:t>
      </w:r>
      <w:r w:rsidRPr="00DA3503" w:rsidR="008C5D3E">
        <w:rPr>
          <w:rFonts w:ascii="Verdana" w:hAnsi="Verdana"/>
          <w:sz w:val="18"/>
          <w:szCs w:val="18"/>
        </w:rPr>
        <w:t xml:space="preserve"> dat </w:t>
      </w:r>
      <w:r w:rsidRPr="00DA3503" w:rsidR="00F81F73">
        <w:rPr>
          <w:rFonts w:ascii="Verdana" w:hAnsi="Verdana"/>
          <w:sz w:val="18"/>
          <w:szCs w:val="18"/>
        </w:rPr>
        <w:t>de strategie een algemeen karakter heeft en</w:t>
      </w:r>
      <w:r w:rsidRPr="00DA3503" w:rsidR="00683A3E">
        <w:rPr>
          <w:rFonts w:ascii="Verdana" w:hAnsi="Verdana"/>
          <w:sz w:val="18"/>
          <w:szCs w:val="18"/>
        </w:rPr>
        <w:t xml:space="preserve"> dat</w:t>
      </w:r>
      <w:r w:rsidRPr="00DA3503" w:rsidR="008C5D3E">
        <w:rPr>
          <w:rFonts w:ascii="Verdana" w:hAnsi="Verdana"/>
          <w:sz w:val="18"/>
          <w:szCs w:val="18"/>
        </w:rPr>
        <w:t xml:space="preserve"> veel voorstellen</w:t>
      </w:r>
      <w:r w:rsidRPr="00DA3503" w:rsidR="00A43A3C">
        <w:rPr>
          <w:rFonts w:ascii="Verdana" w:hAnsi="Verdana"/>
          <w:sz w:val="18"/>
          <w:szCs w:val="18"/>
        </w:rPr>
        <w:t xml:space="preserve">, zoals het aangekondigde </w:t>
      </w:r>
      <w:r w:rsidRPr="00DA3503" w:rsidR="00A43A3C">
        <w:rPr>
          <w:rFonts w:ascii="Verdana" w:hAnsi="Verdana"/>
          <w:i/>
          <w:iCs/>
          <w:sz w:val="18"/>
          <w:szCs w:val="18"/>
        </w:rPr>
        <w:t xml:space="preserve">EU Centre </w:t>
      </w:r>
      <w:proofErr w:type="spellStart"/>
      <w:r w:rsidRPr="00DA3503" w:rsidR="00A43A3C">
        <w:rPr>
          <w:rFonts w:ascii="Verdana" w:hAnsi="Verdana"/>
          <w:i/>
          <w:iCs/>
          <w:sz w:val="18"/>
          <w:szCs w:val="18"/>
        </w:rPr>
        <w:t>for</w:t>
      </w:r>
      <w:proofErr w:type="spellEnd"/>
      <w:r w:rsidRPr="00DA3503" w:rsidR="00A43A3C">
        <w:rPr>
          <w:rFonts w:ascii="Verdana" w:hAnsi="Verdana"/>
          <w:i/>
          <w:iCs/>
          <w:sz w:val="18"/>
          <w:szCs w:val="18"/>
        </w:rPr>
        <w:t xml:space="preserve"> Critical </w:t>
      </w:r>
      <w:proofErr w:type="spellStart"/>
      <w:r w:rsidRPr="00DA3503" w:rsidR="00A43A3C">
        <w:rPr>
          <w:rFonts w:ascii="Verdana" w:hAnsi="Verdana"/>
          <w:i/>
          <w:iCs/>
          <w:sz w:val="18"/>
          <w:szCs w:val="18"/>
        </w:rPr>
        <w:t>Raw</w:t>
      </w:r>
      <w:proofErr w:type="spellEnd"/>
      <w:r w:rsidRPr="00DA3503" w:rsidR="00A43A3C">
        <w:rPr>
          <w:rFonts w:ascii="Verdana" w:hAnsi="Verdana"/>
          <w:i/>
          <w:iCs/>
          <w:sz w:val="18"/>
          <w:szCs w:val="18"/>
        </w:rPr>
        <w:t xml:space="preserve"> </w:t>
      </w:r>
      <w:proofErr w:type="spellStart"/>
      <w:r w:rsidRPr="00DA3503" w:rsidR="00A43A3C">
        <w:rPr>
          <w:rFonts w:ascii="Verdana" w:hAnsi="Verdana"/>
          <w:i/>
          <w:iCs/>
          <w:sz w:val="18"/>
          <w:szCs w:val="18"/>
        </w:rPr>
        <w:t>Materials</w:t>
      </w:r>
      <w:proofErr w:type="spellEnd"/>
      <w:r w:rsidRPr="00DA3503" w:rsidR="00A43A3C">
        <w:rPr>
          <w:rFonts w:ascii="Verdana" w:hAnsi="Verdana"/>
          <w:sz w:val="18"/>
          <w:szCs w:val="18"/>
        </w:rPr>
        <w:t>,</w:t>
      </w:r>
      <w:r w:rsidRPr="00DA3503" w:rsidR="008C5D3E">
        <w:rPr>
          <w:rFonts w:ascii="Verdana" w:hAnsi="Verdana"/>
          <w:sz w:val="18"/>
          <w:szCs w:val="18"/>
        </w:rPr>
        <w:t xml:space="preserve"> </w:t>
      </w:r>
      <w:r w:rsidRPr="00DA3503" w:rsidR="00683A3E">
        <w:rPr>
          <w:rFonts w:ascii="Verdana" w:hAnsi="Verdana"/>
          <w:sz w:val="18"/>
          <w:szCs w:val="18"/>
        </w:rPr>
        <w:t xml:space="preserve">nog </w:t>
      </w:r>
      <w:r w:rsidRPr="00DA3503" w:rsidR="008C5D3E">
        <w:rPr>
          <w:rFonts w:ascii="Verdana" w:hAnsi="Verdana"/>
          <w:sz w:val="18"/>
          <w:szCs w:val="18"/>
        </w:rPr>
        <w:t>concrete uitwerking vereisen voordat hier een goed oordeel</w:t>
      </w:r>
      <w:r w:rsidRPr="00DA3503" w:rsidR="00411035">
        <w:rPr>
          <w:rFonts w:ascii="Verdana" w:hAnsi="Verdana"/>
          <w:sz w:val="18"/>
          <w:szCs w:val="18"/>
        </w:rPr>
        <w:t xml:space="preserve"> over</w:t>
      </w:r>
      <w:r w:rsidRPr="00DA3503" w:rsidR="008C5D3E">
        <w:rPr>
          <w:rFonts w:ascii="Verdana" w:hAnsi="Verdana"/>
          <w:sz w:val="18"/>
          <w:szCs w:val="18"/>
        </w:rPr>
        <w:t xml:space="preserve"> geformuleerd kan worden.</w:t>
      </w:r>
      <w:r w:rsidRPr="00DA3503" w:rsidR="006B21BB">
        <w:rPr>
          <w:rFonts w:ascii="Verdana" w:hAnsi="Verdana"/>
          <w:sz w:val="18"/>
          <w:szCs w:val="18"/>
        </w:rPr>
        <w:t xml:space="preserve"> Het document biedt een basis om in</w:t>
      </w:r>
      <w:r w:rsidRPr="00DA3503" w:rsidR="00F81F73">
        <w:rPr>
          <w:rFonts w:ascii="Verdana" w:hAnsi="Verdana"/>
          <w:sz w:val="18"/>
          <w:szCs w:val="18"/>
        </w:rPr>
        <w:t xml:space="preserve"> EU</w:t>
      </w:r>
      <w:r w:rsidR="00E10AD6">
        <w:rPr>
          <w:rFonts w:ascii="Verdana" w:hAnsi="Verdana"/>
          <w:sz w:val="18"/>
          <w:szCs w:val="18"/>
        </w:rPr>
        <w:t>-</w:t>
      </w:r>
      <w:r w:rsidRPr="00DA3503" w:rsidR="00F81F73">
        <w:rPr>
          <w:rFonts w:ascii="Verdana" w:hAnsi="Verdana"/>
          <w:sz w:val="18"/>
          <w:szCs w:val="18"/>
        </w:rPr>
        <w:t xml:space="preserve">verband de discussie </w:t>
      </w:r>
      <w:r w:rsidRPr="00DA3503" w:rsidR="006B21BB">
        <w:rPr>
          <w:rFonts w:ascii="Verdana" w:hAnsi="Verdana"/>
          <w:sz w:val="18"/>
          <w:szCs w:val="18"/>
        </w:rPr>
        <w:t>te voeren</w:t>
      </w:r>
      <w:r w:rsidRPr="00DA3503" w:rsidR="00F81F73">
        <w:rPr>
          <w:rFonts w:ascii="Verdana" w:hAnsi="Verdana"/>
          <w:sz w:val="18"/>
          <w:szCs w:val="18"/>
        </w:rPr>
        <w:t xml:space="preserve"> over de </w:t>
      </w:r>
      <w:r w:rsidRPr="00DA3503" w:rsidR="0044531B">
        <w:rPr>
          <w:rFonts w:ascii="Verdana" w:hAnsi="Verdana"/>
          <w:sz w:val="18"/>
          <w:szCs w:val="18"/>
        </w:rPr>
        <w:t>wijze waarop strategische voorraden een instrument kunnen zijn om de continuïteit van vitale processen te waarborgen</w:t>
      </w:r>
      <w:r w:rsidRPr="00DA3503" w:rsidR="00F81F73">
        <w:rPr>
          <w:rFonts w:ascii="Verdana" w:hAnsi="Verdana"/>
          <w:sz w:val="18"/>
          <w:szCs w:val="18"/>
        </w:rPr>
        <w:t xml:space="preserve">. </w:t>
      </w:r>
      <w:r w:rsidRPr="00B57275" w:rsidR="006B21BB">
        <w:rPr>
          <w:rFonts w:ascii="Verdana" w:hAnsi="Verdana"/>
          <w:sz w:val="18"/>
          <w:szCs w:val="18"/>
        </w:rPr>
        <w:t xml:space="preserve">Hierbij is het </w:t>
      </w:r>
      <w:r w:rsidR="001F5BF9">
        <w:rPr>
          <w:rFonts w:ascii="Verdana" w:hAnsi="Verdana"/>
          <w:sz w:val="18"/>
          <w:szCs w:val="18"/>
        </w:rPr>
        <w:t xml:space="preserve">van belang dat er zowel op nationaal, bilateraal </w:t>
      </w:r>
      <w:r w:rsidR="009C0E53">
        <w:rPr>
          <w:rFonts w:ascii="Verdana" w:hAnsi="Verdana"/>
          <w:sz w:val="18"/>
          <w:szCs w:val="18"/>
        </w:rPr>
        <w:t>als</w:t>
      </w:r>
      <w:r w:rsidR="001F5BF9">
        <w:rPr>
          <w:rFonts w:ascii="Verdana" w:hAnsi="Verdana"/>
          <w:sz w:val="18"/>
          <w:szCs w:val="18"/>
        </w:rPr>
        <w:t xml:space="preserve"> EU-niveau nauw wordt samengewerkt rondom de leveringszekerheid van goederen en producten. Lidstaten behouden hierbij </w:t>
      </w:r>
      <w:r w:rsidR="003E505E">
        <w:rPr>
          <w:rFonts w:ascii="Verdana" w:hAnsi="Verdana"/>
          <w:sz w:val="18"/>
          <w:szCs w:val="18"/>
        </w:rPr>
        <w:t>de</w:t>
      </w:r>
      <w:r w:rsidR="001F5BF9">
        <w:rPr>
          <w:rFonts w:ascii="Verdana" w:hAnsi="Verdana"/>
          <w:sz w:val="18"/>
          <w:szCs w:val="18"/>
        </w:rPr>
        <w:t xml:space="preserve"> belangrijke primaire verantwoordelijkheid. Door initiatieven goed op elkaar aan te sluiten kan meerwaarde worden behaald.</w:t>
      </w:r>
    </w:p>
    <w:p w:rsidR="00753917" w:rsidP="00466FEE" w:rsidRDefault="00753917" w14:paraId="3435269D" w14:textId="77777777">
      <w:pPr>
        <w:spacing w:line="360" w:lineRule="auto"/>
        <w:rPr>
          <w:rFonts w:ascii="Verdana" w:hAnsi="Verdana"/>
          <w:iCs/>
          <w:sz w:val="18"/>
          <w:szCs w:val="18"/>
        </w:rPr>
      </w:pPr>
    </w:p>
    <w:p w:rsidRPr="0008667A" w:rsidR="009E153D" w:rsidP="0008667A" w:rsidRDefault="00753917" w14:paraId="4B5A2D50" w14:textId="319E71B9">
      <w:pPr>
        <w:spacing w:line="360" w:lineRule="auto"/>
        <w:rPr>
          <w:rFonts w:ascii="Verdana" w:hAnsi="Verdana"/>
          <w:sz w:val="18"/>
          <w:szCs w:val="18"/>
        </w:rPr>
      </w:pPr>
      <w:r>
        <w:rPr>
          <w:rFonts w:ascii="Verdana" w:hAnsi="Verdana"/>
          <w:sz w:val="18"/>
          <w:szCs w:val="18"/>
        </w:rPr>
        <w:t>H</w:t>
      </w:r>
      <w:r w:rsidRPr="00D72721">
        <w:rPr>
          <w:rFonts w:ascii="Verdana" w:hAnsi="Verdana"/>
          <w:sz w:val="18"/>
          <w:szCs w:val="18"/>
        </w:rPr>
        <w:t xml:space="preserve">et kabinet </w:t>
      </w:r>
      <w:r>
        <w:rPr>
          <w:rFonts w:ascii="Verdana" w:hAnsi="Verdana"/>
          <w:sz w:val="18"/>
          <w:szCs w:val="18"/>
        </w:rPr>
        <w:t xml:space="preserve">hecht </w:t>
      </w:r>
      <w:r w:rsidRPr="00D72721">
        <w:rPr>
          <w:rFonts w:ascii="Verdana" w:hAnsi="Verdana"/>
          <w:sz w:val="18"/>
          <w:szCs w:val="18"/>
        </w:rPr>
        <w:t>belang aan een gerichte</w:t>
      </w:r>
      <w:r w:rsidR="00AE1E40">
        <w:rPr>
          <w:rFonts w:ascii="Verdana" w:hAnsi="Verdana"/>
          <w:sz w:val="18"/>
          <w:szCs w:val="18"/>
        </w:rPr>
        <w:t xml:space="preserve"> en</w:t>
      </w:r>
      <w:r w:rsidRPr="00D72721">
        <w:rPr>
          <w:rFonts w:ascii="Verdana" w:hAnsi="Verdana"/>
          <w:sz w:val="18"/>
          <w:szCs w:val="18"/>
        </w:rPr>
        <w:t xml:space="preserve"> efficiënte aanpak die</w:t>
      </w:r>
      <w:r w:rsidR="00AE1E40">
        <w:rPr>
          <w:rFonts w:ascii="Verdana" w:hAnsi="Verdana"/>
          <w:sz w:val="18"/>
          <w:szCs w:val="18"/>
        </w:rPr>
        <w:t>, waar mogelijk,</w:t>
      </w:r>
      <w:r w:rsidRPr="00D72721">
        <w:rPr>
          <w:rFonts w:ascii="Verdana" w:hAnsi="Verdana"/>
          <w:sz w:val="18"/>
          <w:szCs w:val="18"/>
        </w:rPr>
        <w:t xml:space="preserve"> voortbouwt op bestaande instrumenten </w:t>
      </w:r>
      <w:r w:rsidR="00AE1E40">
        <w:rPr>
          <w:rFonts w:ascii="Verdana" w:hAnsi="Verdana"/>
          <w:sz w:val="18"/>
          <w:szCs w:val="18"/>
        </w:rPr>
        <w:t>en toeziet op de toegevoegde waarde van nieuwe maatregelen</w:t>
      </w:r>
      <w:r w:rsidRPr="00D72721">
        <w:rPr>
          <w:rFonts w:ascii="Verdana" w:hAnsi="Verdana"/>
          <w:sz w:val="18"/>
          <w:szCs w:val="18"/>
        </w:rPr>
        <w:t xml:space="preserve">. </w:t>
      </w:r>
      <w:r>
        <w:rPr>
          <w:rFonts w:ascii="Verdana" w:hAnsi="Verdana"/>
          <w:sz w:val="18"/>
          <w:szCs w:val="18"/>
        </w:rPr>
        <w:t xml:space="preserve">Daarbij </w:t>
      </w:r>
      <w:r w:rsidRPr="00DA3503">
        <w:rPr>
          <w:rFonts w:ascii="Verdana" w:hAnsi="Verdana"/>
          <w:sz w:val="18"/>
          <w:szCs w:val="18"/>
        </w:rPr>
        <w:t xml:space="preserve">hanteert het de stelling dat </w:t>
      </w:r>
      <w:r w:rsidRPr="00DA3503" w:rsidR="002427D1">
        <w:rPr>
          <w:rFonts w:ascii="Verdana" w:hAnsi="Verdana"/>
          <w:sz w:val="18"/>
          <w:szCs w:val="18"/>
        </w:rPr>
        <w:t>het aanleggen van een</w:t>
      </w:r>
      <w:r w:rsidRPr="00DA3503">
        <w:rPr>
          <w:rFonts w:ascii="Verdana" w:hAnsi="Verdana"/>
          <w:sz w:val="18"/>
          <w:szCs w:val="18"/>
        </w:rPr>
        <w:t xml:space="preserve"> voorraad nooit een doel op zichzelf mag zijn – en dat voor deze optie alleen gekozen wordt na een zorgvuldige doelformulering en overweging van alternatieven.</w:t>
      </w:r>
      <w:r w:rsidRPr="00DA3503" w:rsidR="00380DE6">
        <w:rPr>
          <w:rStyle w:val="FootnoteReference"/>
          <w:rFonts w:ascii="Verdana" w:hAnsi="Verdana"/>
          <w:sz w:val="18"/>
          <w:szCs w:val="18"/>
        </w:rPr>
        <w:footnoteReference w:id="13"/>
      </w:r>
      <w:r w:rsidRPr="00DA3503" w:rsidR="004A7A36">
        <w:rPr>
          <w:rFonts w:ascii="Verdana" w:hAnsi="Verdana"/>
          <w:sz w:val="18"/>
          <w:szCs w:val="18"/>
        </w:rPr>
        <w:t xml:space="preserve"> </w:t>
      </w:r>
      <w:r w:rsidR="007F7D2F">
        <w:rPr>
          <w:rFonts w:ascii="Verdana" w:hAnsi="Verdana"/>
          <w:iCs/>
          <w:sz w:val="18"/>
          <w:szCs w:val="18"/>
        </w:rPr>
        <w:t xml:space="preserve">De effecten van voorraadvorming moeten daarbij steeds meegewogen worden om te voorkomen dat er ongewenste effecten ontstaan in andere sectoren, met name wanneer het </w:t>
      </w:r>
      <w:proofErr w:type="spellStart"/>
      <w:r w:rsidR="007F7D2F">
        <w:rPr>
          <w:rFonts w:ascii="Verdana" w:hAnsi="Verdana"/>
          <w:iCs/>
          <w:sz w:val="18"/>
          <w:szCs w:val="18"/>
        </w:rPr>
        <w:t>dual-use</w:t>
      </w:r>
      <w:proofErr w:type="spellEnd"/>
      <w:r w:rsidR="007F7D2F">
        <w:rPr>
          <w:rFonts w:ascii="Verdana" w:hAnsi="Verdana"/>
          <w:iCs/>
          <w:sz w:val="18"/>
          <w:szCs w:val="18"/>
        </w:rPr>
        <w:t xml:space="preserve"> betreft. </w:t>
      </w:r>
      <w:r w:rsidRPr="00DA3503" w:rsidR="00B818FF">
        <w:rPr>
          <w:rFonts w:ascii="Verdana" w:hAnsi="Verdana"/>
          <w:sz w:val="18"/>
          <w:szCs w:val="18"/>
        </w:rPr>
        <w:t xml:space="preserve">Het opzetten van een voorraadsvormingsprogramma vraagt mogelijk om een groot aantal beleidsmatige, financiële en organisatorische overwegingen en stappen. </w:t>
      </w:r>
      <w:r w:rsidRPr="00DA3503" w:rsidR="00FA0460">
        <w:rPr>
          <w:rFonts w:ascii="Verdana" w:hAnsi="Verdana"/>
          <w:sz w:val="18"/>
          <w:szCs w:val="18"/>
        </w:rPr>
        <w:t xml:space="preserve">Hierbij is het van belang om de inzet van strategische voorraden steeds in het kader te zien van het beoogde doel ervan, het type crisis en de onderliggende scenario’s. </w:t>
      </w:r>
      <w:r w:rsidR="00B04E8C">
        <w:rPr>
          <w:rFonts w:ascii="Verdana" w:hAnsi="Verdana"/>
          <w:sz w:val="18"/>
          <w:szCs w:val="18"/>
        </w:rPr>
        <w:t>Zoals benadrukt in de Kabinetsaanpak Strategische Afhankelijkheden</w:t>
      </w:r>
      <w:r w:rsidR="00B04E8C">
        <w:rPr>
          <w:rStyle w:val="FootnoteReference"/>
          <w:rFonts w:ascii="Verdana" w:hAnsi="Verdana"/>
          <w:sz w:val="18"/>
          <w:szCs w:val="18"/>
        </w:rPr>
        <w:footnoteReference w:id="14"/>
      </w:r>
      <w:r w:rsidR="00B04E8C">
        <w:rPr>
          <w:rFonts w:ascii="Verdana" w:hAnsi="Verdana"/>
          <w:sz w:val="18"/>
          <w:szCs w:val="18"/>
        </w:rPr>
        <w:t xml:space="preserve"> </w:t>
      </w:r>
      <w:r w:rsidR="00DE488C">
        <w:rPr>
          <w:rFonts w:ascii="Verdana" w:hAnsi="Verdana"/>
          <w:sz w:val="18"/>
          <w:szCs w:val="18"/>
        </w:rPr>
        <w:t xml:space="preserve">hangt het bij het </w:t>
      </w:r>
      <w:r w:rsidR="00B04E8C">
        <w:rPr>
          <w:rFonts w:ascii="Verdana" w:hAnsi="Verdana"/>
          <w:sz w:val="18"/>
          <w:szCs w:val="18"/>
        </w:rPr>
        <w:t>mitigeren van risicovolle strategische afhankelijkheden</w:t>
      </w:r>
      <w:r w:rsidR="00DE488C">
        <w:rPr>
          <w:rFonts w:ascii="Verdana" w:hAnsi="Verdana"/>
          <w:sz w:val="18"/>
          <w:szCs w:val="18"/>
        </w:rPr>
        <w:t xml:space="preserve"> van geval tot geval af welke mitigatieoptie de voorkeur geniet</w:t>
      </w:r>
      <w:r w:rsidR="00B04E8C">
        <w:rPr>
          <w:rFonts w:ascii="Verdana" w:hAnsi="Verdana"/>
          <w:sz w:val="18"/>
          <w:szCs w:val="18"/>
        </w:rPr>
        <w:t xml:space="preserve">. </w:t>
      </w:r>
      <w:r w:rsidRPr="00DA3503" w:rsidR="00800AC7">
        <w:rPr>
          <w:rFonts w:ascii="Verdana" w:hAnsi="Verdana"/>
          <w:sz w:val="18"/>
          <w:szCs w:val="18"/>
        </w:rPr>
        <w:t>Ook</w:t>
      </w:r>
      <w:r w:rsidRPr="00DA3503" w:rsidR="00EC48E3">
        <w:rPr>
          <w:rFonts w:ascii="Verdana" w:hAnsi="Verdana"/>
          <w:sz w:val="18"/>
          <w:szCs w:val="18"/>
        </w:rPr>
        <w:t xml:space="preserve"> </w:t>
      </w:r>
      <w:r w:rsidRPr="00DA3503" w:rsidR="00E1114E">
        <w:rPr>
          <w:rFonts w:ascii="Verdana" w:hAnsi="Verdana"/>
          <w:sz w:val="18"/>
          <w:szCs w:val="18"/>
        </w:rPr>
        <w:t>vereist het onderhouden van voorraden maatwerk per sector</w:t>
      </w:r>
      <w:r w:rsidRPr="00DA3503" w:rsidR="0079553A">
        <w:rPr>
          <w:rFonts w:ascii="Verdana" w:hAnsi="Verdana"/>
          <w:sz w:val="18"/>
          <w:szCs w:val="18"/>
        </w:rPr>
        <w:t xml:space="preserve">. </w:t>
      </w:r>
    </w:p>
    <w:p w:rsidR="009E153D" w:rsidP="00753917" w:rsidRDefault="009E153D" w14:paraId="37DB65D0" w14:textId="77777777">
      <w:pPr>
        <w:spacing w:line="360" w:lineRule="auto"/>
        <w:rPr>
          <w:rFonts w:ascii="Verdana" w:hAnsi="Verdana"/>
          <w:iCs/>
          <w:sz w:val="18"/>
          <w:szCs w:val="18"/>
        </w:rPr>
      </w:pPr>
    </w:p>
    <w:p w:rsidR="00753917" w:rsidP="00753917" w:rsidRDefault="00B818FF" w14:paraId="76171552" w14:textId="6FE7E98D">
      <w:pPr>
        <w:spacing w:line="360" w:lineRule="auto"/>
        <w:rPr>
          <w:rFonts w:ascii="Verdana" w:hAnsi="Verdana"/>
          <w:sz w:val="18"/>
          <w:szCs w:val="18"/>
        </w:rPr>
      </w:pPr>
      <w:r w:rsidRPr="00DA3503">
        <w:rPr>
          <w:rFonts w:ascii="Verdana" w:hAnsi="Verdana"/>
          <w:sz w:val="18"/>
          <w:szCs w:val="18"/>
        </w:rPr>
        <w:t xml:space="preserve">Het kabinet kijkt </w:t>
      </w:r>
      <w:r w:rsidRPr="00DA3503" w:rsidR="00EC48E3">
        <w:rPr>
          <w:rFonts w:ascii="Verdana" w:hAnsi="Verdana"/>
          <w:sz w:val="18"/>
          <w:szCs w:val="18"/>
        </w:rPr>
        <w:t xml:space="preserve">dan ook </w:t>
      </w:r>
      <w:r w:rsidRPr="00DA3503">
        <w:rPr>
          <w:rFonts w:ascii="Verdana" w:hAnsi="Verdana"/>
          <w:sz w:val="18"/>
          <w:szCs w:val="18"/>
        </w:rPr>
        <w:t xml:space="preserve">uit naar </w:t>
      </w:r>
      <w:r w:rsidRPr="00DA3503" w:rsidR="00EC48E3">
        <w:rPr>
          <w:rFonts w:ascii="Verdana" w:hAnsi="Verdana"/>
          <w:sz w:val="18"/>
          <w:szCs w:val="18"/>
        </w:rPr>
        <w:t>concrete</w:t>
      </w:r>
      <w:r w:rsidRPr="00DA3503">
        <w:rPr>
          <w:rFonts w:ascii="Verdana" w:hAnsi="Verdana"/>
          <w:sz w:val="18"/>
          <w:szCs w:val="18"/>
        </w:rPr>
        <w:t xml:space="preserve"> voorstellen van de Commissie en zal nadrukkelijk vragen om een goede onderbouwing en om de gevolgen voor de interne markt mee te wegen. </w:t>
      </w:r>
      <w:r w:rsidR="00753917">
        <w:rPr>
          <w:rFonts w:ascii="Verdana" w:hAnsi="Verdana"/>
          <w:sz w:val="18"/>
          <w:szCs w:val="18"/>
        </w:rPr>
        <w:t xml:space="preserve">Daarnaast is het van belang dat de </w:t>
      </w:r>
      <w:r w:rsidR="002F0839">
        <w:rPr>
          <w:rFonts w:ascii="Verdana" w:hAnsi="Verdana"/>
          <w:sz w:val="18"/>
          <w:szCs w:val="18"/>
        </w:rPr>
        <w:t>voorradenstrategie</w:t>
      </w:r>
      <w:r w:rsidR="00753917">
        <w:rPr>
          <w:rFonts w:ascii="Verdana" w:hAnsi="Verdana"/>
          <w:sz w:val="18"/>
          <w:szCs w:val="18"/>
        </w:rPr>
        <w:t xml:space="preserve"> wordt </w:t>
      </w:r>
      <w:r w:rsidR="002F0839">
        <w:rPr>
          <w:rFonts w:ascii="Verdana" w:hAnsi="Verdana"/>
          <w:sz w:val="18"/>
          <w:szCs w:val="18"/>
        </w:rPr>
        <w:t>uitgewerkt in samenhang met</w:t>
      </w:r>
      <w:r w:rsidR="001F3E47">
        <w:rPr>
          <w:rFonts w:ascii="Verdana" w:hAnsi="Verdana"/>
          <w:sz w:val="18"/>
          <w:szCs w:val="18"/>
        </w:rPr>
        <w:t xml:space="preserve"> het weerbaarheidstraject en andere</w:t>
      </w:r>
      <w:r w:rsidR="002F0839">
        <w:rPr>
          <w:rFonts w:ascii="Verdana" w:hAnsi="Verdana"/>
          <w:sz w:val="18"/>
          <w:szCs w:val="18"/>
        </w:rPr>
        <w:t xml:space="preserve"> </w:t>
      </w:r>
      <w:r w:rsidRPr="00D72721" w:rsidR="00753917">
        <w:rPr>
          <w:rFonts w:ascii="Verdana" w:hAnsi="Verdana"/>
          <w:sz w:val="18"/>
          <w:szCs w:val="18"/>
        </w:rPr>
        <w:t>lopende initiatieven</w:t>
      </w:r>
      <w:r w:rsidR="00753917">
        <w:rPr>
          <w:rFonts w:ascii="Verdana" w:hAnsi="Verdana"/>
          <w:sz w:val="18"/>
          <w:szCs w:val="18"/>
        </w:rPr>
        <w:t xml:space="preserve">, zoals </w:t>
      </w:r>
      <w:r w:rsidR="00B263BE">
        <w:rPr>
          <w:rFonts w:ascii="Verdana" w:hAnsi="Verdana"/>
          <w:sz w:val="18"/>
          <w:szCs w:val="18"/>
        </w:rPr>
        <w:t xml:space="preserve">de gedachten/gesprekken over EU </w:t>
      </w:r>
      <w:r w:rsidRPr="0008667A" w:rsidR="00B263BE">
        <w:rPr>
          <w:rFonts w:ascii="Verdana" w:hAnsi="Verdana"/>
          <w:i/>
          <w:iCs/>
          <w:sz w:val="18"/>
          <w:szCs w:val="18"/>
        </w:rPr>
        <w:t xml:space="preserve">Minimum </w:t>
      </w:r>
      <w:proofErr w:type="spellStart"/>
      <w:r w:rsidRPr="0008667A" w:rsidR="00B263BE">
        <w:rPr>
          <w:rFonts w:ascii="Verdana" w:hAnsi="Verdana"/>
          <w:i/>
          <w:iCs/>
          <w:sz w:val="18"/>
          <w:szCs w:val="18"/>
        </w:rPr>
        <w:t>Preparedness</w:t>
      </w:r>
      <w:proofErr w:type="spellEnd"/>
      <w:r w:rsidRPr="0008667A" w:rsidR="00B263BE">
        <w:rPr>
          <w:rFonts w:ascii="Verdana" w:hAnsi="Verdana"/>
          <w:i/>
          <w:iCs/>
          <w:sz w:val="18"/>
          <w:szCs w:val="18"/>
        </w:rPr>
        <w:t xml:space="preserve"> </w:t>
      </w:r>
      <w:proofErr w:type="spellStart"/>
      <w:r w:rsidRPr="0008667A" w:rsidR="00B263BE">
        <w:rPr>
          <w:rFonts w:ascii="Verdana" w:hAnsi="Verdana"/>
          <w:i/>
          <w:iCs/>
          <w:sz w:val="18"/>
          <w:szCs w:val="18"/>
        </w:rPr>
        <w:t>Requirements</w:t>
      </w:r>
      <w:proofErr w:type="spellEnd"/>
      <w:r w:rsidR="00B263BE">
        <w:rPr>
          <w:rFonts w:ascii="Verdana" w:hAnsi="Verdana"/>
          <w:sz w:val="18"/>
          <w:szCs w:val="18"/>
        </w:rPr>
        <w:t xml:space="preserve">, </w:t>
      </w:r>
      <w:r w:rsidR="001F3E47">
        <w:rPr>
          <w:rFonts w:ascii="Verdana" w:hAnsi="Verdana"/>
          <w:sz w:val="18"/>
          <w:szCs w:val="18"/>
        </w:rPr>
        <w:t xml:space="preserve">de </w:t>
      </w:r>
      <w:r w:rsidRPr="00CF28EB" w:rsidR="00753917">
        <w:rPr>
          <w:rFonts w:ascii="Verdana" w:hAnsi="Verdana"/>
          <w:sz w:val="18"/>
          <w:szCs w:val="18"/>
        </w:rPr>
        <w:t xml:space="preserve">NAVO </w:t>
      </w:r>
      <w:r w:rsidRPr="60696D23" w:rsidR="00753917">
        <w:rPr>
          <w:rFonts w:ascii="Verdana" w:hAnsi="Verdana"/>
          <w:i/>
          <w:iCs/>
          <w:sz w:val="18"/>
          <w:szCs w:val="18"/>
        </w:rPr>
        <w:t xml:space="preserve">baseline </w:t>
      </w:r>
      <w:proofErr w:type="spellStart"/>
      <w:r w:rsidRPr="60696D23" w:rsidR="00753917">
        <w:rPr>
          <w:rFonts w:ascii="Verdana" w:hAnsi="Verdana"/>
          <w:i/>
          <w:iCs/>
          <w:sz w:val="18"/>
          <w:szCs w:val="18"/>
        </w:rPr>
        <w:t>requirements</w:t>
      </w:r>
      <w:proofErr w:type="spellEnd"/>
      <w:r w:rsidRPr="60696D23" w:rsidR="00753917">
        <w:rPr>
          <w:rFonts w:ascii="Verdana" w:hAnsi="Verdana"/>
          <w:i/>
          <w:iCs/>
          <w:sz w:val="18"/>
          <w:szCs w:val="18"/>
        </w:rPr>
        <w:t xml:space="preserve"> </w:t>
      </w:r>
      <w:proofErr w:type="spellStart"/>
      <w:r w:rsidRPr="60696D23" w:rsidR="00753917">
        <w:rPr>
          <w:rFonts w:ascii="Verdana" w:hAnsi="Verdana"/>
          <w:i/>
          <w:iCs/>
          <w:sz w:val="18"/>
          <w:szCs w:val="18"/>
        </w:rPr>
        <w:t>for</w:t>
      </w:r>
      <w:proofErr w:type="spellEnd"/>
      <w:r w:rsidRPr="60696D23" w:rsidR="00753917">
        <w:rPr>
          <w:rFonts w:ascii="Verdana" w:hAnsi="Verdana"/>
          <w:i/>
          <w:iCs/>
          <w:sz w:val="18"/>
          <w:szCs w:val="18"/>
        </w:rPr>
        <w:t xml:space="preserve"> </w:t>
      </w:r>
      <w:proofErr w:type="spellStart"/>
      <w:r w:rsidRPr="60696D23" w:rsidR="00753917">
        <w:rPr>
          <w:rFonts w:ascii="Verdana" w:hAnsi="Verdana"/>
          <w:i/>
          <w:iCs/>
          <w:sz w:val="18"/>
          <w:szCs w:val="18"/>
        </w:rPr>
        <w:t>resilience</w:t>
      </w:r>
      <w:proofErr w:type="spellEnd"/>
      <w:r w:rsidRPr="00CF28EB" w:rsidR="00753917">
        <w:rPr>
          <w:rFonts w:ascii="Verdana" w:hAnsi="Verdana"/>
          <w:sz w:val="18"/>
          <w:szCs w:val="18"/>
        </w:rPr>
        <w:t xml:space="preserve">, de opvolging </w:t>
      </w:r>
      <w:r w:rsidRPr="00CF28EB" w:rsidR="00753917">
        <w:rPr>
          <w:rFonts w:ascii="Verdana" w:hAnsi="Verdana"/>
          <w:sz w:val="18"/>
          <w:szCs w:val="18"/>
        </w:rPr>
        <w:lastRenderedPageBreak/>
        <w:t xml:space="preserve">van </w:t>
      </w:r>
      <w:r w:rsidR="00753917">
        <w:rPr>
          <w:rFonts w:ascii="Verdana" w:hAnsi="Verdana"/>
          <w:sz w:val="18"/>
          <w:szCs w:val="18"/>
        </w:rPr>
        <w:t>de</w:t>
      </w:r>
      <w:r w:rsidR="00D37F6C">
        <w:rPr>
          <w:rFonts w:ascii="Verdana" w:hAnsi="Verdana"/>
          <w:sz w:val="18"/>
          <w:szCs w:val="18"/>
        </w:rPr>
        <w:t xml:space="preserve"> </w:t>
      </w:r>
      <w:proofErr w:type="spellStart"/>
      <w:r w:rsidR="008B16B8">
        <w:rPr>
          <w:rFonts w:ascii="Verdana" w:hAnsi="Verdana"/>
          <w:sz w:val="18"/>
          <w:szCs w:val="18"/>
        </w:rPr>
        <w:t>Niinistö</w:t>
      </w:r>
      <w:proofErr w:type="spellEnd"/>
      <w:r w:rsidR="00D37F6C">
        <w:rPr>
          <w:rFonts w:ascii="Verdana" w:hAnsi="Verdana"/>
          <w:sz w:val="18"/>
          <w:szCs w:val="18"/>
        </w:rPr>
        <w:t>,</w:t>
      </w:r>
      <w:r w:rsidRPr="00CF28EB" w:rsidR="00753917">
        <w:rPr>
          <w:rFonts w:ascii="Verdana" w:hAnsi="Verdana"/>
          <w:sz w:val="18"/>
          <w:szCs w:val="18"/>
        </w:rPr>
        <w:t xml:space="preserve"> </w:t>
      </w:r>
      <w:proofErr w:type="spellStart"/>
      <w:r w:rsidRPr="00CF28EB" w:rsidR="00753917">
        <w:rPr>
          <w:rFonts w:ascii="Verdana" w:hAnsi="Verdana"/>
          <w:sz w:val="18"/>
          <w:szCs w:val="18"/>
        </w:rPr>
        <w:t>Letta</w:t>
      </w:r>
      <w:proofErr w:type="spellEnd"/>
      <w:r w:rsidRPr="00CF28EB" w:rsidR="00753917">
        <w:rPr>
          <w:rFonts w:ascii="Verdana" w:hAnsi="Verdana"/>
          <w:sz w:val="18"/>
          <w:szCs w:val="18"/>
        </w:rPr>
        <w:t xml:space="preserve">- en </w:t>
      </w:r>
      <w:proofErr w:type="spellStart"/>
      <w:r w:rsidRPr="00CF28EB" w:rsidR="00753917">
        <w:rPr>
          <w:rFonts w:ascii="Verdana" w:hAnsi="Verdana"/>
          <w:sz w:val="18"/>
          <w:szCs w:val="18"/>
        </w:rPr>
        <w:t>Draghi</w:t>
      </w:r>
      <w:proofErr w:type="spellEnd"/>
      <w:r w:rsidRPr="00CF28EB" w:rsidR="00753917">
        <w:rPr>
          <w:rFonts w:ascii="Verdana" w:hAnsi="Verdana"/>
          <w:sz w:val="18"/>
          <w:szCs w:val="18"/>
        </w:rPr>
        <w:t>-rapport</w:t>
      </w:r>
      <w:r w:rsidR="00753917">
        <w:rPr>
          <w:rFonts w:ascii="Verdana" w:hAnsi="Verdana"/>
          <w:sz w:val="18"/>
          <w:szCs w:val="18"/>
        </w:rPr>
        <w:t>en</w:t>
      </w:r>
      <w:r w:rsidRPr="00CF28EB" w:rsidR="00B1156A">
        <w:rPr>
          <w:rFonts w:ascii="Verdana" w:hAnsi="Verdana"/>
          <w:sz w:val="18"/>
          <w:szCs w:val="18"/>
        </w:rPr>
        <w:t>,</w:t>
      </w:r>
      <w:r w:rsidR="00753917">
        <w:rPr>
          <w:rStyle w:val="FootnoteReference"/>
          <w:rFonts w:ascii="Verdana" w:hAnsi="Verdana"/>
          <w:sz w:val="18"/>
          <w:szCs w:val="18"/>
        </w:rPr>
        <w:footnoteReference w:id="15"/>
      </w:r>
      <w:r w:rsidRPr="00CF28EB" w:rsidR="00753917">
        <w:rPr>
          <w:rFonts w:ascii="Verdana" w:hAnsi="Verdana"/>
          <w:sz w:val="18"/>
          <w:szCs w:val="18"/>
        </w:rPr>
        <w:t xml:space="preserve"> het </w:t>
      </w:r>
      <w:r w:rsidR="00753917">
        <w:rPr>
          <w:rFonts w:ascii="Verdana" w:hAnsi="Verdana"/>
          <w:sz w:val="18"/>
          <w:szCs w:val="18"/>
        </w:rPr>
        <w:t>Witboek Europese Defensie</w:t>
      </w:r>
      <w:r w:rsidR="00411035">
        <w:rPr>
          <w:rFonts w:ascii="Verdana" w:hAnsi="Verdana"/>
          <w:sz w:val="18"/>
          <w:szCs w:val="18"/>
        </w:rPr>
        <w:t xml:space="preserve"> Gereedheid 2030</w:t>
      </w:r>
      <w:r w:rsidR="00753917">
        <w:rPr>
          <w:rStyle w:val="FootnoteReference"/>
          <w:rFonts w:ascii="Verdana" w:hAnsi="Verdana"/>
          <w:sz w:val="18"/>
          <w:szCs w:val="18"/>
        </w:rPr>
        <w:footnoteReference w:id="16"/>
      </w:r>
      <w:r w:rsidRPr="00CF28EB" w:rsidR="00753917">
        <w:rPr>
          <w:rFonts w:ascii="Verdana" w:hAnsi="Verdana"/>
          <w:sz w:val="18"/>
          <w:szCs w:val="18"/>
        </w:rPr>
        <w:t xml:space="preserve"> en de Interne Veiligheidsstrategie.</w:t>
      </w:r>
      <w:r w:rsidR="00753917">
        <w:rPr>
          <w:rStyle w:val="FootnoteReference"/>
          <w:rFonts w:ascii="Verdana" w:hAnsi="Verdana"/>
          <w:sz w:val="18"/>
          <w:szCs w:val="18"/>
        </w:rPr>
        <w:footnoteReference w:id="17"/>
      </w:r>
      <w:r w:rsidR="009E153D">
        <w:rPr>
          <w:rFonts w:ascii="Verdana" w:hAnsi="Verdana"/>
          <w:sz w:val="18"/>
          <w:szCs w:val="18"/>
        </w:rPr>
        <w:t xml:space="preserve"> Ook dient er</w:t>
      </w:r>
      <w:r w:rsidRPr="00953C5F" w:rsidR="009E153D">
        <w:rPr>
          <w:rFonts w:ascii="Verdana" w:hAnsi="Verdana"/>
          <w:sz w:val="18"/>
          <w:szCs w:val="18"/>
        </w:rPr>
        <w:t xml:space="preserve"> rekening </w:t>
      </w:r>
      <w:r w:rsidR="009E153D">
        <w:rPr>
          <w:rFonts w:ascii="Verdana" w:hAnsi="Verdana"/>
          <w:sz w:val="18"/>
          <w:szCs w:val="18"/>
        </w:rPr>
        <w:t>gehouden te worden</w:t>
      </w:r>
      <w:r w:rsidRPr="00953C5F" w:rsidR="009E153D">
        <w:rPr>
          <w:rFonts w:ascii="Verdana" w:hAnsi="Verdana"/>
          <w:sz w:val="18"/>
          <w:szCs w:val="18"/>
        </w:rPr>
        <w:t xml:space="preserve"> met de lokale omstandigheden van voorraadlocaties en de uitvoerbaarheid van eventuele acties voor decentrale overheden.</w:t>
      </w:r>
    </w:p>
    <w:p w:rsidR="008C5D3E" w:rsidP="00466FEE" w:rsidRDefault="008C5D3E" w14:paraId="22C55ED0" w14:textId="77777777">
      <w:pPr>
        <w:spacing w:line="360" w:lineRule="auto"/>
        <w:rPr>
          <w:rFonts w:ascii="Verdana" w:hAnsi="Verdana"/>
          <w:iCs/>
          <w:sz w:val="18"/>
          <w:szCs w:val="18"/>
        </w:rPr>
      </w:pPr>
    </w:p>
    <w:p w:rsidRPr="0008667A" w:rsidR="008C5D3E" w:rsidP="0008667A" w:rsidRDefault="00116B3E" w14:paraId="25F31A16" w14:textId="7A163860">
      <w:pPr>
        <w:spacing w:line="360" w:lineRule="auto"/>
        <w:rPr>
          <w:rFonts w:ascii="Verdana" w:hAnsi="Verdana"/>
          <w:sz w:val="18"/>
          <w:szCs w:val="18"/>
        </w:rPr>
      </w:pPr>
      <w:r w:rsidRPr="00DA3503">
        <w:rPr>
          <w:rFonts w:ascii="Verdana" w:hAnsi="Verdana"/>
          <w:sz w:val="18"/>
          <w:szCs w:val="18"/>
        </w:rPr>
        <w:t xml:space="preserve">Op het gebied van versterkte EU-coördinatie heeft het kabinet een positieve grondhouding </w:t>
      </w:r>
      <w:r w:rsidRPr="00DA3503" w:rsidR="00676277">
        <w:rPr>
          <w:rFonts w:ascii="Verdana" w:hAnsi="Verdana"/>
          <w:sz w:val="18"/>
          <w:szCs w:val="18"/>
        </w:rPr>
        <w:t>tegenover</w:t>
      </w:r>
      <w:r w:rsidRPr="00DA3503">
        <w:rPr>
          <w:rFonts w:ascii="Verdana" w:hAnsi="Verdana"/>
          <w:sz w:val="18"/>
          <w:szCs w:val="18"/>
        </w:rPr>
        <w:t xml:space="preserve"> het oprichten van een </w:t>
      </w:r>
      <w:r w:rsidRPr="00DA3503" w:rsidR="00D37F6C">
        <w:rPr>
          <w:rFonts w:ascii="Verdana" w:hAnsi="Verdana"/>
          <w:sz w:val="18"/>
          <w:szCs w:val="18"/>
        </w:rPr>
        <w:t>voorradennetwerk</w:t>
      </w:r>
      <w:r w:rsidRPr="00DA3503">
        <w:rPr>
          <w:rFonts w:ascii="Verdana" w:hAnsi="Verdana"/>
          <w:sz w:val="18"/>
          <w:szCs w:val="18"/>
        </w:rPr>
        <w:t xml:space="preserve">. </w:t>
      </w:r>
      <w:r w:rsidRPr="00DA3503" w:rsidR="0080762A">
        <w:rPr>
          <w:rFonts w:ascii="Verdana" w:hAnsi="Verdana"/>
          <w:sz w:val="18"/>
          <w:szCs w:val="18"/>
        </w:rPr>
        <w:t>Wel heeft het</w:t>
      </w:r>
      <w:r w:rsidRPr="00DA3503" w:rsidR="0083348F">
        <w:rPr>
          <w:rFonts w:ascii="Verdana" w:hAnsi="Verdana"/>
          <w:sz w:val="18"/>
          <w:szCs w:val="18"/>
        </w:rPr>
        <w:t xml:space="preserve"> kabinet</w:t>
      </w:r>
      <w:r w:rsidRPr="00DA3503" w:rsidR="0080762A">
        <w:rPr>
          <w:rFonts w:ascii="Verdana" w:hAnsi="Verdana"/>
          <w:sz w:val="18"/>
          <w:szCs w:val="18"/>
        </w:rPr>
        <w:t xml:space="preserve"> </w:t>
      </w:r>
      <w:r w:rsidRPr="00DA3503" w:rsidR="00472375">
        <w:rPr>
          <w:rFonts w:ascii="Verdana" w:hAnsi="Verdana"/>
          <w:sz w:val="18"/>
          <w:szCs w:val="18"/>
        </w:rPr>
        <w:t>vragen over de verdere invulling en draagvlak van dit netwerk</w:t>
      </w:r>
      <w:r w:rsidRPr="00DA3503" w:rsidR="00676277">
        <w:rPr>
          <w:rFonts w:ascii="Verdana" w:hAnsi="Verdana"/>
          <w:sz w:val="18"/>
          <w:szCs w:val="18"/>
        </w:rPr>
        <w:t xml:space="preserve"> en de verhouding tot gremia onder bestaande EU-crisisinstrumenten zoals de Interne-marktnood- en weerbaarheidswet (IMERA)</w:t>
      </w:r>
      <w:r w:rsidRPr="00DA3503" w:rsidR="001F5BF9">
        <w:rPr>
          <w:rFonts w:ascii="Verdana" w:hAnsi="Verdana"/>
          <w:sz w:val="18"/>
          <w:szCs w:val="18"/>
        </w:rPr>
        <w:t xml:space="preserve">, </w:t>
      </w:r>
      <w:r w:rsidRPr="00DA3503" w:rsidR="001F5BF9">
        <w:rPr>
          <w:rFonts w:ascii="Verdana" w:hAnsi="Verdana"/>
          <w:i/>
          <w:iCs/>
          <w:sz w:val="18"/>
          <w:szCs w:val="18"/>
        </w:rPr>
        <w:t>H</w:t>
      </w:r>
      <w:r w:rsidRPr="00DA3503" w:rsidR="003E505E">
        <w:rPr>
          <w:rFonts w:ascii="Verdana" w:hAnsi="Verdana"/>
          <w:i/>
          <w:iCs/>
          <w:sz w:val="18"/>
          <w:szCs w:val="18"/>
        </w:rPr>
        <w:t xml:space="preserve">ealth </w:t>
      </w:r>
      <w:proofErr w:type="spellStart"/>
      <w:r w:rsidRPr="00DA3503" w:rsidR="001F5BF9">
        <w:rPr>
          <w:rFonts w:ascii="Verdana" w:hAnsi="Verdana"/>
          <w:i/>
          <w:iCs/>
          <w:sz w:val="18"/>
          <w:szCs w:val="18"/>
        </w:rPr>
        <w:t>E</w:t>
      </w:r>
      <w:r w:rsidRPr="00DA3503" w:rsidR="003E505E">
        <w:rPr>
          <w:rFonts w:ascii="Verdana" w:hAnsi="Verdana"/>
          <w:i/>
          <w:iCs/>
          <w:sz w:val="18"/>
          <w:szCs w:val="18"/>
        </w:rPr>
        <w:t>mergency</w:t>
      </w:r>
      <w:proofErr w:type="spellEnd"/>
      <w:r w:rsidRPr="00DA3503" w:rsidR="003E505E">
        <w:rPr>
          <w:rFonts w:ascii="Verdana" w:hAnsi="Verdana"/>
          <w:i/>
          <w:iCs/>
          <w:sz w:val="18"/>
          <w:szCs w:val="18"/>
        </w:rPr>
        <w:t xml:space="preserve"> </w:t>
      </w:r>
      <w:proofErr w:type="spellStart"/>
      <w:r w:rsidRPr="00DA3503" w:rsidR="003E505E">
        <w:rPr>
          <w:rFonts w:ascii="Verdana" w:hAnsi="Verdana"/>
          <w:i/>
          <w:iCs/>
          <w:sz w:val="18"/>
          <w:szCs w:val="18"/>
        </w:rPr>
        <w:t>and</w:t>
      </w:r>
      <w:proofErr w:type="spellEnd"/>
      <w:r w:rsidRPr="00DA3503" w:rsidR="003E505E">
        <w:rPr>
          <w:rFonts w:ascii="Verdana" w:hAnsi="Verdana"/>
          <w:i/>
          <w:iCs/>
          <w:sz w:val="18"/>
          <w:szCs w:val="18"/>
        </w:rPr>
        <w:t xml:space="preserve"> </w:t>
      </w:r>
      <w:r w:rsidRPr="00DA3503" w:rsidR="001F5BF9">
        <w:rPr>
          <w:rFonts w:ascii="Verdana" w:hAnsi="Verdana"/>
          <w:i/>
          <w:iCs/>
          <w:sz w:val="18"/>
          <w:szCs w:val="18"/>
        </w:rPr>
        <w:t>R</w:t>
      </w:r>
      <w:r w:rsidRPr="00DA3503" w:rsidR="003E505E">
        <w:rPr>
          <w:rFonts w:ascii="Verdana" w:hAnsi="Verdana"/>
          <w:i/>
          <w:iCs/>
          <w:sz w:val="18"/>
          <w:szCs w:val="18"/>
        </w:rPr>
        <w:t xml:space="preserve">esponse </w:t>
      </w:r>
      <w:proofErr w:type="spellStart"/>
      <w:r w:rsidRPr="00DA3503" w:rsidR="001F5BF9">
        <w:rPr>
          <w:rFonts w:ascii="Verdana" w:hAnsi="Verdana"/>
          <w:i/>
          <w:iCs/>
          <w:sz w:val="18"/>
          <w:szCs w:val="18"/>
        </w:rPr>
        <w:t>A</w:t>
      </w:r>
      <w:r w:rsidRPr="00DA3503" w:rsidR="003E505E">
        <w:rPr>
          <w:rFonts w:ascii="Verdana" w:hAnsi="Verdana"/>
          <w:i/>
          <w:iCs/>
          <w:sz w:val="18"/>
          <w:szCs w:val="18"/>
        </w:rPr>
        <w:t>uthority</w:t>
      </w:r>
      <w:proofErr w:type="spellEnd"/>
      <w:r w:rsidRPr="00DA3503" w:rsidR="003E505E">
        <w:rPr>
          <w:rFonts w:ascii="Verdana" w:hAnsi="Verdana"/>
          <w:sz w:val="18"/>
          <w:szCs w:val="18"/>
        </w:rPr>
        <w:t xml:space="preserve"> (HERA)</w:t>
      </w:r>
      <w:r w:rsidRPr="00DA3503" w:rsidR="00676277">
        <w:rPr>
          <w:rFonts w:ascii="Verdana" w:hAnsi="Verdana"/>
          <w:sz w:val="18"/>
          <w:szCs w:val="18"/>
        </w:rPr>
        <w:t xml:space="preserve"> en de Chips Act</w:t>
      </w:r>
      <w:r w:rsidRPr="00DA3503" w:rsidR="00472375">
        <w:rPr>
          <w:rFonts w:ascii="Verdana" w:hAnsi="Verdana"/>
          <w:sz w:val="18"/>
          <w:szCs w:val="18"/>
        </w:rPr>
        <w:t xml:space="preserve">. </w:t>
      </w:r>
      <w:r w:rsidRPr="00DA3503">
        <w:rPr>
          <w:rFonts w:ascii="Verdana" w:hAnsi="Verdana"/>
          <w:sz w:val="18"/>
          <w:szCs w:val="18"/>
        </w:rPr>
        <w:t xml:space="preserve">Het kabinet erkent de meerwaarde van een platform binnen de </w:t>
      </w:r>
      <w:r w:rsidRPr="00DA3503" w:rsidR="00BF66AB">
        <w:rPr>
          <w:rFonts w:ascii="Verdana" w:hAnsi="Verdana"/>
          <w:sz w:val="18"/>
          <w:szCs w:val="18"/>
        </w:rPr>
        <w:t>hub</w:t>
      </w:r>
      <w:r w:rsidRPr="00DA3503">
        <w:rPr>
          <w:rFonts w:ascii="Verdana" w:hAnsi="Verdana"/>
          <w:sz w:val="18"/>
          <w:szCs w:val="18"/>
        </w:rPr>
        <w:t xml:space="preserve"> voor het uitwisselen van informatie over voorraden, en benadrukt daarbij het belang van een veilige en verantwoorde uitvoering hiervan. </w:t>
      </w:r>
      <w:r w:rsidRPr="00DA3503" w:rsidR="0062392E">
        <w:rPr>
          <w:rFonts w:ascii="Verdana" w:hAnsi="Verdana"/>
          <w:sz w:val="18"/>
          <w:szCs w:val="18"/>
        </w:rPr>
        <w:t>Het kabinet onderkent</w:t>
      </w:r>
      <w:r w:rsidRPr="00DA3503" w:rsidR="008716AE">
        <w:rPr>
          <w:rFonts w:ascii="Verdana" w:hAnsi="Verdana"/>
          <w:sz w:val="18"/>
          <w:szCs w:val="18"/>
        </w:rPr>
        <w:t xml:space="preserve"> daarnaast</w:t>
      </w:r>
      <w:r w:rsidRPr="00DA3503" w:rsidR="00676277">
        <w:rPr>
          <w:rFonts w:ascii="Verdana" w:hAnsi="Verdana"/>
          <w:sz w:val="18"/>
          <w:szCs w:val="18"/>
        </w:rPr>
        <w:t xml:space="preserve"> </w:t>
      </w:r>
      <w:r w:rsidRPr="00DA3503" w:rsidR="0062392E">
        <w:rPr>
          <w:rFonts w:ascii="Verdana" w:hAnsi="Verdana"/>
          <w:sz w:val="18"/>
          <w:szCs w:val="18"/>
        </w:rPr>
        <w:t xml:space="preserve">de meerwaarde van sectorale </w:t>
      </w:r>
      <w:r w:rsidR="008716AE">
        <w:rPr>
          <w:rFonts w:ascii="Verdana" w:hAnsi="Verdana"/>
          <w:sz w:val="18"/>
          <w:szCs w:val="18"/>
        </w:rPr>
        <w:t>aanbestedings</w:t>
      </w:r>
      <w:r w:rsidRPr="00561061" w:rsidR="008716AE">
        <w:rPr>
          <w:rFonts w:ascii="Verdana" w:hAnsi="Verdana"/>
          <w:sz w:val="18"/>
          <w:szCs w:val="18"/>
        </w:rPr>
        <w:t>mechanismen, zoals onder meer vastgelegd in de EU-verordeningen rondom ernstige grensoverschr</w:t>
      </w:r>
      <w:r w:rsidR="00EE26B9">
        <w:rPr>
          <w:rFonts w:ascii="Verdana" w:hAnsi="Verdana"/>
          <w:sz w:val="18"/>
          <w:szCs w:val="18"/>
        </w:rPr>
        <w:t>ij</w:t>
      </w:r>
      <w:r w:rsidRPr="00561061" w:rsidR="008716AE">
        <w:rPr>
          <w:rFonts w:ascii="Verdana" w:hAnsi="Verdana"/>
          <w:sz w:val="18"/>
          <w:szCs w:val="18"/>
        </w:rPr>
        <w:t>dende gezondheidsbedreigingen (EU)</w:t>
      </w:r>
      <w:r w:rsidR="003E00FF">
        <w:rPr>
          <w:rStyle w:val="FootnoteReference"/>
          <w:rFonts w:ascii="Verdana" w:hAnsi="Verdana"/>
          <w:sz w:val="18"/>
          <w:szCs w:val="18"/>
        </w:rPr>
        <w:footnoteReference w:id="18"/>
      </w:r>
      <w:r w:rsidRPr="00561061" w:rsidR="008716AE">
        <w:rPr>
          <w:rFonts w:ascii="Verdana" w:hAnsi="Verdana"/>
          <w:sz w:val="18"/>
          <w:szCs w:val="18"/>
        </w:rPr>
        <w:t xml:space="preserve"> en de bijbehorende EU-verordening voor het noodkader </w:t>
      </w:r>
      <w:r w:rsidR="001F5BF9">
        <w:rPr>
          <w:rFonts w:ascii="Verdana" w:hAnsi="Verdana"/>
          <w:sz w:val="18"/>
          <w:szCs w:val="18"/>
        </w:rPr>
        <w:t xml:space="preserve">voor EU-gezondheidscrises </w:t>
      </w:r>
      <w:r w:rsidRPr="00561061" w:rsidR="008716AE">
        <w:rPr>
          <w:rFonts w:ascii="Verdana" w:hAnsi="Verdana"/>
          <w:sz w:val="18"/>
          <w:szCs w:val="18"/>
        </w:rPr>
        <w:t>(EU)</w:t>
      </w:r>
      <w:r w:rsidR="003E00FF">
        <w:rPr>
          <w:rStyle w:val="FootnoteReference"/>
          <w:rFonts w:ascii="Verdana" w:hAnsi="Verdana"/>
          <w:sz w:val="18"/>
          <w:szCs w:val="18"/>
        </w:rPr>
        <w:footnoteReference w:id="19"/>
      </w:r>
      <w:r w:rsidRPr="00561061" w:rsidR="008716AE">
        <w:rPr>
          <w:rFonts w:ascii="Verdana" w:hAnsi="Verdana"/>
          <w:sz w:val="18"/>
          <w:szCs w:val="18"/>
        </w:rPr>
        <w:t>, die ondersteund worden door de Commissie</w:t>
      </w:r>
      <w:r w:rsidRPr="00DA3503" w:rsidR="0062392E">
        <w:rPr>
          <w:rFonts w:ascii="Verdana" w:hAnsi="Verdana"/>
          <w:sz w:val="18"/>
          <w:szCs w:val="18"/>
        </w:rPr>
        <w:t xml:space="preserve">. </w:t>
      </w:r>
      <w:r w:rsidRPr="00DA3503" w:rsidR="00313672">
        <w:rPr>
          <w:rFonts w:ascii="Verdana" w:hAnsi="Verdana"/>
          <w:sz w:val="18"/>
          <w:szCs w:val="18"/>
        </w:rPr>
        <w:t xml:space="preserve">Tot slot juicht het kabinet de coördinatie van de inspanningen tussen lidstaten en </w:t>
      </w:r>
      <w:r w:rsidRPr="00DA3503" w:rsidR="009C0E53">
        <w:rPr>
          <w:rFonts w:ascii="Verdana" w:hAnsi="Verdana"/>
          <w:sz w:val="18"/>
          <w:szCs w:val="18"/>
        </w:rPr>
        <w:t xml:space="preserve">belanghebbenden </w:t>
      </w:r>
      <w:r w:rsidRPr="00DA3503" w:rsidR="00313672">
        <w:rPr>
          <w:rFonts w:ascii="Verdana" w:hAnsi="Verdana"/>
          <w:sz w:val="18"/>
          <w:szCs w:val="18"/>
        </w:rPr>
        <w:t xml:space="preserve">toe, zoals bijvoorbeeld in het </w:t>
      </w:r>
      <w:r w:rsidRPr="60696D23" w:rsidR="00313672">
        <w:rPr>
          <w:rFonts w:ascii="Verdana" w:hAnsi="Verdana"/>
          <w:i/>
          <w:iCs/>
          <w:sz w:val="18"/>
          <w:szCs w:val="18"/>
        </w:rPr>
        <w:t xml:space="preserve">European Food Security Crisis </w:t>
      </w:r>
      <w:proofErr w:type="spellStart"/>
      <w:r w:rsidRPr="60696D23" w:rsidR="00313672">
        <w:rPr>
          <w:rFonts w:ascii="Verdana" w:hAnsi="Verdana"/>
          <w:i/>
          <w:iCs/>
          <w:sz w:val="18"/>
          <w:szCs w:val="18"/>
        </w:rPr>
        <w:t>preparedness</w:t>
      </w:r>
      <w:proofErr w:type="spellEnd"/>
      <w:r w:rsidRPr="60696D23" w:rsidR="00313672">
        <w:rPr>
          <w:rFonts w:ascii="Verdana" w:hAnsi="Verdana"/>
          <w:i/>
          <w:iCs/>
          <w:sz w:val="18"/>
          <w:szCs w:val="18"/>
        </w:rPr>
        <w:t xml:space="preserve"> </w:t>
      </w:r>
      <w:proofErr w:type="spellStart"/>
      <w:r w:rsidRPr="60696D23" w:rsidR="00313672">
        <w:rPr>
          <w:rFonts w:ascii="Verdana" w:hAnsi="Verdana"/>
          <w:i/>
          <w:iCs/>
          <w:sz w:val="18"/>
          <w:szCs w:val="18"/>
        </w:rPr>
        <w:t>and</w:t>
      </w:r>
      <w:proofErr w:type="spellEnd"/>
      <w:r w:rsidRPr="60696D23" w:rsidR="00313672">
        <w:rPr>
          <w:rFonts w:ascii="Verdana" w:hAnsi="Verdana"/>
          <w:i/>
          <w:iCs/>
          <w:sz w:val="18"/>
          <w:szCs w:val="18"/>
        </w:rPr>
        <w:t xml:space="preserve"> response </w:t>
      </w:r>
      <w:proofErr w:type="spellStart"/>
      <w:r w:rsidRPr="60696D23" w:rsidR="00313672">
        <w:rPr>
          <w:rFonts w:ascii="Verdana" w:hAnsi="Verdana"/>
          <w:i/>
          <w:iCs/>
          <w:sz w:val="18"/>
          <w:szCs w:val="18"/>
        </w:rPr>
        <w:t>mechanism</w:t>
      </w:r>
      <w:proofErr w:type="spellEnd"/>
      <w:r w:rsidRPr="00DA3503" w:rsidR="00313672">
        <w:rPr>
          <w:rFonts w:ascii="Verdana" w:hAnsi="Verdana"/>
          <w:sz w:val="18"/>
          <w:szCs w:val="18"/>
        </w:rPr>
        <w:t xml:space="preserve"> (EFSCM). </w:t>
      </w:r>
      <w:r w:rsidR="00472375">
        <w:rPr>
          <w:rFonts w:ascii="Verdana" w:hAnsi="Verdana"/>
          <w:sz w:val="18"/>
          <w:szCs w:val="18"/>
        </w:rPr>
        <w:t>Het kabinet</w:t>
      </w:r>
      <w:r w:rsidRPr="00386DEB" w:rsidR="00472375">
        <w:rPr>
          <w:rFonts w:ascii="Verdana" w:hAnsi="Verdana"/>
          <w:sz w:val="18"/>
          <w:szCs w:val="18"/>
        </w:rPr>
        <w:t xml:space="preserve"> wacht het voorstel voor herziening van de aanbestedingsrichtlijn af</w:t>
      </w:r>
      <w:r w:rsidR="00472375">
        <w:rPr>
          <w:rFonts w:ascii="Verdana" w:hAnsi="Verdana"/>
          <w:sz w:val="18"/>
          <w:szCs w:val="18"/>
        </w:rPr>
        <w:t xml:space="preserve"> (voorzien </w:t>
      </w:r>
      <w:r w:rsidR="00676277">
        <w:rPr>
          <w:rFonts w:ascii="Verdana" w:hAnsi="Verdana"/>
          <w:sz w:val="18"/>
          <w:szCs w:val="18"/>
        </w:rPr>
        <w:t xml:space="preserve">Q3 </w:t>
      </w:r>
      <w:r w:rsidR="00472375">
        <w:rPr>
          <w:rFonts w:ascii="Verdana" w:hAnsi="Verdana"/>
          <w:sz w:val="18"/>
          <w:szCs w:val="18"/>
        </w:rPr>
        <w:t xml:space="preserve">2026) maar is in beginsel positief over het voornemen van de Commissie om </w:t>
      </w:r>
      <w:r w:rsidR="0062392E">
        <w:rPr>
          <w:rFonts w:ascii="Verdana" w:hAnsi="Verdana"/>
          <w:sz w:val="18"/>
          <w:szCs w:val="18"/>
        </w:rPr>
        <w:t xml:space="preserve">hierin </w:t>
      </w:r>
      <w:r w:rsidR="00472375">
        <w:rPr>
          <w:rFonts w:ascii="Verdana" w:hAnsi="Verdana"/>
          <w:sz w:val="18"/>
          <w:szCs w:val="18"/>
        </w:rPr>
        <w:t>weerbaarheid mee te wegen.</w:t>
      </w:r>
    </w:p>
    <w:p w:rsidR="008C5D3E" w:rsidP="00466FEE" w:rsidRDefault="008C5D3E" w14:paraId="671E7ACD" w14:textId="77777777">
      <w:pPr>
        <w:spacing w:line="360" w:lineRule="auto"/>
        <w:rPr>
          <w:rFonts w:ascii="Verdana" w:hAnsi="Verdana"/>
          <w:iCs/>
          <w:sz w:val="18"/>
          <w:szCs w:val="18"/>
        </w:rPr>
      </w:pPr>
    </w:p>
    <w:p w:rsidRPr="0008667A" w:rsidR="00BE5B28" w:rsidP="0008667A" w:rsidRDefault="003E06D0" w14:paraId="03497808" w14:textId="1C3E005C">
      <w:pPr>
        <w:spacing w:line="360" w:lineRule="auto"/>
        <w:rPr>
          <w:rFonts w:ascii="Verdana" w:hAnsi="Verdana"/>
          <w:sz w:val="18"/>
          <w:szCs w:val="18"/>
        </w:rPr>
      </w:pPr>
      <w:r w:rsidRPr="00DA3503">
        <w:rPr>
          <w:rFonts w:ascii="Verdana" w:hAnsi="Verdana"/>
          <w:sz w:val="18"/>
          <w:szCs w:val="18"/>
        </w:rPr>
        <w:t xml:space="preserve">Het kabinet onderstreept de noodzaak en meerwaarde van een overkoepelend dreigingsbeeld </w:t>
      </w:r>
      <w:r w:rsidRPr="00DA3503" w:rsidR="00BE5B28">
        <w:rPr>
          <w:rFonts w:ascii="Verdana" w:hAnsi="Verdana"/>
          <w:sz w:val="18"/>
          <w:szCs w:val="18"/>
        </w:rPr>
        <w:t>voor de EU</w:t>
      </w:r>
      <w:r w:rsidRPr="00DA3503">
        <w:rPr>
          <w:rFonts w:ascii="Verdana" w:hAnsi="Verdana"/>
          <w:sz w:val="18"/>
          <w:szCs w:val="18"/>
        </w:rPr>
        <w:t xml:space="preserve">, in het bijzonder </w:t>
      </w:r>
      <w:r w:rsidRPr="00DA3503" w:rsidR="00BE5B28">
        <w:rPr>
          <w:rFonts w:ascii="Verdana" w:hAnsi="Verdana"/>
          <w:sz w:val="18"/>
          <w:szCs w:val="18"/>
        </w:rPr>
        <w:t>ter ondersteuning van</w:t>
      </w:r>
      <w:r w:rsidRPr="00DA3503">
        <w:rPr>
          <w:rFonts w:ascii="Verdana" w:hAnsi="Verdana"/>
          <w:sz w:val="18"/>
          <w:szCs w:val="18"/>
        </w:rPr>
        <w:t xml:space="preserve"> besluitvorming over </w:t>
      </w:r>
      <w:r w:rsidRPr="00DA3503" w:rsidR="00AB3C23">
        <w:rPr>
          <w:rFonts w:ascii="Verdana" w:hAnsi="Verdana"/>
          <w:sz w:val="18"/>
          <w:szCs w:val="18"/>
        </w:rPr>
        <w:t>de vorming van voorraden</w:t>
      </w:r>
      <w:r w:rsidRPr="00DA3503">
        <w:rPr>
          <w:rFonts w:ascii="Verdana" w:hAnsi="Verdana"/>
          <w:sz w:val="18"/>
          <w:szCs w:val="18"/>
        </w:rPr>
        <w:t xml:space="preserve">. Het pleit daarom voor een snelle oplevering van een eerste concept, aangevuld met analyses van risico's en kwetsbaarheden in toeleveringsketens. In lijn hiermee is het kabinet positief over de oprichting van </w:t>
      </w:r>
      <w:r w:rsidRPr="00DA3503" w:rsidR="00BF66AB">
        <w:rPr>
          <w:rFonts w:ascii="Verdana" w:hAnsi="Verdana"/>
          <w:sz w:val="18"/>
          <w:szCs w:val="18"/>
        </w:rPr>
        <w:t>de hub</w:t>
      </w:r>
      <w:r w:rsidRPr="00DA3503" w:rsidR="00585C39">
        <w:rPr>
          <w:rFonts w:ascii="Verdana" w:hAnsi="Verdana"/>
          <w:sz w:val="18"/>
          <w:szCs w:val="18"/>
        </w:rPr>
        <w:t xml:space="preserve"> </w:t>
      </w:r>
      <w:r w:rsidRPr="00DA3503">
        <w:rPr>
          <w:rFonts w:ascii="Verdana" w:hAnsi="Verdana"/>
          <w:sz w:val="18"/>
          <w:szCs w:val="18"/>
        </w:rPr>
        <w:t xml:space="preserve">– een </w:t>
      </w:r>
      <w:r w:rsidR="00B937E7">
        <w:rPr>
          <w:rFonts w:ascii="Verdana" w:hAnsi="Verdana"/>
          <w:sz w:val="18"/>
          <w:szCs w:val="18"/>
        </w:rPr>
        <w:t xml:space="preserve">ambitie die </w:t>
      </w:r>
      <w:r w:rsidRPr="00DA3503">
        <w:rPr>
          <w:rFonts w:ascii="Verdana" w:hAnsi="Verdana"/>
          <w:sz w:val="18"/>
          <w:szCs w:val="18"/>
        </w:rPr>
        <w:t xml:space="preserve">Nederland </w:t>
      </w:r>
      <w:r w:rsidR="00B937E7">
        <w:rPr>
          <w:rFonts w:ascii="Verdana" w:hAnsi="Verdana"/>
          <w:sz w:val="18"/>
          <w:szCs w:val="18"/>
        </w:rPr>
        <w:t>langer nastreeft</w:t>
      </w:r>
      <w:r w:rsidRPr="00DA3503">
        <w:rPr>
          <w:rFonts w:ascii="Verdana" w:hAnsi="Verdana"/>
          <w:sz w:val="18"/>
          <w:szCs w:val="18"/>
        </w:rPr>
        <w:t xml:space="preserve"> – die als centrale EU-capaciteit zal dienen voor sector</w:t>
      </w:r>
      <w:r w:rsidRPr="00DA3503" w:rsidR="00BF66AB">
        <w:rPr>
          <w:rFonts w:ascii="Verdana" w:hAnsi="Verdana"/>
          <w:sz w:val="18"/>
          <w:szCs w:val="18"/>
        </w:rPr>
        <w:t>-</w:t>
      </w:r>
      <w:r w:rsidRPr="00DA3503">
        <w:rPr>
          <w:rFonts w:ascii="Verdana" w:hAnsi="Verdana"/>
          <w:sz w:val="18"/>
          <w:szCs w:val="18"/>
        </w:rPr>
        <w:t>overschrijdende risicoparaatheid en crisismanagement. Deze hub zal bijdragen aan een proactieve aanpak door risico</w:t>
      </w:r>
      <w:r w:rsidRPr="00DA3503" w:rsidR="0008362F">
        <w:rPr>
          <w:rFonts w:ascii="Verdana" w:hAnsi="Verdana"/>
          <w:sz w:val="18"/>
          <w:szCs w:val="18"/>
        </w:rPr>
        <w:t>’</w:t>
      </w:r>
      <w:r w:rsidRPr="00DA3503">
        <w:rPr>
          <w:rFonts w:ascii="Verdana" w:hAnsi="Verdana"/>
          <w:sz w:val="18"/>
          <w:szCs w:val="18"/>
        </w:rPr>
        <w:t>s</w:t>
      </w:r>
      <w:r w:rsidRPr="00DA3503" w:rsidR="0008362F">
        <w:rPr>
          <w:rFonts w:ascii="Verdana" w:hAnsi="Verdana"/>
          <w:sz w:val="18"/>
          <w:szCs w:val="18"/>
        </w:rPr>
        <w:t xml:space="preserve"> te</w:t>
      </w:r>
      <w:r w:rsidRPr="00DA3503">
        <w:rPr>
          <w:rFonts w:ascii="Verdana" w:hAnsi="Verdana"/>
          <w:sz w:val="18"/>
          <w:szCs w:val="18"/>
        </w:rPr>
        <w:t xml:space="preserve"> </w:t>
      </w:r>
      <w:r w:rsidRPr="00DA3503" w:rsidR="0008362F">
        <w:rPr>
          <w:rFonts w:ascii="Verdana" w:hAnsi="Verdana"/>
          <w:sz w:val="18"/>
          <w:szCs w:val="18"/>
        </w:rPr>
        <w:t xml:space="preserve">monitoren en hierop </w:t>
      </w:r>
      <w:r w:rsidRPr="00DA3503">
        <w:rPr>
          <w:rFonts w:ascii="Verdana" w:hAnsi="Verdana"/>
          <w:sz w:val="18"/>
          <w:szCs w:val="18"/>
        </w:rPr>
        <w:t xml:space="preserve">te anticiperen, en de gefragmenteerde aanpak tussen lidstaten te doorbreken ten gunste van verbeterde informatie-uitwisseling en coördinatie. Deze gecoördineerde EU-aanpak is essentieel voor effectieve respons en efficiënt middelenbeheer. </w:t>
      </w:r>
      <w:r w:rsidRPr="00DA3503" w:rsidR="00011988">
        <w:rPr>
          <w:rFonts w:ascii="Verdana" w:hAnsi="Verdana"/>
          <w:sz w:val="18"/>
          <w:szCs w:val="18"/>
        </w:rPr>
        <w:t>Het kabinet acht het van belang dat de hub voortbouwt op de bestaande structuren van het Europese Coördinatiecentrum en een centrale rol zal spelen in de coördinatie van cross-sectorale crises</w:t>
      </w:r>
      <w:r w:rsidRPr="00DA3503" w:rsidR="00C30788">
        <w:rPr>
          <w:rFonts w:ascii="Verdana" w:hAnsi="Verdana"/>
          <w:sz w:val="18"/>
          <w:szCs w:val="18"/>
        </w:rPr>
        <w:t xml:space="preserve">. Zo blijft het bestaande Europese Coördinatiecentrum </w:t>
      </w:r>
      <w:r w:rsidRPr="00DA3503" w:rsidR="00C30788">
        <w:rPr>
          <w:rFonts w:ascii="Verdana" w:hAnsi="Verdana"/>
          <w:sz w:val="18"/>
          <w:szCs w:val="18"/>
        </w:rPr>
        <w:lastRenderedPageBreak/>
        <w:t>effectief en efficiënt functioneren, en wordt voorkomen dat er parallelle structuren worden opgebouwd.</w:t>
      </w:r>
      <w:r w:rsidRPr="00DA3503" w:rsidR="00011988">
        <w:rPr>
          <w:rStyle w:val="FootnoteReference"/>
          <w:rFonts w:ascii="Verdana" w:hAnsi="Verdana"/>
          <w:sz w:val="18"/>
          <w:szCs w:val="18"/>
        </w:rPr>
        <w:footnoteReference w:id="20"/>
      </w:r>
      <w:r w:rsidRPr="00DA3503" w:rsidR="00011988">
        <w:rPr>
          <w:rFonts w:ascii="Verdana" w:hAnsi="Verdana"/>
          <w:sz w:val="18"/>
          <w:szCs w:val="18"/>
        </w:rPr>
        <w:t xml:space="preserve"> </w:t>
      </w:r>
    </w:p>
    <w:p w:rsidR="00BE5B28" w:rsidP="003E06D0" w:rsidRDefault="00BE5B28" w14:paraId="7D6AFB55" w14:textId="77777777">
      <w:pPr>
        <w:spacing w:line="360" w:lineRule="auto"/>
        <w:rPr>
          <w:rFonts w:ascii="Verdana" w:hAnsi="Verdana"/>
          <w:iCs/>
          <w:sz w:val="18"/>
          <w:szCs w:val="18"/>
        </w:rPr>
      </w:pPr>
    </w:p>
    <w:p w:rsidRPr="0008667A" w:rsidR="003E06D0" w:rsidP="0008667A" w:rsidRDefault="00D476BC" w14:paraId="598266E7" w14:textId="48BA9D7A">
      <w:pPr>
        <w:spacing w:line="360" w:lineRule="auto"/>
        <w:rPr>
          <w:rFonts w:ascii="Verdana" w:hAnsi="Verdana"/>
          <w:sz w:val="18"/>
          <w:szCs w:val="18"/>
        </w:rPr>
      </w:pPr>
      <w:r w:rsidRPr="00DA3503">
        <w:rPr>
          <w:rFonts w:ascii="Verdana" w:hAnsi="Verdana"/>
          <w:sz w:val="18"/>
          <w:szCs w:val="18"/>
        </w:rPr>
        <w:t>Zoals uiteengezet in het BNC</w:t>
      </w:r>
      <w:r w:rsidRPr="00DA3503" w:rsidR="009E5D6E">
        <w:rPr>
          <w:rFonts w:ascii="Verdana" w:hAnsi="Verdana"/>
          <w:sz w:val="18"/>
          <w:szCs w:val="18"/>
        </w:rPr>
        <w:t>-</w:t>
      </w:r>
      <w:r w:rsidRPr="00DA3503">
        <w:rPr>
          <w:rFonts w:ascii="Verdana" w:hAnsi="Verdana"/>
          <w:sz w:val="18"/>
          <w:szCs w:val="18"/>
        </w:rPr>
        <w:t>fiche over de UCPM-verordening,</w:t>
      </w:r>
      <w:r w:rsidRPr="00DA3503" w:rsidR="003E06D0">
        <w:rPr>
          <w:rFonts w:ascii="Verdana" w:hAnsi="Verdana"/>
          <w:sz w:val="18"/>
          <w:szCs w:val="18"/>
        </w:rPr>
        <w:t xml:space="preserve"> staat </w:t>
      </w:r>
      <w:r w:rsidRPr="00DA3503" w:rsidR="00AB3C23">
        <w:rPr>
          <w:rFonts w:ascii="Verdana" w:hAnsi="Verdana"/>
          <w:sz w:val="18"/>
          <w:szCs w:val="18"/>
        </w:rPr>
        <w:t>het kabinet</w:t>
      </w:r>
      <w:r w:rsidRPr="00DA3503" w:rsidR="003E06D0">
        <w:rPr>
          <w:rFonts w:ascii="Verdana" w:hAnsi="Verdana"/>
          <w:sz w:val="18"/>
          <w:szCs w:val="18"/>
        </w:rPr>
        <w:t xml:space="preserve"> ook positief tegenover de uitbreiding van </w:t>
      </w:r>
      <w:proofErr w:type="spellStart"/>
      <w:r w:rsidRPr="00DA3503" w:rsidR="003E06D0">
        <w:rPr>
          <w:rFonts w:ascii="Verdana" w:hAnsi="Verdana"/>
          <w:sz w:val="18"/>
          <w:szCs w:val="18"/>
        </w:rPr>
        <w:t>rescEU</w:t>
      </w:r>
      <w:proofErr w:type="spellEnd"/>
      <w:r w:rsidRPr="00DA3503" w:rsidR="00BF66AB">
        <w:rPr>
          <w:rFonts w:ascii="Verdana" w:hAnsi="Verdana"/>
          <w:sz w:val="18"/>
          <w:szCs w:val="18"/>
        </w:rPr>
        <w:t>.</w:t>
      </w:r>
      <w:r w:rsidRPr="00DA3503" w:rsidR="00FA0460">
        <w:rPr>
          <w:rFonts w:ascii="Verdana" w:hAnsi="Verdana"/>
          <w:sz w:val="18"/>
          <w:szCs w:val="18"/>
        </w:rPr>
        <w:t xml:space="preserve"> In de EU Medische tegenmaatregelenstrategie wordt </w:t>
      </w:r>
      <w:proofErr w:type="spellStart"/>
      <w:r w:rsidRPr="00DA3503" w:rsidR="00FA0460">
        <w:rPr>
          <w:rFonts w:ascii="Verdana" w:hAnsi="Verdana"/>
          <w:sz w:val="18"/>
          <w:szCs w:val="18"/>
        </w:rPr>
        <w:t>rescEU</w:t>
      </w:r>
      <w:proofErr w:type="spellEnd"/>
      <w:r w:rsidRPr="00DA3503" w:rsidR="00FA0460">
        <w:rPr>
          <w:rFonts w:ascii="Verdana" w:hAnsi="Verdana"/>
          <w:sz w:val="18"/>
          <w:szCs w:val="18"/>
        </w:rPr>
        <w:t xml:space="preserve"> eveneens genoemd als belangrijkste instrument om toe te werken naar meer robuuste EU-medische noodvoorraden, waarbij </w:t>
      </w:r>
      <w:proofErr w:type="spellStart"/>
      <w:r w:rsidRPr="00DA3503" w:rsidR="00FA0460">
        <w:rPr>
          <w:rFonts w:ascii="Verdana" w:hAnsi="Verdana"/>
          <w:sz w:val="18"/>
          <w:szCs w:val="18"/>
        </w:rPr>
        <w:t>rescEU</w:t>
      </w:r>
      <w:proofErr w:type="spellEnd"/>
      <w:r w:rsidRPr="00DA3503" w:rsidR="00FA0460">
        <w:rPr>
          <w:rFonts w:ascii="Verdana" w:hAnsi="Verdana"/>
          <w:sz w:val="18"/>
          <w:szCs w:val="18"/>
        </w:rPr>
        <w:t xml:space="preserve"> niet alleen meer als ‘last resort’ capaciteit zal functioneren. Dit is in feite al het geval voor een verscheidenheid aan producten op het vlak van CBRN. </w:t>
      </w:r>
      <w:r w:rsidRPr="00DA3503">
        <w:rPr>
          <w:rFonts w:ascii="Verdana" w:hAnsi="Verdana"/>
          <w:sz w:val="18"/>
          <w:szCs w:val="18"/>
        </w:rPr>
        <w:t>Ook steunt het kabinet</w:t>
      </w:r>
      <w:r w:rsidRPr="00DA3503" w:rsidR="003E06D0">
        <w:rPr>
          <w:rFonts w:ascii="Verdana" w:hAnsi="Verdana"/>
          <w:sz w:val="18"/>
          <w:szCs w:val="18"/>
        </w:rPr>
        <w:t xml:space="preserve"> het faciliteren van </w:t>
      </w:r>
      <w:r w:rsidRPr="0008667A" w:rsidR="003E00FF">
        <w:rPr>
          <w:rFonts w:ascii="Verdana" w:hAnsi="Verdana"/>
          <w:sz w:val="18"/>
          <w:szCs w:val="18"/>
        </w:rPr>
        <w:t>in-natura</w:t>
      </w:r>
      <w:r w:rsidRPr="00DA3503" w:rsidR="003E06D0">
        <w:rPr>
          <w:rFonts w:ascii="Verdana" w:hAnsi="Verdana"/>
          <w:sz w:val="18"/>
          <w:szCs w:val="18"/>
        </w:rPr>
        <w:t xml:space="preserve"> steun vanuit de private sector, zoals succesvol is gebleken uit de substantiële bijdragen aan de Oekraïense energie-infrastructuur.</w:t>
      </w:r>
      <w:r w:rsidRPr="00DA3503" w:rsidR="003E06D0">
        <w:rPr>
          <w:rStyle w:val="FootnoteReference"/>
          <w:rFonts w:ascii="Verdana" w:hAnsi="Verdana"/>
          <w:sz w:val="18"/>
          <w:szCs w:val="18"/>
        </w:rPr>
        <w:footnoteReference w:id="21"/>
      </w:r>
      <w:r w:rsidRPr="00DA3503" w:rsidR="00D20167">
        <w:rPr>
          <w:rFonts w:ascii="Verdana" w:hAnsi="Verdana"/>
          <w:sz w:val="18"/>
          <w:szCs w:val="18"/>
        </w:rPr>
        <w:t xml:space="preserve"> </w:t>
      </w:r>
    </w:p>
    <w:p w:rsidR="00466FEE" w:rsidP="00466FEE" w:rsidRDefault="00466FEE" w14:paraId="596C6BF4" w14:textId="02797213">
      <w:pPr>
        <w:spacing w:line="360" w:lineRule="auto"/>
        <w:rPr>
          <w:rFonts w:ascii="Verdana" w:hAnsi="Verdana"/>
          <w:iCs/>
          <w:sz w:val="18"/>
          <w:szCs w:val="18"/>
        </w:rPr>
      </w:pPr>
    </w:p>
    <w:p w:rsidRPr="00963494" w:rsidR="00963494" w:rsidP="00963494" w:rsidRDefault="00EE26B9" w14:paraId="706C1AD8" w14:textId="1A383A69">
      <w:pPr>
        <w:spacing w:line="360" w:lineRule="auto"/>
        <w:rPr>
          <w:rFonts w:ascii="Verdana" w:hAnsi="Verdana"/>
          <w:sz w:val="18"/>
          <w:szCs w:val="18"/>
        </w:rPr>
      </w:pPr>
      <w:r w:rsidRPr="00DA3503">
        <w:rPr>
          <w:rFonts w:ascii="Verdana" w:hAnsi="Verdana"/>
          <w:sz w:val="18"/>
          <w:szCs w:val="18"/>
        </w:rPr>
        <w:t xml:space="preserve">Het kabinet onderstreept de noodzaak van een </w:t>
      </w:r>
      <w:r w:rsidRPr="00D26AF3">
        <w:rPr>
          <w:rFonts w:ascii="Verdana" w:hAnsi="Verdana"/>
          <w:sz w:val="18"/>
          <w:szCs w:val="18"/>
        </w:rPr>
        <w:t>veerkrachtige en onderling verbonden logistieke</w:t>
      </w:r>
      <w:r>
        <w:rPr>
          <w:rFonts w:ascii="Verdana" w:hAnsi="Verdana"/>
          <w:sz w:val="18"/>
          <w:szCs w:val="18"/>
        </w:rPr>
        <w:t>-</w:t>
      </w:r>
      <w:r w:rsidRPr="00D26AF3">
        <w:rPr>
          <w:rFonts w:ascii="Verdana" w:hAnsi="Verdana"/>
          <w:sz w:val="18"/>
          <w:szCs w:val="18"/>
        </w:rPr>
        <w:t xml:space="preserve"> en transportinfrastructuur</w:t>
      </w:r>
      <w:r w:rsidRPr="00DA3503">
        <w:rPr>
          <w:rFonts w:ascii="Verdana" w:hAnsi="Verdana"/>
          <w:sz w:val="18"/>
          <w:szCs w:val="18"/>
        </w:rPr>
        <w:t xml:space="preserve">. Net als het eerder gepubliceerde </w:t>
      </w:r>
      <w:r w:rsidR="00076100">
        <w:rPr>
          <w:rFonts w:ascii="Verdana" w:hAnsi="Verdana"/>
          <w:sz w:val="18"/>
          <w:szCs w:val="18"/>
        </w:rPr>
        <w:t>Europees noodplan voor vervoer</w:t>
      </w:r>
      <w:r>
        <w:rPr>
          <w:rStyle w:val="FootnoteReference"/>
          <w:rFonts w:ascii="Verdana" w:hAnsi="Verdana"/>
          <w:sz w:val="18"/>
          <w:szCs w:val="18"/>
        </w:rPr>
        <w:footnoteReference w:id="22"/>
      </w:r>
      <w:r w:rsidR="0079394D">
        <w:rPr>
          <w:rFonts w:ascii="Verdana" w:hAnsi="Verdana"/>
          <w:sz w:val="18"/>
          <w:szCs w:val="18"/>
        </w:rPr>
        <w:t xml:space="preserve"> </w:t>
      </w:r>
      <w:r w:rsidRPr="00DA3503" w:rsidR="006A55A2">
        <w:rPr>
          <w:rFonts w:ascii="Verdana" w:hAnsi="Verdana"/>
          <w:sz w:val="18"/>
          <w:szCs w:val="18"/>
        </w:rPr>
        <w:t xml:space="preserve">kan een nauwe samenwerking tussen het voorradennetwerk en </w:t>
      </w:r>
      <w:r w:rsidRPr="00D433A9" w:rsidR="006A55A2">
        <w:rPr>
          <w:rFonts w:ascii="Verdana" w:hAnsi="Verdana"/>
          <w:sz w:val="18"/>
          <w:szCs w:val="18"/>
        </w:rPr>
        <w:t xml:space="preserve">netwerk van nationale transport </w:t>
      </w:r>
      <w:r w:rsidR="006A55A2">
        <w:rPr>
          <w:rFonts w:ascii="Verdana" w:hAnsi="Verdana"/>
          <w:sz w:val="18"/>
          <w:szCs w:val="18"/>
        </w:rPr>
        <w:t xml:space="preserve">contactpunten </w:t>
      </w:r>
      <w:r w:rsidR="003E505E">
        <w:rPr>
          <w:rFonts w:ascii="Verdana" w:hAnsi="Verdana"/>
          <w:sz w:val="18"/>
          <w:szCs w:val="18"/>
        </w:rPr>
        <w:t>hieraan bijdragen</w:t>
      </w:r>
      <w:r w:rsidR="006A55A2">
        <w:rPr>
          <w:rFonts w:ascii="Verdana" w:hAnsi="Verdana"/>
          <w:sz w:val="18"/>
          <w:szCs w:val="18"/>
        </w:rPr>
        <w:t xml:space="preserve">. </w:t>
      </w:r>
      <w:r w:rsidR="006C1C7B">
        <w:rPr>
          <w:rFonts w:ascii="Verdana" w:hAnsi="Verdana"/>
          <w:sz w:val="18"/>
          <w:szCs w:val="18"/>
        </w:rPr>
        <w:t>Het kabinet is</w:t>
      </w:r>
      <w:r w:rsidR="006A55A2">
        <w:rPr>
          <w:rFonts w:ascii="Verdana" w:hAnsi="Verdana"/>
          <w:sz w:val="18"/>
          <w:szCs w:val="18"/>
        </w:rPr>
        <w:t xml:space="preserve"> daarnaast</w:t>
      </w:r>
      <w:r w:rsidR="006C1C7B">
        <w:rPr>
          <w:rFonts w:ascii="Verdana" w:hAnsi="Verdana"/>
          <w:sz w:val="18"/>
          <w:szCs w:val="18"/>
        </w:rPr>
        <w:t xml:space="preserve"> groot voorstander van</w:t>
      </w:r>
      <w:r w:rsidR="00B54200">
        <w:rPr>
          <w:rFonts w:ascii="Verdana" w:hAnsi="Verdana"/>
          <w:sz w:val="18"/>
          <w:szCs w:val="18"/>
        </w:rPr>
        <w:t xml:space="preserve"> </w:t>
      </w:r>
      <w:r w:rsidR="00963494">
        <w:rPr>
          <w:rFonts w:ascii="Verdana" w:hAnsi="Verdana"/>
          <w:sz w:val="18"/>
          <w:szCs w:val="18"/>
        </w:rPr>
        <w:t>EU-</w:t>
      </w:r>
      <w:r w:rsidR="00B54200">
        <w:rPr>
          <w:rFonts w:ascii="Verdana" w:hAnsi="Verdana"/>
          <w:sz w:val="18"/>
          <w:szCs w:val="18"/>
        </w:rPr>
        <w:t xml:space="preserve">projecten aangaande militaire </w:t>
      </w:r>
      <w:r w:rsidR="00AB3C23">
        <w:rPr>
          <w:rFonts w:ascii="Verdana" w:hAnsi="Verdana"/>
          <w:sz w:val="18"/>
          <w:szCs w:val="18"/>
        </w:rPr>
        <w:t>mobiliteit</w:t>
      </w:r>
      <w:r w:rsidR="006C1C7B">
        <w:rPr>
          <w:rFonts w:ascii="Verdana" w:hAnsi="Verdana"/>
          <w:sz w:val="18"/>
          <w:szCs w:val="18"/>
        </w:rPr>
        <w:t xml:space="preserve"> </w:t>
      </w:r>
      <w:r w:rsidRPr="006C1C7B" w:rsidR="006C1C7B">
        <w:rPr>
          <w:rFonts w:ascii="Verdana" w:hAnsi="Verdana"/>
          <w:sz w:val="18"/>
          <w:szCs w:val="18"/>
        </w:rPr>
        <w:t xml:space="preserve">en is </w:t>
      </w:r>
      <w:r w:rsidRPr="006C1C7B" w:rsidR="28E77016">
        <w:rPr>
          <w:rFonts w:ascii="Verdana" w:hAnsi="Verdana"/>
          <w:sz w:val="18"/>
          <w:szCs w:val="18"/>
        </w:rPr>
        <w:t xml:space="preserve">onder andere </w:t>
      </w:r>
      <w:r w:rsidRPr="006C1C7B" w:rsidR="006C1C7B">
        <w:rPr>
          <w:rFonts w:ascii="Verdana" w:hAnsi="Verdana"/>
          <w:sz w:val="18"/>
          <w:szCs w:val="18"/>
        </w:rPr>
        <w:t xml:space="preserve">als </w:t>
      </w:r>
      <w:r w:rsidRPr="006C1C7B" w:rsidR="60696D23">
        <w:rPr>
          <w:rFonts w:ascii="Verdana" w:hAnsi="Verdana"/>
          <w:sz w:val="18"/>
          <w:szCs w:val="18"/>
        </w:rPr>
        <w:t>coö</w:t>
      </w:r>
      <w:r w:rsidRPr="006C1C7B" w:rsidR="28E77016">
        <w:rPr>
          <w:rFonts w:ascii="Verdana" w:hAnsi="Verdana"/>
          <w:sz w:val="18"/>
          <w:szCs w:val="18"/>
        </w:rPr>
        <w:t>rdinator</w:t>
      </w:r>
      <w:r w:rsidRPr="006C1C7B" w:rsidR="006C1C7B">
        <w:rPr>
          <w:rFonts w:ascii="Verdana" w:hAnsi="Verdana"/>
          <w:sz w:val="18"/>
          <w:szCs w:val="18"/>
        </w:rPr>
        <w:t xml:space="preserve"> van het </w:t>
      </w:r>
      <w:r w:rsidRPr="0008667A" w:rsidR="003E00FF">
        <w:rPr>
          <w:rFonts w:ascii="Verdana" w:hAnsi="Verdana"/>
          <w:i/>
          <w:iCs/>
          <w:sz w:val="18"/>
          <w:szCs w:val="18"/>
        </w:rPr>
        <w:t xml:space="preserve">EU Permanent </w:t>
      </w:r>
      <w:proofErr w:type="spellStart"/>
      <w:r w:rsidRPr="0008667A" w:rsidR="003E00FF">
        <w:rPr>
          <w:rFonts w:ascii="Verdana" w:hAnsi="Verdana"/>
          <w:i/>
          <w:iCs/>
          <w:sz w:val="18"/>
          <w:szCs w:val="18"/>
        </w:rPr>
        <w:t>Structured</w:t>
      </w:r>
      <w:proofErr w:type="spellEnd"/>
      <w:r w:rsidRPr="0008667A" w:rsidR="003E00FF">
        <w:rPr>
          <w:rFonts w:ascii="Verdana" w:hAnsi="Verdana"/>
          <w:i/>
          <w:iCs/>
          <w:sz w:val="18"/>
          <w:szCs w:val="18"/>
        </w:rPr>
        <w:t xml:space="preserve"> Cooperation</w:t>
      </w:r>
      <w:r w:rsidRPr="003E00FF" w:rsidR="003E00FF">
        <w:rPr>
          <w:rFonts w:ascii="Verdana" w:hAnsi="Verdana"/>
          <w:sz w:val="18"/>
          <w:szCs w:val="18"/>
        </w:rPr>
        <w:t xml:space="preserve"> </w:t>
      </w:r>
      <w:r w:rsidRPr="006C1C7B" w:rsidR="006C1C7B">
        <w:rPr>
          <w:rFonts w:ascii="Verdana" w:hAnsi="Verdana"/>
          <w:sz w:val="18"/>
          <w:szCs w:val="18"/>
        </w:rPr>
        <w:t>PESCO</w:t>
      </w:r>
      <w:r w:rsidR="006C1C7B">
        <w:rPr>
          <w:rFonts w:ascii="Verdana" w:hAnsi="Verdana"/>
          <w:sz w:val="18"/>
          <w:szCs w:val="18"/>
        </w:rPr>
        <w:t>-</w:t>
      </w:r>
      <w:r w:rsidRPr="006C1C7B" w:rsidR="006C1C7B">
        <w:rPr>
          <w:rFonts w:ascii="Verdana" w:hAnsi="Verdana"/>
          <w:sz w:val="18"/>
          <w:szCs w:val="18"/>
        </w:rPr>
        <w:t>project een belangrijke aanjager om de samenwerking op dit vlak te bevorderen</w:t>
      </w:r>
      <w:r w:rsidR="00B54200">
        <w:rPr>
          <w:rFonts w:ascii="Verdana" w:hAnsi="Verdana"/>
          <w:sz w:val="18"/>
          <w:szCs w:val="18"/>
        </w:rPr>
        <w:t>.</w:t>
      </w:r>
      <w:r w:rsidR="00963494">
        <w:rPr>
          <w:rFonts w:ascii="Verdana" w:hAnsi="Verdana"/>
          <w:sz w:val="18"/>
          <w:szCs w:val="18"/>
        </w:rPr>
        <w:t xml:space="preserve"> </w:t>
      </w:r>
      <w:r w:rsidRPr="00963494" w:rsidR="00963494">
        <w:rPr>
          <w:rFonts w:ascii="Verdana" w:hAnsi="Verdana"/>
          <w:sz w:val="18"/>
          <w:szCs w:val="18"/>
        </w:rPr>
        <w:t>Zoals genoemd in onder andere de Kabinetsappreciatie Witboek Europese Defensiegereedheid 2030 is militaire mobiliteit volgens het kabinet van cruciaal belang voor de versterking van de collectieve verdediging.</w:t>
      </w:r>
      <w:r w:rsidR="00B54200">
        <w:rPr>
          <w:rFonts w:ascii="Verdana" w:hAnsi="Verdana"/>
          <w:sz w:val="18"/>
          <w:szCs w:val="18"/>
        </w:rPr>
        <w:t xml:space="preserve"> Stappen om </w:t>
      </w:r>
      <w:r w:rsidR="00963494">
        <w:rPr>
          <w:rFonts w:ascii="Verdana" w:hAnsi="Verdana"/>
          <w:sz w:val="18"/>
          <w:szCs w:val="18"/>
        </w:rPr>
        <w:t xml:space="preserve">de hierop </w:t>
      </w:r>
      <w:r w:rsidR="00B54200">
        <w:rPr>
          <w:rFonts w:ascii="Verdana" w:hAnsi="Verdana"/>
          <w:sz w:val="18"/>
          <w:szCs w:val="18"/>
        </w:rPr>
        <w:t>uiteenlopende initiatieven, activiteiten en entiteiten (zowel in EU</w:t>
      </w:r>
      <w:r w:rsidR="00482EAB">
        <w:rPr>
          <w:rFonts w:ascii="Verdana" w:hAnsi="Verdana"/>
          <w:sz w:val="18"/>
          <w:szCs w:val="18"/>
        </w:rPr>
        <w:t>-</w:t>
      </w:r>
      <w:r w:rsidR="00B54200">
        <w:rPr>
          <w:rFonts w:ascii="Verdana" w:hAnsi="Verdana"/>
          <w:sz w:val="18"/>
          <w:szCs w:val="18"/>
        </w:rPr>
        <w:t xml:space="preserve"> als NAVO</w:t>
      </w:r>
      <w:r w:rsidR="00482EAB">
        <w:rPr>
          <w:rFonts w:ascii="Verdana" w:hAnsi="Verdana"/>
          <w:sz w:val="18"/>
          <w:szCs w:val="18"/>
        </w:rPr>
        <w:t>-</w:t>
      </w:r>
      <w:r w:rsidR="00B54200">
        <w:rPr>
          <w:rFonts w:ascii="Verdana" w:hAnsi="Verdana"/>
          <w:sz w:val="18"/>
          <w:szCs w:val="18"/>
        </w:rPr>
        <w:t xml:space="preserve">verband) beter </w:t>
      </w:r>
      <w:r w:rsidR="006C1C7B">
        <w:rPr>
          <w:rFonts w:ascii="Verdana" w:hAnsi="Verdana"/>
          <w:sz w:val="18"/>
          <w:szCs w:val="18"/>
        </w:rPr>
        <w:t>af te stemmen</w:t>
      </w:r>
      <w:r w:rsidR="00B54200">
        <w:rPr>
          <w:rFonts w:ascii="Verdana" w:hAnsi="Verdana"/>
          <w:sz w:val="18"/>
          <w:szCs w:val="18"/>
        </w:rPr>
        <w:t>, worden door dit kabinet</w:t>
      </w:r>
      <w:r w:rsidR="00963494">
        <w:rPr>
          <w:rFonts w:ascii="Verdana" w:hAnsi="Verdana"/>
          <w:sz w:val="18"/>
          <w:szCs w:val="18"/>
        </w:rPr>
        <w:t xml:space="preserve"> dan ook sterk</w:t>
      </w:r>
      <w:r w:rsidR="00B54200">
        <w:rPr>
          <w:rFonts w:ascii="Verdana" w:hAnsi="Verdana"/>
          <w:sz w:val="18"/>
          <w:szCs w:val="18"/>
        </w:rPr>
        <w:t xml:space="preserve"> aangemoedigd. </w:t>
      </w:r>
      <w:r w:rsidRPr="00963494" w:rsidR="00963494">
        <w:rPr>
          <w:rFonts w:ascii="Verdana" w:hAnsi="Verdana"/>
          <w:sz w:val="18"/>
          <w:szCs w:val="18"/>
        </w:rPr>
        <w:t xml:space="preserve">Daarom kijkt het kabinet positief naar het in de </w:t>
      </w:r>
      <w:r w:rsidRPr="00DA3503" w:rsidR="00545D91">
        <w:rPr>
          <w:rFonts w:ascii="Verdana" w:hAnsi="Verdana"/>
          <w:sz w:val="18"/>
          <w:szCs w:val="18"/>
        </w:rPr>
        <w:t>voorradenstrategie</w:t>
      </w:r>
      <w:r w:rsidRPr="00DA3503" w:rsidR="00963494">
        <w:rPr>
          <w:rFonts w:ascii="Verdana" w:hAnsi="Verdana"/>
          <w:sz w:val="18"/>
          <w:szCs w:val="18"/>
        </w:rPr>
        <w:t xml:space="preserve"> </w:t>
      </w:r>
      <w:r w:rsidRPr="00963494" w:rsidR="00963494">
        <w:rPr>
          <w:rFonts w:ascii="Verdana" w:hAnsi="Verdana"/>
          <w:sz w:val="18"/>
          <w:szCs w:val="18"/>
        </w:rPr>
        <w:t>aangekondigde voornemen van de Commissie om voorraadlocaties beter af te stemmen op EU militaire mobiliteit</w:t>
      </w:r>
      <w:r w:rsidR="006A55A2">
        <w:rPr>
          <w:rFonts w:ascii="Verdana" w:hAnsi="Verdana"/>
          <w:sz w:val="18"/>
          <w:szCs w:val="18"/>
        </w:rPr>
        <w:t>,</w:t>
      </w:r>
      <w:r w:rsidRPr="00963494" w:rsidR="00963494">
        <w:rPr>
          <w:rFonts w:ascii="Verdana" w:hAnsi="Verdana"/>
          <w:sz w:val="18"/>
          <w:szCs w:val="18"/>
        </w:rPr>
        <w:t xml:space="preserve"> en gesprekken te faciliteren waarin wordt </w:t>
      </w:r>
      <w:r w:rsidR="006A55A2">
        <w:rPr>
          <w:rFonts w:ascii="Verdana" w:hAnsi="Verdana"/>
          <w:sz w:val="18"/>
          <w:szCs w:val="18"/>
        </w:rPr>
        <w:t>onderzocht</w:t>
      </w:r>
      <w:r w:rsidRPr="00963494" w:rsidR="00963494">
        <w:rPr>
          <w:rFonts w:ascii="Verdana" w:hAnsi="Verdana"/>
          <w:sz w:val="18"/>
          <w:szCs w:val="18"/>
        </w:rPr>
        <w:t xml:space="preserve"> hoe er bij </w:t>
      </w:r>
      <w:r w:rsidR="006A55A2">
        <w:rPr>
          <w:rFonts w:ascii="Verdana" w:hAnsi="Verdana"/>
          <w:sz w:val="18"/>
          <w:szCs w:val="18"/>
        </w:rPr>
        <w:t xml:space="preserve">de aanleg van </w:t>
      </w:r>
      <w:r w:rsidRPr="00963494" w:rsidR="00963494">
        <w:rPr>
          <w:rFonts w:ascii="Verdana" w:hAnsi="Verdana"/>
          <w:sz w:val="18"/>
          <w:szCs w:val="18"/>
        </w:rPr>
        <w:t>civiele voorraden ook rekening kan worden gehouden met militaire vereisten en noden.</w:t>
      </w:r>
      <w:r w:rsidRPr="00963494" w:rsidR="009E153D">
        <w:rPr>
          <w:rFonts w:ascii="Verdana" w:hAnsi="Verdana"/>
          <w:sz w:val="18"/>
          <w:szCs w:val="18"/>
        </w:rPr>
        <w:t xml:space="preserve"> </w:t>
      </w:r>
    </w:p>
    <w:p w:rsidR="00B54200" w:rsidP="00466FEE" w:rsidRDefault="00B54200" w14:paraId="2AD8438E" w14:textId="77777777">
      <w:pPr>
        <w:spacing w:line="360" w:lineRule="auto"/>
        <w:rPr>
          <w:rFonts w:ascii="Verdana" w:hAnsi="Verdana"/>
          <w:sz w:val="18"/>
          <w:szCs w:val="18"/>
        </w:rPr>
      </w:pPr>
    </w:p>
    <w:p w:rsidRPr="0008667A" w:rsidR="0069578E" w:rsidP="0008667A" w:rsidRDefault="00C354BB" w14:paraId="6FED21FC" w14:textId="25D4A80F">
      <w:pPr>
        <w:spacing w:line="360" w:lineRule="auto"/>
        <w:rPr>
          <w:rFonts w:ascii="Verdana" w:hAnsi="Verdana"/>
          <w:sz w:val="18"/>
          <w:szCs w:val="18"/>
        </w:rPr>
      </w:pPr>
      <w:r w:rsidRPr="00DA3503">
        <w:rPr>
          <w:rFonts w:ascii="Verdana" w:hAnsi="Verdana"/>
          <w:sz w:val="18"/>
          <w:szCs w:val="18"/>
        </w:rPr>
        <w:t xml:space="preserve">Al in een eerder non-paper heeft </w:t>
      </w:r>
      <w:r w:rsidRPr="00DA3503" w:rsidR="00482EAB">
        <w:rPr>
          <w:rFonts w:ascii="Verdana" w:hAnsi="Verdana"/>
          <w:sz w:val="18"/>
          <w:szCs w:val="18"/>
        </w:rPr>
        <w:t>het kabinet</w:t>
      </w:r>
      <w:r w:rsidRPr="00DA3503">
        <w:rPr>
          <w:rFonts w:ascii="Verdana" w:hAnsi="Verdana"/>
          <w:sz w:val="18"/>
          <w:szCs w:val="18"/>
        </w:rPr>
        <w:t xml:space="preserve"> gepleit voor stevige civiel-militaire samenwerking, in het bijzonder tussen de EU en NAVO</w:t>
      </w:r>
      <w:r w:rsidRPr="00DA3503" w:rsidR="00B1156A">
        <w:rPr>
          <w:rFonts w:ascii="Verdana" w:hAnsi="Verdana"/>
          <w:sz w:val="18"/>
          <w:szCs w:val="18"/>
        </w:rPr>
        <w:t>.</w:t>
      </w:r>
      <w:r w:rsidRPr="00DA3503" w:rsidR="006C1C7B">
        <w:rPr>
          <w:rStyle w:val="FootnoteReference"/>
          <w:rFonts w:ascii="Verdana" w:hAnsi="Verdana"/>
          <w:sz w:val="18"/>
          <w:szCs w:val="18"/>
        </w:rPr>
        <w:footnoteReference w:id="23"/>
      </w:r>
      <w:r w:rsidRPr="00DA3503">
        <w:rPr>
          <w:rFonts w:ascii="Verdana" w:hAnsi="Verdana"/>
          <w:sz w:val="18"/>
          <w:szCs w:val="18"/>
        </w:rPr>
        <w:t xml:space="preserve"> Het voornemen om de gestructureerde dialoog tussen de EU- en NAVO staven verder uit te breiden </w:t>
      </w:r>
      <w:r w:rsidRPr="00DA3503" w:rsidR="001F3E47">
        <w:rPr>
          <w:rFonts w:ascii="Verdana" w:hAnsi="Verdana"/>
          <w:sz w:val="18"/>
          <w:szCs w:val="18"/>
        </w:rPr>
        <w:t>wordt daarom aangemoedigd door het kabinet</w:t>
      </w:r>
      <w:r w:rsidRPr="00DA3503">
        <w:rPr>
          <w:rFonts w:ascii="Verdana" w:hAnsi="Verdana"/>
          <w:sz w:val="18"/>
          <w:szCs w:val="18"/>
        </w:rPr>
        <w:t xml:space="preserve">. Daarmee sluit dit aan op </w:t>
      </w:r>
      <w:r w:rsidRPr="00DA3503">
        <w:rPr>
          <w:rFonts w:ascii="Verdana" w:hAnsi="Verdana"/>
          <w:i/>
          <w:iCs/>
          <w:sz w:val="18"/>
          <w:szCs w:val="18"/>
        </w:rPr>
        <w:t xml:space="preserve">de Joint Letter of </w:t>
      </w:r>
      <w:proofErr w:type="spellStart"/>
      <w:r w:rsidRPr="00DA3503">
        <w:rPr>
          <w:rFonts w:ascii="Verdana" w:hAnsi="Verdana"/>
          <w:i/>
          <w:iCs/>
          <w:sz w:val="18"/>
          <w:szCs w:val="18"/>
        </w:rPr>
        <w:t>Intent</w:t>
      </w:r>
      <w:proofErr w:type="spellEnd"/>
      <w:r w:rsidRPr="00DA3503">
        <w:rPr>
          <w:rFonts w:ascii="Verdana" w:hAnsi="Verdana"/>
          <w:sz w:val="18"/>
          <w:szCs w:val="18"/>
        </w:rPr>
        <w:t xml:space="preserve"> tijdens de NAVO</w:t>
      </w:r>
      <w:r w:rsidR="00B1156A">
        <w:rPr>
          <w:rFonts w:ascii="Verdana" w:hAnsi="Verdana"/>
          <w:sz w:val="18"/>
          <w:szCs w:val="18"/>
        </w:rPr>
        <w:t>-</w:t>
      </w:r>
      <w:r w:rsidRPr="00DA3503">
        <w:rPr>
          <w:rFonts w:ascii="Verdana" w:hAnsi="Verdana"/>
          <w:sz w:val="18"/>
          <w:szCs w:val="18"/>
        </w:rPr>
        <w:t xml:space="preserve">top 2025, waarin bondgenoten </w:t>
      </w:r>
      <w:r w:rsidRPr="00DA3503" w:rsidR="009845E7">
        <w:rPr>
          <w:rFonts w:ascii="Verdana" w:hAnsi="Verdana"/>
          <w:sz w:val="18"/>
          <w:szCs w:val="18"/>
        </w:rPr>
        <w:t>de gedeelde ambitie uitspraken te willen verkennen hoe multilaterale capaciteit kan worden ingezet voor het verwerven, opslaan, vervoeren en beheren van voorraden van kritieke grondstoffen voor defensie.</w:t>
      </w:r>
    </w:p>
    <w:p w:rsidR="009845E7" w:rsidP="00466FEE" w:rsidRDefault="009845E7" w14:paraId="3468CFB6" w14:textId="77777777">
      <w:pPr>
        <w:spacing w:line="360" w:lineRule="auto"/>
        <w:rPr>
          <w:rFonts w:ascii="Verdana" w:hAnsi="Verdana"/>
          <w:iCs/>
          <w:sz w:val="18"/>
          <w:szCs w:val="18"/>
        </w:rPr>
      </w:pPr>
    </w:p>
    <w:p w:rsidRPr="0008667A" w:rsidR="00EA29CB" w:rsidP="0008667A" w:rsidRDefault="00EA29CB" w14:paraId="02FB8CF5" w14:textId="42F6776F">
      <w:pPr>
        <w:spacing w:line="360" w:lineRule="auto"/>
        <w:rPr>
          <w:rFonts w:ascii="Verdana" w:hAnsi="Verdana"/>
          <w:sz w:val="18"/>
          <w:szCs w:val="18"/>
        </w:rPr>
      </w:pPr>
      <w:r w:rsidRPr="00DA3503">
        <w:rPr>
          <w:rFonts w:ascii="Verdana" w:hAnsi="Verdana"/>
          <w:sz w:val="18"/>
          <w:szCs w:val="18"/>
        </w:rPr>
        <w:lastRenderedPageBreak/>
        <w:t>Het kabinet is in het kader van weerbaarheid bij militaire en hybride dreiging in samenwerking met branche en koepelorganisaties in gesprek met bedrijven om tot een samenhangende publiek-private aanpak te komen voor het verhogen van de weerbaarheid van het brede Nederlandse bedrijfsleven in geval van langdurige uitval van elektriciteit, telecommunicatie. In deze gesprekken worden naast voorraadvorming over diverse alternatieve initiatieven en potentiële maatregelen gesproken om de leveringszekerheid en continuïteit van het bedrijfsleven te versterken bij crisissituaties</w:t>
      </w:r>
      <w:r w:rsidR="0092719A">
        <w:rPr>
          <w:rFonts w:ascii="Verdana" w:hAnsi="Verdana"/>
          <w:sz w:val="18"/>
          <w:szCs w:val="18"/>
        </w:rPr>
        <w:t xml:space="preserve">, </w:t>
      </w:r>
      <w:r w:rsidR="0092719A">
        <w:rPr>
          <w:rFonts w:ascii="Verdana" w:hAnsi="Verdana"/>
          <w:iCs/>
          <w:sz w:val="18"/>
          <w:szCs w:val="18"/>
        </w:rPr>
        <w:t>in geval van een natuurramp, hybride aanval of in het geval dat Nederland door</w:t>
      </w:r>
      <w:r w:rsidRPr="00983DBD" w:rsidR="0092719A">
        <w:rPr>
          <w:rFonts w:ascii="Verdana" w:hAnsi="Verdana"/>
          <w:iCs/>
          <w:sz w:val="18"/>
          <w:szCs w:val="18"/>
        </w:rPr>
        <w:t xml:space="preserve"> de collectieve verdedigingsclausule in het NAVO-verdrag (“artikel 5”) direct betrokken raakt bij een grootschalig gewapend conflict</w:t>
      </w:r>
      <w:r w:rsidRPr="00DA3503">
        <w:rPr>
          <w:rFonts w:ascii="Verdana" w:hAnsi="Verdana"/>
          <w:sz w:val="18"/>
          <w:szCs w:val="18"/>
        </w:rPr>
        <w:t xml:space="preserve">. Deze bijeenkomsten zijn complementaire aan de gesprekken die </w:t>
      </w:r>
      <w:r w:rsidRPr="00DA3503" w:rsidR="00170E46">
        <w:rPr>
          <w:rFonts w:ascii="Verdana" w:hAnsi="Verdana"/>
          <w:sz w:val="18"/>
          <w:szCs w:val="18"/>
        </w:rPr>
        <w:t>het kabinet</w:t>
      </w:r>
      <w:r w:rsidRPr="00DA3503">
        <w:rPr>
          <w:rFonts w:ascii="Verdana" w:hAnsi="Verdana"/>
          <w:sz w:val="18"/>
          <w:szCs w:val="18"/>
        </w:rPr>
        <w:t xml:space="preserve"> reeds voer</w:t>
      </w:r>
      <w:r w:rsidRPr="00DA3503" w:rsidR="00170E46">
        <w:rPr>
          <w:rFonts w:ascii="Verdana" w:hAnsi="Verdana"/>
          <w:sz w:val="18"/>
          <w:szCs w:val="18"/>
        </w:rPr>
        <w:t>t</w:t>
      </w:r>
      <w:r w:rsidRPr="00DA3503">
        <w:rPr>
          <w:rFonts w:ascii="Verdana" w:hAnsi="Verdana"/>
          <w:sz w:val="18"/>
          <w:szCs w:val="18"/>
        </w:rPr>
        <w:t xml:space="preserve"> met organisaties en bedrijven op de weerbaarheid van vitale processen te verhogen. Het kabinet ziet graag verduidelijking hoe de publiek-private taskforce zich verhoudt tot zowel nationale initiatieven als andere EU-initiatieven zoals de Raad voor noodsituaties en veerkracht zoals voorzien onder de IMERA.</w:t>
      </w:r>
    </w:p>
    <w:p w:rsidR="00EA29CB" w:rsidP="00466FEE" w:rsidRDefault="00EA29CB" w14:paraId="2F1132C7" w14:textId="77777777">
      <w:pPr>
        <w:spacing w:line="360" w:lineRule="auto"/>
        <w:rPr>
          <w:rFonts w:ascii="Verdana" w:hAnsi="Verdana"/>
          <w:iCs/>
          <w:sz w:val="18"/>
          <w:szCs w:val="18"/>
        </w:rPr>
      </w:pPr>
    </w:p>
    <w:p w:rsidR="006C1C7B" w:rsidP="00466FEE" w:rsidRDefault="006C1C7B" w14:paraId="597E270B" w14:textId="3DCF60EB">
      <w:pPr>
        <w:spacing w:line="360" w:lineRule="auto"/>
        <w:rPr>
          <w:rFonts w:ascii="Verdana" w:hAnsi="Verdana"/>
          <w:sz w:val="18"/>
          <w:szCs w:val="18"/>
        </w:rPr>
      </w:pPr>
      <w:r w:rsidRPr="006C1C7B">
        <w:rPr>
          <w:rFonts w:ascii="Verdana" w:hAnsi="Verdana"/>
          <w:sz w:val="18"/>
          <w:szCs w:val="18"/>
        </w:rPr>
        <w:t>Tot slot onderstreept het kabinet het belang van intensieve samenwerking met partners buiten de EU om de gezamenlijke voorraadvorming te versterken. Het kabinet kan de voorstellen van de Commissie daarom steunen en zal in de uitwerking van de strategie aandacht blijven vragen om samenwerking hierop te intensiveren</w:t>
      </w:r>
      <w:r w:rsidR="00FA499D">
        <w:rPr>
          <w:rFonts w:ascii="Verdana" w:hAnsi="Verdana"/>
          <w:sz w:val="18"/>
          <w:szCs w:val="18"/>
        </w:rPr>
        <w:t>,</w:t>
      </w:r>
      <w:r w:rsidRPr="006C1C7B">
        <w:rPr>
          <w:rFonts w:ascii="Verdana" w:hAnsi="Verdana"/>
          <w:sz w:val="18"/>
          <w:szCs w:val="18"/>
        </w:rPr>
        <w:t xml:space="preserve"> onder andere via </w:t>
      </w:r>
      <w:r w:rsidRPr="0008667A">
        <w:rPr>
          <w:rFonts w:ascii="Verdana" w:hAnsi="Verdana"/>
          <w:i/>
          <w:iCs/>
          <w:sz w:val="18"/>
          <w:szCs w:val="18"/>
        </w:rPr>
        <w:t>Global Gateway</w:t>
      </w:r>
      <w:r w:rsidRPr="006C1C7B">
        <w:rPr>
          <w:rFonts w:ascii="Verdana" w:hAnsi="Verdana"/>
          <w:sz w:val="18"/>
          <w:szCs w:val="18"/>
        </w:rPr>
        <w:t xml:space="preserve"> initiatieven of samenwerking met kandidaat-lidstaten </w:t>
      </w:r>
      <w:r w:rsidR="008F7CA5">
        <w:rPr>
          <w:rFonts w:ascii="Verdana" w:hAnsi="Verdana"/>
          <w:sz w:val="18"/>
          <w:szCs w:val="18"/>
        </w:rPr>
        <w:t>zo</w:t>
      </w:r>
      <w:r w:rsidRPr="006C1C7B">
        <w:rPr>
          <w:rFonts w:ascii="Verdana" w:hAnsi="Verdana"/>
          <w:sz w:val="18"/>
          <w:szCs w:val="18"/>
        </w:rPr>
        <w:t>als Oekraïne.</w:t>
      </w:r>
    </w:p>
    <w:p w:rsidRPr="0063584C" w:rsidR="00567557" w:rsidP="00466FEE" w:rsidRDefault="006C1C7B" w14:paraId="5BA3AF49" w14:textId="28A5C9FA">
      <w:pPr>
        <w:spacing w:line="360" w:lineRule="auto"/>
        <w:rPr>
          <w:rFonts w:ascii="Verdana" w:hAnsi="Verdana"/>
          <w:iCs/>
          <w:sz w:val="18"/>
          <w:szCs w:val="18"/>
        </w:rPr>
      </w:pPr>
      <w:r w:rsidRPr="006C1C7B">
        <w:rPr>
          <w:rFonts w:ascii="Verdana" w:hAnsi="Verdana"/>
          <w:sz w:val="18"/>
          <w:szCs w:val="18"/>
        </w:rPr>
        <w:t xml:space="preserve"> </w:t>
      </w:r>
    </w:p>
    <w:p w:rsidRPr="0008667A" w:rsidR="00FD0CBD" w:rsidP="0008667A" w:rsidRDefault="009B3EED" w14:paraId="536CD8AF" w14:textId="7506271B">
      <w:pPr>
        <w:numPr>
          <w:ilvl w:val="0"/>
          <w:numId w:val="21"/>
        </w:numPr>
        <w:spacing w:line="360" w:lineRule="auto"/>
        <w:rPr>
          <w:rFonts w:ascii="Verdana" w:hAnsi="Verdana"/>
          <w:i/>
          <w:iCs/>
          <w:sz w:val="18"/>
          <w:szCs w:val="18"/>
        </w:rPr>
      </w:pPr>
      <w:r w:rsidRPr="00DA3503">
        <w:rPr>
          <w:rFonts w:ascii="Verdana" w:hAnsi="Verdana"/>
          <w:i/>
          <w:iCs/>
          <w:sz w:val="18"/>
          <w:szCs w:val="18"/>
        </w:rPr>
        <w:t>Eerste inschatting van k</w:t>
      </w:r>
      <w:r w:rsidRPr="00DA3503" w:rsidR="00FD0CBD">
        <w:rPr>
          <w:rFonts w:ascii="Verdana" w:hAnsi="Verdana"/>
          <w:i/>
          <w:iCs/>
          <w:sz w:val="18"/>
          <w:szCs w:val="18"/>
        </w:rPr>
        <w:t>rachtenveld</w:t>
      </w:r>
    </w:p>
    <w:p w:rsidR="008528D9" w:rsidP="0064352A" w:rsidRDefault="00F966EC" w14:paraId="11C19C33" w14:textId="74A60B36">
      <w:pPr>
        <w:tabs>
          <w:tab w:val="left" w:pos="360"/>
          <w:tab w:val="left" w:pos="4500"/>
          <w:tab w:val="left" w:pos="5580"/>
        </w:tabs>
        <w:spacing w:line="360" w:lineRule="auto"/>
        <w:rPr>
          <w:rFonts w:ascii="Verdana" w:hAnsi="Verdana"/>
          <w:sz w:val="18"/>
          <w:szCs w:val="18"/>
        </w:rPr>
      </w:pPr>
      <w:r w:rsidRPr="00F966EC">
        <w:rPr>
          <w:rFonts w:ascii="Verdana" w:hAnsi="Verdana"/>
          <w:sz w:val="18"/>
          <w:szCs w:val="18"/>
        </w:rPr>
        <w:t xml:space="preserve">Er is brede steun voor de opzet van de strategie vanuit </w:t>
      </w:r>
      <w:r>
        <w:rPr>
          <w:rFonts w:ascii="Verdana" w:hAnsi="Verdana"/>
          <w:sz w:val="18"/>
          <w:szCs w:val="18"/>
        </w:rPr>
        <w:t>de</w:t>
      </w:r>
      <w:r w:rsidRPr="00F966EC">
        <w:rPr>
          <w:rFonts w:ascii="Verdana" w:hAnsi="Verdana"/>
          <w:sz w:val="18"/>
          <w:szCs w:val="18"/>
        </w:rPr>
        <w:t xml:space="preserve"> lidstaten: doel, opzet en noodzaak worden onderschreven. </w:t>
      </w:r>
      <w:r w:rsidR="009D449E">
        <w:rPr>
          <w:rFonts w:ascii="Verdana" w:hAnsi="Verdana"/>
          <w:sz w:val="18"/>
          <w:szCs w:val="18"/>
        </w:rPr>
        <w:t>Wel bestaan er nog veel vragen omdat de strategie op hoofdlijnen is</w:t>
      </w:r>
      <w:r w:rsidR="00FA499D">
        <w:rPr>
          <w:rFonts w:ascii="Verdana" w:hAnsi="Verdana"/>
          <w:sz w:val="18"/>
          <w:szCs w:val="18"/>
        </w:rPr>
        <w:t xml:space="preserve">. Verder geven </w:t>
      </w:r>
      <w:r w:rsidR="009D449E">
        <w:rPr>
          <w:rFonts w:ascii="Verdana" w:hAnsi="Verdana"/>
          <w:sz w:val="18"/>
          <w:szCs w:val="18"/>
        </w:rPr>
        <w:t xml:space="preserve">enkele lidstaten aan de strategie te ambitieus te vinden. </w:t>
      </w:r>
      <w:r>
        <w:rPr>
          <w:rFonts w:ascii="Verdana" w:hAnsi="Verdana"/>
          <w:sz w:val="18"/>
          <w:szCs w:val="18"/>
        </w:rPr>
        <w:t>Net als Nederland wachten de lidstaten concrete voorstellen van de Commissie af om hier een positie over in te kunnen nemen.</w:t>
      </w:r>
    </w:p>
    <w:p w:rsidRPr="0064352A" w:rsidR="00F966EC" w:rsidP="0064352A" w:rsidRDefault="00F966EC" w14:paraId="3028AE8F" w14:textId="77777777">
      <w:pPr>
        <w:tabs>
          <w:tab w:val="left" w:pos="360"/>
          <w:tab w:val="left" w:pos="4500"/>
          <w:tab w:val="left" w:pos="5580"/>
        </w:tabs>
        <w:spacing w:line="360" w:lineRule="auto"/>
        <w:rPr>
          <w:rFonts w:ascii="Verdana" w:hAnsi="Verdana"/>
          <w:sz w:val="18"/>
          <w:szCs w:val="18"/>
        </w:rPr>
      </w:pPr>
    </w:p>
    <w:p w:rsidR="00F54AFF" w:rsidP="0008667A" w:rsidRDefault="00FD0CBD" w14:paraId="4B921636" w14:textId="77777777">
      <w:pPr>
        <w:numPr>
          <w:ilvl w:val="0"/>
          <w:numId w:val="15"/>
        </w:numPr>
        <w:spacing w:line="360" w:lineRule="auto"/>
        <w:rPr>
          <w:rFonts w:ascii="Verdana" w:hAnsi="Verdana"/>
          <w:b/>
          <w:bCs/>
          <w:sz w:val="18"/>
          <w:szCs w:val="18"/>
        </w:rPr>
      </w:pPr>
      <w:r w:rsidRPr="00DA3503">
        <w:rPr>
          <w:rFonts w:ascii="Verdana" w:hAnsi="Verdana"/>
          <w:b/>
          <w:bCs/>
          <w:sz w:val="18"/>
          <w:szCs w:val="18"/>
        </w:rPr>
        <w:t>G</w:t>
      </w:r>
      <w:r w:rsidRPr="00DA3503" w:rsidR="008528D9">
        <w:rPr>
          <w:rFonts w:ascii="Verdana" w:hAnsi="Verdana"/>
          <w:b/>
          <w:bCs/>
          <w:sz w:val="18"/>
          <w:szCs w:val="18"/>
        </w:rPr>
        <w:t>rondhouding ten aanzien van</w:t>
      </w:r>
      <w:r w:rsidRPr="00DA3503" w:rsidR="00A57FAE">
        <w:rPr>
          <w:rFonts w:ascii="Verdana" w:hAnsi="Verdana"/>
          <w:b/>
          <w:bCs/>
          <w:sz w:val="18"/>
          <w:szCs w:val="18"/>
        </w:rPr>
        <w:t xml:space="preserve"> bevoegdheid,</w:t>
      </w:r>
      <w:r w:rsidRPr="00DA3503" w:rsidR="008528D9">
        <w:rPr>
          <w:rFonts w:ascii="Verdana" w:hAnsi="Verdana"/>
          <w:b/>
          <w:bCs/>
          <w:sz w:val="18"/>
          <w:szCs w:val="18"/>
        </w:rPr>
        <w:t xml:space="preserve"> subsidiariteit,</w:t>
      </w:r>
      <w:r w:rsidRPr="00DA3503" w:rsidR="00F54AFF">
        <w:rPr>
          <w:rFonts w:ascii="Verdana" w:hAnsi="Verdana"/>
          <w:b/>
          <w:bCs/>
          <w:sz w:val="18"/>
          <w:szCs w:val="18"/>
        </w:rPr>
        <w:t xml:space="preserve"> proportionaliteit</w:t>
      </w:r>
      <w:r w:rsidRPr="00DA3503" w:rsidR="008528D9">
        <w:rPr>
          <w:rFonts w:ascii="Verdana" w:hAnsi="Verdana"/>
          <w:b/>
          <w:bCs/>
          <w:sz w:val="18"/>
          <w:szCs w:val="18"/>
        </w:rPr>
        <w:t>,</w:t>
      </w:r>
      <w:r w:rsidRPr="00DA3503" w:rsidR="00FB216B">
        <w:rPr>
          <w:rFonts w:ascii="Verdana" w:hAnsi="Verdana"/>
          <w:b/>
          <w:bCs/>
          <w:sz w:val="18"/>
          <w:szCs w:val="18"/>
        </w:rPr>
        <w:t xml:space="preserve"> financiële gevolgen </w:t>
      </w:r>
      <w:r w:rsidRPr="00DA3503" w:rsidR="008528D9">
        <w:rPr>
          <w:rFonts w:ascii="Verdana" w:hAnsi="Verdana"/>
          <w:b/>
          <w:bCs/>
          <w:sz w:val="18"/>
          <w:szCs w:val="18"/>
        </w:rPr>
        <w:t>en</w:t>
      </w:r>
      <w:r w:rsidRPr="00DA3503" w:rsidR="0020223E">
        <w:rPr>
          <w:rFonts w:ascii="Verdana" w:hAnsi="Verdana"/>
          <w:b/>
          <w:bCs/>
          <w:sz w:val="18"/>
          <w:szCs w:val="18"/>
        </w:rPr>
        <w:t xml:space="preserve"> gevolgen</w:t>
      </w:r>
      <w:r w:rsidRPr="00DA3503" w:rsidR="00786711">
        <w:rPr>
          <w:rFonts w:ascii="Verdana" w:hAnsi="Verdana"/>
          <w:b/>
          <w:bCs/>
          <w:sz w:val="18"/>
          <w:szCs w:val="18"/>
        </w:rPr>
        <w:t xml:space="preserve"> </w:t>
      </w:r>
      <w:r w:rsidRPr="00DA3503" w:rsidR="00A21B6F">
        <w:rPr>
          <w:rFonts w:ascii="Verdana" w:hAnsi="Verdana"/>
          <w:b/>
          <w:bCs/>
          <w:sz w:val="18"/>
          <w:szCs w:val="18"/>
        </w:rPr>
        <w:t xml:space="preserve">voor </w:t>
      </w:r>
      <w:r w:rsidRPr="00DA3503" w:rsidR="003E6E9E">
        <w:rPr>
          <w:rFonts w:ascii="Verdana" w:hAnsi="Verdana"/>
          <w:b/>
          <w:bCs/>
          <w:sz w:val="18"/>
          <w:szCs w:val="18"/>
        </w:rPr>
        <w:t>regeldruk</w:t>
      </w:r>
      <w:r w:rsidRPr="00DA3503" w:rsidR="00A21B6F">
        <w:rPr>
          <w:rFonts w:ascii="Verdana" w:hAnsi="Verdana"/>
          <w:b/>
          <w:bCs/>
          <w:sz w:val="18"/>
          <w:szCs w:val="18"/>
        </w:rPr>
        <w:t>, concurrentiekracht en geopolitieke aspecten</w:t>
      </w:r>
      <w:r w:rsidRPr="00DA3503" w:rsidR="00786711">
        <w:rPr>
          <w:rFonts w:ascii="Verdana" w:hAnsi="Verdana"/>
          <w:b/>
          <w:bCs/>
          <w:sz w:val="18"/>
          <w:szCs w:val="18"/>
        </w:rPr>
        <w:t xml:space="preserve"> </w:t>
      </w:r>
    </w:p>
    <w:p w:rsidRPr="0008667A" w:rsidR="00C7151E" w:rsidP="00C7151E" w:rsidRDefault="00C7151E" w14:paraId="70EA5CD6" w14:textId="77777777">
      <w:pPr>
        <w:spacing w:line="360" w:lineRule="auto"/>
        <w:ind w:left="360"/>
        <w:rPr>
          <w:rFonts w:ascii="Verdana" w:hAnsi="Verdana"/>
          <w:b/>
          <w:bCs/>
          <w:sz w:val="18"/>
          <w:szCs w:val="18"/>
        </w:rPr>
      </w:pPr>
    </w:p>
    <w:p w:rsidRPr="0008667A" w:rsidR="00FD0CBD" w:rsidP="0008667A" w:rsidRDefault="00FD0CBD" w14:paraId="3E6AEC9C" w14:textId="77777777">
      <w:pPr>
        <w:numPr>
          <w:ilvl w:val="0"/>
          <w:numId w:val="22"/>
        </w:numPr>
        <w:spacing w:line="360" w:lineRule="auto"/>
        <w:rPr>
          <w:rFonts w:ascii="Verdana" w:hAnsi="Verdana"/>
          <w:i/>
          <w:iCs/>
          <w:sz w:val="18"/>
          <w:szCs w:val="18"/>
        </w:rPr>
      </w:pPr>
      <w:r w:rsidRPr="00DA3503">
        <w:rPr>
          <w:rFonts w:ascii="Verdana" w:hAnsi="Verdana"/>
          <w:i/>
          <w:iCs/>
          <w:sz w:val="18"/>
          <w:szCs w:val="18"/>
        </w:rPr>
        <w:t>Bevoegdheid</w:t>
      </w:r>
    </w:p>
    <w:p w:rsidR="00127A35" w:rsidP="009D398E" w:rsidRDefault="009D398E" w14:paraId="4BF6F4D1" w14:textId="7B424D44">
      <w:pPr>
        <w:spacing w:line="360" w:lineRule="auto"/>
        <w:rPr>
          <w:rFonts w:ascii="Verdana" w:hAnsi="Verdana"/>
          <w:sz w:val="18"/>
          <w:szCs w:val="18"/>
        </w:rPr>
      </w:pPr>
      <w:r w:rsidRPr="00DA3503">
        <w:rPr>
          <w:rFonts w:ascii="Verdana" w:hAnsi="Verdana"/>
          <w:sz w:val="18"/>
          <w:szCs w:val="18"/>
        </w:rPr>
        <w:t xml:space="preserve">De grondhouding van het kabinet is positief </w:t>
      </w:r>
      <w:r w:rsidRPr="00DA3503" w:rsidR="00FF30EB">
        <w:rPr>
          <w:rFonts w:ascii="Verdana" w:hAnsi="Verdana"/>
          <w:sz w:val="18"/>
          <w:szCs w:val="18"/>
        </w:rPr>
        <w:t>over</w:t>
      </w:r>
      <w:r w:rsidRPr="00DA3503">
        <w:rPr>
          <w:rFonts w:ascii="Verdana" w:hAnsi="Verdana"/>
          <w:sz w:val="18"/>
          <w:szCs w:val="18"/>
        </w:rPr>
        <w:t xml:space="preserve"> de bevoegdheid. Het voorstel ziet op de ruimte van vrijheid, veiligheid en recht</w:t>
      </w:r>
      <w:r w:rsidRPr="00DA3503" w:rsidR="00EE4B4B">
        <w:rPr>
          <w:rFonts w:ascii="Verdana" w:hAnsi="Verdana"/>
          <w:sz w:val="18"/>
          <w:szCs w:val="18"/>
        </w:rPr>
        <w:t>, en raakt daarbij ook aan de interne markt en civiele bescherming</w:t>
      </w:r>
      <w:r w:rsidRPr="00DA3503">
        <w:rPr>
          <w:rFonts w:ascii="Verdana" w:hAnsi="Verdana"/>
          <w:sz w:val="18"/>
          <w:szCs w:val="18"/>
        </w:rPr>
        <w:t xml:space="preserve">. </w:t>
      </w:r>
      <w:r w:rsidRPr="009D398E">
        <w:rPr>
          <w:rFonts w:ascii="Verdana" w:hAnsi="Verdana"/>
          <w:sz w:val="18"/>
          <w:szCs w:val="18"/>
        </w:rPr>
        <w:t xml:space="preserve">Op het terrein van de ruimte van vrijheid, veiligheid en recht is sprake van een gedeelde bevoegdheid tussen de EU en de lidstaten (artikel 4, lid 2, sub j, VWEU). </w:t>
      </w:r>
      <w:r w:rsidRPr="00127A35" w:rsidR="00127A35">
        <w:rPr>
          <w:rFonts w:ascii="Verdana" w:hAnsi="Verdana"/>
          <w:sz w:val="18"/>
          <w:szCs w:val="18"/>
        </w:rPr>
        <w:t xml:space="preserve">Op het terrein van de interne markt heeft de EU een gedeelde bevoegdheid met de lidstaten (artikel 4, lid 2, onder a, </w:t>
      </w:r>
      <w:r w:rsidR="00EE4B4B">
        <w:rPr>
          <w:rFonts w:ascii="Verdana" w:hAnsi="Verdana"/>
          <w:sz w:val="18"/>
          <w:szCs w:val="18"/>
        </w:rPr>
        <w:t>VWEU</w:t>
      </w:r>
      <w:r w:rsidRPr="00127A35" w:rsidR="00127A35">
        <w:rPr>
          <w:rFonts w:ascii="Verdana" w:hAnsi="Verdana"/>
          <w:sz w:val="18"/>
          <w:szCs w:val="18"/>
        </w:rPr>
        <w:t>)</w:t>
      </w:r>
      <w:r w:rsidR="00EE4B4B">
        <w:rPr>
          <w:rFonts w:ascii="Verdana" w:hAnsi="Verdana"/>
          <w:sz w:val="18"/>
          <w:szCs w:val="18"/>
        </w:rPr>
        <w:t xml:space="preserve">. </w:t>
      </w:r>
      <w:r w:rsidRPr="00EE4B4B" w:rsidR="00EE4B4B">
        <w:rPr>
          <w:rFonts w:ascii="Verdana" w:hAnsi="Verdana"/>
          <w:sz w:val="18"/>
          <w:szCs w:val="18"/>
        </w:rPr>
        <w:t>Op grond van artikel 6, sub f, VWEU heeft de EU een aanvullende bevoegdheid om m.b.t. de Europese dimensie van civiele bescherming het optreden van de lidstaten te ondersteunen, te coördineren of aan te vullen.</w:t>
      </w:r>
    </w:p>
    <w:p w:rsidR="00127A35" w:rsidP="009D398E" w:rsidRDefault="00127A35" w14:paraId="0C3C9CE5" w14:textId="77777777">
      <w:pPr>
        <w:spacing w:line="360" w:lineRule="auto"/>
        <w:rPr>
          <w:rFonts w:ascii="Verdana" w:hAnsi="Verdana"/>
          <w:sz w:val="18"/>
          <w:szCs w:val="18"/>
        </w:rPr>
      </w:pPr>
    </w:p>
    <w:p w:rsidRPr="009D398E" w:rsidR="009D398E" w:rsidP="009D398E" w:rsidRDefault="009D398E" w14:paraId="2A859FF6" w14:textId="265298EF">
      <w:pPr>
        <w:spacing w:line="360" w:lineRule="auto"/>
        <w:rPr>
          <w:rFonts w:ascii="Verdana" w:hAnsi="Verdana"/>
          <w:sz w:val="18"/>
          <w:szCs w:val="18"/>
        </w:rPr>
      </w:pPr>
      <w:r w:rsidRPr="009D398E">
        <w:rPr>
          <w:rFonts w:ascii="Verdana" w:hAnsi="Verdana"/>
          <w:sz w:val="18"/>
          <w:szCs w:val="18"/>
        </w:rPr>
        <w:lastRenderedPageBreak/>
        <w:t>Wel 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Met name de nationale veiligheid blijft uitsluitend</w:t>
      </w:r>
      <w:r w:rsidR="005B4CDB">
        <w:rPr>
          <w:rFonts w:ascii="Verdana" w:hAnsi="Verdana"/>
          <w:sz w:val="18"/>
          <w:szCs w:val="18"/>
        </w:rPr>
        <w:t xml:space="preserve"> een </w:t>
      </w:r>
      <w:r w:rsidRPr="009D398E">
        <w:rPr>
          <w:rFonts w:ascii="Verdana" w:hAnsi="Verdana"/>
          <w:sz w:val="18"/>
          <w:szCs w:val="18"/>
        </w:rPr>
        <w:t xml:space="preserve">verantwoordelijkheid van elke lidstaat. </w:t>
      </w:r>
    </w:p>
    <w:p w:rsidRPr="009D398E" w:rsidR="009D398E" w:rsidP="009D398E" w:rsidRDefault="009D398E" w14:paraId="63566945" w14:textId="77777777">
      <w:pPr>
        <w:spacing w:line="360" w:lineRule="auto"/>
        <w:rPr>
          <w:rFonts w:ascii="Verdana" w:hAnsi="Verdana"/>
          <w:sz w:val="18"/>
          <w:szCs w:val="18"/>
        </w:rPr>
      </w:pPr>
    </w:p>
    <w:p w:rsidRPr="009D398E" w:rsidR="009D398E" w:rsidP="009D398E" w:rsidRDefault="009D398E" w14:paraId="05117228" w14:textId="759A9E00">
      <w:pPr>
        <w:spacing w:line="360" w:lineRule="auto"/>
        <w:rPr>
          <w:rFonts w:ascii="Verdana" w:hAnsi="Verdana"/>
          <w:sz w:val="18"/>
          <w:szCs w:val="18"/>
        </w:rPr>
      </w:pPr>
      <w:r w:rsidRPr="005033CB">
        <w:rPr>
          <w:rFonts w:ascii="Verdana" w:hAnsi="Verdana"/>
          <w:sz w:val="18"/>
          <w:szCs w:val="18"/>
        </w:rPr>
        <w:t xml:space="preserve">Het kabinet zal er op toezien dat wetgevingsvoorstellen de bevoegdheidsverdeling tussen de EU en de lidstaten op het vlak van de nationale veiligheid respecteren. </w:t>
      </w:r>
    </w:p>
    <w:p w:rsidRPr="009B3EED" w:rsidR="009D398E" w:rsidP="009D398E" w:rsidRDefault="009D398E" w14:paraId="645AFCD2" w14:textId="77777777">
      <w:pPr>
        <w:spacing w:line="360" w:lineRule="auto"/>
        <w:ind w:left="360"/>
        <w:rPr>
          <w:rFonts w:ascii="Verdana" w:hAnsi="Verdana"/>
          <w:i/>
          <w:sz w:val="18"/>
          <w:szCs w:val="18"/>
        </w:rPr>
      </w:pPr>
    </w:p>
    <w:p w:rsidRPr="0008667A" w:rsidR="00FD0CBD" w:rsidP="0008667A" w:rsidRDefault="00FD0CBD" w14:paraId="2703F218" w14:textId="77777777">
      <w:pPr>
        <w:numPr>
          <w:ilvl w:val="0"/>
          <w:numId w:val="22"/>
        </w:numPr>
        <w:spacing w:line="360" w:lineRule="auto"/>
        <w:rPr>
          <w:rFonts w:ascii="Verdana" w:hAnsi="Verdana"/>
          <w:i/>
          <w:iCs/>
          <w:sz w:val="18"/>
          <w:szCs w:val="18"/>
        </w:rPr>
      </w:pPr>
      <w:r w:rsidRPr="00DA3503">
        <w:rPr>
          <w:rFonts w:ascii="Verdana" w:hAnsi="Verdana"/>
          <w:i/>
          <w:iCs/>
          <w:sz w:val="18"/>
          <w:szCs w:val="18"/>
        </w:rPr>
        <w:t>Subsidiar</w:t>
      </w:r>
      <w:r w:rsidRPr="00DA3503" w:rsidR="006810FB">
        <w:rPr>
          <w:rFonts w:ascii="Verdana" w:hAnsi="Verdana"/>
          <w:i/>
          <w:iCs/>
          <w:sz w:val="18"/>
          <w:szCs w:val="18"/>
        </w:rPr>
        <w:t>it</w:t>
      </w:r>
      <w:r w:rsidRPr="00DA3503">
        <w:rPr>
          <w:rFonts w:ascii="Verdana" w:hAnsi="Verdana"/>
          <w:i/>
          <w:iCs/>
          <w:sz w:val="18"/>
          <w:szCs w:val="18"/>
        </w:rPr>
        <w:t>eit</w:t>
      </w:r>
    </w:p>
    <w:p w:rsidR="009D398E" w:rsidP="009D398E" w:rsidRDefault="009D398E" w14:paraId="427E991D" w14:textId="09B28C74">
      <w:pPr>
        <w:spacing w:line="360" w:lineRule="auto"/>
        <w:rPr>
          <w:rFonts w:ascii="Verdana" w:hAnsi="Verdana"/>
          <w:sz w:val="18"/>
          <w:szCs w:val="18"/>
        </w:rPr>
      </w:pPr>
      <w:r w:rsidRPr="00DA3503">
        <w:rPr>
          <w:rFonts w:ascii="Verdana" w:hAnsi="Verdana"/>
          <w:sz w:val="18"/>
          <w:szCs w:val="18"/>
        </w:rPr>
        <w:t xml:space="preserve">De grondhouding van het kabinet is positief </w:t>
      </w:r>
      <w:r w:rsidR="00FF30EB">
        <w:rPr>
          <w:rFonts w:ascii="Verdana" w:hAnsi="Verdana"/>
          <w:sz w:val="18"/>
          <w:szCs w:val="18"/>
        </w:rPr>
        <w:t>over</w:t>
      </w:r>
      <w:r w:rsidRPr="009D398E">
        <w:rPr>
          <w:rFonts w:ascii="Verdana" w:hAnsi="Verdana"/>
          <w:sz w:val="18"/>
          <w:szCs w:val="18"/>
        </w:rPr>
        <w:t xml:space="preserve"> de subsidiariteit. De mededeling heeft tot doel de paraatheid en weerbaarheid van de EU tegen verschillende soorten crises te vergroten</w:t>
      </w:r>
      <w:r>
        <w:rPr>
          <w:rFonts w:ascii="Verdana" w:hAnsi="Verdana"/>
          <w:sz w:val="18"/>
          <w:szCs w:val="18"/>
        </w:rPr>
        <w:t xml:space="preserve">, door toegang tot essentiële goederen te alle tijden te kunnen waarborgen. </w:t>
      </w:r>
      <w:r w:rsidR="006551EB">
        <w:rPr>
          <w:rFonts w:ascii="Verdana" w:hAnsi="Verdana"/>
          <w:sz w:val="18"/>
          <w:szCs w:val="18"/>
        </w:rPr>
        <w:t xml:space="preserve">Gezien het </w:t>
      </w:r>
      <w:r w:rsidR="009845E7">
        <w:rPr>
          <w:rFonts w:ascii="Verdana" w:hAnsi="Verdana"/>
          <w:sz w:val="18"/>
          <w:szCs w:val="18"/>
        </w:rPr>
        <w:t>belang dat er zowel op nationaal, bilateraal en EU-niveau nauw wordt samengewerkt rondom de leveringszekerheid van goederen en producten</w:t>
      </w:r>
      <w:r w:rsidR="006551EB">
        <w:rPr>
          <w:rFonts w:ascii="Verdana" w:hAnsi="Verdana"/>
          <w:sz w:val="18"/>
          <w:szCs w:val="18"/>
        </w:rPr>
        <w:t>, kan dit onvoldoende door de lidstaten op centraal, regionaal of lokaal niveau worden verwezenlijkt, daarom is een EU-aanpak nodig</w:t>
      </w:r>
      <w:r w:rsidR="009845E7">
        <w:rPr>
          <w:rFonts w:ascii="Verdana" w:hAnsi="Verdana"/>
          <w:sz w:val="18"/>
          <w:szCs w:val="18"/>
        </w:rPr>
        <w:t xml:space="preserve">. </w:t>
      </w:r>
    </w:p>
    <w:p w:rsidR="009D398E" w:rsidP="009D398E" w:rsidRDefault="009D398E" w14:paraId="13F956DF" w14:textId="77777777">
      <w:pPr>
        <w:spacing w:line="360" w:lineRule="auto"/>
        <w:rPr>
          <w:rFonts w:ascii="Verdana" w:hAnsi="Verdana"/>
          <w:sz w:val="18"/>
          <w:szCs w:val="18"/>
        </w:rPr>
      </w:pPr>
    </w:p>
    <w:p w:rsidRPr="009D398E" w:rsidR="009D398E" w:rsidP="009D398E" w:rsidRDefault="00FF30EB" w14:paraId="3F5AC74F" w14:textId="34B19984">
      <w:pPr>
        <w:spacing w:line="360" w:lineRule="auto"/>
        <w:rPr>
          <w:rFonts w:ascii="Verdana" w:hAnsi="Verdana"/>
          <w:sz w:val="18"/>
          <w:szCs w:val="18"/>
        </w:rPr>
      </w:pPr>
      <w:r w:rsidRPr="005033CB">
        <w:rPr>
          <w:rFonts w:ascii="Verdana" w:hAnsi="Verdana"/>
          <w:sz w:val="18"/>
          <w:szCs w:val="18"/>
        </w:rPr>
        <w:t>Dit oordeel loopt niet vooruit op het nog nader te bepalen oordeel over</w:t>
      </w:r>
      <w:r w:rsidRPr="005033CB" w:rsidR="009D398E">
        <w:rPr>
          <w:rFonts w:ascii="Verdana" w:hAnsi="Verdana"/>
          <w:sz w:val="18"/>
          <w:szCs w:val="18"/>
        </w:rPr>
        <w:t xml:space="preserve"> de </w:t>
      </w:r>
      <w:r w:rsidRPr="005033CB" w:rsidR="00DE5550">
        <w:rPr>
          <w:rFonts w:ascii="Verdana" w:hAnsi="Verdana"/>
          <w:sz w:val="18"/>
          <w:szCs w:val="18"/>
        </w:rPr>
        <w:t>concrete voorstellen die de Commissie gaat doen naar aanleiding van deze mededeling.</w:t>
      </w:r>
      <w:r w:rsidRPr="005033CB" w:rsidDel="00DE5550" w:rsidR="00DE5550">
        <w:rPr>
          <w:rFonts w:ascii="Verdana" w:hAnsi="Verdana"/>
          <w:sz w:val="18"/>
          <w:szCs w:val="18"/>
        </w:rPr>
        <w:t xml:space="preserve"> </w:t>
      </w:r>
    </w:p>
    <w:p w:rsidRPr="009B3EED" w:rsidR="00E010FB" w:rsidP="0008667A" w:rsidRDefault="00E010FB" w14:paraId="1455A818" w14:textId="77777777">
      <w:pPr>
        <w:spacing w:line="360" w:lineRule="auto"/>
        <w:rPr>
          <w:rFonts w:ascii="Verdana" w:hAnsi="Verdana"/>
          <w:i/>
          <w:sz w:val="18"/>
          <w:szCs w:val="18"/>
        </w:rPr>
      </w:pPr>
    </w:p>
    <w:p w:rsidRPr="0008667A" w:rsidR="00FD0CBD" w:rsidP="0008667A" w:rsidRDefault="00FD0CBD" w14:paraId="5D6B38E4" w14:textId="77777777">
      <w:pPr>
        <w:numPr>
          <w:ilvl w:val="0"/>
          <w:numId w:val="22"/>
        </w:numPr>
        <w:spacing w:line="360" w:lineRule="auto"/>
        <w:rPr>
          <w:rFonts w:ascii="Verdana" w:hAnsi="Verdana"/>
          <w:i/>
          <w:iCs/>
          <w:sz w:val="18"/>
          <w:szCs w:val="18"/>
        </w:rPr>
      </w:pPr>
      <w:r w:rsidRPr="00DA3503">
        <w:rPr>
          <w:rFonts w:ascii="Verdana" w:hAnsi="Verdana"/>
          <w:i/>
          <w:iCs/>
          <w:sz w:val="18"/>
          <w:szCs w:val="18"/>
        </w:rPr>
        <w:t>Proportionaliteit</w:t>
      </w:r>
    </w:p>
    <w:p w:rsidR="007B6327" w:rsidP="009D398E" w:rsidRDefault="009D398E" w14:paraId="36898C13" w14:textId="77777777">
      <w:pPr>
        <w:spacing w:line="360" w:lineRule="auto"/>
        <w:rPr>
          <w:rFonts w:ascii="Verdana" w:hAnsi="Verdana"/>
          <w:sz w:val="18"/>
          <w:szCs w:val="18"/>
        </w:rPr>
      </w:pPr>
      <w:r w:rsidRPr="009D398E">
        <w:rPr>
          <w:rFonts w:ascii="Verdana" w:hAnsi="Verdana"/>
          <w:sz w:val="18"/>
          <w:szCs w:val="18"/>
        </w:rPr>
        <w:t>De grondhouding van het kabinet is positief. De mededeling heeft tot doel de paraatheid en weerbaarheid van de EU tegen verschillende soorten crises te vergroten</w:t>
      </w:r>
      <w:r>
        <w:rPr>
          <w:rFonts w:ascii="Verdana" w:hAnsi="Verdana"/>
          <w:sz w:val="18"/>
          <w:szCs w:val="18"/>
        </w:rPr>
        <w:t xml:space="preserve">, door toegang tot essentiële goederen te alle tijden te kunnen waarborgen. </w:t>
      </w:r>
      <w:r w:rsidRPr="009D398E">
        <w:rPr>
          <w:rFonts w:ascii="Verdana" w:hAnsi="Verdana"/>
          <w:sz w:val="18"/>
          <w:szCs w:val="18"/>
        </w:rPr>
        <w:t xml:space="preserve">Het voorgestelde optreden is geschikt om deze doelstelling te bereiken, </w:t>
      </w:r>
      <w:r w:rsidR="0084333D">
        <w:rPr>
          <w:rFonts w:ascii="Verdana" w:hAnsi="Verdana"/>
          <w:sz w:val="18"/>
          <w:szCs w:val="18"/>
        </w:rPr>
        <w:t>omdat de beschreven actiepijlers z</w:t>
      </w:r>
      <w:r w:rsidRPr="00F434A1" w:rsidR="0084333D">
        <w:rPr>
          <w:rFonts w:ascii="Verdana" w:hAnsi="Verdana"/>
          <w:sz w:val="18"/>
          <w:szCs w:val="18"/>
        </w:rPr>
        <w:t>oals de verbetering van coördinatie tussen lidstaten en de EU, strategische planning</w:t>
      </w:r>
      <w:r w:rsidR="0084333D">
        <w:rPr>
          <w:rFonts w:ascii="Verdana" w:hAnsi="Verdana"/>
          <w:sz w:val="18"/>
          <w:szCs w:val="18"/>
        </w:rPr>
        <w:t xml:space="preserve"> voor wat betreft essentiële goederen</w:t>
      </w:r>
      <w:r w:rsidRPr="00F434A1" w:rsidR="0084333D">
        <w:rPr>
          <w:rFonts w:ascii="Verdana" w:hAnsi="Verdana"/>
          <w:sz w:val="18"/>
          <w:szCs w:val="18"/>
        </w:rPr>
        <w:t>, het identificeren van lacunes</w:t>
      </w:r>
      <w:r w:rsidR="0084333D">
        <w:rPr>
          <w:rFonts w:ascii="Verdana" w:hAnsi="Verdana"/>
          <w:sz w:val="18"/>
          <w:szCs w:val="18"/>
        </w:rPr>
        <w:t xml:space="preserve"> in de huidige strategie</w:t>
      </w:r>
      <w:r w:rsidRPr="00F434A1" w:rsidR="0084333D">
        <w:rPr>
          <w:rFonts w:ascii="Verdana" w:hAnsi="Verdana"/>
          <w:sz w:val="18"/>
          <w:szCs w:val="18"/>
        </w:rPr>
        <w:t xml:space="preserve">, het versterken van logistieke infrastructuur, civiel-militaire samenwerking, publiek-private samenwerking en internationale samenwerking, allemaal de toegang tot essentiële goederen </w:t>
      </w:r>
      <w:r w:rsidR="0084333D">
        <w:rPr>
          <w:rFonts w:ascii="Verdana" w:hAnsi="Verdana"/>
          <w:sz w:val="18"/>
          <w:szCs w:val="18"/>
        </w:rPr>
        <w:t>helpen veilig te stellen</w:t>
      </w:r>
      <w:r w:rsidRPr="00F434A1" w:rsidR="0084333D">
        <w:rPr>
          <w:rFonts w:ascii="Verdana" w:hAnsi="Verdana"/>
          <w:sz w:val="18"/>
          <w:szCs w:val="18"/>
        </w:rPr>
        <w:t xml:space="preserve"> en hiermee de paraatheid en weerbaarheid van de EU tegen verscheidene crises vergroten.</w:t>
      </w:r>
      <w:r w:rsidRPr="009D398E">
        <w:rPr>
          <w:rFonts w:ascii="Verdana" w:hAnsi="Verdana"/>
          <w:sz w:val="18"/>
          <w:szCs w:val="18"/>
        </w:rPr>
        <w:t>. Bovendien gaat het voorgestelde optreden niet verder dan noodzakelijk, doordat de mededeling bestaande samenwerking en initiatieven versterkt en nieuwe voorstellen doet zonder de ruimte van lidstaten te beperken of verdere verplichtingen op te leggen dan noodzakelijk.</w:t>
      </w:r>
      <w:r w:rsidR="00FF30EB">
        <w:rPr>
          <w:rFonts w:ascii="Verdana" w:hAnsi="Verdana"/>
          <w:sz w:val="18"/>
          <w:szCs w:val="18"/>
        </w:rPr>
        <w:t xml:space="preserve"> </w:t>
      </w:r>
    </w:p>
    <w:p w:rsidR="007B6327" w:rsidP="009D398E" w:rsidRDefault="007B6327" w14:paraId="65F17FA7" w14:textId="77777777">
      <w:pPr>
        <w:spacing w:line="360" w:lineRule="auto"/>
        <w:rPr>
          <w:rFonts w:ascii="Verdana" w:hAnsi="Verdana"/>
          <w:sz w:val="18"/>
          <w:szCs w:val="18"/>
        </w:rPr>
      </w:pPr>
    </w:p>
    <w:p w:rsidRPr="009D398E" w:rsidR="009D398E" w:rsidP="009D398E" w:rsidRDefault="00FF30EB" w14:paraId="40193F7B" w14:textId="43A18752">
      <w:pPr>
        <w:spacing w:line="360" w:lineRule="auto"/>
        <w:rPr>
          <w:rFonts w:ascii="Verdana" w:hAnsi="Verdana"/>
          <w:sz w:val="18"/>
          <w:szCs w:val="18"/>
        </w:rPr>
      </w:pPr>
      <w:r w:rsidRPr="00FF30EB">
        <w:rPr>
          <w:rFonts w:ascii="Verdana" w:hAnsi="Verdana"/>
          <w:sz w:val="18"/>
          <w:szCs w:val="18"/>
        </w:rPr>
        <w:t xml:space="preserve">Dit oordeel loopt niet vooruit </w:t>
      </w:r>
      <w:r w:rsidR="007B6327">
        <w:rPr>
          <w:rFonts w:ascii="Verdana" w:hAnsi="Verdana"/>
          <w:sz w:val="18"/>
          <w:szCs w:val="18"/>
        </w:rPr>
        <w:t xml:space="preserve">op </w:t>
      </w:r>
      <w:r w:rsidRPr="005033CB" w:rsidR="007B6327">
        <w:rPr>
          <w:rFonts w:ascii="Verdana" w:hAnsi="Verdana"/>
          <w:sz w:val="18"/>
          <w:szCs w:val="18"/>
        </w:rPr>
        <w:t>het nog nader te bepalen oordeel over de</w:t>
      </w:r>
      <w:r w:rsidRPr="007B6327" w:rsidR="007B6327">
        <w:rPr>
          <w:rFonts w:ascii="Verdana" w:hAnsi="Verdana"/>
          <w:sz w:val="18"/>
          <w:szCs w:val="18"/>
        </w:rPr>
        <w:t xml:space="preserve"> </w:t>
      </w:r>
      <w:r w:rsidRPr="005033CB" w:rsidR="0084333D">
        <w:rPr>
          <w:rFonts w:ascii="Verdana" w:hAnsi="Verdana"/>
          <w:sz w:val="18"/>
          <w:szCs w:val="18"/>
        </w:rPr>
        <w:t>concrete voorstellen die de Commissie gaat doen naar aanleiding van deze mededeling</w:t>
      </w:r>
      <w:r w:rsidRPr="00FF30EB" w:rsidR="0084333D">
        <w:rPr>
          <w:rFonts w:ascii="Verdana" w:hAnsi="Verdana"/>
          <w:sz w:val="18"/>
          <w:szCs w:val="18"/>
        </w:rPr>
        <w:t xml:space="preserve"> </w:t>
      </w:r>
    </w:p>
    <w:p w:rsidRPr="009B3EED" w:rsidR="009D398E" w:rsidP="009D398E" w:rsidRDefault="009D398E" w14:paraId="0A3F1CCD" w14:textId="77777777">
      <w:pPr>
        <w:spacing w:line="360" w:lineRule="auto"/>
        <w:rPr>
          <w:rFonts w:ascii="Verdana" w:hAnsi="Verdana"/>
          <w:i/>
          <w:sz w:val="18"/>
          <w:szCs w:val="18"/>
        </w:rPr>
      </w:pPr>
    </w:p>
    <w:p w:rsidRPr="0008667A" w:rsidR="00FD0CBD" w:rsidP="0008667A" w:rsidRDefault="00FD0CBD" w14:paraId="7572692D" w14:textId="7B80DD70">
      <w:pPr>
        <w:numPr>
          <w:ilvl w:val="0"/>
          <w:numId w:val="22"/>
        </w:numPr>
        <w:spacing w:line="360" w:lineRule="auto"/>
        <w:rPr>
          <w:rFonts w:ascii="Verdana" w:hAnsi="Verdana"/>
          <w:i/>
          <w:iCs/>
          <w:sz w:val="18"/>
          <w:szCs w:val="18"/>
        </w:rPr>
      </w:pPr>
      <w:r w:rsidRPr="00DA3503">
        <w:rPr>
          <w:rFonts w:ascii="Verdana" w:hAnsi="Verdana"/>
          <w:i/>
          <w:iCs/>
          <w:sz w:val="18"/>
          <w:szCs w:val="18"/>
        </w:rPr>
        <w:t>Financië</w:t>
      </w:r>
      <w:r w:rsidRPr="00DA3503" w:rsidR="006810FB">
        <w:rPr>
          <w:rFonts w:ascii="Verdana" w:hAnsi="Verdana"/>
          <w:i/>
          <w:iCs/>
          <w:sz w:val="18"/>
          <w:szCs w:val="18"/>
        </w:rPr>
        <w:t>le gevolgen</w:t>
      </w:r>
      <w:r w:rsidR="0084333D">
        <w:rPr>
          <w:rFonts w:ascii="Verdana" w:hAnsi="Verdana"/>
          <w:i/>
          <w:iCs/>
          <w:sz w:val="18"/>
          <w:szCs w:val="18"/>
        </w:rPr>
        <w:t xml:space="preserve"> EU-begroting en voor rijksoverheid en/of medeoverheden</w:t>
      </w:r>
    </w:p>
    <w:p w:rsidR="00E3677F" w:rsidP="00E3677F" w:rsidRDefault="00E3677F" w14:paraId="63260BEE" w14:textId="02805FAA">
      <w:pPr>
        <w:spacing w:line="360" w:lineRule="auto"/>
        <w:rPr>
          <w:rFonts w:ascii="Verdana" w:hAnsi="Verdana"/>
          <w:sz w:val="18"/>
          <w:szCs w:val="18"/>
        </w:rPr>
      </w:pPr>
      <w:r w:rsidRPr="00E3677F">
        <w:rPr>
          <w:rFonts w:ascii="Verdana" w:hAnsi="Verdana"/>
          <w:sz w:val="18"/>
          <w:szCs w:val="18"/>
        </w:rPr>
        <w:t xml:space="preserve">De mededeling zelf heeft geen gevolgen voor de EU-begroting of de nationale begroting. De toekomstige voorstellen kennen mogelijk wel financiële gevolgen afhankelijk van de precieze invulling van de voorstellen. </w:t>
      </w:r>
      <w:r>
        <w:rPr>
          <w:rFonts w:ascii="Verdana" w:hAnsi="Verdana"/>
          <w:sz w:val="18"/>
          <w:szCs w:val="18"/>
        </w:rPr>
        <w:t xml:space="preserve">In dat geval zullen deze voorstellen meegenomen worden in </w:t>
      </w:r>
      <w:r w:rsidRPr="00E3677F">
        <w:rPr>
          <w:rFonts w:ascii="Verdana" w:hAnsi="Verdana"/>
          <w:sz w:val="18"/>
          <w:szCs w:val="18"/>
        </w:rPr>
        <w:t xml:space="preserve">de onderhandelingen voor het volgende </w:t>
      </w:r>
      <w:r w:rsidRPr="00327FE0">
        <w:rPr>
          <w:rFonts w:ascii="Verdana" w:hAnsi="Verdana"/>
          <w:sz w:val="18"/>
          <w:szCs w:val="18"/>
        </w:rPr>
        <w:t xml:space="preserve">Meerjarig Financieel Kader </w:t>
      </w:r>
      <w:r w:rsidRPr="00E3677F">
        <w:rPr>
          <w:rFonts w:ascii="Verdana" w:hAnsi="Verdana"/>
          <w:sz w:val="18"/>
          <w:szCs w:val="18"/>
        </w:rPr>
        <w:t xml:space="preserve">(MFK) en de integrale afweging </w:t>
      </w:r>
      <w:r w:rsidRPr="00E3677F">
        <w:rPr>
          <w:rFonts w:ascii="Verdana" w:hAnsi="Verdana"/>
          <w:sz w:val="18"/>
          <w:szCs w:val="18"/>
        </w:rPr>
        <w:lastRenderedPageBreak/>
        <w:t>van middelen na 2027.</w:t>
      </w:r>
      <w:r w:rsidR="001F3E47">
        <w:rPr>
          <w:rFonts w:ascii="Verdana" w:hAnsi="Verdana"/>
          <w:sz w:val="18"/>
          <w:szCs w:val="18"/>
        </w:rPr>
        <w:t xml:space="preserve"> Wanneer concrete voorstellen worden gedaan, zal er opnieuw worden gekeken naar de financiële implicaties van het aanhouden van specifieke voorraden.</w:t>
      </w:r>
      <w:r>
        <w:rPr>
          <w:rFonts w:ascii="Verdana" w:hAnsi="Verdana"/>
          <w:sz w:val="18"/>
          <w:szCs w:val="18"/>
        </w:rPr>
        <w:t xml:space="preserve"> </w:t>
      </w:r>
    </w:p>
    <w:p w:rsidR="00FA6B3C" w:rsidP="00E3677F" w:rsidRDefault="00FA6B3C" w14:paraId="26A09274" w14:textId="77777777">
      <w:pPr>
        <w:spacing w:line="360" w:lineRule="auto"/>
        <w:rPr>
          <w:rFonts w:ascii="Verdana" w:hAnsi="Verdana"/>
          <w:sz w:val="18"/>
          <w:szCs w:val="18"/>
        </w:rPr>
      </w:pPr>
    </w:p>
    <w:p w:rsidR="00FA6B3C" w:rsidP="00E3677F" w:rsidRDefault="00FA6B3C" w14:paraId="18A63E19" w14:textId="3AB337E0">
      <w:pPr>
        <w:spacing w:line="360" w:lineRule="auto"/>
        <w:rPr>
          <w:rFonts w:ascii="Verdana" w:hAnsi="Verdana"/>
          <w:sz w:val="18"/>
          <w:szCs w:val="18"/>
        </w:rPr>
      </w:pPr>
      <w:r w:rsidRPr="00FA6B3C">
        <w:rPr>
          <w:rFonts w:ascii="Verdana" w:hAnsi="Verdana"/>
          <w:sz w:val="18"/>
          <w:szCs w:val="18"/>
        </w:rPr>
        <w:t xml:space="preserve">Eventuele budgettaire gevolgen voor de Rijksbegroting worden ingepast op de begroting van het beleidsverantwoordelijke departement, conform de regels van de budgetdiscipline. </w:t>
      </w:r>
    </w:p>
    <w:p w:rsidRPr="009B3EED" w:rsidR="00E3677F" w:rsidP="00E3677F" w:rsidRDefault="00E3677F" w14:paraId="0CA64EB4" w14:textId="77777777">
      <w:pPr>
        <w:spacing w:line="360" w:lineRule="auto"/>
        <w:rPr>
          <w:rFonts w:ascii="Verdana" w:hAnsi="Verdana"/>
          <w:i/>
          <w:sz w:val="18"/>
          <w:szCs w:val="18"/>
        </w:rPr>
      </w:pPr>
    </w:p>
    <w:p w:rsidRPr="0008667A" w:rsidR="006810FB" w:rsidP="0008667A" w:rsidRDefault="006810FB" w14:paraId="4139E832" w14:textId="77777777">
      <w:pPr>
        <w:numPr>
          <w:ilvl w:val="0"/>
          <w:numId w:val="22"/>
        </w:numPr>
        <w:spacing w:line="360" w:lineRule="auto"/>
        <w:rPr>
          <w:rFonts w:ascii="Verdana" w:hAnsi="Verdana"/>
          <w:i/>
          <w:iCs/>
          <w:sz w:val="18"/>
          <w:szCs w:val="18"/>
        </w:rPr>
      </w:pPr>
      <w:r w:rsidRPr="00DA3503">
        <w:rPr>
          <w:rFonts w:ascii="Verdana" w:hAnsi="Verdana"/>
          <w:i/>
          <w:iCs/>
          <w:sz w:val="18"/>
          <w:szCs w:val="18"/>
        </w:rPr>
        <w:t>Gevolgen voor regeldruk</w:t>
      </w:r>
      <w:r w:rsidRPr="00DA3503" w:rsidR="00DB2696">
        <w:rPr>
          <w:rFonts w:ascii="Verdana" w:hAnsi="Verdana"/>
          <w:i/>
          <w:iCs/>
          <w:sz w:val="18"/>
          <w:szCs w:val="18"/>
        </w:rPr>
        <w:t>,</w:t>
      </w:r>
      <w:r w:rsidRPr="00DA3503" w:rsidR="00881F26">
        <w:rPr>
          <w:rFonts w:ascii="Verdana" w:hAnsi="Verdana"/>
          <w:i/>
          <w:iCs/>
          <w:sz w:val="18"/>
          <w:szCs w:val="18"/>
        </w:rPr>
        <w:t xml:space="preserve"> concurrentiekracht</w:t>
      </w:r>
      <w:r w:rsidRPr="00DA3503" w:rsidR="00A21B6F">
        <w:rPr>
          <w:rFonts w:ascii="Verdana" w:hAnsi="Verdana"/>
          <w:i/>
          <w:iCs/>
          <w:sz w:val="18"/>
          <w:szCs w:val="18"/>
        </w:rPr>
        <w:t xml:space="preserve"> en geopolitieke aspecten</w:t>
      </w:r>
    </w:p>
    <w:p w:rsidRPr="00E3677F" w:rsidR="00E3677F" w:rsidP="00E3677F" w:rsidRDefault="00E3677F" w14:paraId="04B7A581" w14:textId="4ED475C3">
      <w:pPr>
        <w:spacing w:line="360" w:lineRule="auto"/>
        <w:rPr>
          <w:rFonts w:ascii="Verdana" w:hAnsi="Verdana"/>
          <w:sz w:val="18"/>
          <w:szCs w:val="18"/>
        </w:rPr>
      </w:pPr>
      <w:r w:rsidRPr="00E3677F">
        <w:rPr>
          <w:rFonts w:ascii="Verdana" w:hAnsi="Verdana"/>
          <w:sz w:val="18"/>
          <w:szCs w:val="18"/>
        </w:rPr>
        <w:t>De mededeling zelf bevat geen nieuwe wettelijke maatregelen en geeft daarmee geen aanleiding om gevolgen te verwachten op regeldruk en administratieve lasten voor de overheid, bedrijfsleven of burgers.</w:t>
      </w:r>
      <w:r w:rsidR="00FF30EB">
        <w:rPr>
          <w:rFonts w:ascii="Verdana" w:hAnsi="Verdana"/>
          <w:sz w:val="18"/>
          <w:szCs w:val="18"/>
        </w:rPr>
        <w:t xml:space="preserve"> Wel gaan enkele pijlers in op de rol van de private sector in de aanleg van strategische voorraden. Wanneer hier concrete voorstellen uit volgen, zal er een regeldruktoets plaatsvinden.</w:t>
      </w:r>
    </w:p>
    <w:p w:rsidRPr="00E3677F" w:rsidR="00E3677F" w:rsidP="00E3677F" w:rsidRDefault="00E3677F" w14:paraId="1454EAC5" w14:textId="77777777">
      <w:pPr>
        <w:spacing w:line="360" w:lineRule="auto"/>
        <w:rPr>
          <w:rFonts w:ascii="Verdana" w:hAnsi="Verdana"/>
          <w:sz w:val="18"/>
          <w:szCs w:val="18"/>
        </w:rPr>
      </w:pPr>
    </w:p>
    <w:p w:rsidRPr="00E3677F" w:rsidR="00E3677F" w:rsidP="00E3677F" w:rsidRDefault="00E3677F" w14:paraId="18BF396F" w14:textId="77777777">
      <w:pPr>
        <w:spacing w:line="360" w:lineRule="auto"/>
        <w:rPr>
          <w:rFonts w:ascii="Verdana" w:hAnsi="Verdana"/>
          <w:sz w:val="18"/>
          <w:szCs w:val="18"/>
        </w:rPr>
      </w:pPr>
      <w:r w:rsidRPr="00E3677F">
        <w:rPr>
          <w:rFonts w:ascii="Verdana" w:hAnsi="Verdana"/>
          <w:sz w:val="18"/>
          <w:szCs w:val="18"/>
        </w:rPr>
        <w:t xml:space="preserve">De uiteindelijke regeldruk en administratieve lasten zijn afhankelijk van de specifieke invulling van de doelen in concrete beleidsmaatregelen. Het is niet uit te sluiten dat zowel de invoering van afzonderlijke beleidsmaatregelen als de uitvoering van de beleidsmaatregelen in onderling verband bezien aanleiding geven tot nieuwe regels over verhoging van uitvoeringslasten. Bij de uitwerking van eventuele maatregelen zal het kabinet zich inspannen om onwenselijke gevolgen voor de regeldruk, administratieve lasten en andere uitvoeringslasten te voorkomen of te mitigeren. Daarbij dient ook rekening gehouden te worden met eventuele gevolgen voor medeoverheden. </w:t>
      </w:r>
    </w:p>
    <w:p w:rsidRPr="00E3677F" w:rsidR="00E3677F" w:rsidP="00E3677F" w:rsidRDefault="00E3677F" w14:paraId="7B0B1972" w14:textId="77777777">
      <w:pPr>
        <w:spacing w:line="360" w:lineRule="auto"/>
        <w:rPr>
          <w:rFonts w:ascii="Verdana" w:hAnsi="Verdana"/>
          <w:sz w:val="18"/>
          <w:szCs w:val="18"/>
        </w:rPr>
      </w:pPr>
    </w:p>
    <w:p w:rsidRPr="00E3677F" w:rsidR="00E3677F" w:rsidP="00E3677F" w:rsidRDefault="00E3677F" w14:paraId="5F323E7E" w14:textId="774F32CF">
      <w:pPr>
        <w:spacing w:line="360" w:lineRule="auto"/>
        <w:rPr>
          <w:rFonts w:ascii="Verdana" w:hAnsi="Verdana"/>
          <w:sz w:val="18"/>
          <w:szCs w:val="18"/>
        </w:rPr>
      </w:pPr>
      <w:r w:rsidRPr="00E3677F">
        <w:rPr>
          <w:rFonts w:ascii="Verdana" w:hAnsi="Verdana"/>
          <w:sz w:val="18"/>
          <w:szCs w:val="18"/>
        </w:rPr>
        <w:t>Het kabinet acht het belangrijk dat veiligheid en concurrentievermogen nadrukkelijk worden meegewogen in 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w:t>
      </w:r>
      <w:r w:rsidR="005B4CDB">
        <w:rPr>
          <w:rFonts w:ascii="Verdana" w:hAnsi="Verdana"/>
          <w:sz w:val="18"/>
          <w:szCs w:val="18"/>
        </w:rPr>
        <w:t>.</w:t>
      </w:r>
    </w:p>
    <w:p w:rsidRPr="00E3677F" w:rsidR="00E3677F" w:rsidP="00E3677F" w:rsidRDefault="00E3677F" w14:paraId="25944942" w14:textId="77777777">
      <w:pPr>
        <w:spacing w:line="360" w:lineRule="auto"/>
        <w:rPr>
          <w:rFonts w:ascii="Verdana" w:hAnsi="Verdana"/>
          <w:sz w:val="18"/>
          <w:szCs w:val="18"/>
        </w:rPr>
      </w:pPr>
    </w:p>
    <w:p w:rsidRPr="00E3677F" w:rsidR="00E3677F" w:rsidP="00E3677F" w:rsidRDefault="00E3677F" w14:paraId="44CB2884" w14:textId="77777777">
      <w:pPr>
        <w:spacing w:line="360" w:lineRule="auto"/>
        <w:rPr>
          <w:rFonts w:ascii="Verdana" w:hAnsi="Verdana" w:eastAsia="Verdana" w:cs="Verdana"/>
          <w:sz w:val="18"/>
          <w:szCs w:val="18"/>
          <w:lang w:eastAsia="en-US"/>
        </w:rPr>
      </w:pPr>
      <w:r w:rsidRPr="00E3677F">
        <w:rPr>
          <w:rFonts w:ascii="Verdana" w:hAnsi="Verdana" w:eastAsia="Verdana" w:cs="Verdana"/>
          <w:sz w:val="18"/>
          <w:szCs w:val="18"/>
          <w:lang w:eastAsia="en-US"/>
        </w:rPr>
        <w:t>De mededeling ziet op versterking van civiele en militaire weerbaarheid en paraatheid van de EU, ongeacht het type crisis dat op ons afkomt. Daarmee wordt de EU minder afhankelijk van internationale partners. Dit draagt bij aan het vermogen van de EU om autonomer te opereren in een geopolitiek fragiele wereld en daarmee aan een sterkere NAVO.</w:t>
      </w:r>
    </w:p>
    <w:p w:rsidRPr="0064352A" w:rsidR="00F54AFF" w:rsidP="0064352A" w:rsidRDefault="00F54AFF" w14:paraId="658DA1F3" w14:textId="77777777">
      <w:pPr>
        <w:spacing w:line="360" w:lineRule="auto"/>
        <w:rPr>
          <w:rFonts w:ascii="Verdana" w:hAnsi="Verdana"/>
          <w:sz w:val="18"/>
          <w:szCs w:val="18"/>
        </w:rPr>
      </w:pPr>
    </w:p>
    <w:p w:rsidRPr="00422AE6" w:rsidR="00F54AFF" w:rsidP="00422AE6" w:rsidRDefault="007B666C" w14:paraId="2569E869" w14:textId="2D4EE3A7">
      <w:pPr>
        <w:spacing w:line="360" w:lineRule="auto"/>
        <w:rPr>
          <w:rFonts w:ascii="Verdana" w:hAnsi="Verdana"/>
          <w:sz w:val="18"/>
          <w:szCs w:val="18"/>
        </w:rPr>
      </w:pPr>
      <w:r w:rsidRPr="00422AE6">
        <w:rPr>
          <w:rFonts w:ascii="Verdana" w:hAnsi="Verdana"/>
          <w:bCs/>
          <w:i/>
          <w:iCs/>
          <w:sz w:val="18"/>
          <w:szCs w:val="18"/>
        </w:rPr>
        <w:br/>
      </w:r>
      <w:r w:rsidRPr="00422AE6" w:rsidR="003E4DF6">
        <w:rPr>
          <w:rFonts w:ascii="Verdana" w:hAnsi="Verdana"/>
          <w:sz w:val="18"/>
          <w:szCs w:val="18"/>
        </w:rPr>
        <w:t xml:space="preserve"> </w:t>
      </w:r>
    </w:p>
    <w:sectPr w:rsidRPr="00422AE6" w:rsidR="00F54AFF" w:rsidSect="00DA3503">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159A" w14:textId="77777777" w:rsidR="00BB3032" w:rsidRDefault="00BB3032">
      <w:r>
        <w:separator/>
      </w:r>
    </w:p>
  </w:endnote>
  <w:endnote w:type="continuationSeparator" w:id="0">
    <w:p w14:paraId="6CFCEC32" w14:textId="77777777" w:rsidR="00BB3032" w:rsidRDefault="00BB3032">
      <w:r>
        <w:continuationSeparator/>
      </w:r>
    </w:p>
  </w:endnote>
  <w:endnote w:type="continuationNotice" w:id="1">
    <w:p w14:paraId="582132CC" w14:textId="77777777" w:rsidR="00BB3032" w:rsidRDefault="00BB30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566C7955" w:rsidR="00F54AFF" w:rsidRDefault="0091059F">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430B73C" wp14:editId="42F9FDEC">
              <wp:simplePos x="635" y="635"/>
              <wp:positionH relativeFrom="page">
                <wp:align>left</wp:align>
              </wp:positionH>
              <wp:positionV relativeFrom="page">
                <wp:align>bottom</wp:align>
              </wp:positionV>
              <wp:extent cx="986155" cy="368300"/>
              <wp:effectExtent l="0" t="0" r="4445" b="0"/>
              <wp:wrapNone/>
              <wp:docPr id="119135304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BA13785" w14:textId="52DBD5F6" w:rsidR="0091059F" w:rsidRPr="0091059F" w:rsidRDefault="0091059F" w:rsidP="0091059F">
                          <w:pPr>
                            <w:rPr>
                              <w:rFonts w:ascii="Calibri" w:eastAsia="Calibri" w:hAnsi="Calibri" w:cs="Calibri"/>
                              <w:noProof/>
                              <w:color w:val="000000"/>
                              <w:sz w:val="20"/>
                            </w:rPr>
                          </w:pPr>
                          <w:r w:rsidRPr="0091059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430B73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BA13785" w14:textId="52DBD5F6" w:rsidR="0091059F" w:rsidRPr="0091059F" w:rsidRDefault="0091059F" w:rsidP="0091059F">
                    <w:pPr>
                      <w:rPr>
                        <w:rFonts w:ascii="Calibri" w:eastAsia="Calibri" w:hAnsi="Calibri" w:cs="Calibri"/>
                        <w:noProof/>
                        <w:color w:val="000000"/>
                        <w:sz w:val="20"/>
                      </w:rPr>
                    </w:pPr>
                    <w:r w:rsidRPr="0091059F">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1A77A559" w:rsidR="00F54AFF" w:rsidRDefault="0091059F">
    <w:pPr>
      <w:pStyle w:val="Footer"/>
    </w:pPr>
    <w:r>
      <w:rPr>
        <w:noProof/>
      </w:rPr>
      <mc:AlternateContent>
        <mc:Choice Requires="wps">
          <w:drawing>
            <wp:anchor distT="0" distB="0" distL="0" distR="0" simplePos="0" relativeHeight="251658242" behindDoc="0" locked="0" layoutInCell="1" allowOverlap="1" wp14:anchorId="7085DA88" wp14:editId="7C763E9D">
              <wp:simplePos x="635" y="635"/>
              <wp:positionH relativeFrom="page">
                <wp:align>left</wp:align>
              </wp:positionH>
              <wp:positionV relativeFrom="page">
                <wp:align>bottom</wp:align>
              </wp:positionV>
              <wp:extent cx="986155" cy="368300"/>
              <wp:effectExtent l="0" t="0" r="4445" b="0"/>
              <wp:wrapNone/>
              <wp:docPr id="70431373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D65118F" w14:textId="27BE001A" w:rsidR="0091059F" w:rsidRPr="0091059F" w:rsidRDefault="0091059F" w:rsidP="0091059F">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085DA88"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D65118F" w14:textId="27BE001A" w:rsidR="0091059F" w:rsidRPr="0091059F" w:rsidRDefault="0091059F" w:rsidP="0091059F">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7B0EF748" w:rsidR="00AC49B7" w:rsidRDefault="0091059F">
    <w:pPr>
      <w:pStyle w:val="Footer"/>
    </w:pPr>
    <w:r>
      <w:rPr>
        <w:noProof/>
      </w:rPr>
      <mc:AlternateContent>
        <mc:Choice Requires="wps">
          <w:drawing>
            <wp:anchor distT="0" distB="0" distL="0" distR="0" simplePos="0" relativeHeight="251658240" behindDoc="0" locked="0" layoutInCell="1" allowOverlap="1" wp14:anchorId="282532D5" wp14:editId="0BF3B474">
              <wp:simplePos x="635" y="635"/>
              <wp:positionH relativeFrom="page">
                <wp:align>left</wp:align>
              </wp:positionH>
              <wp:positionV relativeFrom="page">
                <wp:align>bottom</wp:align>
              </wp:positionV>
              <wp:extent cx="986155" cy="368300"/>
              <wp:effectExtent l="0" t="0" r="4445" b="0"/>
              <wp:wrapNone/>
              <wp:docPr id="83723265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AF46A00" w14:textId="5D9336F9" w:rsidR="0091059F" w:rsidRPr="0091059F" w:rsidRDefault="0091059F" w:rsidP="0091059F">
                          <w:pPr>
                            <w:rPr>
                              <w:rFonts w:ascii="Calibri" w:eastAsia="Calibri" w:hAnsi="Calibri" w:cs="Calibri"/>
                              <w:noProof/>
                              <w:color w:val="000000"/>
                              <w:sz w:val="20"/>
                            </w:rPr>
                          </w:pPr>
                          <w:r w:rsidRPr="0091059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82532D5"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AF46A00" w14:textId="5D9336F9" w:rsidR="0091059F" w:rsidRPr="0091059F" w:rsidRDefault="0091059F" w:rsidP="0091059F">
                    <w:pPr>
                      <w:rPr>
                        <w:rFonts w:ascii="Calibri" w:eastAsia="Calibri" w:hAnsi="Calibri" w:cs="Calibri"/>
                        <w:noProof/>
                        <w:color w:val="000000"/>
                        <w:sz w:val="20"/>
                      </w:rPr>
                    </w:pPr>
                    <w:r w:rsidRPr="0091059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F61F" w14:textId="77777777" w:rsidR="00BB3032" w:rsidRDefault="00BB3032">
      <w:r>
        <w:separator/>
      </w:r>
    </w:p>
  </w:footnote>
  <w:footnote w:type="continuationSeparator" w:id="0">
    <w:p w14:paraId="69E30C79" w14:textId="77777777" w:rsidR="00BB3032" w:rsidRDefault="00BB3032">
      <w:r>
        <w:continuationSeparator/>
      </w:r>
    </w:p>
  </w:footnote>
  <w:footnote w:type="continuationNotice" w:id="1">
    <w:p w14:paraId="4A9A7E90" w14:textId="77777777" w:rsidR="00BB3032" w:rsidRDefault="00BB3032">
      <w:pPr>
        <w:spacing w:line="240" w:lineRule="auto"/>
      </w:pPr>
    </w:p>
  </w:footnote>
  <w:footnote w:id="2">
    <w:p w14:paraId="737BD923" w14:textId="7C6BA2D5" w:rsidR="00E47DB4" w:rsidRPr="008A1E81" w:rsidRDefault="00E47DB4">
      <w:pPr>
        <w:pStyle w:val="FootnoteText"/>
        <w:rPr>
          <w:rFonts w:ascii="Verdana" w:hAnsi="Verdana"/>
          <w:sz w:val="16"/>
          <w:szCs w:val="16"/>
        </w:rPr>
      </w:pPr>
      <w:r w:rsidRPr="000906CD">
        <w:rPr>
          <w:rStyle w:val="FootnoteReference"/>
          <w:rFonts w:ascii="Verdana" w:hAnsi="Verdana"/>
          <w:sz w:val="16"/>
          <w:szCs w:val="16"/>
        </w:rPr>
        <w:footnoteRef/>
      </w:r>
      <w:r w:rsidRPr="000906CD">
        <w:rPr>
          <w:rFonts w:ascii="Verdana" w:hAnsi="Verdana"/>
          <w:sz w:val="16"/>
          <w:szCs w:val="16"/>
        </w:rPr>
        <w:t xml:space="preserve"> </w:t>
      </w:r>
      <w:r w:rsidR="000906CD" w:rsidRPr="00273FA2">
        <w:rPr>
          <w:rFonts w:ascii="Verdana" w:hAnsi="Verdana"/>
          <w:sz w:val="16"/>
          <w:szCs w:val="16"/>
        </w:rPr>
        <w:t>BNC-Fiche EU-strategie borgen beschikbaarheid medische tegenmaatregelen ter versterking crisisparaatheid en gezondheidsbeveiliging</w:t>
      </w:r>
    </w:p>
  </w:footnote>
  <w:footnote w:id="3">
    <w:p w14:paraId="76B6231E" w14:textId="4E6C6435" w:rsidR="003E00FF" w:rsidRPr="008A1E81" w:rsidRDefault="003E00FF">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BNC-fiche Mededeling Paraatheidsuniestrategie, Kamerstukken II, 2024–25, 22 112, nr. 4054.</w:t>
      </w:r>
    </w:p>
  </w:footnote>
  <w:footnote w:id="4">
    <w:p w14:paraId="5D5EA4F2" w14:textId="69BEDAD8" w:rsidR="00220962" w:rsidRPr="0008667A" w:rsidRDefault="00220962">
      <w:pPr>
        <w:pStyle w:val="FootnoteText"/>
        <w:rPr>
          <w:rFonts w:ascii="Verdana" w:hAnsi="Verdana"/>
          <w:sz w:val="16"/>
          <w:szCs w:val="16"/>
        </w:rPr>
      </w:pPr>
      <w:r w:rsidRPr="000906CD">
        <w:rPr>
          <w:rStyle w:val="FootnoteReference"/>
          <w:rFonts w:ascii="Verdana" w:hAnsi="Verdana"/>
          <w:sz w:val="16"/>
          <w:szCs w:val="16"/>
        </w:rPr>
        <w:footnoteRef/>
      </w:r>
      <w:r w:rsidRPr="000906CD">
        <w:rPr>
          <w:rFonts w:ascii="Verdana" w:hAnsi="Verdana"/>
          <w:sz w:val="16"/>
          <w:szCs w:val="16"/>
        </w:rPr>
        <w:t xml:space="preserve"> </w:t>
      </w:r>
      <w:bookmarkStart w:id="0" w:name="_Hlk206595173"/>
      <w:r w:rsidR="000906CD" w:rsidRPr="000906CD">
        <w:rPr>
          <w:rFonts w:ascii="Verdana" w:hAnsi="Verdana"/>
          <w:sz w:val="16"/>
          <w:szCs w:val="16"/>
        </w:rPr>
        <w:t xml:space="preserve">Zie BNC-fiche </w:t>
      </w:r>
      <w:r w:rsidR="000906CD">
        <w:rPr>
          <w:rFonts w:ascii="Verdana" w:hAnsi="Verdana"/>
          <w:sz w:val="16"/>
          <w:szCs w:val="16"/>
        </w:rPr>
        <w:t>over</w:t>
      </w:r>
      <w:r w:rsidR="000906CD" w:rsidRPr="000906CD">
        <w:rPr>
          <w:rFonts w:ascii="Verdana" w:hAnsi="Verdana"/>
          <w:sz w:val="16"/>
          <w:szCs w:val="16"/>
        </w:rPr>
        <w:t xml:space="preserve"> </w:t>
      </w:r>
      <w:r w:rsidR="00D37F6C" w:rsidRPr="000906CD">
        <w:rPr>
          <w:rFonts w:ascii="Verdana" w:hAnsi="Verdana"/>
          <w:sz w:val="16"/>
          <w:szCs w:val="16"/>
        </w:rPr>
        <w:t>Verordening Uniemechanisme en financiering paraatheid en respons noodsituaties gezondheid</w:t>
      </w:r>
      <w:bookmarkEnd w:id="0"/>
    </w:p>
  </w:footnote>
  <w:footnote w:id="5">
    <w:p w14:paraId="679C146F" w14:textId="4A28B009" w:rsidR="005B0C00" w:rsidRPr="0008667A" w:rsidRDefault="005B0C00">
      <w:pPr>
        <w:pStyle w:val="FootnoteText"/>
        <w:rPr>
          <w:rFonts w:ascii="Verdana" w:hAnsi="Verdana"/>
          <w:sz w:val="16"/>
          <w:szCs w:val="16"/>
        </w:rPr>
      </w:pPr>
      <w:r w:rsidRPr="0008667A">
        <w:rPr>
          <w:rStyle w:val="FootnoteReference"/>
          <w:rFonts w:ascii="Verdana" w:hAnsi="Verdana"/>
          <w:sz w:val="16"/>
          <w:szCs w:val="16"/>
        </w:rPr>
        <w:footnoteRef/>
      </w:r>
      <w:r w:rsidRPr="0008667A">
        <w:rPr>
          <w:rFonts w:ascii="Verdana" w:hAnsi="Verdana"/>
          <w:sz w:val="16"/>
          <w:szCs w:val="16"/>
        </w:rPr>
        <w:t xml:space="preserve"> Deze hub wordt opgericht in de verordening van het Uniemechanisme en bouwt voort op het ERCC, het al bestaande operationele crisiscentrum.</w:t>
      </w:r>
      <w:r w:rsidR="007B2E47" w:rsidRPr="0008667A">
        <w:rPr>
          <w:rFonts w:ascii="Verdana" w:hAnsi="Verdana"/>
          <w:sz w:val="16"/>
          <w:szCs w:val="16"/>
        </w:rPr>
        <w:t xml:space="preserve"> </w:t>
      </w:r>
      <w:r w:rsidR="007B2E47" w:rsidRPr="000906CD">
        <w:rPr>
          <w:rFonts w:ascii="Verdana" w:hAnsi="Verdana"/>
          <w:sz w:val="16"/>
          <w:szCs w:val="16"/>
        </w:rPr>
        <w:t xml:space="preserve">Zie ook </w:t>
      </w:r>
      <w:r w:rsidR="000906CD" w:rsidRPr="000906CD">
        <w:rPr>
          <w:rFonts w:ascii="Verdana" w:hAnsi="Verdana"/>
          <w:sz w:val="16"/>
          <w:szCs w:val="16"/>
        </w:rPr>
        <w:t>het BNC-fiche over</w:t>
      </w:r>
      <w:r w:rsidR="00B83D1F" w:rsidRPr="000906CD">
        <w:rPr>
          <w:rFonts w:ascii="Verdana" w:hAnsi="Verdana"/>
          <w:sz w:val="16"/>
          <w:szCs w:val="16"/>
        </w:rPr>
        <w:t xml:space="preserve"> de </w:t>
      </w:r>
      <w:r w:rsidR="00D37F6C" w:rsidRPr="000906CD">
        <w:rPr>
          <w:rFonts w:ascii="Verdana" w:hAnsi="Verdana"/>
          <w:sz w:val="16"/>
          <w:szCs w:val="16"/>
        </w:rPr>
        <w:t>Verordening Uniemechanisme en financiering paraatheid en respons noodsituaties gezondheid</w:t>
      </w:r>
      <w:r w:rsidR="000906CD">
        <w:rPr>
          <w:rFonts w:ascii="Verdana" w:hAnsi="Verdana"/>
          <w:sz w:val="16"/>
          <w:szCs w:val="16"/>
        </w:rPr>
        <w:t>.</w:t>
      </w:r>
    </w:p>
  </w:footnote>
  <w:footnote w:id="6">
    <w:p w14:paraId="7DE05158" w14:textId="6623C287" w:rsidR="007E1551" w:rsidRPr="0008667A" w:rsidRDefault="007E1551" w:rsidP="007E1551">
      <w:pPr>
        <w:pStyle w:val="FootnoteText"/>
        <w:rPr>
          <w:rFonts w:ascii="Verdana" w:hAnsi="Verdana"/>
          <w:sz w:val="16"/>
          <w:szCs w:val="16"/>
        </w:rPr>
      </w:pPr>
      <w:r w:rsidRPr="000906CD">
        <w:rPr>
          <w:rStyle w:val="FootnoteReference"/>
          <w:rFonts w:ascii="Verdana" w:hAnsi="Verdana"/>
          <w:sz w:val="16"/>
          <w:szCs w:val="16"/>
        </w:rPr>
        <w:footnoteRef/>
      </w:r>
      <w:r w:rsidRPr="000906CD">
        <w:rPr>
          <w:rFonts w:ascii="Verdana" w:hAnsi="Verdana"/>
          <w:sz w:val="16"/>
          <w:szCs w:val="16"/>
        </w:rPr>
        <w:t xml:space="preserve"> </w:t>
      </w:r>
      <w:r w:rsidR="000906CD" w:rsidRPr="000906CD">
        <w:rPr>
          <w:rFonts w:ascii="Verdana" w:hAnsi="Verdana"/>
          <w:sz w:val="16"/>
          <w:szCs w:val="16"/>
        </w:rPr>
        <w:t>Zie het BNC-fiche over de Verordening Uniemechanisme en financiering paraatheid en respons noodsituaties gezondheid</w:t>
      </w:r>
      <w:r w:rsidR="000906CD">
        <w:rPr>
          <w:rFonts w:ascii="Verdana" w:hAnsi="Verdana"/>
          <w:sz w:val="16"/>
          <w:szCs w:val="16"/>
        </w:rPr>
        <w:t>.</w:t>
      </w:r>
    </w:p>
  </w:footnote>
  <w:footnote w:id="7">
    <w:p w14:paraId="27C7AD04" w14:textId="73CFB89C" w:rsidR="00B55C50" w:rsidRPr="0008667A" w:rsidRDefault="00B55C50">
      <w:pPr>
        <w:pStyle w:val="FootnoteText"/>
        <w:rPr>
          <w:rFonts w:ascii="Verdana" w:hAnsi="Verdana"/>
          <w:sz w:val="16"/>
          <w:szCs w:val="16"/>
        </w:rPr>
      </w:pPr>
      <w:r w:rsidRPr="0008667A">
        <w:rPr>
          <w:rStyle w:val="FootnoteReference"/>
          <w:rFonts w:ascii="Verdana" w:hAnsi="Verdana"/>
          <w:sz w:val="16"/>
          <w:szCs w:val="16"/>
        </w:rPr>
        <w:footnoteRef/>
      </w:r>
      <w:r w:rsidRPr="0008667A">
        <w:rPr>
          <w:rFonts w:ascii="Verdana" w:hAnsi="Verdana"/>
          <w:sz w:val="16"/>
          <w:szCs w:val="16"/>
        </w:rPr>
        <w:t xml:space="preserve"> Dual-</w:t>
      </w:r>
      <w:proofErr w:type="spellStart"/>
      <w:r w:rsidRPr="0008667A">
        <w:rPr>
          <w:rFonts w:ascii="Verdana" w:hAnsi="Verdana"/>
          <w:sz w:val="16"/>
          <w:szCs w:val="16"/>
        </w:rPr>
        <w:t>use</w:t>
      </w:r>
      <w:proofErr w:type="spellEnd"/>
      <w:r w:rsidRPr="0008667A">
        <w:rPr>
          <w:rFonts w:ascii="Verdana" w:hAnsi="Verdana"/>
          <w:sz w:val="16"/>
          <w:szCs w:val="16"/>
        </w:rPr>
        <w:t xml:space="preserve"> goederen, technologieën en diensten zijn producten die zowel voor civiele als voor militaire doeleinden kunnen worden gebruikt.</w:t>
      </w:r>
    </w:p>
  </w:footnote>
  <w:footnote w:id="8">
    <w:p w14:paraId="097E86C5" w14:textId="77777777" w:rsidR="003A2387" w:rsidRPr="008A1E81" w:rsidRDefault="003A2387" w:rsidP="003A2387">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Kamerstukken II 2024-2025, 30 821, nr. 249, Kamerbrief maatschappelijke weerbaarheid militaire en hybride dreigingen.</w:t>
      </w:r>
    </w:p>
  </w:footnote>
  <w:footnote w:id="9">
    <w:p w14:paraId="4E43D8F9" w14:textId="541FD8D8" w:rsidR="00682F7C" w:rsidRPr="008A1E81" w:rsidRDefault="00682F7C">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w:t>
      </w:r>
      <w:hyperlink r:id="rId1" w:history="1">
        <w:r w:rsidRPr="008A1E81">
          <w:rPr>
            <w:rStyle w:val="Hyperlink"/>
            <w:rFonts w:ascii="Verdana" w:hAnsi="Verdana"/>
            <w:sz w:val="16"/>
            <w:szCs w:val="16"/>
          </w:rPr>
          <w:t>Focus op strategische voorraden | Rapport | Algemene Rekenkamer</w:t>
        </w:r>
      </w:hyperlink>
    </w:p>
  </w:footnote>
  <w:footnote w:id="10">
    <w:p w14:paraId="4AA30EFF" w14:textId="77777777" w:rsidR="00432F12" w:rsidRPr="008A1E81" w:rsidRDefault="00432F12" w:rsidP="00432F12">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w:t>
      </w:r>
      <w:hyperlink r:id="rId2" w:history="1">
        <w:r w:rsidRPr="008A1E81">
          <w:rPr>
            <w:rStyle w:val="Hyperlink"/>
            <w:rFonts w:ascii="Verdana" w:hAnsi="Verdana"/>
            <w:sz w:val="16"/>
            <w:szCs w:val="16"/>
          </w:rPr>
          <w:t>Grondstoffenvoorzieningszekerheid | Tweede Kamer der Staten-Generaal</w:t>
        </w:r>
      </w:hyperlink>
    </w:p>
  </w:footnote>
  <w:footnote w:id="11">
    <w:p w14:paraId="189F9266" w14:textId="77777777" w:rsidR="00466FEE" w:rsidRPr="008A1E81" w:rsidRDefault="00466FEE" w:rsidP="00466FEE">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w:t>
      </w:r>
      <w:bookmarkStart w:id="1" w:name="_Hlk206601588"/>
      <w:r w:rsidRPr="008A1E81">
        <w:rPr>
          <w:rFonts w:ascii="Verdana" w:hAnsi="Verdana"/>
          <w:sz w:val="16"/>
          <w:szCs w:val="16"/>
        </w:rPr>
        <w:t xml:space="preserve">Kamerstukken II 2024-2025, 30 821, nr. 249, Kamerbrief maatschappelijke weerbaarheid militaire en hybride dreigingen. </w:t>
      </w:r>
      <w:bookmarkEnd w:id="1"/>
    </w:p>
  </w:footnote>
  <w:footnote w:id="12">
    <w:p w14:paraId="038F0BE9" w14:textId="3A528384" w:rsidR="00AA15CF" w:rsidRPr="0008667A" w:rsidRDefault="00AA15CF">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Met de UCPM-verordening wordt de ondersteuning voor paraatheid en respons op gezondheidsnoodsituaties van de Unie, waaronder gerelateerde aspecten van </w:t>
      </w:r>
      <w:r w:rsidRPr="008A1E81">
        <w:rPr>
          <w:rFonts w:ascii="Verdana" w:hAnsi="Verdana"/>
          <w:i/>
          <w:iCs/>
          <w:sz w:val="16"/>
          <w:szCs w:val="16"/>
        </w:rPr>
        <w:t>EU4Health</w:t>
      </w:r>
      <w:r w:rsidRPr="008A1E81">
        <w:rPr>
          <w:rFonts w:ascii="Verdana" w:hAnsi="Verdana"/>
          <w:sz w:val="16"/>
          <w:szCs w:val="16"/>
        </w:rPr>
        <w:t>, onder het Uniemechanisme geplaatst.</w:t>
      </w:r>
    </w:p>
  </w:footnote>
  <w:footnote w:id="13">
    <w:p w14:paraId="75927AAB" w14:textId="02F84084" w:rsidR="00380DE6" w:rsidRPr="008A1E81" w:rsidRDefault="00380DE6">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Het aanhouden van voorraden geneesmiddelen en medische hulpmiddelen is bijvoorbeeld voor Defensie van essentieel belang om bij een grootschalig conflict de inzet van de krijgsmacht te kunnen waarborgen.</w:t>
      </w:r>
    </w:p>
  </w:footnote>
  <w:footnote w:id="14">
    <w:p w14:paraId="0AD31A5B" w14:textId="77777777" w:rsidR="00B04E8C" w:rsidRPr="009F2B9A" w:rsidRDefault="00B04E8C" w:rsidP="00B04E8C">
      <w:pPr>
        <w:pStyle w:val="FootnoteText"/>
      </w:pPr>
      <w:r w:rsidRPr="008A1E81">
        <w:rPr>
          <w:rStyle w:val="FootnoteReference"/>
          <w:rFonts w:ascii="Verdana" w:hAnsi="Verdana"/>
          <w:sz w:val="16"/>
          <w:szCs w:val="16"/>
        </w:rPr>
        <w:footnoteRef/>
      </w:r>
      <w:r w:rsidRPr="008A1E81">
        <w:rPr>
          <w:rFonts w:ascii="Verdana" w:hAnsi="Verdana"/>
          <w:sz w:val="16"/>
          <w:szCs w:val="16"/>
        </w:rPr>
        <w:t xml:space="preserve"> Kamerstuk 30921, nr. 181</w:t>
      </w:r>
    </w:p>
  </w:footnote>
  <w:footnote w:id="15">
    <w:p w14:paraId="6E99E525" w14:textId="3DFF7C9C" w:rsidR="00753917" w:rsidRPr="008A1E81" w:rsidRDefault="00753917" w:rsidP="00753917">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Kamerstuk </w:t>
      </w:r>
      <w:r w:rsidR="00240D58" w:rsidRPr="008A1E81">
        <w:rPr>
          <w:rFonts w:ascii="Verdana" w:hAnsi="Verdana"/>
          <w:sz w:val="16"/>
          <w:szCs w:val="16"/>
        </w:rPr>
        <w:t xml:space="preserve">II, </w:t>
      </w:r>
      <w:r w:rsidRPr="008A1E81">
        <w:rPr>
          <w:rFonts w:ascii="Verdana" w:hAnsi="Verdana"/>
          <w:sz w:val="16"/>
          <w:szCs w:val="16"/>
        </w:rPr>
        <w:t>2024</w:t>
      </w:r>
      <w:r w:rsidR="00240D58" w:rsidRPr="008A1E81">
        <w:rPr>
          <w:rFonts w:ascii="Verdana" w:hAnsi="Verdana"/>
          <w:sz w:val="16"/>
          <w:szCs w:val="16"/>
        </w:rPr>
        <w:t>-2025</w:t>
      </w:r>
      <w:r w:rsidRPr="008A1E81">
        <w:rPr>
          <w:rFonts w:ascii="Verdana" w:hAnsi="Verdana"/>
          <w:sz w:val="16"/>
          <w:szCs w:val="16"/>
        </w:rPr>
        <w:t>, </w:t>
      </w:r>
      <w:hyperlink r:id="rId3" w:tooltip="link naar publicatie kst-21501-30-614" w:history="1">
        <w:r w:rsidRPr="008A1E81">
          <w:rPr>
            <w:rFonts w:ascii="Verdana" w:hAnsi="Verdana"/>
            <w:sz w:val="16"/>
            <w:szCs w:val="16"/>
          </w:rPr>
          <w:t>21 501-30, nr. 614</w:t>
        </w:r>
      </w:hyperlink>
      <w:r w:rsidRPr="008A1E81">
        <w:rPr>
          <w:rFonts w:ascii="Verdana" w:hAnsi="Verdana"/>
          <w:sz w:val="16"/>
          <w:szCs w:val="16"/>
        </w:rPr>
        <w:t xml:space="preserve">, Kabinetsreactie </w:t>
      </w:r>
      <w:proofErr w:type="spellStart"/>
      <w:r w:rsidRPr="008A1E81">
        <w:rPr>
          <w:rFonts w:ascii="Verdana" w:hAnsi="Verdana"/>
          <w:sz w:val="16"/>
          <w:szCs w:val="16"/>
        </w:rPr>
        <w:t>Draghi</w:t>
      </w:r>
      <w:proofErr w:type="spellEnd"/>
      <w:r w:rsidRPr="008A1E81">
        <w:rPr>
          <w:rFonts w:ascii="Verdana" w:hAnsi="Verdana"/>
          <w:sz w:val="16"/>
          <w:szCs w:val="16"/>
        </w:rPr>
        <w:t xml:space="preserve"> rapport.</w:t>
      </w:r>
    </w:p>
  </w:footnote>
  <w:footnote w:id="16">
    <w:p w14:paraId="20F8AE1C" w14:textId="3B644931" w:rsidR="00753917" w:rsidRPr="008A1E81" w:rsidRDefault="00753917" w:rsidP="00753917">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w:t>
      </w:r>
      <w:r w:rsidR="00240D58" w:rsidRPr="008A1E81">
        <w:rPr>
          <w:rFonts w:ascii="Verdana" w:hAnsi="Verdana"/>
          <w:sz w:val="16"/>
          <w:szCs w:val="16"/>
        </w:rPr>
        <w:t xml:space="preserve">Kamerstuk II, 2024-2025, 22 112, nr. 4027, Kabinetsappreciatie Witboek Europese Defensie Gereedheid </w:t>
      </w:r>
    </w:p>
  </w:footnote>
  <w:footnote w:id="17">
    <w:p w14:paraId="7F3C30C6" w14:textId="1158B093" w:rsidR="00753917" w:rsidRPr="008A1E81" w:rsidRDefault="00753917" w:rsidP="00753917">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w:t>
      </w:r>
      <w:r w:rsidR="00240D58" w:rsidRPr="008A1E81">
        <w:rPr>
          <w:rFonts w:ascii="Verdana" w:hAnsi="Verdana"/>
          <w:sz w:val="16"/>
          <w:szCs w:val="16"/>
        </w:rPr>
        <w:t>Kamerstuk II, 2024–2025, 22 112, nr. 4050</w:t>
      </w:r>
      <w:r w:rsidR="001D509A" w:rsidRPr="008A1E81">
        <w:rPr>
          <w:rFonts w:ascii="Verdana" w:hAnsi="Verdana"/>
          <w:sz w:val="16"/>
          <w:szCs w:val="16"/>
        </w:rPr>
        <w:t>, Kabinetsreactie Mededeling EU-Interne Veiligheidsstrategie</w:t>
      </w:r>
    </w:p>
  </w:footnote>
  <w:footnote w:id="18">
    <w:p w14:paraId="35023B65" w14:textId="229B818B" w:rsidR="003E00FF" w:rsidRPr="008A1E81" w:rsidRDefault="003E00FF">
      <w:pPr>
        <w:pStyle w:val="FootnoteText"/>
        <w:rPr>
          <w:rFonts w:ascii="Verdana" w:hAnsi="Verdana"/>
          <w:sz w:val="16"/>
          <w:szCs w:val="16"/>
        </w:rPr>
      </w:pPr>
      <w:r w:rsidRPr="008A1E81">
        <w:rPr>
          <w:rStyle w:val="FootnoteReference"/>
          <w:rFonts w:ascii="Verdana" w:hAnsi="Verdana"/>
          <w:sz w:val="16"/>
          <w:szCs w:val="16"/>
        </w:rPr>
        <w:footnoteRef/>
      </w:r>
      <w:r w:rsidRPr="008A1E81">
        <w:rPr>
          <w:rFonts w:ascii="Verdana" w:hAnsi="Verdana"/>
          <w:sz w:val="16"/>
          <w:szCs w:val="16"/>
        </w:rPr>
        <w:t xml:space="preserve"> Verordening (EU) 2022/2371 van het Europees Parlement en de Raad van 23 november 2022 inzake ernstige grensoverschrijdende gezondheidsbedreigingen en tot intrekking van Besluit nr. 1082/2013/EU (Voor de EER relevante tekst)</w:t>
      </w:r>
    </w:p>
  </w:footnote>
  <w:footnote w:id="19">
    <w:p w14:paraId="408F8557" w14:textId="25A645FB" w:rsidR="003E00FF" w:rsidRPr="003E00FF" w:rsidRDefault="003E00FF">
      <w:pPr>
        <w:pStyle w:val="FootnoteText"/>
      </w:pPr>
      <w:r w:rsidRPr="008A1E81">
        <w:rPr>
          <w:rStyle w:val="FootnoteReference"/>
          <w:rFonts w:ascii="Verdana" w:hAnsi="Verdana"/>
          <w:sz w:val="16"/>
          <w:szCs w:val="16"/>
        </w:rPr>
        <w:footnoteRef/>
      </w:r>
      <w:r w:rsidRPr="008A1E81">
        <w:rPr>
          <w:rFonts w:ascii="Verdana" w:hAnsi="Verdana"/>
          <w:sz w:val="16"/>
          <w:szCs w:val="16"/>
        </w:rPr>
        <w:t xml:space="preserve"> </w:t>
      </w:r>
      <w:hyperlink r:id="rId4" w:history="1">
        <w:r w:rsidRPr="008A1E81">
          <w:rPr>
            <w:rFonts w:ascii="Verdana" w:hAnsi="Verdana"/>
            <w:sz w:val="16"/>
            <w:szCs w:val="16"/>
          </w:rPr>
          <w:t>Verordening (EU) 2022/2372 betreffende een kader van maatregelen ter waarborging van de levering van in een crisissituatie relevante medische tegenmaatregelen in geval van een noodsituatie op het gebied van de volksgezondheid op het niveau van de Europese Unie</w:t>
        </w:r>
      </w:hyperlink>
    </w:p>
  </w:footnote>
  <w:footnote w:id="20">
    <w:p w14:paraId="271F1418" w14:textId="3669BAE9" w:rsidR="00011988" w:rsidRPr="0008667A" w:rsidRDefault="00011988">
      <w:pPr>
        <w:pStyle w:val="FootnoteText"/>
        <w:rPr>
          <w:rFonts w:ascii="Verdana" w:hAnsi="Verdana"/>
          <w:sz w:val="16"/>
          <w:szCs w:val="16"/>
        </w:rPr>
      </w:pPr>
      <w:r w:rsidRPr="0008667A">
        <w:rPr>
          <w:rStyle w:val="FootnoteReference"/>
          <w:rFonts w:ascii="Verdana" w:hAnsi="Verdana"/>
          <w:sz w:val="16"/>
          <w:szCs w:val="16"/>
        </w:rPr>
        <w:footnoteRef/>
      </w:r>
      <w:r w:rsidRPr="0008667A">
        <w:rPr>
          <w:rFonts w:ascii="Verdana" w:hAnsi="Verdana"/>
          <w:sz w:val="16"/>
          <w:szCs w:val="16"/>
        </w:rPr>
        <w:t xml:space="preserve"> </w:t>
      </w:r>
      <w:r w:rsidR="000906CD" w:rsidRPr="000906CD">
        <w:rPr>
          <w:rFonts w:ascii="Verdana" w:hAnsi="Verdana"/>
          <w:sz w:val="16"/>
          <w:szCs w:val="16"/>
        </w:rPr>
        <w:t>Zie ook het BNC-fiche over de Verordening Uniemechanisme en financiering paraatheid en respons noodsituaties gezondheid</w:t>
      </w:r>
      <w:r w:rsidR="000906CD">
        <w:rPr>
          <w:rFonts w:ascii="Verdana" w:hAnsi="Verdana"/>
          <w:sz w:val="16"/>
          <w:szCs w:val="16"/>
        </w:rPr>
        <w:t>.</w:t>
      </w:r>
    </w:p>
  </w:footnote>
  <w:footnote w:id="21">
    <w:p w14:paraId="57BAFE88" w14:textId="11A268C8" w:rsidR="003E06D0" w:rsidRPr="0008667A" w:rsidRDefault="003E06D0">
      <w:pPr>
        <w:pStyle w:val="FootnoteText"/>
        <w:rPr>
          <w:rFonts w:ascii="Verdana" w:hAnsi="Verdana"/>
          <w:sz w:val="16"/>
          <w:szCs w:val="16"/>
        </w:rPr>
      </w:pPr>
      <w:r w:rsidRPr="0008667A">
        <w:rPr>
          <w:rStyle w:val="FootnoteReference"/>
          <w:rFonts w:ascii="Verdana" w:hAnsi="Verdana"/>
          <w:sz w:val="16"/>
          <w:szCs w:val="16"/>
        </w:rPr>
        <w:footnoteRef/>
      </w:r>
      <w:r w:rsidRPr="0008667A">
        <w:rPr>
          <w:rFonts w:ascii="Verdana" w:hAnsi="Verdana"/>
          <w:sz w:val="16"/>
          <w:szCs w:val="16"/>
        </w:rPr>
        <w:t xml:space="preserve"> </w:t>
      </w:r>
      <w:r w:rsidRPr="0008667A">
        <w:rPr>
          <w:rFonts w:ascii="Verdana" w:hAnsi="Verdana"/>
          <w:iCs/>
          <w:sz w:val="16"/>
          <w:szCs w:val="16"/>
        </w:rPr>
        <w:t xml:space="preserve">Kamerstukken 36 045, </w:t>
      </w:r>
      <w:proofErr w:type="spellStart"/>
      <w:r w:rsidRPr="0008667A">
        <w:rPr>
          <w:rFonts w:ascii="Verdana" w:hAnsi="Verdana"/>
          <w:iCs/>
          <w:sz w:val="16"/>
          <w:szCs w:val="16"/>
        </w:rPr>
        <w:t>nrs</w:t>
      </w:r>
      <w:proofErr w:type="spellEnd"/>
      <w:r w:rsidRPr="0008667A">
        <w:rPr>
          <w:rFonts w:ascii="Verdana" w:hAnsi="Verdana"/>
          <w:iCs/>
          <w:sz w:val="16"/>
          <w:szCs w:val="16"/>
        </w:rPr>
        <w:t>. 169 en 185.</w:t>
      </w:r>
    </w:p>
  </w:footnote>
  <w:footnote w:id="22">
    <w:p w14:paraId="361FF3E6" w14:textId="08C8DB78" w:rsidR="00EE26B9" w:rsidRPr="0008667A" w:rsidRDefault="00EE26B9" w:rsidP="00EE26B9">
      <w:pPr>
        <w:pStyle w:val="FootnoteText"/>
        <w:rPr>
          <w:rFonts w:ascii="Verdana" w:hAnsi="Verdana"/>
          <w:sz w:val="16"/>
          <w:szCs w:val="16"/>
        </w:rPr>
      </w:pPr>
      <w:r w:rsidRPr="0008667A">
        <w:rPr>
          <w:rStyle w:val="FootnoteReference"/>
          <w:rFonts w:ascii="Verdana" w:hAnsi="Verdana"/>
          <w:sz w:val="16"/>
          <w:szCs w:val="16"/>
        </w:rPr>
        <w:footnoteRef/>
      </w:r>
      <w:r w:rsidRPr="0008667A">
        <w:rPr>
          <w:rFonts w:ascii="Verdana" w:hAnsi="Verdana"/>
          <w:sz w:val="16"/>
          <w:szCs w:val="16"/>
        </w:rPr>
        <w:t xml:space="preserve"> </w:t>
      </w:r>
      <w:r w:rsidR="00076100" w:rsidRPr="0008667A">
        <w:rPr>
          <w:rFonts w:ascii="Verdana" w:hAnsi="Verdana"/>
          <w:sz w:val="16"/>
          <w:szCs w:val="16"/>
        </w:rPr>
        <w:t>Kamerstuk</w:t>
      </w:r>
      <w:r w:rsidR="00240D58" w:rsidRPr="0008667A">
        <w:rPr>
          <w:rFonts w:ascii="Verdana" w:hAnsi="Verdana"/>
          <w:sz w:val="16"/>
          <w:szCs w:val="16"/>
        </w:rPr>
        <w:t xml:space="preserve"> II, 2021-2022, </w:t>
      </w:r>
      <w:r w:rsidR="00076100" w:rsidRPr="0008667A">
        <w:rPr>
          <w:rFonts w:ascii="Verdana" w:hAnsi="Verdana"/>
          <w:sz w:val="16"/>
          <w:szCs w:val="16"/>
        </w:rPr>
        <w:t>22 112, nr. 3466</w:t>
      </w:r>
      <w:r w:rsidR="00240D58" w:rsidRPr="0008667A">
        <w:rPr>
          <w:rFonts w:ascii="Verdana" w:hAnsi="Verdana"/>
          <w:sz w:val="16"/>
          <w:szCs w:val="16"/>
        </w:rPr>
        <w:t xml:space="preserve">, Kabinetsreactie Europees noodplan voor vervoer </w:t>
      </w:r>
    </w:p>
  </w:footnote>
  <w:footnote w:id="23">
    <w:p w14:paraId="7B98F5F2" w14:textId="07678680" w:rsidR="006C1C7B" w:rsidRPr="0008667A" w:rsidRDefault="006C1C7B">
      <w:pPr>
        <w:pStyle w:val="FootnoteText"/>
        <w:rPr>
          <w:rFonts w:ascii="Verdana" w:hAnsi="Verdana"/>
          <w:sz w:val="16"/>
          <w:szCs w:val="16"/>
        </w:rPr>
      </w:pPr>
      <w:r w:rsidRPr="0008667A">
        <w:rPr>
          <w:rStyle w:val="FootnoteReference"/>
          <w:rFonts w:ascii="Verdana" w:hAnsi="Verdana"/>
          <w:sz w:val="16"/>
          <w:szCs w:val="16"/>
        </w:rPr>
        <w:footnoteRef/>
      </w:r>
      <w:r w:rsidR="00076100" w:rsidRPr="0008667A">
        <w:rPr>
          <w:rFonts w:ascii="Verdana" w:hAnsi="Verdana"/>
          <w:iCs/>
          <w:sz w:val="16"/>
          <w:szCs w:val="16"/>
        </w:rPr>
        <w:t xml:space="preserve"> Kamerstukken II 2024-2025, 21 501-02, nr. 3064, Verslag van de Raad Buitenlandse Zaken van 24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A12E13"/>
    <w:multiLevelType w:val="hybridMultilevel"/>
    <w:tmpl w:val="46720A5C"/>
    <w:lvl w:ilvl="0" w:tplc="63C88358">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A84965"/>
    <w:multiLevelType w:val="hybridMultilevel"/>
    <w:tmpl w:val="C0109B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3BD6EA1"/>
    <w:multiLevelType w:val="multilevel"/>
    <w:tmpl w:val="B6A42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F26AAC"/>
    <w:multiLevelType w:val="multilevel"/>
    <w:tmpl w:val="E2240264"/>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7407EF"/>
    <w:multiLevelType w:val="multilevel"/>
    <w:tmpl w:val="46EE91F0"/>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9805035">
    <w:abstractNumId w:val="0"/>
  </w:num>
  <w:num w:numId="2" w16cid:durableId="1479568792">
    <w:abstractNumId w:val="9"/>
  </w:num>
  <w:num w:numId="3" w16cid:durableId="1000962754">
    <w:abstractNumId w:val="1"/>
  </w:num>
  <w:num w:numId="4" w16cid:durableId="980813417">
    <w:abstractNumId w:val="25"/>
  </w:num>
  <w:num w:numId="5" w16cid:durableId="703480320">
    <w:abstractNumId w:val="17"/>
  </w:num>
  <w:num w:numId="6" w16cid:durableId="928080238">
    <w:abstractNumId w:val="15"/>
  </w:num>
  <w:num w:numId="7" w16cid:durableId="405685423">
    <w:abstractNumId w:val="6"/>
  </w:num>
  <w:num w:numId="8" w16cid:durableId="292297205">
    <w:abstractNumId w:val="18"/>
  </w:num>
  <w:num w:numId="9" w16cid:durableId="1211502451">
    <w:abstractNumId w:val="7"/>
  </w:num>
  <w:num w:numId="10" w16cid:durableId="1936086142">
    <w:abstractNumId w:val="2"/>
  </w:num>
  <w:num w:numId="11" w16cid:durableId="969239598">
    <w:abstractNumId w:val="5"/>
  </w:num>
  <w:num w:numId="12" w16cid:durableId="784422866">
    <w:abstractNumId w:val="8"/>
  </w:num>
  <w:num w:numId="13" w16cid:durableId="1527988388">
    <w:abstractNumId w:val="22"/>
  </w:num>
  <w:num w:numId="14" w16cid:durableId="1887570556">
    <w:abstractNumId w:val="24"/>
  </w:num>
  <w:num w:numId="15" w16cid:durableId="1042710396">
    <w:abstractNumId w:val="14"/>
  </w:num>
  <w:num w:numId="16" w16cid:durableId="585384282">
    <w:abstractNumId w:val="19"/>
  </w:num>
  <w:num w:numId="17" w16cid:durableId="274487019">
    <w:abstractNumId w:val="12"/>
  </w:num>
  <w:num w:numId="18" w16cid:durableId="855581844">
    <w:abstractNumId w:val="3"/>
  </w:num>
  <w:num w:numId="19" w16cid:durableId="343434521">
    <w:abstractNumId w:val="23"/>
  </w:num>
  <w:num w:numId="20" w16cid:durableId="1557816596">
    <w:abstractNumId w:val="26"/>
  </w:num>
  <w:num w:numId="21" w16cid:durableId="1801417599">
    <w:abstractNumId w:val="16"/>
  </w:num>
  <w:num w:numId="22" w16cid:durableId="1286231430">
    <w:abstractNumId w:val="10"/>
  </w:num>
  <w:num w:numId="23" w16cid:durableId="1073234532">
    <w:abstractNumId w:val="21"/>
  </w:num>
  <w:num w:numId="24" w16cid:durableId="372074068">
    <w:abstractNumId w:val="27"/>
  </w:num>
  <w:num w:numId="25" w16cid:durableId="148717458">
    <w:abstractNumId w:val="20"/>
  </w:num>
  <w:num w:numId="26" w16cid:durableId="1822767838">
    <w:abstractNumId w:val="4"/>
  </w:num>
  <w:num w:numId="27" w16cid:durableId="1859924139">
    <w:abstractNumId w:val="11"/>
  </w:num>
  <w:num w:numId="28" w16cid:durableId="981620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446"/>
    <w:rsid w:val="00011988"/>
    <w:rsid w:val="00011F51"/>
    <w:rsid w:val="0001467F"/>
    <w:rsid w:val="00016B4C"/>
    <w:rsid w:val="00023715"/>
    <w:rsid w:val="0004799B"/>
    <w:rsid w:val="0005085C"/>
    <w:rsid w:val="0005378C"/>
    <w:rsid w:val="00066C36"/>
    <w:rsid w:val="00071034"/>
    <w:rsid w:val="00071F9B"/>
    <w:rsid w:val="00076100"/>
    <w:rsid w:val="0008362F"/>
    <w:rsid w:val="000836CC"/>
    <w:rsid w:val="0008667A"/>
    <w:rsid w:val="000906CD"/>
    <w:rsid w:val="0009633C"/>
    <w:rsid w:val="000A42D6"/>
    <w:rsid w:val="000B4184"/>
    <w:rsid w:val="000D01B7"/>
    <w:rsid w:val="000F0FAC"/>
    <w:rsid w:val="000F5C3D"/>
    <w:rsid w:val="0011089A"/>
    <w:rsid w:val="001108B4"/>
    <w:rsid w:val="00111881"/>
    <w:rsid w:val="00113A68"/>
    <w:rsid w:val="00113DF4"/>
    <w:rsid w:val="00116B3E"/>
    <w:rsid w:val="00121B00"/>
    <w:rsid w:val="00125A56"/>
    <w:rsid w:val="0012782F"/>
    <w:rsid w:val="00127A35"/>
    <w:rsid w:val="0014207B"/>
    <w:rsid w:val="00144FC9"/>
    <w:rsid w:val="00152F08"/>
    <w:rsid w:val="00164D1E"/>
    <w:rsid w:val="0017031A"/>
    <w:rsid w:val="00170E46"/>
    <w:rsid w:val="00171AD2"/>
    <w:rsid w:val="00176A68"/>
    <w:rsid w:val="00181C92"/>
    <w:rsid w:val="001A6D9A"/>
    <w:rsid w:val="001B0F54"/>
    <w:rsid w:val="001B3626"/>
    <w:rsid w:val="001D33FF"/>
    <w:rsid w:val="001D509A"/>
    <w:rsid w:val="001D558D"/>
    <w:rsid w:val="001E1B3A"/>
    <w:rsid w:val="001F2CF7"/>
    <w:rsid w:val="001F3E47"/>
    <w:rsid w:val="001F5BF9"/>
    <w:rsid w:val="0020173A"/>
    <w:rsid w:val="0020223E"/>
    <w:rsid w:val="00220962"/>
    <w:rsid w:val="002225CD"/>
    <w:rsid w:val="002253FD"/>
    <w:rsid w:val="00237AA3"/>
    <w:rsid w:val="00240D58"/>
    <w:rsid w:val="00241278"/>
    <w:rsid w:val="002427D1"/>
    <w:rsid w:val="00246C8B"/>
    <w:rsid w:val="00251118"/>
    <w:rsid w:val="002606C6"/>
    <w:rsid w:val="00263B88"/>
    <w:rsid w:val="00275415"/>
    <w:rsid w:val="00285DF6"/>
    <w:rsid w:val="002918F8"/>
    <w:rsid w:val="002C1107"/>
    <w:rsid w:val="002C3475"/>
    <w:rsid w:val="002C79C7"/>
    <w:rsid w:val="002D136B"/>
    <w:rsid w:val="002D395F"/>
    <w:rsid w:val="002F0839"/>
    <w:rsid w:val="002F4008"/>
    <w:rsid w:val="002F611A"/>
    <w:rsid w:val="002F628A"/>
    <w:rsid w:val="00305251"/>
    <w:rsid w:val="00313672"/>
    <w:rsid w:val="003163BA"/>
    <w:rsid w:val="003231B8"/>
    <w:rsid w:val="00327FE0"/>
    <w:rsid w:val="0033611D"/>
    <w:rsid w:val="00345971"/>
    <w:rsid w:val="00347E36"/>
    <w:rsid w:val="00353AB6"/>
    <w:rsid w:val="003772B7"/>
    <w:rsid w:val="00380DE6"/>
    <w:rsid w:val="00381D92"/>
    <w:rsid w:val="00385C19"/>
    <w:rsid w:val="00387C0D"/>
    <w:rsid w:val="003A0D3C"/>
    <w:rsid w:val="003A0EDB"/>
    <w:rsid w:val="003A2387"/>
    <w:rsid w:val="003A2607"/>
    <w:rsid w:val="003A2F97"/>
    <w:rsid w:val="003B66B7"/>
    <w:rsid w:val="003C30F1"/>
    <w:rsid w:val="003C4F9C"/>
    <w:rsid w:val="003C67D4"/>
    <w:rsid w:val="003D13E8"/>
    <w:rsid w:val="003D6FC3"/>
    <w:rsid w:val="003D7F1A"/>
    <w:rsid w:val="003E00FF"/>
    <w:rsid w:val="003E06D0"/>
    <w:rsid w:val="003E4DF6"/>
    <w:rsid w:val="003E505E"/>
    <w:rsid w:val="003E6E9E"/>
    <w:rsid w:val="003F1DFD"/>
    <w:rsid w:val="003F44A0"/>
    <w:rsid w:val="004052B6"/>
    <w:rsid w:val="0040666E"/>
    <w:rsid w:val="00411035"/>
    <w:rsid w:val="00414782"/>
    <w:rsid w:val="00421376"/>
    <w:rsid w:val="00422AE6"/>
    <w:rsid w:val="00423FD7"/>
    <w:rsid w:val="00432F12"/>
    <w:rsid w:val="004334FB"/>
    <w:rsid w:val="00445043"/>
    <w:rsid w:val="0044531B"/>
    <w:rsid w:val="00451651"/>
    <w:rsid w:val="00452C93"/>
    <w:rsid w:val="0046290B"/>
    <w:rsid w:val="00466FEE"/>
    <w:rsid w:val="00472375"/>
    <w:rsid w:val="0047622F"/>
    <w:rsid w:val="00481538"/>
    <w:rsid w:val="00482EAB"/>
    <w:rsid w:val="00485DEB"/>
    <w:rsid w:val="004A1692"/>
    <w:rsid w:val="004A379F"/>
    <w:rsid w:val="004A7A36"/>
    <w:rsid w:val="004B22FC"/>
    <w:rsid w:val="004B57B5"/>
    <w:rsid w:val="004D1661"/>
    <w:rsid w:val="004D6E5E"/>
    <w:rsid w:val="004E737E"/>
    <w:rsid w:val="004F21D5"/>
    <w:rsid w:val="004F678F"/>
    <w:rsid w:val="005033CB"/>
    <w:rsid w:val="00513C1E"/>
    <w:rsid w:val="005263B1"/>
    <w:rsid w:val="00526C76"/>
    <w:rsid w:val="005342D4"/>
    <w:rsid w:val="005401BD"/>
    <w:rsid w:val="00545D91"/>
    <w:rsid w:val="005476F6"/>
    <w:rsid w:val="00550480"/>
    <w:rsid w:val="005564CF"/>
    <w:rsid w:val="00563CA2"/>
    <w:rsid w:val="00567557"/>
    <w:rsid w:val="0057281B"/>
    <w:rsid w:val="005811B1"/>
    <w:rsid w:val="00585B07"/>
    <w:rsid w:val="00585C39"/>
    <w:rsid w:val="00586A38"/>
    <w:rsid w:val="0059369A"/>
    <w:rsid w:val="00596D00"/>
    <w:rsid w:val="005A0046"/>
    <w:rsid w:val="005A12F2"/>
    <w:rsid w:val="005A16C6"/>
    <w:rsid w:val="005A1E03"/>
    <w:rsid w:val="005A4D45"/>
    <w:rsid w:val="005A798A"/>
    <w:rsid w:val="005B0C00"/>
    <w:rsid w:val="005B4CDB"/>
    <w:rsid w:val="005C0B62"/>
    <w:rsid w:val="005C0BE7"/>
    <w:rsid w:val="005C20FC"/>
    <w:rsid w:val="005C6FD2"/>
    <w:rsid w:val="005C7EC1"/>
    <w:rsid w:val="005D525B"/>
    <w:rsid w:val="005E36F5"/>
    <w:rsid w:val="005F24B4"/>
    <w:rsid w:val="005F7A18"/>
    <w:rsid w:val="0062392E"/>
    <w:rsid w:val="006259E4"/>
    <w:rsid w:val="0063584C"/>
    <w:rsid w:val="0064006A"/>
    <w:rsid w:val="00643287"/>
    <w:rsid w:val="0064352A"/>
    <w:rsid w:val="0064382A"/>
    <w:rsid w:val="00645989"/>
    <w:rsid w:val="006545A4"/>
    <w:rsid w:val="006551EB"/>
    <w:rsid w:val="0065544E"/>
    <w:rsid w:val="00674024"/>
    <w:rsid w:val="00676277"/>
    <w:rsid w:val="006774E3"/>
    <w:rsid w:val="006810FB"/>
    <w:rsid w:val="00682F7C"/>
    <w:rsid w:val="0068350A"/>
    <w:rsid w:val="00683A3E"/>
    <w:rsid w:val="00683E89"/>
    <w:rsid w:val="00685B08"/>
    <w:rsid w:val="00687E12"/>
    <w:rsid w:val="0069578E"/>
    <w:rsid w:val="006A55A2"/>
    <w:rsid w:val="006B21BB"/>
    <w:rsid w:val="006B55A5"/>
    <w:rsid w:val="006B6AD4"/>
    <w:rsid w:val="006C1C7B"/>
    <w:rsid w:val="006D0D52"/>
    <w:rsid w:val="006E45A5"/>
    <w:rsid w:val="006E4D5C"/>
    <w:rsid w:val="006E62A9"/>
    <w:rsid w:val="006E7C5E"/>
    <w:rsid w:val="00700377"/>
    <w:rsid w:val="00701C62"/>
    <w:rsid w:val="007074E9"/>
    <w:rsid w:val="0072280E"/>
    <w:rsid w:val="0073064E"/>
    <w:rsid w:val="00742156"/>
    <w:rsid w:val="00742D26"/>
    <w:rsid w:val="0074401E"/>
    <w:rsid w:val="00753917"/>
    <w:rsid w:val="00786711"/>
    <w:rsid w:val="00790DAB"/>
    <w:rsid w:val="007921C4"/>
    <w:rsid w:val="0079394D"/>
    <w:rsid w:val="0079553A"/>
    <w:rsid w:val="007A38E4"/>
    <w:rsid w:val="007A526E"/>
    <w:rsid w:val="007B2E47"/>
    <w:rsid w:val="007B3C6A"/>
    <w:rsid w:val="007B6327"/>
    <w:rsid w:val="007B666C"/>
    <w:rsid w:val="007C06C2"/>
    <w:rsid w:val="007C59C4"/>
    <w:rsid w:val="007C6908"/>
    <w:rsid w:val="007D3EF0"/>
    <w:rsid w:val="007D4F71"/>
    <w:rsid w:val="007E1551"/>
    <w:rsid w:val="007F7D2F"/>
    <w:rsid w:val="00800AC7"/>
    <w:rsid w:val="0080762A"/>
    <w:rsid w:val="00814E56"/>
    <w:rsid w:val="008254F8"/>
    <w:rsid w:val="00831CBF"/>
    <w:rsid w:val="0083348F"/>
    <w:rsid w:val="0084333D"/>
    <w:rsid w:val="00845319"/>
    <w:rsid w:val="00847822"/>
    <w:rsid w:val="008528D9"/>
    <w:rsid w:val="0085691D"/>
    <w:rsid w:val="00860544"/>
    <w:rsid w:val="00862967"/>
    <w:rsid w:val="008716AE"/>
    <w:rsid w:val="00874E5F"/>
    <w:rsid w:val="00881F26"/>
    <w:rsid w:val="0088650A"/>
    <w:rsid w:val="00890E1A"/>
    <w:rsid w:val="008973BC"/>
    <w:rsid w:val="00897A0C"/>
    <w:rsid w:val="008A1E81"/>
    <w:rsid w:val="008B16B8"/>
    <w:rsid w:val="008B70A2"/>
    <w:rsid w:val="008B73D8"/>
    <w:rsid w:val="008C5D3E"/>
    <w:rsid w:val="008D3962"/>
    <w:rsid w:val="008D6F4B"/>
    <w:rsid w:val="008E6D0D"/>
    <w:rsid w:val="008E7343"/>
    <w:rsid w:val="008F153B"/>
    <w:rsid w:val="008F4AEE"/>
    <w:rsid w:val="008F7CA5"/>
    <w:rsid w:val="00904527"/>
    <w:rsid w:val="00905B76"/>
    <w:rsid w:val="0091059F"/>
    <w:rsid w:val="009243D1"/>
    <w:rsid w:val="0092719A"/>
    <w:rsid w:val="009312A3"/>
    <w:rsid w:val="0093550C"/>
    <w:rsid w:val="00942F90"/>
    <w:rsid w:val="00943035"/>
    <w:rsid w:val="009466C9"/>
    <w:rsid w:val="0095158B"/>
    <w:rsid w:val="009533DB"/>
    <w:rsid w:val="00953C5F"/>
    <w:rsid w:val="00954432"/>
    <w:rsid w:val="00954C75"/>
    <w:rsid w:val="009601D6"/>
    <w:rsid w:val="00962C60"/>
    <w:rsid w:val="00963494"/>
    <w:rsid w:val="0096768E"/>
    <w:rsid w:val="00967A22"/>
    <w:rsid w:val="00980F8C"/>
    <w:rsid w:val="009845E7"/>
    <w:rsid w:val="00986C8F"/>
    <w:rsid w:val="009A3B7F"/>
    <w:rsid w:val="009A5F11"/>
    <w:rsid w:val="009A722E"/>
    <w:rsid w:val="009B3EED"/>
    <w:rsid w:val="009B4C6F"/>
    <w:rsid w:val="009C006E"/>
    <w:rsid w:val="009C079D"/>
    <w:rsid w:val="009C0E53"/>
    <w:rsid w:val="009C3625"/>
    <w:rsid w:val="009D05A6"/>
    <w:rsid w:val="009D398E"/>
    <w:rsid w:val="009D449E"/>
    <w:rsid w:val="009D6BD5"/>
    <w:rsid w:val="009D6DFE"/>
    <w:rsid w:val="009E153D"/>
    <w:rsid w:val="009E1923"/>
    <w:rsid w:val="009E264C"/>
    <w:rsid w:val="009E31AD"/>
    <w:rsid w:val="009E3557"/>
    <w:rsid w:val="009E35FD"/>
    <w:rsid w:val="009E5D6E"/>
    <w:rsid w:val="00A029BE"/>
    <w:rsid w:val="00A02D35"/>
    <w:rsid w:val="00A06DCA"/>
    <w:rsid w:val="00A10605"/>
    <w:rsid w:val="00A11806"/>
    <w:rsid w:val="00A14730"/>
    <w:rsid w:val="00A15F67"/>
    <w:rsid w:val="00A21B6F"/>
    <w:rsid w:val="00A26A53"/>
    <w:rsid w:val="00A41CEC"/>
    <w:rsid w:val="00A43A3C"/>
    <w:rsid w:val="00A4642B"/>
    <w:rsid w:val="00A51649"/>
    <w:rsid w:val="00A57FAE"/>
    <w:rsid w:val="00A74BB5"/>
    <w:rsid w:val="00A75283"/>
    <w:rsid w:val="00A76194"/>
    <w:rsid w:val="00A93AC4"/>
    <w:rsid w:val="00A955E5"/>
    <w:rsid w:val="00A9591E"/>
    <w:rsid w:val="00A959A7"/>
    <w:rsid w:val="00AA0E04"/>
    <w:rsid w:val="00AA15CF"/>
    <w:rsid w:val="00AB0812"/>
    <w:rsid w:val="00AB3C23"/>
    <w:rsid w:val="00AB56BB"/>
    <w:rsid w:val="00AC49B7"/>
    <w:rsid w:val="00AC75E9"/>
    <w:rsid w:val="00AD0B31"/>
    <w:rsid w:val="00AD2BDB"/>
    <w:rsid w:val="00AD452E"/>
    <w:rsid w:val="00AD4E3C"/>
    <w:rsid w:val="00AD5C18"/>
    <w:rsid w:val="00AE077D"/>
    <w:rsid w:val="00AE1040"/>
    <w:rsid w:val="00AE1E40"/>
    <w:rsid w:val="00AF72A3"/>
    <w:rsid w:val="00B007E1"/>
    <w:rsid w:val="00B04E8C"/>
    <w:rsid w:val="00B05C10"/>
    <w:rsid w:val="00B1156A"/>
    <w:rsid w:val="00B1460F"/>
    <w:rsid w:val="00B15DBC"/>
    <w:rsid w:val="00B263BE"/>
    <w:rsid w:val="00B31776"/>
    <w:rsid w:val="00B32CF2"/>
    <w:rsid w:val="00B3714E"/>
    <w:rsid w:val="00B47FD7"/>
    <w:rsid w:val="00B52616"/>
    <w:rsid w:val="00B54200"/>
    <w:rsid w:val="00B55AC8"/>
    <w:rsid w:val="00B55C50"/>
    <w:rsid w:val="00B57275"/>
    <w:rsid w:val="00B818FF"/>
    <w:rsid w:val="00B83D1F"/>
    <w:rsid w:val="00B937E7"/>
    <w:rsid w:val="00BA3B51"/>
    <w:rsid w:val="00BA67DC"/>
    <w:rsid w:val="00BB3032"/>
    <w:rsid w:val="00BE085A"/>
    <w:rsid w:val="00BE202F"/>
    <w:rsid w:val="00BE546A"/>
    <w:rsid w:val="00BE5B28"/>
    <w:rsid w:val="00BF0041"/>
    <w:rsid w:val="00BF4C04"/>
    <w:rsid w:val="00BF66AB"/>
    <w:rsid w:val="00C06E80"/>
    <w:rsid w:val="00C1155D"/>
    <w:rsid w:val="00C147A3"/>
    <w:rsid w:val="00C16EE4"/>
    <w:rsid w:val="00C30788"/>
    <w:rsid w:val="00C354BB"/>
    <w:rsid w:val="00C46BB1"/>
    <w:rsid w:val="00C51186"/>
    <w:rsid w:val="00C7151E"/>
    <w:rsid w:val="00C86AE6"/>
    <w:rsid w:val="00C92583"/>
    <w:rsid w:val="00C935A4"/>
    <w:rsid w:val="00C962C1"/>
    <w:rsid w:val="00CA63AF"/>
    <w:rsid w:val="00CB672F"/>
    <w:rsid w:val="00CC2BAD"/>
    <w:rsid w:val="00CD38F2"/>
    <w:rsid w:val="00CE7AC8"/>
    <w:rsid w:val="00D0008E"/>
    <w:rsid w:val="00D103E3"/>
    <w:rsid w:val="00D1415C"/>
    <w:rsid w:val="00D16DF6"/>
    <w:rsid w:val="00D20167"/>
    <w:rsid w:val="00D21664"/>
    <w:rsid w:val="00D26AF3"/>
    <w:rsid w:val="00D34827"/>
    <w:rsid w:val="00D36CE9"/>
    <w:rsid w:val="00D37F6C"/>
    <w:rsid w:val="00D433A9"/>
    <w:rsid w:val="00D45863"/>
    <w:rsid w:val="00D476BC"/>
    <w:rsid w:val="00D47EEA"/>
    <w:rsid w:val="00D565D4"/>
    <w:rsid w:val="00D67BE3"/>
    <w:rsid w:val="00D732CE"/>
    <w:rsid w:val="00D75B77"/>
    <w:rsid w:val="00D762BB"/>
    <w:rsid w:val="00D87E86"/>
    <w:rsid w:val="00D917D4"/>
    <w:rsid w:val="00D9480B"/>
    <w:rsid w:val="00DA3503"/>
    <w:rsid w:val="00DB2696"/>
    <w:rsid w:val="00DC0104"/>
    <w:rsid w:val="00DC78EF"/>
    <w:rsid w:val="00DC7EC7"/>
    <w:rsid w:val="00DD4F99"/>
    <w:rsid w:val="00DD7131"/>
    <w:rsid w:val="00DE488C"/>
    <w:rsid w:val="00DE5550"/>
    <w:rsid w:val="00DE60F7"/>
    <w:rsid w:val="00DE7486"/>
    <w:rsid w:val="00DF17DF"/>
    <w:rsid w:val="00DF47D6"/>
    <w:rsid w:val="00E00217"/>
    <w:rsid w:val="00E01026"/>
    <w:rsid w:val="00E010FB"/>
    <w:rsid w:val="00E10AD6"/>
    <w:rsid w:val="00E1114E"/>
    <w:rsid w:val="00E12DCC"/>
    <w:rsid w:val="00E172B8"/>
    <w:rsid w:val="00E32076"/>
    <w:rsid w:val="00E35F3E"/>
    <w:rsid w:val="00E3677F"/>
    <w:rsid w:val="00E432E8"/>
    <w:rsid w:val="00E47DB4"/>
    <w:rsid w:val="00E52BF9"/>
    <w:rsid w:val="00E6089D"/>
    <w:rsid w:val="00E6260B"/>
    <w:rsid w:val="00E62B06"/>
    <w:rsid w:val="00E661DD"/>
    <w:rsid w:val="00E6672E"/>
    <w:rsid w:val="00E77128"/>
    <w:rsid w:val="00EA261B"/>
    <w:rsid w:val="00EA29CB"/>
    <w:rsid w:val="00EA3CA9"/>
    <w:rsid w:val="00EA4C91"/>
    <w:rsid w:val="00EB0800"/>
    <w:rsid w:val="00EB7881"/>
    <w:rsid w:val="00EC2431"/>
    <w:rsid w:val="00EC48E3"/>
    <w:rsid w:val="00ED1CFA"/>
    <w:rsid w:val="00ED6928"/>
    <w:rsid w:val="00EE26B9"/>
    <w:rsid w:val="00EE4B4B"/>
    <w:rsid w:val="00EF4689"/>
    <w:rsid w:val="00EF5C95"/>
    <w:rsid w:val="00F0529C"/>
    <w:rsid w:val="00F16700"/>
    <w:rsid w:val="00F20425"/>
    <w:rsid w:val="00F2052F"/>
    <w:rsid w:val="00F309D9"/>
    <w:rsid w:val="00F3686B"/>
    <w:rsid w:val="00F54AFF"/>
    <w:rsid w:val="00F54F1A"/>
    <w:rsid w:val="00F62C39"/>
    <w:rsid w:val="00F640A5"/>
    <w:rsid w:val="00F721D1"/>
    <w:rsid w:val="00F810DF"/>
    <w:rsid w:val="00F81260"/>
    <w:rsid w:val="00F81F73"/>
    <w:rsid w:val="00F9083A"/>
    <w:rsid w:val="00F91E50"/>
    <w:rsid w:val="00F966EC"/>
    <w:rsid w:val="00FA03F3"/>
    <w:rsid w:val="00FA0460"/>
    <w:rsid w:val="00FA499D"/>
    <w:rsid w:val="00FA49BE"/>
    <w:rsid w:val="00FA6B3C"/>
    <w:rsid w:val="00FB216B"/>
    <w:rsid w:val="00FB2B19"/>
    <w:rsid w:val="00FC767F"/>
    <w:rsid w:val="00FD0CBD"/>
    <w:rsid w:val="00FE7565"/>
    <w:rsid w:val="00FF30EB"/>
    <w:rsid w:val="00FF3AEA"/>
    <w:rsid w:val="13F04252"/>
    <w:rsid w:val="28E77016"/>
    <w:rsid w:val="4D76E8B6"/>
    <w:rsid w:val="60696D2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qFormat/>
    <w:rPr>
      <w:sz w:val="20"/>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qFormat/>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customStyle="1" w:styleId="FootnoteTextChar">
    <w:name w:val="Footnote Text Char"/>
    <w:basedOn w:val="DefaultParagraphFont"/>
    <w:link w:val="FootnoteText"/>
    <w:uiPriority w:val="99"/>
    <w:qFormat/>
    <w:rsid w:val="003A2387"/>
    <w:rPr>
      <w:lang w:eastAsia="zh-CN"/>
    </w:rPr>
  </w:style>
  <w:style w:type="paragraph" w:styleId="Revision">
    <w:name w:val="Revision"/>
    <w:hidden/>
    <w:uiPriority w:val="99"/>
    <w:semiHidden/>
    <w:rsid w:val="00220962"/>
    <w:rPr>
      <w:sz w:val="22"/>
      <w:lang w:eastAsia="zh-CN"/>
    </w:rPr>
  </w:style>
  <w:style w:type="paragraph" w:styleId="NormalWeb">
    <w:name w:val="Normal (Web)"/>
    <w:basedOn w:val="Normal"/>
    <w:rsid w:val="00E432E8"/>
    <w:rPr>
      <w:sz w:val="24"/>
      <w:szCs w:val="24"/>
    </w:rPr>
  </w:style>
  <w:style w:type="character" w:styleId="UnresolvedMention">
    <w:name w:val="Unresolved Mention"/>
    <w:basedOn w:val="DefaultParagraphFont"/>
    <w:uiPriority w:val="99"/>
    <w:semiHidden/>
    <w:unhideWhenUsed/>
    <w:rsid w:val="002F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950">
      <w:bodyDiv w:val="1"/>
      <w:marLeft w:val="0"/>
      <w:marRight w:val="0"/>
      <w:marTop w:val="0"/>
      <w:marBottom w:val="0"/>
      <w:divBdr>
        <w:top w:val="none" w:sz="0" w:space="0" w:color="auto"/>
        <w:left w:val="none" w:sz="0" w:space="0" w:color="auto"/>
        <w:bottom w:val="none" w:sz="0" w:space="0" w:color="auto"/>
        <w:right w:val="none" w:sz="0" w:space="0" w:color="auto"/>
      </w:divBdr>
    </w:div>
    <w:div w:id="17464764">
      <w:bodyDiv w:val="1"/>
      <w:marLeft w:val="0"/>
      <w:marRight w:val="0"/>
      <w:marTop w:val="0"/>
      <w:marBottom w:val="0"/>
      <w:divBdr>
        <w:top w:val="none" w:sz="0" w:space="0" w:color="auto"/>
        <w:left w:val="none" w:sz="0" w:space="0" w:color="auto"/>
        <w:bottom w:val="none" w:sz="0" w:space="0" w:color="auto"/>
        <w:right w:val="none" w:sz="0" w:space="0" w:color="auto"/>
      </w:divBdr>
    </w:div>
    <w:div w:id="31732557">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80223815">
      <w:bodyDiv w:val="1"/>
      <w:marLeft w:val="0"/>
      <w:marRight w:val="0"/>
      <w:marTop w:val="0"/>
      <w:marBottom w:val="0"/>
      <w:divBdr>
        <w:top w:val="none" w:sz="0" w:space="0" w:color="auto"/>
        <w:left w:val="none" w:sz="0" w:space="0" w:color="auto"/>
        <w:bottom w:val="none" w:sz="0" w:space="0" w:color="auto"/>
        <w:right w:val="none" w:sz="0" w:space="0" w:color="auto"/>
      </w:divBdr>
    </w:div>
    <w:div w:id="153768250">
      <w:bodyDiv w:val="1"/>
      <w:marLeft w:val="0"/>
      <w:marRight w:val="0"/>
      <w:marTop w:val="0"/>
      <w:marBottom w:val="0"/>
      <w:divBdr>
        <w:top w:val="none" w:sz="0" w:space="0" w:color="auto"/>
        <w:left w:val="none" w:sz="0" w:space="0" w:color="auto"/>
        <w:bottom w:val="none" w:sz="0" w:space="0" w:color="auto"/>
        <w:right w:val="none" w:sz="0" w:space="0" w:color="auto"/>
      </w:divBdr>
    </w:div>
    <w:div w:id="232395136">
      <w:bodyDiv w:val="1"/>
      <w:marLeft w:val="0"/>
      <w:marRight w:val="0"/>
      <w:marTop w:val="0"/>
      <w:marBottom w:val="0"/>
      <w:divBdr>
        <w:top w:val="none" w:sz="0" w:space="0" w:color="auto"/>
        <w:left w:val="none" w:sz="0" w:space="0" w:color="auto"/>
        <w:bottom w:val="none" w:sz="0" w:space="0" w:color="auto"/>
        <w:right w:val="none" w:sz="0" w:space="0" w:color="auto"/>
      </w:divBdr>
    </w:div>
    <w:div w:id="296188019">
      <w:bodyDiv w:val="1"/>
      <w:marLeft w:val="0"/>
      <w:marRight w:val="0"/>
      <w:marTop w:val="0"/>
      <w:marBottom w:val="0"/>
      <w:divBdr>
        <w:top w:val="none" w:sz="0" w:space="0" w:color="auto"/>
        <w:left w:val="none" w:sz="0" w:space="0" w:color="auto"/>
        <w:bottom w:val="none" w:sz="0" w:space="0" w:color="auto"/>
        <w:right w:val="none" w:sz="0" w:space="0" w:color="auto"/>
      </w:divBdr>
    </w:div>
    <w:div w:id="351037781">
      <w:bodyDiv w:val="1"/>
      <w:marLeft w:val="0"/>
      <w:marRight w:val="0"/>
      <w:marTop w:val="0"/>
      <w:marBottom w:val="0"/>
      <w:divBdr>
        <w:top w:val="none" w:sz="0" w:space="0" w:color="auto"/>
        <w:left w:val="none" w:sz="0" w:space="0" w:color="auto"/>
        <w:bottom w:val="none" w:sz="0" w:space="0" w:color="auto"/>
        <w:right w:val="none" w:sz="0" w:space="0" w:color="auto"/>
      </w:divBdr>
    </w:div>
    <w:div w:id="386219338">
      <w:bodyDiv w:val="1"/>
      <w:marLeft w:val="0"/>
      <w:marRight w:val="0"/>
      <w:marTop w:val="0"/>
      <w:marBottom w:val="0"/>
      <w:divBdr>
        <w:top w:val="none" w:sz="0" w:space="0" w:color="auto"/>
        <w:left w:val="none" w:sz="0" w:space="0" w:color="auto"/>
        <w:bottom w:val="none" w:sz="0" w:space="0" w:color="auto"/>
        <w:right w:val="none" w:sz="0" w:space="0" w:color="auto"/>
      </w:divBdr>
    </w:div>
    <w:div w:id="505946352">
      <w:bodyDiv w:val="1"/>
      <w:marLeft w:val="0"/>
      <w:marRight w:val="0"/>
      <w:marTop w:val="0"/>
      <w:marBottom w:val="0"/>
      <w:divBdr>
        <w:top w:val="none" w:sz="0" w:space="0" w:color="auto"/>
        <w:left w:val="none" w:sz="0" w:space="0" w:color="auto"/>
        <w:bottom w:val="none" w:sz="0" w:space="0" w:color="auto"/>
        <w:right w:val="none" w:sz="0" w:space="0" w:color="auto"/>
      </w:divBdr>
    </w:div>
    <w:div w:id="508447561">
      <w:bodyDiv w:val="1"/>
      <w:marLeft w:val="0"/>
      <w:marRight w:val="0"/>
      <w:marTop w:val="0"/>
      <w:marBottom w:val="0"/>
      <w:divBdr>
        <w:top w:val="none" w:sz="0" w:space="0" w:color="auto"/>
        <w:left w:val="none" w:sz="0" w:space="0" w:color="auto"/>
        <w:bottom w:val="none" w:sz="0" w:space="0" w:color="auto"/>
        <w:right w:val="none" w:sz="0" w:space="0" w:color="auto"/>
      </w:divBdr>
    </w:div>
    <w:div w:id="69083650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5386213">
      <w:bodyDiv w:val="1"/>
      <w:marLeft w:val="0"/>
      <w:marRight w:val="0"/>
      <w:marTop w:val="0"/>
      <w:marBottom w:val="0"/>
      <w:divBdr>
        <w:top w:val="none" w:sz="0" w:space="0" w:color="auto"/>
        <w:left w:val="none" w:sz="0" w:space="0" w:color="auto"/>
        <w:bottom w:val="none" w:sz="0" w:space="0" w:color="auto"/>
        <w:right w:val="none" w:sz="0" w:space="0" w:color="auto"/>
      </w:divBdr>
    </w:div>
    <w:div w:id="812870631">
      <w:bodyDiv w:val="1"/>
      <w:marLeft w:val="0"/>
      <w:marRight w:val="0"/>
      <w:marTop w:val="0"/>
      <w:marBottom w:val="0"/>
      <w:divBdr>
        <w:top w:val="none" w:sz="0" w:space="0" w:color="auto"/>
        <w:left w:val="none" w:sz="0" w:space="0" w:color="auto"/>
        <w:bottom w:val="none" w:sz="0" w:space="0" w:color="auto"/>
        <w:right w:val="none" w:sz="0" w:space="0" w:color="auto"/>
      </w:divBdr>
    </w:div>
    <w:div w:id="813331809">
      <w:bodyDiv w:val="1"/>
      <w:marLeft w:val="0"/>
      <w:marRight w:val="0"/>
      <w:marTop w:val="0"/>
      <w:marBottom w:val="0"/>
      <w:divBdr>
        <w:top w:val="none" w:sz="0" w:space="0" w:color="auto"/>
        <w:left w:val="none" w:sz="0" w:space="0" w:color="auto"/>
        <w:bottom w:val="none" w:sz="0" w:space="0" w:color="auto"/>
        <w:right w:val="none" w:sz="0" w:space="0" w:color="auto"/>
      </w:divBdr>
    </w:div>
    <w:div w:id="814375865">
      <w:bodyDiv w:val="1"/>
      <w:marLeft w:val="0"/>
      <w:marRight w:val="0"/>
      <w:marTop w:val="0"/>
      <w:marBottom w:val="0"/>
      <w:divBdr>
        <w:top w:val="none" w:sz="0" w:space="0" w:color="auto"/>
        <w:left w:val="none" w:sz="0" w:space="0" w:color="auto"/>
        <w:bottom w:val="none" w:sz="0" w:space="0" w:color="auto"/>
        <w:right w:val="none" w:sz="0" w:space="0" w:color="auto"/>
      </w:divBdr>
    </w:div>
    <w:div w:id="873349969">
      <w:bodyDiv w:val="1"/>
      <w:marLeft w:val="0"/>
      <w:marRight w:val="0"/>
      <w:marTop w:val="0"/>
      <w:marBottom w:val="0"/>
      <w:divBdr>
        <w:top w:val="none" w:sz="0" w:space="0" w:color="auto"/>
        <w:left w:val="none" w:sz="0" w:space="0" w:color="auto"/>
        <w:bottom w:val="none" w:sz="0" w:space="0" w:color="auto"/>
        <w:right w:val="none" w:sz="0" w:space="0" w:color="auto"/>
      </w:divBdr>
    </w:div>
    <w:div w:id="976687473">
      <w:bodyDiv w:val="1"/>
      <w:marLeft w:val="0"/>
      <w:marRight w:val="0"/>
      <w:marTop w:val="0"/>
      <w:marBottom w:val="0"/>
      <w:divBdr>
        <w:top w:val="none" w:sz="0" w:space="0" w:color="auto"/>
        <w:left w:val="none" w:sz="0" w:space="0" w:color="auto"/>
        <w:bottom w:val="none" w:sz="0" w:space="0" w:color="auto"/>
        <w:right w:val="none" w:sz="0" w:space="0" w:color="auto"/>
      </w:divBdr>
    </w:div>
    <w:div w:id="978074066">
      <w:bodyDiv w:val="1"/>
      <w:marLeft w:val="0"/>
      <w:marRight w:val="0"/>
      <w:marTop w:val="0"/>
      <w:marBottom w:val="0"/>
      <w:divBdr>
        <w:top w:val="none" w:sz="0" w:space="0" w:color="auto"/>
        <w:left w:val="none" w:sz="0" w:space="0" w:color="auto"/>
        <w:bottom w:val="none" w:sz="0" w:space="0" w:color="auto"/>
        <w:right w:val="none" w:sz="0" w:space="0" w:color="auto"/>
      </w:divBdr>
    </w:div>
    <w:div w:id="998846406">
      <w:bodyDiv w:val="1"/>
      <w:marLeft w:val="0"/>
      <w:marRight w:val="0"/>
      <w:marTop w:val="0"/>
      <w:marBottom w:val="0"/>
      <w:divBdr>
        <w:top w:val="none" w:sz="0" w:space="0" w:color="auto"/>
        <w:left w:val="none" w:sz="0" w:space="0" w:color="auto"/>
        <w:bottom w:val="none" w:sz="0" w:space="0" w:color="auto"/>
        <w:right w:val="none" w:sz="0" w:space="0" w:color="auto"/>
      </w:divBdr>
    </w:div>
    <w:div w:id="1054618991">
      <w:bodyDiv w:val="1"/>
      <w:marLeft w:val="0"/>
      <w:marRight w:val="0"/>
      <w:marTop w:val="0"/>
      <w:marBottom w:val="0"/>
      <w:divBdr>
        <w:top w:val="none" w:sz="0" w:space="0" w:color="auto"/>
        <w:left w:val="none" w:sz="0" w:space="0" w:color="auto"/>
        <w:bottom w:val="none" w:sz="0" w:space="0" w:color="auto"/>
        <w:right w:val="none" w:sz="0" w:space="0" w:color="auto"/>
      </w:divBdr>
    </w:div>
    <w:div w:id="1104111635">
      <w:bodyDiv w:val="1"/>
      <w:marLeft w:val="0"/>
      <w:marRight w:val="0"/>
      <w:marTop w:val="0"/>
      <w:marBottom w:val="0"/>
      <w:divBdr>
        <w:top w:val="none" w:sz="0" w:space="0" w:color="auto"/>
        <w:left w:val="none" w:sz="0" w:space="0" w:color="auto"/>
        <w:bottom w:val="none" w:sz="0" w:space="0" w:color="auto"/>
        <w:right w:val="none" w:sz="0" w:space="0" w:color="auto"/>
      </w:divBdr>
    </w:div>
    <w:div w:id="1111978186">
      <w:bodyDiv w:val="1"/>
      <w:marLeft w:val="0"/>
      <w:marRight w:val="0"/>
      <w:marTop w:val="0"/>
      <w:marBottom w:val="0"/>
      <w:divBdr>
        <w:top w:val="none" w:sz="0" w:space="0" w:color="auto"/>
        <w:left w:val="none" w:sz="0" w:space="0" w:color="auto"/>
        <w:bottom w:val="none" w:sz="0" w:space="0" w:color="auto"/>
        <w:right w:val="none" w:sz="0" w:space="0" w:color="auto"/>
      </w:divBdr>
    </w:div>
    <w:div w:id="1179394581">
      <w:bodyDiv w:val="1"/>
      <w:marLeft w:val="0"/>
      <w:marRight w:val="0"/>
      <w:marTop w:val="0"/>
      <w:marBottom w:val="0"/>
      <w:divBdr>
        <w:top w:val="none" w:sz="0" w:space="0" w:color="auto"/>
        <w:left w:val="none" w:sz="0" w:space="0" w:color="auto"/>
        <w:bottom w:val="none" w:sz="0" w:space="0" w:color="auto"/>
        <w:right w:val="none" w:sz="0" w:space="0" w:color="auto"/>
      </w:divBdr>
    </w:div>
    <w:div w:id="1367218567">
      <w:bodyDiv w:val="1"/>
      <w:marLeft w:val="0"/>
      <w:marRight w:val="0"/>
      <w:marTop w:val="0"/>
      <w:marBottom w:val="0"/>
      <w:divBdr>
        <w:top w:val="none" w:sz="0" w:space="0" w:color="auto"/>
        <w:left w:val="none" w:sz="0" w:space="0" w:color="auto"/>
        <w:bottom w:val="none" w:sz="0" w:space="0" w:color="auto"/>
        <w:right w:val="none" w:sz="0" w:space="0" w:color="auto"/>
      </w:divBdr>
    </w:div>
    <w:div w:id="1372921937">
      <w:bodyDiv w:val="1"/>
      <w:marLeft w:val="0"/>
      <w:marRight w:val="0"/>
      <w:marTop w:val="0"/>
      <w:marBottom w:val="0"/>
      <w:divBdr>
        <w:top w:val="none" w:sz="0" w:space="0" w:color="auto"/>
        <w:left w:val="none" w:sz="0" w:space="0" w:color="auto"/>
        <w:bottom w:val="none" w:sz="0" w:space="0" w:color="auto"/>
        <w:right w:val="none" w:sz="0" w:space="0" w:color="auto"/>
      </w:divBdr>
    </w:div>
    <w:div w:id="1471897083">
      <w:bodyDiv w:val="1"/>
      <w:marLeft w:val="0"/>
      <w:marRight w:val="0"/>
      <w:marTop w:val="0"/>
      <w:marBottom w:val="0"/>
      <w:divBdr>
        <w:top w:val="none" w:sz="0" w:space="0" w:color="auto"/>
        <w:left w:val="none" w:sz="0" w:space="0" w:color="auto"/>
        <w:bottom w:val="none" w:sz="0" w:space="0" w:color="auto"/>
        <w:right w:val="none" w:sz="0" w:space="0" w:color="auto"/>
      </w:divBdr>
    </w:div>
    <w:div w:id="1475636744">
      <w:bodyDiv w:val="1"/>
      <w:marLeft w:val="0"/>
      <w:marRight w:val="0"/>
      <w:marTop w:val="0"/>
      <w:marBottom w:val="0"/>
      <w:divBdr>
        <w:top w:val="none" w:sz="0" w:space="0" w:color="auto"/>
        <w:left w:val="none" w:sz="0" w:space="0" w:color="auto"/>
        <w:bottom w:val="none" w:sz="0" w:space="0" w:color="auto"/>
        <w:right w:val="none" w:sz="0" w:space="0" w:color="auto"/>
      </w:divBdr>
    </w:div>
    <w:div w:id="1646472784">
      <w:bodyDiv w:val="1"/>
      <w:marLeft w:val="0"/>
      <w:marRight w:val="0"/>
      <w:marTop w:val="0"/>
      <w:marBottom w:val="0"/>
      <w:divBdr>
        <w:top w:val="none" w:sz="0" w:space="0" w:color="auto"/>
        <w:left w:val="none" w:sz="0" w:space="0" w:color="auto"/>
        <w:bottom w:val="none" w:sz="0" w:space="0" w:color="auto"/>
        <w:right w:val="none" w:sz="0" w:space="0" w:color="auto"/>
      </w:divBdr>
    </w:div>
    <w:div w:id="1716735735">
      <w:bodyDiv w:val="1"/>
      <w:marLeft w:val="0"/>
      <w:marRight w:val="0"/>
      <w:marTop w:val="0"/>
      <w:marBottom w:val="0"/>
      <w:divBdr>
        <w:top w:val="none" w:sz="0" w:space="0" w:color="auto"/>
        <w:left w:val="none" w:sz="0" w:space="0" w:color="auto"/>
        <w:bottom w:val="none" w:sz="0" w:space="0" w:color="auto"/>
        <w:right w:val="none" w:sz="0" w:space="0" w:color="auto"/>
      </w:divBdr>
    </w:div>
    <w:div w:id="1863012435">
      <w:bodyDiv w:val="1"/>
      <w:marLeft w:val="0"/>
      <w:marRight w:val="0"/>
      <w:marTop w:val="0"/>
      <w:marBottom w:val="0"/>
      <w:divBdr>
        <w:top w:val="none" w:sz="0" w:space="0" w:color="auto"/>
        <w:left w:val="none" w:sz="0" w:space="0" w:color="auto"/>
        <w:bottom w:val="none" w:sz="0" w:space="0" w:color="auto"/>
        <w:right w:val="none" w:sz="0" w:space="0" w:color="auto"/>
      </w:divBdr>
    </w:div>
    <w:div w:id="1870796041">
      <w:bodyDiv w:val="1"/>
      <w:marLeft w:val="0"/>
      <w:marRight w:val="0"/>
      <w:marTop w:val="0"/>
      <w:marBottom w:val="0"/>
      <w:divBdr>
        <w:top w:val="none" w:sz="0" w:space="0" w:color="auto"/>
        <w:left w:val="none" w:sz="0" w:space="0" w:color="auto"/>
        <w:bottom w:val="none" w:sz="0" w:space="0" w:color="auto"/>
        <w:right w:val="none" w:sz="0" w:space="0" w:color="auto"/>
      </w:divBdr>
    </w:div>
    <w:div w:id="1961570359">
      <w:bodyDiv w:val="1"/>
      <w:marLeft w:val="0"/>
      <w:marRight w:val="0"/>
      <w:marTop w:val="0"/>
      <w:marBottom w:val="0"/>
      <w:divBdr>
        <w:top w:val="none" w:sz="0" w:space="0" w:color="auto"/>
        <w:left w:val="none" w:sz="0" w:space="0" w:color="auto"/>
        <w:bottom w:val="none" w:sz="0" w:space="0" w:color="auto"/>
        <w:right w:val="none" w:sz="0" w:space="0" w:color="auto"/>
      </w:divBdr>
    </w:div>
    <w:div w:id="1974679301">
      <w:bodyDiv w:val="1"/>
      <w:marLeft w:val="0"/>
      <w:marRight w:val="0"/>
      <w:marTop w:val="0"/>
      <w:marBottom w:val="0"/>
      <w:divBdr>
        <w:top w:val="none" w:sz="0" w:space="0" w:color="auto"/>
        <w:left w:val="none" w:sz="0" w:space="0" w:color="auto"/>
        <w:bottom w:val="none" w:sz="0" w:space="0" w:color="auto"/>
        <w:right w:val="none" w:sz="0" w:space="0" w:color="auto"/>
      </w:divBdr>
    </w:div>
    <w:div w:id="2031565658">
      <w:bodyDiv w:val="1"/>
      <w:marLeft w:val="0"/>
      <w:marRight w:val="0"/>
      <w:marTop w:val="0"/>
      <w:marBottom w:val="0"/>
      <w:divBdr>
        <w:top w:val="none" w:sz="0" w:space="0" w:color="auto"/>
        <w:left w:val="none" w:sz="0" w:space="0" w:color="auto"/>
        <w:bottom w:val="none" w:sz="0" w:space="0" w:color="auto"/>
        <w:right w:val="none" w:sz="0" w:space="0" w:color="auto"/>
      </w:divBdr>
    </w:div>
    <w:div w:id="2048219258">
      <w:bodyDiv w:val="1"/>
      <w:marLeft w:val="0"/>
      <w:marRight w:val="0"/>
      <w:marTop w:val="0"/>
      <w:marBottom w:val="0"/>
      <w:divBdr>
        <w:top w:val="none" w:sz="0" w:space="0" w:color="auto"/>
        <w:left w:val="none" w:sz="0" w:space="0" w:color="auto"/>
        <w:bottom w:val="none" w:sz="0" w:space="0" w:color="auto"/>
        <w:right w:val="none" w:sz="0" w:space="0" w:color="auto"/>
      </w:divBdr>
    </w:div>
    <w:div w:id="20983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528"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1501-30-614.html" TargetMode="External"/><Relationship Id="rId2" Type="http://schemas.openxmlformats.org/officeDocument/2006/relationships/hyperlink" Target="https://www.tweedekamer.nl/kamerstukken/kamervragen/detail?id=2025D01209&amp;did=2025D01209" TargetMode="External"/><Relationship Id="rId1" Type="http://schemas.openxmlformats.org/officeDocument/2006/relationships/hyperlink" Target="https://www.rekenkamer.nl/publicaties/rapporten/2022/09/29/focus-op-strategische-voorraden" TargetMode="External"/><Relationship Id="rId4" Type="http://schemas.openxmlformats.org/officeDocument/2006/relationships/hyperlink" Target="https://eur-lex.europa.eu/legal-content/NL/AUTO/?uri=celex:32022R23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3716</ap:Words>
  <ap:Characters>23114</ap:Characters>
  <ap:DocSecurity>0</ap:DocSecurity>
  <ap:Lines>192</ap:Lines>
  <ap:Paragraphs>53</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26777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2025-09-10T12:53:00.0000000Z</lastPrinted>
  <dcterms:created xsi:type="dcterms:W3CDTF">2025-09-10T12:52:00.0000000Z</dcterms:created>
  <dcterms:modified xsi:type="dcterms:W3CDTF">2025-09-12T14:07:00.0000000Z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31e72813,47029ad8,29faf987</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2025-09-03T07:04:41Z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bd24c5fb-6efc-477b-8cdc-71041828171a</vt:lpwstr>
  </property>
  <property fmtid="{D5CDD505-2E9C-101B-9397-08002B2CF9AE}" pid="16" name="MSIP_Label_6800fede-0e59-47ad-af95-4e63bbdb932d_ContentBits">
    <vt:lpwstr>0</vt:lpwstr>
  </property>
  <property fmtid="{D5CDD505-2E9C-101B-9397-08002B2CF9AE}" pid="17" name="_dlc_DocIdItemGuid">
    <vt:lpwstr>7c727f13-23cb-4e82-9799-ab95e60b78f4</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ies>
</file>