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4300" w:rsidR="00764300" w:rsidP="00764300" w:rsidRDefault="00764300" w14:paraId="305B46B3" w14:textId="77777777">
      <w:pPr>
        <w:rPr>
          <w:sz w:val="22"/>
          <w:szCs w:val="22"/>
        </w:rPr>
      </w:pPr>
      <w:r w:rsidRPr="00764300">
        <w:rPr>
          <w:b/>
          <w:bCs/>
          <w:sz w:val="22"/>
          <w:szCs w:val="22"/>
        </w:rPr>
        <w:t>36563</w:t>
      </w:r>
      <w:r w:rsidRPr="00764300">
        <w:rPr>
          <w:sz w:val="22"/>
          <w:szCs w:val="22"/>
        </w:rPr>
        <w:tab/>
      </w:r>
      <w:r w:rsidRPr="00764300">
        <w:rPr>
          <w:b/>
          <w:bCs/>
          <w:sz w:val="22"/>
          <w:szCs w:val="22"/>
        </w:rPr>
        <w:t>Initiatiefnota van het lid Koekkoek over Alle Seinen op Groen</w:t>
      </w:r>
    </w:p>
    <w:p w:rsidRPr="00764300" w:rsidR="00764300" w:rsidP="00764300" w:rsidRDefault="00764300" w14:paraId="38B41E04" w14:textId="77777777">
      <w:pPr>
        <w:rPr>
          <w:sz w:val="22"/>
          <w:szCs w:val="22"/>
        </w:rPr>
      </w:pPr>
      <w:r w:rsidRPr="00764300">
        <w:rPr>
          <w:b/>
          <w:bCs/>
          <w:sz w:val="22"/>
          <w:szCs w:val="22"/>
        </w:rPr>
        <w:t> </w:t>
      </w:r>
    </w:p>
    <w:p w:rsidRPr="00764300" w:rsidR="00764300" w:rsidP="00764300" w:rsidRDefault="00764300" w14:paraId="70F042E3" w14:textId="77777777">
      <w:pPr>
        <w:rPr>
          <w:sz w:val="22"/>
          <w:szCs w:val="22"/>
        </w:rPr>
      </w:pPr>
      <w:r w:rsidRPr="00764300">
        <w:rPr>
          <w:b/>
          <w:bCs/>
          <w:sz w:val="22"/>
          <w:szCs w:val="22"/>
        </w:rPr>
        <w:t xml:space="preserve">nr. </w:t>
      </w:r>
      <w:r w:rsidRPr="00764300">
        <w:rPr>
          <w:sz w:val="22"/>
          <w:szCs w:val="22"/>
        </w:rPr>
        <w:tab/>
      </w:r>
      <w:r w:rsidRPr="00764300">
        <w:rPr>
          <w:sz w:val="22"/>
          <w:szCs w:val="22"/>
        </w:rPr>
        <w:tab/>
      </w:r>
      <w:r w:rsidRPr="00764300">
        <w:rPr>
          <w:b/>
          <w:bCs/>
          <w:sz w:val="22"/>
          <w:szCs w:val="22"/>
        </w:rPr>
        <w:t>Lijst van vragen en antwoorden</w:t>
      </w:r>
    </w:p>
    <w:p w:rsidRPr="00764300" w:rsidR="00764300" w:rsidP="00764300" w:rsidRDefault="00764300" w14:paraId="4C42EA96" w14:textId="77777777">
      <w:pPr>
        <w:rPr>
          <w:sz w:val="22"/>
          <w:szCs w:val="22"/>
        </w:rPr>
      </w:pPr>
      <w:r w:rsidRPr="00764300">
        <w:rPr>
          <w:sz w:val="22"/>
          <w:szCs w:val="22"/>
        </w:rPr>
        <w:t xml:space="preserve">Vastgesteld </w:t>
      </w:r>
      <w:r w:rsidRPr="00764300">
        <w:rPr>
          <w:i/>
          <w:iCs/>
          <w:sz w:val="22"/>
          <w:szCs w:val="22"/>
        </w:rPr>
        <w:t>(wordt door griffie ingevuld als antwoorden er zijn)</w:t>
      </w:r>
    </w:p>
    <w:p w:rsidRPr="00764300" w:rsidR="00764300" w:rsidP="00764300" w:rsidRDefault="00764300" w14:paraId="3E2E5A87" w14:textId="77777777">
      <w:pPr>
        <w:rPr>
          <w:sz w:val="22"/>
          <w:szCs w:val="22"/>
        </w:rPr>
      </w:pPr>
      <w:r w:rsidRPr="00764300">
        <w:rPr>
          <w:sz w:val="22"/>
          <w:szCs w:val="22"/>
        </w:rPr>
        <w:t xml:space="preserve">De vaste commissie voor Infrastructuur en Waterstaat heeft een aantal vragen voorgelegd aan de indiener inzake de </w:t>
      </w:r>
      <w:r w:rsidRPr="00764300">
        <w:rPr>
          <w:b/>
          <w:bCs/>
          <w:sz w:val="22"/>
          <w:szCs w:val="22"/>
        </w:rPr>
        <w:t>Initiatiefnota van het lid Koekkoek over Alle Seinen op Groen</w:t>
      </w:r>
      <w:r w:rsidRPr="00764300">
        <w:rPr>
          <w:sz w:val="22"/>
          <w:szCs w:val="22"/>
        </w:rPr>
        <w:t xml:space="preserve"> (Kamerstuk </w:t>
      </w:r>
      <w:r w:rsidRPr="00764300">
        <w:rPr>
          <w:b/>
          <w:bCs/>
          <w:sz w:val="22"/>
          <w:szCs w:val="22"/>
        </w:rPr>
        <w:t>36563</w:t>
      </w:r>
      <w:r w:rsidRPr="00764300">
        <w:rPr>
          <w:sz w:val="22"/>
          <w:szCs w:val="22"/>
        </w:rPr>
        <w:t xml:space="preserve">, nr. </w:t>
      </w:r>
      <w:r w:rsidRPr="00764300">
        <w:rPr>
          <w:b/>
          <w:bCs/>
          <w:sz w:val="22"/>
          <w:szCs w:val="22"/>
        </w:rPr>
        <w:t>2</w:t>
      </w:r>
      <w:r w:rsidRPr="00764300">
        <w:rPr>
          <w:sz w:val="22"/>
          <w:szCs w:val="22"/>
        </w:rPr>
        <w:t>).</w:t>
      </w:r>
    </w:p>
    <w:p w:rsidRPr="00764300" w:rsidR="00764300" w:rsidP="00764300" w:rsidRDefault="00764300" w14:paraId="1353C550" w14:textId="77777777">
      <w:pPr>
        <w:rPr>
          <w:sz w:val="22"/>
          <w:szCs w:val="22"/>
        </w:rPr>
      </w:pPr>
      <w:r w:rsidRPr="00764300">
        <w:rPr>
          <w:sz w:val="22"/>
          <w:szCs w:val="22"/>
        </w:rPr>
        <w:t>De daarop door de XXX gegeven antwoorden zijn hierbij afgedrukt.</w:t>
      </w:r>
    </w:p>
    <w:p w:rsidRPr="00764300" w:rsidR="00764300" w:rsidP="00764300" w:rsidRDefault="00764300" w14:paraId="0FC5407E" w14:textId="77777777">
      <w:pPr>
        <w:rPr>
          <w:sz w:val="22"/>
          <w:szCs w:val="22"/>
        </w:rPr>
      </w:pPr>
      <w:r w:rsidRPr="00764300">
        <w:rPr>
          <w:sz w:val="22"/>
          <w:szCs w:val="22"/>
        </w:rPr>
        <w:t> </w:t>
      </w:r>
    </w:p>
    <w:p w:rsidRPr="00764300" w:rsidR="00764300" w:rsidP="00764300" w:rsidRDefault="00764300" w14:paraId="1D47DE9E" w14:textId="77777777">
      <w:pPr>
        <w:rPr>
          <w:sz w:val="22"/>
          <w:szCs w:val="22"/>
        </w:rPr>
      </w:pPr>
      <w:r w:rsidRPr="00764300">
        <w:rPr>
          <w:sz w:val="22"/>
          <w:szCs w:val="22"/>
        </w:rPr>
        <w:t>Voorzitter van de commissie, </w:t>
      </w:r>
    </w:p>
    <w:p w:rsidRPr="00764300" w:rsidR="00764300" w:rsidP="00764300" w:rsidRDefault="00764300" w14:paraId="693419C1" w14:textId="77777777">
      <w:pPr>
        <w:rPr>
          <w:sz w:val="22"/>
          <w:szCs w:val="22"/>
        </w:rPr>
      </w:pPr>
      <w:r w:rsidRPr="00764300">
        <w:rPr>
          <w:sz w:val="22"/>
          <w:szCs w:val="22"/>
        </w:rPr>
        <w:t>Peter de Groot</w:t>
      </w:r>
    </w:p>
    <w:p w:rsidRPr="00764300" w:rsidR="00764300" w:rsidP="00764300" w:rsidRDefault="00764300" w14:paraId="0ECCF076" w14:textId="77777777">
      <w:pPr>
        <w:rPr>
          <w:sz w:val="22"/>
          <w:szCs w:val="22"/>
        </w:rPr>
      </w:pPr>
      <w:r w:rsidRPr="00764300">
        <w:rPr>
          <w:sz w:val="22"/>
          <w:szCs w:val="22"/>
        </w:rPr>
        <w:t>Griffier van de commissie,</w:t>
      </w:r>
    </w:p>
    <w:p w:rsidRPr="00764300" w:rsidR="00764300" w:rsidP="00764300" w:rsidRDefault="00764300" w14:paraId="67318F32" w14:textId="77777777">
      <w:pPr>
        <w:rPr>
          <w:sz w:val="22"/>
          <w:szCs w:val="22"/>
        </w:rPr>
      </w:pPr>
      <w:r w:rsidRPr="00764300">
        <w:rPr>
          <w:sz w:val="22"/>
          <w:szCs w:val="22"/>
        </w:rPr>
        <w:t>Coco Martin</w:t>
      </w:r>
    </w:p>
    <w:p w:rsidRPr="00764300" w:rsidR="00764300" w:rsidP="00764300" w:rsidRDefault="00764300" w14:paraId="734F5112" w14:textId="77777777">
      <w:pPr>
        <w:rPr>
          <w:sz w:val="22"/>
          <w:szCs w:val="22"/>
        </w:rPr>
      </w:pPr>
      <w:r w:rsidRPr="00764300">
        <w:rPr>
          <w:sz w:val="22"/>
          <w:szCs w:val="22"/>
        </w:rPr>
        <w:t> </w:t>
      </w:r>
    </w:p>
    <w:tbl>
      <w:tblPr>
        <w:tblW w:w="0" w:type="auto"/>
        <w:tblCellMar>
          <w:top w:w="15" w:type="dxa"/>
          <w:left w:w="15" w:type="dxa"/>
          <w:bottom w:w="15" w:type="dxa"/>
          <w:right w:w="15" w:type="dxa"/>
        </w:tblCellMar>
        <w:tblLook w:val="04A0" w:firstRow="1" w:lastRow="0" w:firstColumn="1" w:lastColumn="0" w:noHBand="0" w:noVBand="1"/>
      </w:tblPr>
      <w:tblGrid>
        <w:gridCol w:w="452"/>
        <w:gridCol w:w="7864"/>
        <w:gridCol w:w="850"/>
        <w:gridCol w:w="752"/>
        <w:gridCol w:w="548"/>
      </w:tblGrid>
      <w:tr w:rsidRPr="00764300" w:rsidR="00764300" w:rsidTr="00764300" w14:paraId="173BAF19" w14:textId="77777777">
        <w:trPr>
          <w:trHeight w:val="300"/>
        </w:trPr>
        <w:tc>
          <w:tcPr>
            <w:tcW w:w="0" w:type="auto"/>
            <w:tcMar>
              <w:top w:w="0" w:type="dxa"/>
              <w:left w:w="108" w:type="dxa"/>
              <w:bottom w:w="0" w:type="dxa"/>
              <w:right w:w="108" w:type="dxa"/>
            </w:tcMar>
            <w:hideMark/>
          </w:tcPr>
          <w:p w:rsidRPr="00764300" w:rsidR="00764300" w:rsidP="00764300" w:rsidRDefault="00764300" w14:paraId="44E60C8F" w14:textId="77777777">
            <w:pPr>
              <w:rPr>
                <w:sz w:val="22"/>
                <w:szCs w:val="22"/>
              </w:rPr>
            </w:pPr>
            <w:proofErr w:type="spellStart"/>
            <w:r w:rsidRPr="00764300">
              <w:rPr>
                <w:sz w:val="22"/>
                <w:szCs w:val="22"/>
              </w:rPr>
              <w:t>Nr</w:t>
            </w:r>
            <w:proofErr w:type="spellEnd"/>
          </w:p>
        </w:tc>
        <w:tc>
          <w:tcPr>
            <w:tcW w:w="0" w:type="auto"/>
            <w:tcMar>
              <w:top w:w="0" w:type="dxa"/>
              <w:left w:w="108" w:type="dxa"/>
              <w:bottom w:w="0" w:type="dxa"/>
              <w:right w:w="108" w:type="dxa"/>
            </w:tcMar>
            <w:hideMark/>
          </w:tcPr>
          <w:p w:rsidRPr="00764300" w:rsidR="00764300" w:rsidP="00764300" w:rsidRDefault="00764300" w14:paraId="487CAEE1" w14:textId="77777777">
            <w:pPr>
              <w:rPr>
                <w:sz w:val="22"/>
                <w:szCs w:val="22"/>
              </w:rPr>
            </w:pPr>
            <w:r w:rsidRPr="00764300">
              <w:rPr>
                <w:sz w:val="22"/>
                <w:szCs w:val="22"/>
              </w:rPr>
              <w:t>Vraag</w:t>
            </w:r>
          </w:p>
        </w:tc>
        <w:tc>
          <w:tcPr>
            <w:tcW w:w="0" w:type="auto"/>
            <w:tcMar>
              <w:top w:w="0" w:type="dxa"/>
              <w:left w:w="108" w:type="dxa"/>
              <w:bottom w:w="0" w:type="dxa"/>
              <w:right w:w="108" w:type="dxa"/>
            </w:tcMar>
            <w:hideMark/>
          </w:tcPr>
          <w:p w:rsidRPr="00764300" w:rsidR="00764300" w:rsidP="00764300" w:rsidRDefault="00764300" w14:paraId="724DBAE9" w14:textId="77777777">
            <w:pPr>
              <w:rPr>
                <w:sz w:val="22"/>
                <w:szCs w:val="22"/>
              </w:rPr>
            </w:pPr>
            <w:r w:rsidRPr="00764300">
              <w:rPr>
                <w:sz w:val="22"/>
                <w:szCs w:val="22"/>
              </w:rPr>
              <w:t>Bijlage</w:t>
            </w:r>
          </w:p>
        </w:tc>
        <w:tc>
          <w:tcPr>
            <w:tcW w:w="0" w:type="auto"/>
            <w:tcMar>
              <w:top w:w="0" w:type="dxa"/>
              <w:left w:w="108" w:type="dxa"/>
              <w:bottom w:w="0" w:type="dxa"/>
              <w:right w:w="108" w:type="dxa"/>
            </w:tcMar>
            <w:hideMark/>
          </w:tcPr>
          <w:p w:rsidRPr="00764300" w:rsidR="00764300" w:rsidP="00764300" w:rsidRDefault="00764300" w14:paraId="2B08804C" w14:textId="77777777">
            <w:pPr>
              <w:rPr>
                <w:sz w:val="22"/>
                <w:szCs w:val="22"/>
              </w:rPr>
            </w:pPr>
            <w:r w:rsidRPr="00764300">
              <w:rPr>
                <w:sz w:val="22"/>
                <w:szCs w:val="22"/>
              </w:rPr>
              <w:t>Blz. (van)</w:t>
            </w:r>
          </w:p>
        </w:tc>
        <w:tc>
          <w:tcPr>
            <w:tcW w:w="0" w:type="auto"/>
            <w:tcMar>
              <w:top w:w="0" w:type="dxa"/>
              <w:left w:w="108" w:type="dxa"/>
              <w:bottom w:w="0" w:type="dxa"/>
              <w:right w:w="108" w:type="dxa"/>
            </w:tcMar>
            <w:hideMark/>
          </w:tcPr>
          <w:p w:rsidRPr="00764300" w:rsidR="00764300" w:rsidP="00764300" w:rsidRDefault="00764300" w14:paraId="002E9CA2" w14:textId="77777777">
            <w:pPr>
              <w:rPr>
                <w:sz w:val="22"/>
                <w:szCs w:val="22"/>
              </w:rPr>
            </w:pPr>
            <w:r w:rsidRPr="00764300">
              <w:rPr>
                <w:sz w:val="22"/>
                <w:szCs w:val="22"/>
              </w:rPr>
              <w:t>t/m</w:t>
            </w:r>
          </w:p>
        </w:tc>
      </w:tr>
      <w:tr w:rsidRPr="00764300" w:rsidR="00764300" w:rsidTr="00764300" w14:paraId="6B74ACBA" w14:textId="77777777">
        <w:trPr>
          <w:trHeight w:val="300"/>
        </w:trPr>
        <w:tc>
          <w:tcPr>
            <w:tcW w:w="0" w:type="auto"/>
            <w:tcMar>
              <w:top w:w="0" w:type="dxa"/>
              <w:left w:w="108" w:type="dxa"/>
              <w:bottom w:w="0" w:type="dxa"/>
              <w:right w:w="108" w:type="dxa"/>
            </w:tcMar>
            <w:hideMark/>
          </w:tcPr>
          <w:p w:rsidRPr="00764300" w:rsidR="00764300" w:rsidP="00764300" w:rsidRDefault="00764300" w14:paraId="67B9070E" w14:textId="77777777">
            <w:pPr>
              <w:rPr>
                <w:sz w:val="22"/>
                <w:szCs w:val="22"/>
              </w:rPr>
            </w:pPr>
            <w:r w:rsidRPr="00764300">
              <w:rPr>
                <w:sz w:val="22"/>
                <w:szCs w:val="22"/>
              </w:rPr>
              <w:t>1</w:t>
            </w:r>
          </w:p>
        </w:tc>
        <w:tc>
          <w:tcPr>
            <w:tcW w:w="0" w:type="auto"/>
            <w:tcMar>
              <w:top w:w="0" w:type="dxa"/>
              <w:left w:w="108" w:type="dxa"/>
              <w:bottom w:w="0" w:type="dxa"/>
              <w:right w:w="108" w:type="dxa"/>
            </w:tcMar>
            <w:hideMark/>
          </w:tcPr>
          <w:p w:rsidRPr="00764300" w:rsidR="00764300" w:rsidP="00764300" w:rsidRDefault="00764300" w14:paraId="6F8CF22F" w14:textId="09493BF2">
            <w:pPr>
              <w:rPr>
                <w:sz w:val="22"/>
                <w:szCs w:val="22"/>
              </w:rPr>
            </w:pPr>
            <w:r w:rsidRPr="00764300">
              <w:rPr>
                <w:b/>
                <w:bCs/>
                <w:sz w:val="22"/>
                <w:szCs w:val="22"/>
              </w:rPr>
              <w:t>Wat zijn de economische gevolgen voor de luchtvaartsector in Nederland bij volledige uitvoer van deze nota?</w:t>
            </w:r>
          </w:p>
          <w:p w:rsidRPr="00764300" w:rsidR="00764300" w:rsidP="00764300" w:rsidRDefault="00764300" w14:paraId="0D33DBF4" w14:textId="6D5C5215">
            <w:pPr>
              <w:rPr>
                <w:sz w:val="22"/>
                <w:szCs w:val="22"/>
              </w:rPr>
            </w:pPr>
            <w:r w:rsidRPr="00764300">
              <w:rPr>
                <w:sz w:val="22"/>
                <w:szCs w:val="22"/>
              </w:rPr>
              <w:t>Als ‘</w:t>
            </w:r>
            <w:r w:rsidRPr="00764300">
              <w:rPr>
                <w:i/>
                <w:iCs/>
                <w:sz w:val="22"/>
                <w:szCs w:val="22"/>
              </w:rPr>
              <w:t>Alle seinen op groen</w:t>
            </w:r>
            <w:r w:rsidRPr="00764300">
              <w:rPr>
                <w:sz w:val="22"/>
                <w:szCs w:val="22"/>
              </w:rPr>
              <w:t>’ wordt uitgevoerd, zal de luchtvaartsector in Nederland moeten veranderen. Doordat vliegen eerlijker wordt belast en de trein goedkoper en aantrekkelijker wordt, kiezen meer reizigers voor de trein in plaats van het vliegtuig. De verwachting is dat dit negatieve gevolgen heeft voor de luchtvaartsector, tenzij de vrijvallende capaciteit wordt opgevuld door langeafstandsvluchten. Het Kennisinstituut voor Mobiliteitsbeleid (</w:t>
            </w:r>
            <w:proofErr w:type="spellStart"/>
            <w:r w:rsidRPr="00764300">
              <w:rPr>
                <w:sz w:val="22"/>
                <w:szCs w:val="22"/>
              </w:rPr>
              <w:t>KiM</w:t>
            </w:r>
            <w:proofErr w:type="spellEnd"/>
            <w:r w:rsidRPr="00764300">
              <w:rPr>
                <w:sz w:val="22"/>
                <w:szCs w:val="22"/>
              </w:rPr>
              <w:t>) berekent dat in 2030 jaarlijks circa 5.600 vluchten van en naar 13 Europese steden vervangen kunnen worden door de trein. Dat is gunstig voor het klimaat, want de trein veroorzaakt aanzienlijk minder uitstoot dan het vliegtuig. Tegelijkertijd ontstaan er nieuwe kansen, bijvoorbeeld door de ontwikkeling van air-railproducten die luchthavens en spoor beter verbinden.</w:t>
            </w:r>
          </w:p>
          <w:p w:rsidRPr="00764300" w:rsidR="00764300" w:rsidP="00764300" w:rsidRDefault="00764300" w14:paraId="1989E241" w14:textId="77777777">
            <w:pPr>
              <w:rPr>
                <w:sz w:val="22"/>
                <w:szCs w:val="22"/>
              </w:rPr>
            </w:pPr>
          </w:p>
        </w:tc>
        <w:tc>
          <w:tcPr>
            <w:tcW w:w="0" w:type="auto"/>
            <w:tcMar>
              <w:top w:w="0" w:type="dxa"/>
              <w:left w:w="108" w:type="dxa"/>
              <w:bottom w:w="0" w:type="dxa"/>
              <w:right w:w="108" w:type="dxa"/>
            </w:tcMar>
            <w:hideMark/>
          </w:tcPr>
          <w:p w:rsidRPr="00764300" w:rsidR="00764300" w:rsidP="00764300" w:rsidRDefault="00764300" w14:paraId="59B99D72" w14:textId="77777777">
            <w:pPr>
              <w:rPr>
                <w:sz w:val="22"/>
                <w:szCs w:val="22"/>
              </w:rPr>
            </w:pPr>
            <w:r w:rsidRPr="00764300">
              <w:rPr>
                <w:sz w:val="22"/>
                <w:szCs w:val="22"/>
              </w:rPr>
              <w:t> </w:t>
            </w:r>
          </w:p>
        </w:tc>
        <w:tc>
          <w:tcPr>
            <w:tcW w:w="0" w:type="auto"/>
            <w:tcMar>
              <w:top w:w="0" w:type="dxa"/>
              <w:left w:w="108" w:type="dxa"/>
              <w:bottom w:w="0" w:type="dxa"/>
              <w:right w:w="108" w:type="dxa"/>
            </w:tcMar>
            <w:hideMark/>
          </w:tcPr>
          <w:p w:rsidRPr="00764300" w:rsidR="00764300" w:rsidP="00764300" w:rsidRDefault="00764300" w14:paraId="40DA0358" w14:textId="77777777">
            <w:pPr>
              <w:rPr>
                <w:sz w:val="22"/>
                <w:szCs w:val="22"/>
              </w:rPr>
            </w:pPr>
            <w:r w:rsidRPr="00764300">
              <w:rPr>
                <w:sz w:val="22"/>
                <w:szCs w:val="22"/>
              </w:rPr>
              <w:t> </w:t>
            </w:r>
          </w:p>
        </w:tc>
        <w:tc>
          <w:tcPr>
            <w:tcW w:w="0" w:type="auto"/>
            <w:tcMar>
              <w:top w:w="0" w:type="dxa"/>
              <w:left w:w="108" w:type="dxa"/>
              <w:bottom w:w="0" w:type="dxa"/>
              <w:right w:w="108" w:type="dxa"/>
            </w:tcMar>
            <w:hideMark/>
          </w:tcPr>
          <w:p w:rsidRPr="00764300" w:rsidR="00764300" w:rsidP="00764300" w:rsidRDefault="00764300" w14:paraId="06BF1426" w14:textId="77777777">
            <w:pPr>
              <w:rPr>
                <w:sz w:val="22"/>
                <w:szCs w:val="22"/>
              </w:rPr>
            </w:pPr>
            <w:r w:rsidRPr="00764300">
              <w:rPr>
                <w:sz w:val="22"/>
                <w:szCs w:val="22"/>
              </w:rPr>
              <w:t> </w:t>
            </w:r>
          </w:p>
        </w:tc>
      </w:tr>
      <w:tr w:rsidRPr="00764300" w:rsidR="00764300" w:rsidTr="00764300" w14:paraId="1B433ADC" w14:textId="77777777">
        <w:trPr>
          <w:trHeight w:val="300"/>
        </w:trPr>
        <w:tc>
          <w:tcPr>
            <w:tcW w:w="0" w:type="auto"/>
            <w:tcMar>
              <w:top w:w="0" w:type="dxa"/>
              <w:left w:w="108" w:type="dxa"/>
              <w:bottom w:w="0" w:type="dxa"/>
              <w:right w:w="108" w:type="dxa"/>
            </w:tcMar>
            <w:hideMark/>
          </w:tcPr>
          <w:p w:rsidRPr="00764300" w:rsidR="00764300" w:rsidP="00764300" w:rsidRDefault="00764300" w14:paraId="76133AE0" w14:textId="77777777">
            <w:pPr>
              <w:rPr>
                <w:sz w:val="22"/>
                <w:szCs w:val="22"/>
              </w:rPr>
            </w:pPr>
            <w:r w:rsidRPr="00764300">
              <w:rPr>
                <w:sz w:val="22"/>
                <w:szCs w:val="22"/>
              </w:rPr>
              <w:t>2</w:t>
            </w:r>
          </w:p>
        </w:tc>
        <w:tc>
          <w:tcPr>
            <w:tcW w:w="0" w:type="auto"/>
            <w:tcMar>
              <w:top w:w="0" w:type="dxa"/>
              <w:left w:w="108" w:type="dxa"/>
              <w:bottom w:w="0" w:type="dxa"/>
              <w:right w:w="108" w:type="dxa"/>
            </w:tcMar>
            <w:hideMark/>
          </w:tcPr>
          <w:p w:rsidRPr="00764300" w:rsidR="00764300" w:rsidP="00764300" w:rsidRDefault="00764300" w14:paraId="5AC6A560" w14:textId="77777777">
            <w:pPr>
              <w:rPr>
                <w:sz w:val="22"/>
                <w:szCs w:val="22"/>
              </w:rPr>
            </w:pPr>
            <w:r w:rsidRPr="00764300">
              <w:rPr>
                <w:b/>
                <w:bCs/>
                <w:sz w:val="22"/>
                <w:szCs w:val="22"/>
              </w:rPr>
              <w:t>Wat zijn de gevolgen voor de ticketverkoop van de Nederlandse Spoorwegen (NS) als er een Europees ticketsysteem wordt ingevoerd?</w:t>
            </w:r>
          </w:p>
          <w:p w:rsidRPr="00764300" w:rsidR="00764300" w:rsidP="00764300" w:rsidRDefault="00266416" w14:paraId="08980D54" w14:textId="2FB5109B">
            <w:pPr>
              <w:rPr>
                <w:sz w:val="22"/>
                <w:szCs w:val="22"/>
              </w:rPr>
            </w:pPr>
            <w:r w:rsidRPr="00266416">
              <w:rPr>
                <w:sz w:val="22"/>
                <w:szCs w:val="22"/>
              </w:rPr>
              <w:t xml:space="preserve">Binnen de Community of European </w:t>
            </w:r>
            <w:proofErr w:type="spellStart"/>
            <w:r w:rsidRPr="00266416">
              <w:rPr>
                <w:sz w:val="22"/>
                <w:szCs w:val="22"/>
              </w:rPr>
              <w:t>Railways</w:t>
            </w:r>
            <w:proofErr w:type="spellEnd"/>
            <w:r w:rsidRPr="00266416">
              <w:rPr>
                <w:sz w:val="22"/>
                <w:szCs w:val="22"/>
              </w:rPr>
              <w:t xml:space="preserve"> (CER) is de </w:t>
            </w:r>
            <w:proofErr w:type="spellStart"/>
            <w:r w:rsidRPr="00266416">
              <w:rPr>
                <w:sz w:val="22"/>
                <w:szCs w:val="22"/>
              </w:rPr>
              <w:t>Ticketing</w:t>
            </w:r>
            <w:proofErr w:type="spellEnd"/>
            <w:r w:rsidRPr="00266416">
              <w:rPr>
                <w:sz w:val="22"/>
                <w:szCs w:val="22"/>
              </w:rPr>
              <w:t xml:space="preserve"> </w:t>
            </w:r>
            <w:proofErr w:type="spellStart"/>
            <w:r w:rsidRPr="00266416">
              <w:rPr>
                <w:sz w:val="22"/>
                <w:szCs w:val="22"/>
              </w:rPr>
              <w:t>Roadmap</w:t>
            </w:r>
            <w:proofErr w:type="spellEnd"/>
            <w:r w:rsidRPr="00266416">
              <w:rPr>
                <w:sz w:val="22"/>
                <w:szCs w:val="22"/>
              </w:rPr>
              <w:t xml:space="preserve"> ontwikkeld. Hierin worden meerdere stappen gezet om </w:t>
            </w:r>
            <w:proofErr w:type="spellStart"/>
            <w:r w:rsidRPr="00266416">
              <w:rPr>
                <w:sz w:val="22"/>
                <w:szCs w:val="22"/>
              </w:rPr>
              <w:t>ticketing</w:t>
            </w:r>
            <w:proofErr w:type="spellEnd"/>
            <w:r w:rsidRPr="00266416">
              <w:rPr>
                <w:sz w:val="22"/>
                <w:szCs w:val="22"/>
              </w:rPr>
              <w:t xml:space="preserve"> in Europa te verbeteren en te vergemakkelijken. Een belangrijke stap hierin is één softwarestandaard (OSDM).  </w:t>
            </w:r>
            <w:r w:rsidRPr="00DC2079" w:rsidR="00DA0DFA">
              <w:rPr>
                <w:sz w:val="22"/>
                <w:szCs w:val="22"/>
              </w:rPr>
              <w:t xml:space="preserve">Uitgaande van </w:t>
            </w:r>
            <w:r w:rsidRPr="00DC2079" w:rsidR="005A7C9F">
              <w:rPr>
                <w:sz w:val="22"/>
                <w:szCs w:val="22"/>
              </w:rPr>
              <w:t>voorstellen in deze initiatiefnota, kan d</w:t>
            </w:r>
            <w:r w:rsidRPr="00764300" w:rsidR="00764300">
              <w:rPr>
                <w:sz w:val="22"/>
                <w:szCs w:val="22"/>
              </w:rPr>
              <w:t>e NS haar bestaande tickets blijven aanbieden, maar dan via een Europees platform waar ook andere treinaanbieders op beschikbaar zijn. Voor de reiziger betekent dit vooral een verbetering: reizen wordt eenvoudiger te plannen en te boeken, en prijzen en opties zijn transparanter doordat alles overzichtelijk op één plek wordt weergegeven. </w:t>
            </w:r>
          </w:p>
          <w:p w:rsidRPr="00764300" w:rsidR="00764300" w:rsidP="00764300" w:rsidRDefault="00764300" w14:paraId="4C43FC3F" w14:textId="77777777">
            <w:pPr>
              <w:rPr>
                <w:sz w:val="22"/>
                <w:szCs w:val="22"/>
              </w:rPr>
            </w:pPr>
          </w:p>
        </w:tc>
        <w:tc>
          <w:tcPr>
            <w:tcW w:w="0" w:type="auto"/>
            <w:tcMar>
              <w:top w:w="0" w:type="dxa"/>
              <w:left w:w="108" w:type="dxa"/>
              <w:bottom w:w="0" w:type="dxa"/>
              <w:right w:w="108" w:type="dxa"/>
            </w:tcMar>
            <w:hideMark/>
          </w:tcPr>
          <w:p w:rsidRPr="00764300" w:rsidR="00764300" w:rsidP="00764300" w:rsidRDefault="00764300" w14:paraId="6730E795" w14:textId="77777777">
            <w:pPr>
              <w:rPr>
                <w:sz w:val="22"/>
                <w:szCs w:val="22"/>
              </w:rPr>
            </w:pPr>
            <w:r w:rsidRPr="00764300">
              <w:rPr>
                <w:sz w:val="22"/>
                <w:szCs w:val="22"/>
              </w:rPr>
              <w:t> </w:t>
            </w:r>
          </w:p>
        </w:tc>
        <w:tc>
          <w:tcPr>
            <w:tcW w:w="0" w:type="auto"/>
            <w:tcMar>
              <w:top w:w="0" w:type="dxa"/>
              <w:left w:w="108" w:type="dxa"/>
              <w:bottom w:w="0" w:type="dxa"/>
              <w:right w:w="108" w:type="dxa"/>
            </w:tcMar>
            <w:hideMark/>
          </w:tcPr>
          <w:p w:rsidRPr="00764300" w:rsidR="00764300" w:rsidP="00764300" w:rsidRDefault="00764300" w14:paraId="5A313224" w14:textId="77777777">
            <w:pPr>
              <w:rPr>
                <w:sz w:val="22"/>
                <w:szCs w:val="22"/>
              </w:rPr>
            </w:pPr>
            <w:r w:rsidRPr="00764300">
              <w:rPr>
                <w:sz w:val="22"/>
                <w:szCs w:val="22"/>
              </w:rPr>
              <w:t> </w:t>
            </w:r>
          </w:p>
        </w:tc>
        <w:tc>
          <w:tcPr>
            <w:tcW w:w="0" w:type="auto"/>
            <w:tcMar>
              <w:top w:w="0" w:type="dxa"/>
              <w:left w:w="108" w:type="dxa"/>
              <w:bottom w:w="0" w:type="dxa"/>
              <w:right w:w="108" w:type="dxa"/>
            </w:tcMar>
            <w:hideMark/>
          </w:tcPr>
          <w:p w:rsidRPr="00764300" w:rsidR="00764300" w:rsidP="00764300" w:rsidRDefault="00764300" w14:paraId="2C5D8850" w14:textId="77777777">
            <w:pPr>
              <w:rPr>
                <w:sz w:val="22"/>
                <w:szCs w:val="22"/>
              </w:rPr>
            </w:pPr>
            <w:r w:rsidRPr="00764300">
              <w:rPr>
                <w:sz w:val="22"/>
                <w:szCs w:val="22"/>
              </w:rPr>
              <w:t> </w:t>
            </w:r>
          </w:p>
        </w:tc>
      </w:tr>
      <w:tr w:rsidRPr="00764300" w:rsidR="00764300" w:rsidTr="00764300" w14:paraId="7AB013E0" w14:textId="77777777">
        <w:trPr>
          <w:trHeight w:val="1514"/>
        </w:trPr>
        <w:tc>
          <w:tcPr>
            <w:tcW w:w="0" w:type="auto"/>
            <w:tcMar>
              <w:top w:w="0" w:type="dxa"/>
              <w:left w:w="108" w:type="dxa"/>
              <w:bottom w:w="0" w:type="dxa"/>
              <w:right w:w="108" w:type="dxa"/>
            </w:tcMar>
            <w:hideMark/>
          </w:tcPr>
          <w:p w:rsidRPr="00764300" w:rsidR="00764300" w:rsidP="00764300" w:rsidRDefault="00764300" w14:paraId="7D35BC92" w14:textId="77777777">
            <w:pPr>
              <w:rPr>
                <w:sz w:val="22"/>
                <w:szCs w:val="22"/>
              </w:rPr>
            </w:pPr>
            <w:r w:rsidRPr="00764300">
              <w:rPr>
                <w:sz w:val="22"/>
                <w:szCs w:val="22"/>
              </w:rPr>
              <w:lastRenderedPageBreak/>
              <w:t>3</w:t>
            </w:r>
          </w:p>
        </w:tc>
        <w:tc>
          <w:tcPr>
            <w:tcW w:w="0" w:type="auto"/>
            <w:tcMar>
              <w:top w:w="0" w:type="dxa"/>
              <w:left w:w="108" w:type="dxa"/>
              <w:bottom w:w="0" w:type="dxa"/>
              <w:right w:w="108" w:type="dxa"/>
            </w:tcMar>
            <w:hideMark/>
          </w:tcPr>
          <w:p w:rsidRPr="00764300" w:rsidR="00764300" w:rsidP="00764300" w:rsidRDefault="00764300" w14:paraId="11902527" w14:textId="77777777">
            <w:pPr>
              <w:rPr>
                <w:sz w:val="22"/>
                <w:szCs w:val="22"/>
              </w:rPr>
            </w:pPr>
            <w:r w:rsidRPr="00764300">
              <w:rPr>
                <w:b/>
                <w:bCs/>
                <w:sz w:val="22"/>
                <w:szCs w:val="22"/>
              </w:rPr>
              <w:t>Is er in het voorstel rekening gehouden met het feit dat mensen, omwille van de tijd bijvoorbeeld, frequente langdurige grensoverschrijdende treinreizen zullen mijden? Zo ja, op welke wijze?</w:t>
            </w:r>
          </w:p>
          <w:p w:rsidRPr="00764300" w:rsidR="00764300" w:rsidP="00764300" w:rsidRDefault="00764300" w14:paraId="61EE033C" w14:textId="504AD4DD">
            <w:pPr>
              <w:rPr>
                <w:sz w:val="22"/>
                <w:szCs w:val="22"/>
              </w:rPr>
            </w:pPr>
            <w:r w:rsidRPr="00764300">
              <w:rPr>
                <w:sz w:val="22"/>
                <w:szCs w:val="22"/>
              </w:rPr>
              <w:t>Ja, daar houdt dit voorstel rekening mee. Er wordt erkend dat reizigers momenteel grensoverschrijdende treinreizen vaak mijden vanwege lange reistijden, hoge kosten en een ingewikkeld boekingsproces. Deze initiatiefnota richt zich daarom op het aantrekkelijker maken van internationaal treinverkeer, bijvoorbeeld door investeringen die de reistijd verkorten en door een eenvoudiger en transparanter ticketsysteem. Het idee is dat een beter en concurrerender treinaanbod het voor reizigers de moeite waard maakt om de trein te kiezen boven het vliegtuig of de auto, waardoor ook frequente grensoverschrijdende reizen aantrekkelijker worden.</w:t>
            </w:r>
          </w:p>
        </w:tc>
        <w:tc>
          <w:tcPr>
            <w:tcW w:w="0" w:type="auto"/>
            <w:tcMar>
              <w:top w:w="0" w:type="dxa"/>
              <w:left w:w="108" w:type="dxa"/>
              <w:bottom w:w="0" w:type="dxa"/>
              <w:right w:w="108" w:type="dxa"/>
            </w:tcMar>
            <w:hideMark/>
          </w:tcPr>
          <w:p w:rsidRPr="00764300" w:rsidR="00764300" w:rsidP="00764300" w:rsidRDefault="00764300" w14:paraId="02FF0C3D" w14:textId="77777777">
            <w:pPr>
              <w:rPr>
                <w:sz w:val="22"/>
                <w:szCs w:val="22"/>
              </w:rPr>
            </w:pPr>
            <w:r w:rsidRPr="00764300">
              <w:rPr>
                <w:sz w:val="22"/>
                <w:szCs w:val="22"/>
              </w:rPr>
              <w:t> </w:t>
            </w:r>
          </w:p>
        </w:tc>
        <w:tc>
          <w:tcPr>
            <w:tcW w:w="0" w:type="auto"/>
            <w:tcMar>
              <w:top w:w="0" w:type="dxa"/>
              <w:left w:w="108" w:type="dxa"/>
              <w:bottom w:w="0" w:type="dxa"/>
              <w:right w:w="108" w:type="dxa"/>
            </w:tcMar>
            <w:hideMark/>
          </w:tcPr>
          <w:p w:rsidRPr="00764300" w:rsidR="00764300" w:rsidP="00764300" w:rsidRDefault="00764300" w14:paraId="0D8521CE" w14:textId="77777777">
            <w:pPr>
              <w:rPr>
                <w:sz w:val="22"/>
                <w:szCs w:val="22"/>
              </w:rPr>
            </w:pPr>
            <w:r w:rsidRPr="00764300">
              <w:rPr>
                <w:sz w:val="22"/>
                <w:szCs w:val="22"/>
              </w:rPr>
              <w:t> </w:t>
            </w:r>
          </w:p>
        </w:tc>
        <w:tc>
          <w:tcPr>
            <w:tcW w:w="0" w:type="auto"/>
            <w:tcMar>
              <w:top w:w="0" w:type="dxa"/>
              <w:left w:w="108" w:type="dxa"/>
              <w:bottom w:w="0" w:type="dxa"/>
              <w:right w:w="108" w:type="dxa"/>
            </w:tcMar>
            <w:hideMark/>
          </w:tcPr>
          <w:p w:rsidRPr="00764300" w:rsidR="00764300" w:rsidP="00764300" w:rsidRDefault="00764300" w14:paraId="476EA4AB" w14:textId="77777777">
            <w:pPr>
              <w:rPr>
                <w:sz w:val="22"/>
                <w:szCs w:val="22"/>
              </w:rPr>
            </w:pPr>
            <w:r w:rsidRPr="00764300">
              <w:rPr>
                <w:sz w:val="22"/>
                <w:szCs w:val="22"/>
              </w:rPr>
              <w:t> </w:t>
            </w:r>
          </w:p>
        </w:tc>
      </w:tr>
      <w:tr w:rsidRPr="00764300" w:rsidR="00764300" w:rsidTr="00764300" w14:paraId="11ECDC6C" w14:textId="77777777">
        <w:trPr>
          <w:trHeight w:val="3581"/>
        </w:trPr>
        <w:tc>
          <w:tcPr>
            <w:tcW w:w="0" w:type="auto"/>
            <w:tcMar>
              <w:top w:w="0" w:type="dxa"/>
              <w:left w:w="108" w:type="dxa"/>
              <w:bottom w:w="0" w:type="dxa"/>
              <w:right w:w="108" w:type="dxa"/>
            </w:tcMar>
            <w:hideMark/>
          </w:tcPr>
          <w:p w:rsidRPr="00764300" w:rsidR="00764300" w:rsidP="00764300" w:rsidRDefault="00764300" w14:paraId="4FF77DD2" w14:textId="77777777">
            <w:pPr>
              <w:rPr>
                <w:sz w:val="22"/>
                <w:szCs w:val="22"/>
              </w:rPr>
            </w:pPr>
            <w:r w:rsidRPr="00764300">
              <w:rPr>
                <w:sz w:val="22"/>
                <w:szCs w:val="22"/>
              </w:rPr>
              <w:t>4</w:t>
            </w:r>
          </w:p>
        </w:tc>
        <w:tc>
          <w:tcPr>
            <w:tcW w:w="0" w:type="auto"/>
            <w:tcMar>
              <w:top w:w="0" w:type="dxa"/>
              <w:left w:w="108" w:type="dxa"/>
              <w:bottom w:w="0" w:type="dxa"/>
              <w:right w:w="108" w:type="dxa"/>
            </w:tcMar>
            <w:hideMark/>
          </w:tcPr>
          <w:p w:rsidRPr="00764300" w:rsidR="00764300" w:rsidP="00764300" w:rsidRDefault="00764300" w14:paraId="64A2CE75" w14:textId="77777777">
            <w:pPr>
              <w:rPr>
                <w:sz w:val="22"/>
                <w:szCs w:val="22"/>
              </w:rPr>
            </w:pPr>
            <w:r w:rsidRPr="00764300">
              <w:rPr>
                <w:b/>
                <w:bCs/>
                <w:sz w:val="22"/>
                <w:szCs w:val="22"/>
              </w:rPr>
              <w:t>Krijgt de op te richten openbaar vervoer (OV)-autoriteit zeggenschap over de nationale dienstregeling?</w:t>
            </w:r>
          </w:p>
          <w:p w:rsidRPr="00764300" w:rsidR="00764300" w:rsidP="00764300" w:rsidRDefault="00764300" w14:paraId="54D7514B" w14:textId="77777777">
            <w:pPr>
              <w:rPr>
                <w:sz w:val="22"/>
                <w:szCs w:val="22"/>
              </w:rPr>
            </w:pPr>
            <w:r w:rsidRPr="00764300">
              <w:rPr>
                <w:sz w:val="22"/>
                <w:szCs w:val="22"/>
              </w:rPr>
              <w:t>De op te richten OV-autoriteit krijgt geen directe zeggenschap over de nationale dienstregeling. De Europese Commissie werkt aan voorstellen om via corridorcoördinatie en een corridorautoriteit voorwaarden te stellen aan de dienstregeling, zoals serviceniveau, materieelkwaliteit, frequentie en snelheid. Daarmee wordt de nationale dienstregeling indirect beïnvloed, maar de feitelijke verantwoordelijkheid voor de opstelling en uitvoering blijft bij de nationale vervoerders en infrastructuurbeheerders. Op termijn kan, door samenvoeging van corridorautoriteiten in een Europese verkeersleiding en capaciteitstoedeling, de invloed van zo’n autoriteit verder toenemen, maar dit gaat om het stellen van randvoorwaarden en coördinatie,  niet om volledige zeggenschap over de nationale dienstregeling.</w:t>
            </w:r>
          </w:p>
        </w:tc>
        <w:tc>
          <w:tcPr>
            <w:tcW w:w="0" w:type="auto"/>
            <w:tcMar>
              <w:top w:w="0" w:type="dxa"/>
              <w:left w:w="108" w:type="dxa"/>
              <w:bottom w:w="0" w:type="dxa"/>
              <w:right w:w="108" w:type="dxa"/>
            </w:tcMar>
            <w:hideMark/>
          </w:tcPr>
          <w:p w:rsidRPr="00764300" w:rsidR="00764300" w:rsidP="00764300" w:rsidRDefault="00764300" w14:paraId="63568E93" w14:textId="77777777">
            <w:pPr>
              <w:rPr>
                <w:sz w:val="22"/>
                <w:szCs w:val="22"/>
              </w:rPr>
            </w:pPr>
            <w:r w:rsidRPr="00764300">
              <w:rPr>
                <w:sz w:val="22"/>
                <w:szCs w:val="22"/>
              </w:rPr>
              <w:t> </w:t>
            </w:r>
          </w:p>
        </w:tc>
        <w:tc>
          <w:tcPr>
            <w:tcW w:w="0" w:type="auto"/>
            <w:tcMar>
              <w:top w:w="0" w:type="dxa"/>
              <w:left w:w="108" w:type="dxa"/>
              <w:bottom w:w="0" w:type="dxa"/>
              <w:right w:w="108" w:type="dxa"/>
            </w:tcMar>
            <w:hideMark/>
          </w:tcPr>
          <w:p w:rsidRPr="00764300" w:rsidR="00764300" w:rsidP="00764300" w:rsidRDefault="00764300" w14:paraId="0AA87F90" w14:textId="77777777">
            <w:pPr>
              <w:rPr>
                <w:sz w:val="22"/>
                <w:szCs w:val="22"/>
              </w:rPr>
            </w:pPr>
            <w:r w:rsidRPr="00764300">
              <w:rPr>
                <w:sz w:val="22"/>
                <w:szCs w:val="22"/>
              </w:rPr>
              <w:t> </w:t>
            </w:r>
          </w:p>
        </w:tc>
        <w:tc>
          <w:tcPr>
            <w:tcW w:w="0" w:type="auto"/>
            <w:tcMar>
              <w:top w:w="0" w:type="dxa"/>
              <w:left w:w="108" w:type="dxa"/>
              <w:bottom w:w="0" w:type="dxa"/>
              <w:right w:w="108" w:type="dxa"/>
            </w:tcMar>
            <w:hideMark/>
          </w:tcPr>
          <w:p w:rsidRPr="00764300" w:rsidR="00764300" w:rsidP="00764300" w:rsidRDefault="00764300" w14:paraId="7D3268D6" w14:textId="77777777">
            <w:pPr>
              <w:rPr>
                <w:sz w:val="22"/>
                <w:szCs w:val="22"/>
              </w:rPr>
            </w:pPr>
            <w:r w:rsidRPr="00764300">
              <w:rPr>
                <w:sz w:val="22"/>
                <w:szCs w:val="22"/>
              </w:rPr>
              <w:t> </w:t>
            </w:r>
          </w:p>
        </w:tc>
      </w:tr>
      <w:tr w:rsidRPr="00764300" w:rsidR="00764300" w:rsidTr="00764300" w14:paraId="6467CB87" w14:textId="77777777">
        <w:trPr>
          <w:trHeight w:val="300"/>
        </w:trPr>
        <w:tc>
          <w:tcPr>
            <w:tcW w:w="0" w:type="auto"/>
            <w:tcMar>
              <w:top w:w="0" w:type="dxa"/>
              <w:left w:w="108" w:type="dxa"/>
              <w:bottom w:w="0" w:type="dxa"/>
              <w:right w:w="108" w:type="dxa"/>
            </w:tcMar>
            <w:hideMark/>
          </w:tcPr>
          <w:p w:rsidRPr="00764300" w:rsidR="00764300" w:rsidP="00764300" w:rsidRDefault="00764300" w14:paraId="46D0C651" w14:textId="77777777">
            <w:pPr>
              <w:rPr>
                <w:sz w:val="22"/>
                <w:szCs w:val="22"/>
              </w:rPr>
            </w:pPr>
            <w:r w:rsidRPr="00764300">
              <w:rPr>
                <w:sz w:val="22"/>
                <w:szCs w:val="22"/>
              </w:rPr>
              <w:t>5</w:t>
            </w:r>
          </w:p>
        </w:tc>
        <w:tc>
          <w:tcPr>
            <w:tcW w:w="0" w:type="auto"/>
            <w:tcMar>
              <w:top w:w="0" w:type="dxa"/>
              <w:left w:w="108" w:type="dxa"/>
              <w:bottom w:w="0" w:type="dxa"/>
              <w:right w:w="108" w:type="dxa"/>
            </w:tcMar>
            <w:hideMark/>
          </w:tcPr>
          <w:p w:rsidRPr="00764300" w:rsidR="00764300" w:rsidP="00764300" w:rsidRDefault="00764300" w14:paraId="5254FC46" w14:textId="77777777">
            <w:pPr>
              <w:rPr>
                <w:sz w:val="22"/>
                <w:szCs w:val="22"/>
              </w:rPr>
            </w:pPr>
            <w:r w:rsidRPr="00764300">
              <w:rPr>
                <w:b/>
                <w:bCs/>
                <w:sz w:val="22"/>
                <w:szCs w:val="22"/>
              </w:rPr>
              <w:t>Hoeveel geld gaat het Nederland concreet kosten om de plannen uit deze nota te bewerkstelligen en waar wordt dit uit gedekt?</w:t>
            </w:r>
          </w:p>
          <w:p w:rsidRPr="00764300" w:rsidR="00764300" w:rsidP="00764300" w:rsidRDefault="00764300" w14:paraId="215EE405" w14:textId="77777777">
            <w:pPr>
              <w:rPr>
                <w:sz w:val="22"/>
                <w:szCs w:val="22"/>
              </w:rPr>
            </w:pPr>
            <w:r w:rsidRPr="00764300">
              <w:rPr>
                <w:sz w:val="22"/>
                <w:szCs w:val="22"/>
              </w:rPr>
              <w:t>Zoals te lezen is in de financiële paragraaf zijn er 3 scenario's die door het PBL zijn doorgerekend in het onderzoek ‘Kansrijk Mobiliteitsbeleid’.</w:t>
            </w:r>
            <w:r w:rsidRPr="00764300">
              <w:rPr>
                <w:b/>
                <w:bCs/>
                <w:sz w:val="22"/>
                <w:szCs w:val="22"/>
              </w:rPr>
              <w:t xml:space="preserve"> </w:t>
            </w:r>
            <w:r w:rsidRPr="00764300">
              <w:rPr>
                <w:sz w:val="22"/>
                <w:szCs w:val="22"/>
              </w:rPr>
              <w:t>De verschillende scenario's komen met verschillende kosten. Deze zijn verder onderbouwd in de kosten, weergegeven per project. Vanuit Volt nemen we een duidelijk standpunt in dat goed aansluit op het tweede scenario uit Kansrijk Mobiliteitsbeleid en dat de vormgeving van het netwerk zowel nationaal als internationaal perspectief geeft.  De kosten omvangen grofweg 15 miljard euro tot 2050. </w:t>
            </w:r>
          </w:p>
          <w:p w:rsidRPr="00764300" w:rsidR="00764300" w:rsidP="00764300" w:rsidRDefault="00764300" w14:paraId="505E5E72" w14:textId="77777777">
            <w:pPr>
              <w:rPr>
                <w:sz w:val="22"/>
                <w:szCs w:val="22"/>
              </w:rPr>
            </w:pPr>
            <w:r w:rsidRPr="00764300">
              <w:rPr>
                <w:sz w:val="22"/>
                <w:szCs w:val="22"/>
              </w:rPr>
              <w:t>In de doorrekening van ons vorige verkiezingsprogramma is deze post meegenomen en gedekt door meerdere voorgestelde hervormingen in ons belastingsysteem. Gezien de enorme complexiteit van ons belastingvoorstel is er niet één post die zorgt voor dekking aan te wijzen . </w:t>
            </w:r>
          </w:p>
          <w:p w:rsidRPr="00764300" w:rsidR="00764300" w:rsidP="00764300" w:rsidRDefault="00764300" w14:paraId="4F5A11F5" w14:textId="77777777">
            <w:pPr>
              <w:rPr>
                <w:sz w:val="22"/>
                <w:szCs w:val="22"/>
              </w:rPr>
            </w:pPr>
          </w:p>
        </w:tc>
        <w:tc>
          <w:tcPr>
            <w:tcW w:w="0" w:type="auto"/>
            <w:tcMar>
              <w:top w:w="0" w:type="dxa"/>
              <w:left w:w="108" w:type="dxa"/>
              <w:bottom w:w="0" w:type="dxa"/>
              <w:right w:w="108" w:type="dxa"/>
            </w:tcMar>
            <w:hideMark/>
          </w:tcPr>
          <w:p w:rsidRPr="00764300" w:rsidR="00764300" w:rsidP="00764300" w:rsidRDefault="00764300" w14:paraId="4D6FB5FA" w14:textId="77777777">
            <w:pPr>
              <w:rPr>
                <w:sz w:val="22"/>
                <w:szCs w:val="22"/>
              </w:rPr>
            </w:pPr>
            <w:r w:rsidRPr="00764300">
              <w:rPr>
                <w:sz w:val="22"/>
                <w:szCs w:val="22"/>
              </w:rPr>
              <w:t> </w:t>
            </w:r>
          </w:p>
        </w:tc>
        <w:tc>
          <w:tcPr>
            <w:tcW w:w="0" w:type="auto"/>
            <w:tcMar>
              <w:top w:w="0" w:type="dxa"/>
              <w:left w:w="108" w:type="dxa"/>
              <w:bottom w:w="0" w:type="dxa"/>
              <w:right w:w="108" w:type="dxa"/>
            </w:tcMar>
            <w:hideMark/>
          </w:tcPr>
          <w:p w:rsidRPr="00764300" w:rsidR="00764300" w:rsidP="00764300" w:rsidRDefault="00764300" w14:paraId="51A506B8" w14:textId="77777777">
            <w:pPr>
              <w:rPr>
                <w:sz w:val="22"/>
                <w:szCs w:val="22"/>
              </w:rPr>
            </w:pPr>
            <w:r w:rsidRPr="00764300">
              <w:rPr>
                <w:sz w:val="22"/>
                <w:szCs w:val="22"/>
              </w:rPr>
              <w:t> </w:t>
            </w:r>
          </w:p>
        </w:tc>
        <w:tc>
          <w:tcPr>
            <w:tcW w:w="0" w:type="auto"/>
            <w:tcMar>
              <w:top w:w="0" w:type="dxa"/>
              <w:left w:w="108" w:type="dxa"/>
              <w:bottom w:w="0" w:type="dxa"/>
              <w:right w:w="108" w:type="dxa"/>
            </w:tcMar>
            <w:hideMark/>
          </w:tcPr>
          <w:p w:rsidRPr="00764300" w:rsidR="00764300" w:rsidP="00764300" w:rsidRDefault="00764300" w14:paraId="42FFA4F3" w14:textId="77777777">
            <w:pPr>
              <w:rPr>
                <w:sz w:val="22"/>
                <w:szCs w:val="22"/>
              </w:rPr>
            </w:pPr>
            <w:r w:rsidRPr="00764300">
              <w:rPr>
                <w:sz w:val="22"/>
                <w:szCs w:val="22"/>
              </w:rPr>
              <w:t> </w:t>
            </w:r>
          </w:p>
        </w:tc>
      </w:tr>
      <w:tr w:rsidRPr="00764300" w:rsidR="00764300" w:rsidTr="00764300" w14:paraId="41908B2A" w14:textId="77777777">
        <w:trPr>
          <w:trHeight w:val="300"/>
        </w:trPr>
        <w:tc>
          <w:tcPr>
            <w:tcW w:w="0" w:type="auto"/>
            <w:tcMar>
              <w:top w:w="0" w:type="dxa"/>
              <w:left w:w="108" w:type="dxa"/>
              <w:bottom w:w="0" w:type="dxa"/>
              <w:right w:w="108" w:type="dxa"/>
            </w:tcMar>
            <w:hideMark/>
          </w:tcPr>
          <w:p w:rsidRPr="00764300" w:rsidR="00764300" w:rsidP="00764300" w:rsidRDefault="00764300" w14:paraId="7CF7DE4B" w14:textId="77777777">
            <w:pPr>
              <w:rPr>
                <w:sz w:val="22"/>
                <w:szCs w:val="22"/>
              </w:rPr>
            </w:pPr>
            <w:r w:rsidRPr="00764300">
              <w:rPr>
                <w:sz w:val="22"/>
                <w:szCs w:val="22"/>
              </w:rPr>
              <w:t>6</w:t>
            </w:r>
          </w:p>
        </w:tc>
        <w:tc>
          <w:tcPr>
            <w:tcW w:w="0" w:type="auto"/>
            <w:tcMar>
              <w:top w:w="0" w:type="dxa"/>
              <w:left w:w="108" w:type="dxa"/>
              <w:bottom w:w="0" w:type="dxa"/>
              <w:right w:w="108" w:type="dxa"/>
            </w:tcMar>
            <w:hideMark/>
          </w:tcPr>
          <w:p w:rsidRPr="00764300" w:rsidR="00764300" w:rsidP="00764300" w:rsidRDefault="00764300" w14:paraId="4C17E4CC" w14:textId="77777777">
            <w:pPr>
              <w:rPr>
                <w:sz w:val="22"/>
                <w:szCs w:val="22"/>
              </w:rPr>
            </w:pPr>
            <w:r w:rsidRPr="00764300">
              <w:rPr>
                <w:b/>
                <w:bCs/>
                <w:sz w:val="22"/>
                <w:szCs w:val="22"/>
              </w:rPr>
              <w:t>Kunt u toelichten waarom één Europees ticketsysteem niet zal leiden tot minder concurrentie op het spoor?</w:t>
            </w:r>
          </w:p>
          <w:p w:rsidRPr="00764300" w:rsidR="00764300" w:rsidP="00764300" w:rsidRDefault="00764300" w14:paraId="4BB14232" w14:textId="77777777">
            <w:pPr>
              <w:rPr>
                <w:sz w:val="22"/>
                <w:szCs w:val="22"/>
              </w:rPr>
            </w:pPr>
            <w:r w:rsidRPr="00764300">
              <w:rPr>
                <w:sz w:val="22"/>
                <w:szCs w:val="22"/>
              </w:rPr>
              <w:t xml:space="preserve">Een Europees ticketsysteem verandert niet direct iets aan de concurrentie op het spoor, omdat dit uitsluitend een gezamenlijk verkoopkanaal betreft. Vervoerders behouden hun eigen aanbod, prijzen en diensten, en blijven daarin concurreren. Door transparantie en vergelijkbaarheid van tickets te vergroten, wordt het juist </w:t>
            </w:r>
            <w:r w:rsidRPr="00764300">
              <w:rPr>
                <w:sz w:val="22"/>
                <w:szCs w:val="22"/>
              </w:rPr>
              <w:lastRenderedPageBreak/>
              <w:t>eenvoudiger voor reizigers om aanbieders te vergelijken, wat de concurrentie versterkt in plaats van beperkt.</w:t>
            </w:r>
          </w:p>
          <w:p w:rsidRPr="00764300" w:rsidR="00764300" w:rsidP="00764300" w:rsidRDefault="00764300" w14:paraId="6A455B11" w14:textId="77777777">
            <w:pPr>
              <w:rPr>
                <w:sz w:val="22"/>
                <w:szCs w:val="22"/>
              </w:rPr>
            </w:pPr>
          </w:p>
        </w:tc>
        <w:tc>
          <w:tcPr>
            <w:tcW w:w="0" w:type="auto"/>
            <w:tcMar>
              <w:top w:w="0" w:type="dxa"/>
              <w:left w:w="108" w:type="dxa"/>
              <w:bottom w:w="0" w:type="dxa"/>
              <w:right w:w="108" w:type="dxa"/>
            </w:tcMar>
            <w:hideMark/>
          </w:tcPr>
          <w:p w:rsidRPr="00764300" w:rsidR="00764300" w:rsidP="00764300" w:rsidRDefault="00764300" w14:paraId="01C39264" w14:textId="77777777">
            <w:pPr>
              <w:rPr>
                <w:sz w:val="22"/>
                <w:szCs w:val="22"/>
              </w:rPr>
            </w:pPr>
            <w:r w:rsidRPr="00764300">
              <w:rPr>
                <w:sz w:val="22"/>
                <w:szCs w:val="22"/>
              </w:rPr>
              <w:lastRenderedPageBreak/>
              <w:t> </w:t>
            </w:r>
          </w:p>
        </w:tc>
        <w:tc>
          <w:tcPr>
            <w:tcW w:w="0" w:type="auto"/>
            <w:tcMar>
              <w:top w:w="0" w:type="dxa"/>
              <w:left w:w="108" w:type="dxa"/>
              <w:bottom w:w="0" w:type="dxa"/>
              <w:right w:w="108" w:type="dxa"/>
            </w:tcMar>
            <w:hideMark/>
          </w:tcPr>
          <w:p w:rsidRPr="00764300" w:rsidR="00764300" w:rsidP="00764300" w:rsidRDefault="00764300" w14:paraId="46D3B96E" w14:textId="77777777">
            <w:pPr>
              <w:rPr>
                <w:sz w:val="22"/>
                <w:szCs w:val="22"/>
              </w:rPr>
            </w:pPr>
            <w:r w:rsidRPr="00764300">
              <w:rPr>
                <w:sz w:val="22"/>
                <w:szCs w:val="22"/>
              </w:rPr>
              <w:t> </w:t>
            </w:r>
          </w:p>
        </w:tc>
        <w:tc>
          <w:tcPr>
            <w:tcW w:w="0" w:type="auto"/>
            <w:tcMar>
              <w:top w:w="0" w:type="dxa"/>
              <w:left w:w="108" w:type="dxa"/>
              <w:bottom w:w="0" w:type="dxa"/>
              <w:right w:w="108" w:type="dxa"/>
            </w:tcMar>
            <w:hideMark/>
          </w:tcPr>
          <w:p w:rsidRPr="00764300" w:rsidR="00764300" w:rsidP="00764300" w:rsidRDefault="00764300" w14:paraId="437D8628" w14:textId="77777777">
            <w:pPr>
              <w:rPr>
                <w:sz w:val="22"/>
                <w:szCs w:val="22"/>
              </w:rPr>
            </w:pPr>
            <w:r w:rsidRPr="00764300">
              <w:rPr>
                <w:sz w:val="22"/>
                <w:szCs w:val="22"/>
              </w:rPr>
              <w:t> </w:t>
            </w:r>
          </w:p>
        </w:tc>
      </w:tr>
      <w:tr w:rsidRPr="00764300" w:rsidR="00764300" w:rsidTr="00764300" w14:paraId="7EADBF46" w14:textId="77777777">
        <w:trPr>
          <w:trHeight w:val="4265"/>
        </w:trPr>
        <w:tc>
          <w:tcPr>
            <w:tcW w:w="0" w:type="auto"/>
            <w:tcMar>
              <w:top w:w="0" w:type="dxa"/>
              <w:left w:w="108" w:type="dxa"/>
              <w:bottom w:w="0" w:type="dxa"/>
              <w:right w:w="108" w:type="dxa"/>
            </w:tcMar>
            <w:hideMark/>
          </w:tcPr>
          <w:p w:rsidRPr="00764300" w:rsidR="00764300" w:rsidP="00764300" w:rsidRDefault="00764300" w14:paraId="6137B3E8" w14:textId="77777777">
            <w:pPr>
              <w:rPr>
                <w:sz w:val="22"/>
                <w:szCs w:val="22"/>
              </w:rPr>
            </w:pPr>
            <w:r w:rsidRPr="00764300">
              <w:rPr>
                <w:sz w:val="22"/>
                <w:szCs w:val="22"/>
              </w:rPr>
              <w:t>7</w:t>
            </w:r>
          </w:p>
        </w:tc>
        <w:tc>
          <w:tcPr>
            <w:tcW w:w="0" w:type="auto"/>
            <w:tcMar>
              <w:top w:w="0" w:type="dxa"/>
              <w:left w:w="108" w:type="dxa"/>
              <w:bottom w:w="0" w:type="dxa"/>
              <w:right w:w="108" w:type="dxa"/>
            </w:tcMar>
            <w:hideMark/>
          </w:tcPr>
          <w:p w:rsidRPr="00764300" w:rsidR="00764300" w:rsidP="00764300" w:rsidRDefault="00764300" w14:paraId="30FDA978" w14:textId="77777777">
            <w:pPr>
              <w:rPr>
                <w:sz w:val="22"/>
                <w:szCs w:val="22"/>
              </w:rPr>
            </w:pPr>
            <w:r w:rsidRPr="00764300">
              <w:rPr>
                <w:b/>
                <w:bCs/>
                <w:sz w:val="22"/>
                <w:szCs w:val="22"/>
              </w:rPr>
              <w:t>Betekent het harmoniseren van douanekosten, energiekosten en tolheffing dat lidstaten de zeggenschap over deze aspecten kwijtraken? Zo nee, hoe ziet u harmonisatie dan voor zich?</w:t>
            </w:r>
          </w:p>
          <w:p w:rsidRPr="00764300" w:rsidR="00764300" w:rsidP="00764300" w:rsidRDefault="00764300" w14:paraId="0E5B2070" w14:textId="77777777">
            <w:pPr>
              <w:rPr>
                <w:sz w:val="22"/>
                <w:szCs w:val="22"/>
              </w:rPr>
            </w:pPr>
            <w:r w:rsidRPr="00764300">
              <w:rPr>
                <w:sz w:val="22"/>
                <w:szCs w:val="22"/>
              </w:rPr>
              <w:t>Harmonisatie van douanekosten, energiekosten en tolheffing in het internationale spoorvervoer betekent niet dat lidstaten hun zeggenschap hierover kwijtraken. Het gaat om het afstemmen en vereenvoudigen van regels en systemen, zodat grensoverschrijdend treinverkeer minder belemmeringen ondervindt. Lidstaten behouden hun bevoegdheid over heffingen en tarieven, maar spreken gezamenlijk af binnen welke kaders deze toegepast worden en op welke wijze transparantie en vergelijkbaarheid worden geborgd. Harmonisatie ziet ik daarmee vooral als het creëren van een gelijk speelveld en het verminderen van administratieve lasten, niet als het centraliseren van nationale besluitvorming.</w:t>
            </w:r>
          </w:p>
        </w:tc>
        <w:tc>
          <w:tcPr>
            <w:tcW w:w="0" w:type="auto"/>
            <w:tcMar>
              <w:top w:w="0" w:type="dxa"/>
              <w:left w:w="108" w:type="dxa"/>
              <w:bottom w:w="0" w:type="dxa"/>
              <w:right w:w="108" w:type="dxa"/>
            </w:tcMar>
            <w:hideMark/>
          </w:tcPr>
          <w:p w:rsidRPr="00764300" w:rsidR="00764300" w:rsidP="00764300" w:rsidRDefault="00764300" w14:paraId="58F812DF" w14:textId="77777777">
            <w:pPr>
              <w:rPr>
                <w:sz w:val="22"/>
                <w:szCs w:val="22"/>
              </w:rPr>
            </w:pPr>
            <w:r w:rsidRPr="00764300">
              <w:rPr>
                <w:sz w:val="22"/>
                <w:szCs w:val="22"/>
              </w:rPr>
              <w:t> </w:t>
            </w:r>
          </w:p>
        </w:tc>
        <w:tc>
          <w:tcPr>
            <w:tcW w:w="0" w:type="auto"/>
            <w:tcMar>
              <w:top w:w="0" w:type="dxa"/>
              <w:left w:w="108" w:type="dxa"/>
              <w:bottom w:w="0" w:type="dxa"/>
              <w:right w:w="108" w:type="dxa"/>
            </w:tcMar>
            <w:hideMark/>
          </w:tcPr>
          <w:p w:rsidRPr="00764300" w:rsidR="00764300" w:rsidP="00764300" w:rsidRDefault="00764300" w14:paraId="3FF8D8F7" w14:textId="77777777">
            <w:pPr>
              <w:rPr>
                <w:sz w:val="22"/>
                <w:szCs w:val="22"/>
              </w:rPr>
            </w:pPr>
            <w:r w:rsidRPr="00764300">
              <w:rPr>
                <w:sz w:val="22"/>
                <w:szCs w:val="22"/>
              </w:rPr>
              <w:t> </w:t>
            </w:r>
          </w:p>
        </w:tc>
        <w:tc>
          <w:tcPr>
            <w:tcW w:w="0" w:type="auto"/>
            <w:tcMar>
              <w:top w:w="0" w:type="dxa"/>
              <w:left w:w="108" w:type="dxa"/>
              <w:bottom w:w="0" w:type="dxa"/>
              <w:right w:w="108" w:type="dxa"/>
            </w:tcMar>
            <w:hideMark/>
          </w:tcPr>
          <w:p w:rsidRPr="00764300" w:rsidR="00764300" w:rsidP="00764300" w:rsidRDefault="00764300" w14:paraId="48A86168" w14:textId="77777777">
            <w:pPr>
              <w:rPr>
                <w:sz w:val="22"/>
                <w:szCs w:val="22"/>
              </w:rPr>
            </w:pPr>
            <w:r w:rsidRPr="00764300">
              <w:rPr>
                <w:sz w:val="22"/>
                <w:szCs w:val="22"/>
              </w:rPr>
              <w:t> </w:t>
            </w:r>
          </w:p>
        </w:tc>
      </w:tr>
      <w:tr w:rsidRPr="00764300" w:rsidR="00764300" w:rsidTr="00764300" w14:paraId="55E04619" w14:textId="77777777">
        <w:trPr>
          <w:trHeight w:val="300"/>
        </w:trPr>
        <w:tc>
          <w:tcPr>
            <w:tcW w:w="0" w:type="auto"/>
            <w:tcMar>
              <w:top w:w="0" w:type="dxa"/>
              <w:left w:w="108" w:type="dxa"/>
              <w:bottom w:w="0" w:type="dxa"/>
              <w:right w:w="108" w:type="dxa"/>
            </w:tcMar>
            <w:hideMark/>
          </w:tcPr>
          <w:p w:rsidRPr="00764300" w:rsidR="00764300" w:rsidP="00764300" w:rsidRDefault="00764300" w14:paraId="6A8FE13B" w14:textId="77777777">
            <w:pPr>
              <w:rPr>
                <w:sz w:val="22"/>
                <w:szCs w:val="22"/>
              </w:rPr>
            </w:pPr>
            <w:r w:rsidRPr="00764300">
              <w:rPr>
                <w:sz w:val="22"/>
                <w:szCs w:val="22"/>
              </w:rPr>
              <w:t>8</w:t>
            </w:r>
          </w:p>
        </w:tc>
        <w:tc>
          <w:tcPr>
            <w:tcW w:w="0" w:type="auto"/>
            <w:tcMar>
              <w:top w:w="0" w:type="dxa"/>
              <w:left w:w="108" w:type="dxa"/>
              <w:bottom w:w="0" w:type="dxa"/>
              <w:right w:w="108" w:type="dxa"/>
            </w:tcMar>
            <w:hideMark/>
          </w:tcPr>
          <w:p w:rsidRPr="00764300" w:rsidR="00764300" w:rsidP="00764300" w:rsidRDefault="00764300" w14:paraId="2CC07791" w14:textId="77777777">
            <w:pPr>
              <w:rPr>
                <w:sz w:val="22"/>
                <w:szCs w:val="22"/>
              </w:rPr>
            </w:pPr>
            <w:r w:rsidRPr="00764300">
              <w:rPr>
                <w:b/>
                <w:bCs/>
                <w:sz w:val="22"/>
                <w:szCs w:val="22"/>
              </w:rPr>
              <w:t>Als internationale treinreizen een prioriteit op het spoor krijgen, wat doet dat met kleine regionale treinverbindingen (tussen dorpen)?</w:t>
            </w:r>
          </w:p>
          <w:p w:rsidRPr="00764300" w:rsidR="00764300" w:rsidP="00764300" w:rsidRDefault="00764300" w14:paraId="6EB7B510" w14:textId="4128FCB8">
            <w:pPr>
              <w:rPr>
                <w:sz w:val="22"/>
                <w:szCs w:val="22"/>
              </w:rPr>
            </w:pPr>
            <w:r w:rsidRPr="00764300">
              <w:rPr>
                <w:sz w:val="22"/>
                <w:szCs w:val="22"/>
              </w:rPr>
              <w:t xml:space="preserve">Het prioriteren van internationale treinreizen </w:t>
            </w:r>
            <w:r w:rsidRPr="00DC2079" w:rsidR="00151243">
              <w:rPr>
                <w:sz w:val="22"/>
                <w:szCs w:val="22"/>
              </w:rPr>
              <w:t>hoeft niet ten koste te gaan van regionale verbindingen.</w:t>
            </w:r>
            <w:r w:rsidRPr="00764300">
              <w:rPr>
                <w:sz w:val="22"/>
                <w:szCs w:val="22"/>
              </w:rPr>
              <w:t xml:space="preserve"> Internationale treinen rijden hoofdzakelijk op de grote hoofdcorridors, terwijl regionale treinen vooral op aparte lijnen tussen dorpen en steden actief zijn. Op de punten waar zij wel dezelfde infrastructuur gebruiken, wordt via dienstregelingsafspraken en zorgvuldig capaciteitsmanagement geborgd dat ook de regionale verbindingen in stand blijven. Het uitgangspunt</w:t>
            </w:r>
            <w:r w:rsidRPr="00DC2079" w:rsidR="00603D1B">
              <w:rPr>
                <w:sz w:val="22"/>
                <w:szCs w:val="22"/>
              </w:rPr>
              <w:t xml:space="preserve"> in deze initiatiefnota</w:t>
            </w:r>
            <w:r w:rsidRPr="00764300">
              <w:rPr>
                <w:sz w:val="22"/>
                <w:szCs w:val="22"/>
              </w:rPr>
              <w:t xml:space="preserve"> is dat de versterking van internationale verbindingen juist bijdraagt aan een robuuster spoorwegnet, zonder afbreuk te doen aan de bereikbaarheid van dorpen en regio’s.</w:t>
            </w:r>
          </w:p>
        </w:tc>
        <w:tc>
          <w:tcPr>
            <w:tcW w:w="0" w:type="auto"/>
            <w:tcMar>
              <w:top w:w="0" w:type="dxa"/>
              <w:left w:w="108" w:type="dxa"/>
              <w:bottom w:w="0" w:type="dxa"/>
              <w:right w:w="108" w:type="dxa"/>
            </w:tcMar>
            <w:hideMark/>
          </w:tcPr>
          <w:p w:rsidRPr="00764300" w:rsidR="00764300" w:rsidP="00764300" w:rsidRDefault="00764300" w14:paraId="18AA1A48" w14:textId="77777777">
            <w:pPr>
              <w:rPr>
                <w:sz w:val="22"/>
                <w:szCs w:val="22"/>
              </w:rPr>
            </w:pPr>
            <w:r w:rsidRPr="00764300">
              <w:rPr>
                <w:sz w:val="22"/>
                <w:szCs w:val="22"/>
              </w:rPr>
              <w:t> </w:t>
            </w:r>
          </w:p>
        </w:tc>
        <w:tc>
          <w:tcPr>
            <w:tcW w:w="0" w:type="auto"/>
            <w:tcMar>
              <w:top w:w="0" w:type="dxa"/>
              <w:left w:w="108" w:type="dxa"/>
              <w:bottom w:w="0" w:type="dxa"/>
              <w:right w:w="108" w:type="dxa"/>
            </w:tcMar>
            <w:hideMark/>
          </w:tcPr>
          <w:p w:rsidRPr="00764300" w:rsidR="00764300" w:rsidP="00764300" w:rsidRDefault="00764300" w14:paraId="50BEEC2F" w14:textId="77777777">
            <w:pPr>
              <w:rPr>
                <w:sz w:val="22"/>
                <w:szCs w:val="22"/>
              </w:rPr>
            </w:pPr>
            <w:r w:rsidRPr="00764300">
              <w:rPr>
                <w:sz w:val="22"/>
                <w:szCs w:val="22"/>
              </w:rPr>
              <w:t> </w:t>
            </w:r>
          </w:p>
        </w:tc>
        <w:tc>
          <w:tcPr>
            <w:tcW w:w="0" w:type="auto"/>
            <w:tcMar>
              <w:top w:w="0" w:type="dxa"/>
              <w:left w:w="108" w:type="dxa"/>
              <w:bottom w:w="0" w:type="dxa"/>
              <w:right w:w="108" w:type="dxa"/>
            </w:tcMar>
            <w:hideMark/>
          </w:tcPr>
          <w:p w:rsidRPr="00764300" w:rsidR="00764300" w:rsidP="00764300" w:rsidRDefault="00764300" w14:paraId="4777B179" w14:textId="77777777">
            <w:pPr>
              <w:rPr>
                <w:sz w:val="22"/>
                <w:szCs w:val="22"/>
              </w:rPr>
            </w:pPr>
            <w:r w:rsidRPr="00764300">
              <w:rPr>
                <w:sz w:val="22"/>
                <w:szCs w:val="22"/>
              </w:rPr>
              <w:t> </w:t>
            </w:r>
          </w:p>
        </w:tc>
      </w:tr>
      <w:tr w:rsidRPr="00764300" w:rsidR="00764300" w:rsidTr="00764300" w14:paraId="43605C00" w14:textId="77777777">
        <w:trPr>
          <w:trHeight w:val="300"/>
        </w:trPr>
        <w:tc>
          <w:tcPr>
            <w:tcW w:w="0" w:type="auto"/>
            <w:tcMar>
              <w:top w:w="0" w:type="dxa"/>
              <w:left w:w="108" w:type="dxa"/>
              <w:bottom w:w="0" w:type="dxa"/>
              <w:right w:w="108" w:type="dxa"/>
            </w:tcMar>
            <w:hideMark/>
          </w:tcPr>
          <w:p w:rsidRPr="00764300" w:rsidR="00764300" w:rsidP="00764300" w:rsidRDefault="00764300" w14:paraId="17EE1071" w14:textId="77777777">
            <w:pPr>
              <w:rPr>
                <w:sz w:val="22"/>
                <w:szCs w:val="22"/>
              </w:rPr>
            </w:pPr>
            <w:r w:rsidRPr="00764300">
              <w:rPr>
                <w:sz w:val="22"/>
                <w:szCs w:val="22"/>
              </w:rPr>
              <w:t>9</w:t>
            </w:r>
          </w:p>
        </w:tc>
        <w:tc>
          <w:tcPr>
            <w:tcW w:w="0" w:type="auto"/>
            <w:tcMar>
              <w:top w:w="0" w:type="dxa"/>
              <w:left w:w="108" w:type="dxa"/>
              <w:bottom w:w="0" w:type="dxa"/>
              <w:right w:w="108" w:type="dxa"/>
            </w:tcMar>
            <w:hideMark/>
          </w:tcPr>
          <w:p w:rsidRPr="00764300" w:rsidR="00764300" w:rsidP="00764300" w:rsidRDefault="00764300" w14:paraId="22F96CFC" w14:textId="77777777">
            <w:pPr>
              <w:rPr>
                <w:sz w:val="22"/>
                <w:szCs w:val="22"/>
              </w:rPr>
            </w:pPr>
            <w:r w:rsidRPr="00764300">
              <w:rPr>
                <w:b/>
                <w:bCs/>
                <w:sz w:val="22"/>
                <w:szCs w:val="22"/>
              </w:rPr>
              <w:t>Hoe worden de kosten over de lidstaten verdeeld bij optuiging van de plannen uit deze nota?</w:t>
            </w:r>
          </w:p>
          <w:p w:rsidRPr="00764300" w:rsidR="00764300" w:rsidP="00764300" w:rsidRDefault="00764300" w14:paraId="55D6C049" w14:textId="77777777">
            <w:pPr>
              <w:rPr>
                <w:sz w:val="22"/>
                <w:szCs w:val="22"/>
              </w:rPr>
            </w:pPr>
            <w:r w:rsidRPr="00764300">
              <w:rPr>
                <w:sz w:val="22"/>
                <w:szCs w:val="22"/>
              </w:rPr>
              <w:t>De precieze verdeling van de kosten tussen lidstaten zal afhangen van de verdere uitwerking van de plannen en de afspraken die daarover in Europees verband worden gemaakt. Daarbij wordt gekeken naar bestaande verdeelsleutels en mogelijkheden om recht te doen aan verschillen in gebruik en draagkracht. Het is nu nog te vroeg om vooruit te lopen op de exacte financiële verdeling</w:t>
            </w:r>
          </w:p>
          <w:p w:rsidRPr="00764300" w:rsidR="00764300" w:rsidP="00764300" w:rsidRDefault="00764300" w14:paraId="2A9B87F6" w14:textId="77777777">
            <w:pPr>
              <w:rPr>
                <w:sz w:val="22"/>
                <w:szCs w:val="22"/>
              </w:rPr>
            </w:pPr>
          </w:p>
        </w:tc>
        <w:tc>
          <w:tcPr>
            <w:tcW w:w="0" w:type="auto"/>
            <w:tcMar>
              <w:top w:w="0" w:type="dxa"/>
              <w:left w:w="108" w:type="dxa"/>
              <w:bottom w:w="0" w:type="dxa"/>
              <w:right w:w="108" w:type="dxa"/>
            </w:tcMar>
            <w:hideMark/>
          </w:tcPr>
          <w:p w:rsidRPr="00764300" w:rsidR="00764300" w:rsidP="00764300" w:rsidRDefault="00764300" w14:paraId="2BBBC13C" w14:textId="77777777">
            <w:pPr>
              <w:rPr>
                <w:sz w:val="22"/>
                <w:szCs w:val="22"/>
              </w:rPr>
            </w:pPr>
            <w:r w:rsidRPr="00764300">
              <w:rPr>
                <w:sz w:val="22"/>
                <w:szCs w:val="22"/>
              </w:rPr>
              <w:t> </w:t>
            </w:r>
          </w:p>
        </w:tc>
        <w:tc>
          <w:tcPr>
            <w:tcW w:w="0" w:type="auto"/>
            <w:tcMar>
              <w:top w:w="0" w:type="dxa"/>
              <w:left w:w="108" w:type="dxa"/>
              <w:bottom w:w="0" w:type="dxa"/>
              <w:right w:w="108" w:type="dxa"/>
            </w:tcMar>
            <w:hideMark/>
          </w:tcPr>
          <w:p w:rsidRPr="00764300" w:rsidR="00764300" w:rsidP="00764300" w:rsidRDefault="00764300" w14:paraId="5CF0DE9B" w14:textId="77777777">
            <w:pPr>
              <w:rPr>
                <w:sz w:val="22"/>
                <w:szCs w:val="22"/>
              </w:rPr>
            </w:pPr>
            <w:r w:rsidRPr="00764300">
              <w:rPr>
                <w:sz w:val="22"/>
                <w:szCs w:val="22"/>
              </w:rPr>
              <w:t> </w:t>
            </w:r>
          </w:p>
        </w:tc>
        <w:tc>
          <w:tcPr>
            <w:tcW w:w="0" w:type="auto"/>
            <w:tcMar>
              <w:top w:w="0" w:type="dxa"/>
              <w:left w:w="108" w:type="dxa"/>
              <w:bottom w:w="0" w:type="dxa"/>
              <w:right w:w="108" w:type="dxa"/>
            </w:tcMar>
            <w:hideMark/>
          </w:tcPr>
          <w:p w:rsidRPr="00764300" w:rsidR="00764300" w:rsidP="00764300" w:rsidRDefault="00764300" w14:paraId="1F98C8E9" w14:textId="77777777">
            <w:pPr>
              <w:rPr>
                <w:sz w:val="22"/>
                <w:szCs w:val="22"/>
              </w:rPr>
            </w:pPr>
            <w:r w:rsidRPr="00764300">
              <w:rPr>
                <w:sz w:val="22"/>
                <w:szCs w:val="22"/>
              </w:rPr>
              <w:t> </w:t>
            </w:r>
          </w:p>
        </w:tc>
      </w:tr>
      <w:tr w:rsidRPr="00764300" w:rsidR="00764300" w:rsidTr="00764300" w14:paraId="260D34A2" w14:textId="77777777">
        <w:trPr>
          <w:trHeight w:val="300"/>
        </w:trPr>
        <w:tc>
          <w:tcPr>
            <w:tcW w:w="0" w:type="auto"/>
            <w:tcMar>
              <w:top w:w="0" w:type="dxa"/>
              <w:left w:w="108" w:type="dxa"/>
              <w:bottom w:w="0" w:type="dxa"/>
              <w:right w:w="108" w:type="dxa"/>
            </w:tcMar>
            <w:hideMark/>
          </w:tcPr>
          <w:p w:rsidRPr="00764300" w:rsidR="00764300" w:rsidP="00764300" w:rsidRDefault="00764300" w14:paraId="62B63F2B" w14:textId="77777777">
            <w:pPr>
              <w:rPr>
                <w:sz w:val="22"/>
                <w:szCs w:val="22"/>
              </w:rPr>
            </w:pPr>
            <w:r w:rsidRPr="00764300">
              <w:rPr>
                <w:sz w:val="22"/>
                <w:szCs w:val="22"/>
              </w:rPr>
              <w:t>10</w:t>
            </w:r>
          </w:p>
        </w:tc>
        <w:tc>
          <w:tcPr>
            <w:tcW w:w="0" w:type="auto"/>
            <w:tcMar>
              <w:top w:w="0" w:type="dxa"/>
              <w:left w:w="108" w:type="dxa"/>
              <w:bottom w:w="0" w:type="dxa"/>
              <w:right w:w="108" w:type="dxa"/>
            </w:tcMar>
            <w:hideMark/>
          </w:tcPr>
          <w:p w:rsidRPr="00764300" w:rsidR="00764300" w:rsidP="00764300" w:rsidRDefault="00764300" w14:paraId="606F4D69" w14:textId="64FED235">
            <w:pPr>
              <w:rPr>
                <w:sz w:val="22"/>
                <w:szCs w:val="22"/>
              </w:rPr>
            </w:pPr>
            <w:r w:rsidRPr="00764300">
              <w:rPr>
                <w:b/>
                <w:bCs/>
                <w:sz w:val="22"/>
                <w:szCs w:val="22"/>
              </w:rPr>
              <w:t>Welke wet- en regelgeving zou in de ogen van de indiener moeten worden aangepast om tot meer langjarige capaciteitstoedeling over te kunnen gaan, en welke wijzigingen zouden daarvoor concreet moeten worden aangebracht?</w:t>
            </w:r>
          </w:p>
          <w:p w:rsidRPr="00764300" w:rsidR="001B7EB1" w:rsidP="005A7C9F" w:rsidRDefault="00831834" w14:paraId="28F9AEC1" w14:textId="7910FD51">
            <w:pPr>
              <w:rPr>
                <w:sz w:val="22"/>
                <w:szCs w:val="22"/>
              </w:rPr>
            </w:pPr>
            <w:r w:rsidRPr="00DC2079">
              <w:rPr>
                <w:sz w:val="22"/>
                <w:szCs w:val="22"/>
              </w:rPr>
              <w:t xml:space="preserve">Het tot stand brengen van meer langjarige capaciteitstoedeling is een complexe opgave, mede omdat verschillende landen met hun eigen regelgeving, marktordening en infrastructuur betrokken zijn. In Nederland biedt de huidige </w:t>
            </w:r>
            <w:proofErr w:type="spellStart"/>
            <w:r w:rsidRPr="00DC2079">
              <w:rPr>
                <w:sz w:val="22"/>
                <w:szCs w:val="22"/>
              </w:rPr>
              <w:t>AmvB</w:t>
            </w:r>
            <w:proofErr w:type="spellEnd"/>
            <w:r w:rsidRPr="00DC2079">
              <w:rPr>
                <w:sz w:val="22"/>
                <w:szCs w:val="22"/>
              </w:rPr>
              <w:t xml:space="preserve"> capaciteitsverdeling concessievervoerders al een zekere mate van zekerheid, al blijft de verdeling in de kern een jaarlijks proces. ProRail onderzoekt momenteel de inzet van kaderovereenkomsten, waarmee op onderdelen meerjarige afspraken mogelijk kunnen worden gemaakt. Daarmee worden </w:t>
            </w:r>
            <w:r w:rsidRPr="00DC2079">
              <w:rPr>
                <w:sz w:val="22"/>
                <w:szCs w:val="22"/>
              </w:rPr>
              <w:lastRenderedPageBreak/>
              <w:t>stappen gezet richting een robuuster en voorspelbaarder systeem, dat beter aansluit bij de behoefte aan langjarige internationale verbindingen.</w:t>
            </w:r>
          </w:p>
        </w:tc>
        <w:tc>
          <w:tcPr>
            <w:tcW w:w="0" w:type="auto"/>
            <w:tcMar>
              <w:top w:w="0" w:type="dxa"/>
              <w:left w:w="108" w:type="dxa"/>
              <w:bottom w:w="0" w:type="dxa"/>
              <w:right w:w="108" w:type="dxa"/>
            </w:tcMar>
            <w:hideMark/>
          </w:tcPr>
          <w:p w:rsidRPr="00764300" w:rsidR="00764300" w:rsidP="00764300" w:rsidRDefault="00764300" w14:paraId="0DB1F463" w14:textId="77777777">
            <w:pPr>
              <w:rPr>
                <w:sz w:val="22"/>
                <w:szCs w:val="22"/>
              </w:rPr>
            </w:pPr>
          </w:p>
          <w:p w:rsidRPr="00764300" w:rsidR="00764300" w:rsidP="00764300" w:rsidRDefault="00764300" w14:paraId="7EF93E5F" w14:textId="77777777">
            <w:pPr>
              <w:rPr>
                <w:sz w:val="22"/>
                <w:szCs w:val="22"/>
              </w:rPr>
            </w:pPr>
            <w:r w:rsidRPr="00764300">
              <w:rPr>
                <w:sz w:val="22"/>
                <w:szCs w:val="22"/>
              </w:rPr>
              <w:t> </w:t>
            </w:r>
          </w:p>
        </w:tc>
        <w:tc>
          <w:tcPr>
            <w:tcW w:w="0" w:type="auto"/>
            <w:tcMar>
              <w:top w:w="0" w:type="dxa"/>
              <w:left w:w="108" w:type="dxa"/>
              <w:bottom w:w="0" w:type="dxa"/>
              <w:right w:w="108" w:type="dxa"/>
            </w:tcMar>
            <w:hideMark/>
          </w:tcPr>
          <w:p w:rsidRPr="00764300" w:rsidR="00764300" w:rsidP="00764300" w:rsidRDefault="00764300" w14:paraId="3ADABC7F" w14:textId="77777777">
            <w:pPr>
              <w:rPr>
                <w:sz w:val="22"/>
                <w:szCs w:val="22"/>
              </w:rPr>
            </w:pPr>
            <w:r w:rsidRPr="00764300">
              <w:rPr>
                <w:sz w:val="22"/>
                <w:szCs w:val="22"/>
              </w:rPr>
              <w:t>28</w:t>
            </w:r>
          </w:p>
        </w:tc>
        <w:tc>
          <w:tcPr>
            <w:tcW w:w="0" w:type="auto"/>
            <w:tcMar>
              <w:top w:w="0" w:type="dxa"/>
              <w:left w:w="108" w:type="dxa"/>
              <w:bottom w:w="0" w:type="dxa"/>
              <w:right w:w="108" w:type="dxa"/>
            </w:tcMar>
            <w:hideMark/>
          </w:tcPr>
          <w:p w:rsidRPr="00764300" w:rsidR="00764300" w:rsidP="00764300" w:rsidRDefault="00764300" w14:paraId="747E22E2" w14:textId="77777777">
            <w:pPr>
              <w:rPr>
                <w:sz w:val="22"/>
                <w:szCs w:val="22"/>
              </w:rPr>
            </w:pPr>
            <w:r w:rsidRPr="00764300">
              <w:rPr>
                <w:sz w:val="22"/>
                <w:szCs w:val="22"/>
              </w:rPr>
              <w:t> </w:t>
            </w:r>
          </w:p>
        </w:tc>
      </w:tr>
      <w:tr w:rsidRPr="00764300" w:rsidR="00764300" w:rsidTr="00764300" w14:paraId="75525B3B" w14:textId="77777777">
        <w:trPr>
          <w:trHeight w:val="300"/>
        </w:trPr>
        <w:tc>
          <w:tcPr>
            <w:tcW w:w="0" w:type="auto"/>
            <w:tcMar>
              <w:top w:w="0" w:type="dxa"/>
              <w:left w:w="108" w:type="dxa"/>
              <w:bottom w:w="0" w:type="dxa"/>
              <w:right w:w="108" w:type="dxa"/>
            </w:tcMar>
            <w:hideMark/>
          </w:tcPr>
          <w:p w:rsidRPr="00764300" w:rsidR="00764300" w:rsidP="00764300" w:rsidRDefault="00764300" w14:paraId="63A9007E" w14:textId="77777777">
            <w:pPr>
              <w:rPr>
                <w:sz w:val="22"/>
                <w:szCs w:val="22"/>
              </w:rPr>
            </w:pPr>
            <w:r w:rsidRPr="00764300">
              <w:rPr>
                <w:sz w:val="22"/>
                <w:szCs w:val="22"/>
              </w:rPr>
              <w:t>11</w:t>
            </w:r>
          </w:p>
        </w:tc>
        <w:tc>
          <w:tcPr>
            <w:tcW w:w="0" w:type="auto"/>
            <w:tcMar>
              <w:top w:w="0" w:type="dxa"/>
              <w:left w:w="108" w:type="dxa"/>
              <w:bottom w:w="0" w:type="dxa"/>
              <w:right w:w="108" w:type="dxa"/>
            </w:tcMar>
            <w:hideMark/>
          </w:tcPr>
          <w:p w:rsidRPr="00764300" w:rsidR="00764300" w:rsidP="00764300" w:rsidRDefault="00764300" w14:paraId="33A7BEF8" w14:textId="158D3088">
            <w:pPr>
              <w:rPr>
                <w:sz w:val="22"/>
                <w:szCs w:val="22"/>
              </w:rPr>
            </w:pPr>
            <w:r w:rsidRPr="00764300">
              <w:rPr>
                <w:b/>
                <w:bCs/>
                <w:sz w:val="22"/>
                <w:szCs w:val="22"/>
              </w:rPr>
              <w:t>Welke rol speelt de Hoofdrailnet (HRN)-concessie in de ogen van de indiener bij de beperkte mogelijkheden die er nu bestaan om langjarige capaciteitsverdeling te kunnen afspreken en nieuwe toetreders meer mogelijkheden te bieden?</w:t>
            </w:r>
          </w:p>
          <w:p w:rsidRPr="00764300" w:rsidR="00764300" w:rsidP="00764300" w:rsidRDefault="00764300" w14:paraId="45560FB4" w14:textId="77777777">
            <w:pPr>
              <w:rPr>
                <w:sz w:val="22"/>
                <w:szCs w:val="22"/>
              </w:rPr>
            </w:pPr>
            <w:r w:rsidRPr="00764300">
              <w:rPr>
                <w:sz w:val="22"/>
                <w:szCs w:val="22"/>
              </w:rPr>
              <w:t>De huidige HRN-concessie speelt in de ogen van de indiener een centrale rol in de beperkte mogelijkheden om langjarige capaciteitsafspraken te maken en ruimte te bieden aan nieuwe toetreders. Door de onderhandse gunning aan NS blijft het bestaande systeem met stabiele prijzen op alle trajecten intact, maar worden de marktdynamiek en de toetredingsmogelijkheden voor andere partijen beperkt. Daarmee vormt de HRN-concessie een belangrijke factor in het spanningsveld tussen enerzijds continuïteit en prijsstabiliteit, en anderzijds de door de Europese Unie gewenste liberalisering en concurrentie.</w:t>
            </w:r>
          </w:p>
        </w:tc>
        <w:tc>
          <w:tcPr>
            <w:tcW w:w="0" w:type="auto"/>
            <w:tcMar>
              <w:top w:w="0" w:type="dxa"/>
              <w:left w:w="108" w:type="dxa"/>
              <w:bottom w:w="0" w:type="dxa"/>
              <w:right w:w="108" w:type="dxa"/>
            </w:tcMar>
            <w:hideMark/>
          </w:tcPr>
          <w:p w:rsidRPr="00764300" w:rsidR="00764300" w:rsidP="00764300" w:rsidRDefault="00764300" w14:paraId="11A53D8B" w14:textId="77777777">
            <w:pPr>
              <w:rPr>
                <w:sz w:val="22"/>
                <w:szCs w:val="22"/>
              </w:rPr>
            </w:pPr>
            <w:r w:rsidRPr="00764300">
              <w:rPr>
                <w:sz w:val="22"/>
                <w:szCs w:val="22"/>
              </w:rPr>
              <w:t> </w:t>
            </w:r>
          </w:p>
        </w:tc>
        <w:tc>
          <w:tcPr>
            <w:tcW w:w="0" w:type="auto"/>
            <w:tcMar>
              <w:top w:w="0" w:type="dxa"/>
              <w:left w:w="108" w:type="dxa"/>
              <w:bottom w:w="0" w:type="dxa"/>
              <w:right w:w="108" w:type="dxa"/>
            </w:tcMar>
            <w:hideMark/>
          </w:tcPr>
          <w:p w:rsidRPr="00764300" w:rsidR="00764300" w:rsidP="00764300" w:rsidRDefault="00764300" w14:paraId="0B36A61C" w14:textId="77777777">
            <w:pPr>
              <w:rPr>
                <w:sz w:val="22"/>
                <w:szCs w:val="22"/>
              </w:rPr>
            </w:pPr>
            <w:r w:rsidRPr="00764300">
              <w:rPr>
                <w:sz w:val="22"/>
                <w:szCs w:val="22"/>
              </w:rPr>
              <w:t>28</w:t>
            </w:r>
          </w:p>
        </w:tc>
        <w:tc>
          <w:tcPr>
            <w:tcW w:w="0" w:type="auto"/>
            <w:tcMar>
              <w:top w:w="0" w:type="dxa"/>
              <w:left w:w="108" w:type="dxa"/>
              <w:bottom w:w="0" w:type="dxa"/>
              <w:right w:w="108" w:type="dxa"/>
            </w:tcMar>
            <w:hideMark/>
          </w:tcPr>
          <w:p w:rsidRPr="00764300" w:rsidR="00764300" w:rsidP="00764300" w:rsidRDefault="00764300" w14:paraId="4A8F44E1" w14:textId="77777777">
            <w:pPr>
              <w:rPr>
                <w:sz w:val="22"/>
                <w:szCs w:val="22"/>
              </w:rPr>
            </w:pPr>
            <w:r w:rsidRPr="00764300">
              <w:rPr>
                <w:sz w:val="22"/>
                <w:szCs w:val="22"/>
              </w:rPr>
              <w:t> </w:t>
            </w:r>
          </w:p>
        </w:tc>
      </w:tr>
      <w:tr w:rsidRPr="00764300" w:rsidR="00764300" w:rsidTr="00764300" w14:paraId="08EF8C74" w14:textId="77777777">
        <w:trPr>
          <w:trHeight w:val="300"/>
        </w:trPr>
        <w:tc>
          <w:tcPr>
            <w:tcW w:w="0" w:type="auto"/>
            <w:tcMar>
              <w:top w:w="0" w:type="dxa"/>
              <w:left w:w="108" w:type="dxa"/>
              <w:bottom w:w="0" w:type="dxa"/>
              <w:right w:w="108" w:type="dxa"/>
            </w:tcMar>
            <w:hideMark/>
          </w:tcPr>
          <w:p w:rsidRPr="00764300" w:rsidR="00764300" w:rsidP="00764300" w:rsidRDefault="00764300" w14:paraId="7382CB0F" w14:textId="77777777">
            <w:pPr>
              <w:rPr>
                <w:sz w:val="22"/>
                <w:szCs w:val="22"/>
              </w:rPr>
            </w:pPr>
            <w:r w:rsidRPr="00764300">
              <w:rPr>
                <w:sz w:val="22"/>
                <w:szCs w:val="22"/>
              </w:rPr>
              <w:t>12</w:t>
            </w:r>
          </w:p>
        </w:tc>
        <w:tc>
          <w:tcPr>
            <w:tcW w:w="0" w:type="auto"/>
            <w:tcMar>
              <w:top w:w="0" w:type="dxa"/>
              <w:left w:w="108" w:type="dxa"/>
              <w:bottom w:w="0" w:type="dxa"/>
              <w:right w:w="108" w:type="dxa"/>
            </w:tcMar>
            <w:hideMark/>
          </w:tcPr>
          <w:p w:rsidRPr="00764300" w:rsidR="00764300" w:rsidP="00764300" w:rsidRDefault="00764300" w14:paraId="6949A209" w14:textId="0AA8E9F5">
            <w:pPr>
              <w:rPr>
                <w:sz w:val="22"/>
                <w:szCs w:val="22"/>
              </w:rPr>
            </w:pPr>
            <w:r w:rsidRPr="00764300">
              <w:rPr>
                <w:b/>
                <w:bCs/>
                <w:sz w:val="22"/>
                <w:szCs w:val="22"/>
              </w:rPr>
              <w:t xml:space="preserve">Welke belemmering vormt het feit dat systeemtaken zoals de basisdata voor </w:t>
            </w:r>
            <w:proofErr w:type="spellStart"/>
            <w:r w:rsidRPr="00764300">
              <w:rPr>
                <w:b/>
                <w:bCs/>
                <w:sz w:val="22"/>
                <w:szCs w:val="22"/>
              </w:rPr>
              <w:t>ticketing</w:t>
            </w:r>
            <w:proofErr w:type="spellEnd"/>
            <w:r w:rsidRPr="00764300">
              <w:rPr>
                <w:b/>
                <w:bCs/>
                <w:sz w:val="22"/>
                <w:szCs w:val="22"/>
              </w:rPr>
              <w:t xml:space="preserve">, beheer van toegangspoortjes, beheer van reisinformatie, eigenaarschap van de (United </w:t>
            </w:r>
            <w:proofErr w:type="spellStart"/>
            <w:r w:rsidRPr="00764300">
              <w:rPr>
                <w:b/>
                <w:bCs/>
                <w:sz w:val="22"/>
                <w:szCs w:val="22"/>
              </w:rPr>
              <w:t>Kingdom</w:t>
            </w:r>
            <w:proofErr w:type="spellEnd"/>
            <w:r w:rsidRPr="00764300">
              <w:rPr>
                <w:b/>
                <w:bCs/>
                <w:sz w:val="22"/>
                <w:szCs w:val="22"/>
              </w:rPr>
              <w:t>) UK-terminal niet in handen zijn van een onafhankelijke partij maar van een vervoerder?</w:t>
            </w:r>
          </w:p>
          <w:p w:rsidRPr="00764300" w:rsidR="00764300" w:rsidP="00764300" w:rsidRDefault="00764300" w14:paraId="48DA1400" w14:textId="77777777">
            <w:pPr>
              <w:rPr>
                <w:sz w:val="22"/>
                <w:szCs w:val="22"/>
              </w:rPr>
            </w:pPr>
            <w:r w:rsidRPr="00764300">
              <w:rPr>
                <w:sz w:val="22"/>
                <w:szCs w:val="22"/>
              </w:rPr>
              <w:t>Wanneer systeemtaken zoals ticketdata, toegangspoortjes, reisinformatie of terminals in handen zijn van één vervoerder in plaats van een onafhankelijke partij, ontstaat het risico op ongelijke toegang. Andere vervoerders zijn dan afhankelijk van de bereidheid van de dominante partij om gegevens en faciliteiten te delen, wat kan leiden tot hogere kosten, vertragingen of beperkingen in dienstverlening. Dit kan toetreding van nieuwe aanbieders belemmeren en de transparantie voor reizigers verminderen. Onafhankelijk beheer van deze systeemtaken is daarom van belang om non-discriminatoire toegang, interoperabiliteit en een gelijk speelveld op het spoor te waarborgen.</w:t>
            </w:r>
          </w:p>
        </w:tc>
        <w:tc>
          <w:tcPr>
            <w:tcW w:w="0" w:type="auto"/>
            <w:tcMar>
              <w:top w:w="0" w:type="dxa"/>
              <w:left w:w="108" w:type="dxa"/>
              <w:bottom w:w="0" w:type="dxa"/>
              <w:right w:w="108" w:type="dxa"/>
            </w:tcMar>
            <w:hideMark/>
          </w:tcPr>
          <w:p w:rsidRPr="00764300" w:rsidR="00764300" w:rsidP="00764300" w:rsidRDefault="00764300" w14:paraId="713E30F1" w14:textId="77777777">
            <w:pPr>
              <w:rPr>
                <w:sz w:val="22"/>
                <w:szCs w:val="22"/>
              </w:rPr>
            </w:pPr>
            <w:r w:rsidRPr="00764300">
              <w:rPr>
                <w:sz w:val="22"/>
                <w:szCs w:val="22"/>
              </w:rPr>
              <w:t> </w:t>
            </w:r>
          </w:p>
        </w:tc>
        <w:tc>
          <w:tcPr>
            <w:tcW w:w="0" w:type="auto"/>
            <w:tcMar>
              <w:top w:w="0" w:type="dxa"/>
              <w:left w:w="108" w:type="dxa"/>
              <w:bottom w:w="0" w:type="dxa"/>
              <w:right w:w="108" w:type="dxa"/>
            </w:tcMar>
            <w:hideMark/>
          </w:tcPr>
          <w:p w:rsidRPr="00764300" w:rsidR="00764300" w:rsidP="00764300" w:rsidRDefault="00764300" w14:paraId="79E891CC" w14:textId="77777777">
            <w:pPr>
              <w:rPr>
                <w:sz w:val="22"/>
                <w:szCs w:val="22"/>
              </w:rPr>
            </w:pPr>
            <w:r w:rsidRPr="00764300">
              <w:rPr>
                <w:sz w:val="22"/>
                <w:szCs w:val="22"/>
              </w:rPr>
              <w:t>28</w:t>
            </w:r>
          </w:p>
        </w:tc>
        <w:tc>
          <w:tcPr>
            <w:tcW w:w="0" w:type="auto"/>
            <w:tcMar>
              <w:top w:w="0" w:type="dxa"/>
              <w:left w:w="108" w:type="dxa"/>
              <w:bottom w:w="0" w:type="dxa"/>
              <w:right w:w="108" w:type="dxa"/>
            </w:tcMar>
            <w:hideMark/>
          </w:tcPr>
          <w:p w:rsidRPr="00764300" w:rsidR="00764300" w:rsidP="00764300" w:rsidRDefault="00764300" w14:paraId="6A2E2FE0" w14:textId="77777777">
            <w:pPr>
              <w:rPr>
                <w:sz w:val="22"/>
                <w:szCs w:val="22"/>
              </w:rPr>
            </w:pPr>
            <w:r w:rsidRPr="00764300">
              <w:rPr>
                <w:sz w:val="22"/>
                <w:szCs w:val="22"/>
              </w:rPr>
              <w:t> </w:t>
            </w:r>
          </w:p>
        </w:tc>
      </w:tr>
      <w:tr w:rsidRPr="00764300" w:rsidR="00764300" w:rsidTr="00764300" w14:paraId="1DAAD850" w14:textId="77777777">
        <w:trPr>
          <w:trHeight w:val="862"/>
        </w:trPr>
        <w:tc>
          <w:tcPr>
            <w:tcW w:w="0" w:type="auto"/>
            <w:tcMar>
              <w:top w:w="0" w:type="dxa"/>
              <w:left w:w="108" w:type="dxa"/>
              <w:bottom w:w="0" w:type="dxa"/>
              <w:right w:w="108" w:type="dxa"/>
            </w:tcMar>
            <w:hideMark/>
          </w:tcPr>
          <w:p w:rsidRPr="00764300" w:rsidR="00764300" w:rsidP="00764300" w:rsidRDefault="00764300" w14:paraId="68EBFD14" w14:textId="77777777">
            <w:pPr>
              <w:rPr>
                <w:sz w:val="22"/>
                <w:szCs w:val="22"/>
              </w:rPr>
            </w:pPr>
            <w:r w:rsidRPr="00764300">
              <w:rPr>
                <w:sz w:val="22"/>
                <w:szCs w:val="22"/>
              </w:rPr>
              <w:t>13</w:t>
            </w:r>
          </w:p>
        </w:tc>
        <w:tc>
          <w:tcPr>
            <w:tcW w:w="0" w:type="auto"/>
            <w:tcMar>
              <w:top w:w="0" w:type="dxa"/>
              <w:left w:w="108" w:type="dxa"/>
              <w:bottom w:w="0" w:type="dxa"/>
              <w:right w:w="108" w:type="dxa"/>
            </w:tcMar>
            <w:hideMark/>
          </w:tcPr>
          <w:p w:rsidRPr="00764300" w:rsidR="00764300" w:rsidP="00764300" w:rsidRDefault="00764300" w14:paraId="4058D849" w14:textId="77777777">
            <w:pPr>
              <w:rPr>
                <w:sz w:val="22"/>
                <w:szCs w:val="22"/>
              </w:rPr>
            </w:pPr>
            <w:r w:rsidRPr="00764300">
              <w:rPr>
                <w:b/>
                <w:bCs/>
                <w:sz w:val="22"/>
                <w:szCs w:val="22"/>
              </w:rPr>
              <w:t>Op welke wijze ziet de indiener dat het aantal paden voor internationaal spoor per dag per richting kan worden uitgebreid zoals bijvoorbeeld het aantal paden van en naar Parijs?</w:t>
            </w:r>
          </w:p>
          <w:p w:rsidRPr="00DC2079" w:rsidR="00024235" w:rsidP="00024235" w:rsidRDefault="00024235" w14:paraId="06B2A068" w14:textId="03E8440D">
            <w:pPr>
              <w:rPr>
                <w:sz w:val="22"/>
                <w:szCs w:val="22"/>
              </w:rPr>
            </w:pPr>
            <w:r w:rsidRPr="00024235">
              <w:rPr>
                <w:sz w:val="22"/>
                <w:szCs w:val="22"/>
              </w:rPr>
              <w:t>Het vergroten van het aantal internationale treinpaden vraagt in de eerste plaats om het wegnemen van infrastructurele knelpunten, zowel op het hoofdspoor als op knooppunten en opstelterreinen, in Nederland én in de buurlanden. Voor de verbinding Amsterdam – Parijs ligt een belangrijk aandachtspunt bij de capaciteit tussen Antwerpen en Brussel, evenals bij de beschikbaarheid van perron- en opstelruimte in Parijs en Amsterdam. Ook het verder optimaliseren van de HSL-Zuid, inclusief het realiseren van de voorziene rijsnelheden, draagt bij aan extra ruimte voor internationale treinen. Door deze verbeteringen door te voeren ontstaat er perspectief op een verdere groei van het aantal verbindingen.</w:t>
            </w:r>
          </w:p>
          <w:p w:rsidRPr="00DC2079" w:rsidR="00024235" w:rsidP="00024235" w:rsidRDefault="00024235" w14:paraId="61D8DC80" w14:textId="77777777">
            <w:pPr>
              <w:rPr>
                <w:sz w:val="22"/>
                <w:szCs w:val="22"/>
              </w:rPr>
            </w:pPr>
          </w:p>
          <w:p w:rsidRPr="00764300" w:rsidR="00764300" w:rsidP="00A34C8A" w:rsidRDefault="00764300" w14:paraId="2B6E3134" w14:textId="75A5F287">
            <w:pPr>
              <w:rPr>
                <w:sz w:val="22"/>
                <w:szCs w:val="22"/>
              </w:rPr>
            </w:pPr>
          </w:p>
        </w:tc>
        <w:tc>
          <w:tcPr>
            <w:tcW w:w="0" w:type="auto"/>
            <w:tcMar>
              <w:top w:w="0" w:type="dxa"/>
              <w:left w:w="108" w:type="dxa"/>
              <w:bottom w:w="0" w:type="dxa"/>
              <w:right w:w="108" w:type="dxa"/>
            </w:tcMar>
            <w:hideMark/>
          </w:tcPr>
          <w:p w:rsidRPr="00764300" w:rsidR="00764300" w:rsidP="00764300" w:rsidRDefault="00764300" w14:paraId="3D6252B6" w14:textId="77777777">
            <w:pPr>
              <w:rPr>
                <w:sz w:val="22"/>
                <w:szCs w:val="22"/>
              </w:rPr>
            </w:pPr>
            <w:r w:rsidRPr="00764300">
              <w:rPr>
                <w:sz w:val="22"/>
                <w:szCs w:val="22"/>
              </w:rPr>
              <w:t> </w:t>
            </w:r>
          </w:p>
        </w:tc>
        <w:tc>
          <w:tcPr>
            <w:tcW w:w="0" w:type="auto"/>
            <w:tcMar>
              <w:top w:w="0" w:type="dxa"/>
              <w:left w:w="108" w:type="dxa"/>
              <w:bottom w:w="0" w:type="dxa"/>
              <w:right w:w="108" w:type="dxa"/>
            </w:tcMar>
            <w:hideMark/>
          </w:tcPr>
          <w:p w:rsidRPr="00764300" w:rsidR="00764300" w:rsidP="00764300" w:rsidRDefault="00764300" w14:paraId="000BDA27" w14:textId="77777777">
            <w:pPr>
              <w:rPr>
                <w:sz w:val="22"/>
                <w:szCs w:val="22"/>
              </w:rPr>
            </w:pPr>
            <w:r w:rsidRPr="00764300">
              <w:rPr>
                <w:sz w:val="22"/>
                <w:szCs w:val="22"/>
              </w:rPr>
              <w:t>28</w:t>
            </w:r>
          </w:p>
        </w:tc>
        <w:tc>
          <w:tcPr>
            <w:tcW w:w="0" w:type="auto"/>
            <w:tcMar>
              <w:top w:w="0" w:type="dxa"/>
              <w:left w:w="108" w:type="dxa"/>
              <w:bottom w:w="0" w:type="dxa"/>
              <w:right w:w="108" w:type="dxa"/>
            </w:tcMar>
            <w:hideMark/>
          </w:tcPr>
          <w:p w:rsidRPr="00764300" w:rsidR="00764300" w:rsidP="00764300" w:rsidRDefault="00764300" w14:paraId="61BCA8F6" w14:textId="77777777">
            <w:pPr>
              <w:rPr>
                <w:sz w:val="22"/>
                <w:szCs w:val="22"/>
              </w:rPr>
            </w:pPr>
            <w:r w:rsidRPr="00764300">
              <w:rPr>
                <w:sz w:val="22"/>
                <w:szCs w:val="22"/>
              </w:rPr>
              <w:t> </w:t>
            </w:r>
          </w:p>
        </w:tc>
      </w:tr>
      <w:tr w:rsidRPr="00764300" w:rsidR="00764300" w:rsidTr="00764300" w14:paraId="4AE46309" w14:textId="77777777">
        <w:trPr>
          <w:trHeight w:val="300"/>
        </w:trPr>
        <w:tc>
          <w:tcPr>
            <w:tcW w:w="0" w:type="auto"/>
            <w:tcMar>
              <w:top w:w="0" w:type="dxa"/>
              <w:left w:w="108" w:type="dxa"/>
              <w:bottom w:w="0" w:type="dxa"/>
              <w:right w:w="108" w:type="dxa"/>
            </w:tcMar>
            <w:hideMark/>
          </w:tcPr>
          <w:p w:rsidRPr="00764300" w:rsidR="00764300" w:rsidP="00764300" w:rsidRDefault="00764300" w14:paraId="3E39283D" w14:textId="77777777">
            <w:pPr>
              <w:rPr>
                <w:sz w:val="22"/>
                <w:szCs w:val="22"/>
              </w:rPr>
            </w:pPr>
            <w:r w:rsidRPr="00764300">
              <w:rPr>
                <w:sz w:val="22"/>
                <w:szCs w:val="22"/>
              </w:rPr>
              <w:t>14</w:t>
            </w:r>
          </w:p>
        </w:tc>
        <w:tc>
          <w:tcPr>
            <w:tcW w:w="0" w:type="auto"/>
            <w:tcMar>
              <w:top w:w="0" w:type="dxa"/>
              <w:left w:w="108" w:type="dxa"/>
              <w:bottom w:w="0" w:type="dxa"/>
              <w:right w:w="108" w:type="dxa"/>
            </w:tcMar>
            <w:hideMark/>
          </w:tcPr>
          <w:p w:rsidRPr="00764300" w:rsidR="00764300" w:rsidP="00764300" w:rsidRDefault="00764300" w14:paraId="31C98853" w14:textId="77777777">
            <w:pPr>
              <w:rPr>
                <w:sz w:val="22"/>
                <w:szCs w:val="22"/>
              </w:rPr>
            </w:pPr>
            <w:r w:rsidRPr="00764300">
              <w:rPr>
                <w:b/>
                <w:bCs/>
                <w:sz w:val="22"/>
                <w:szCs w:val="22"/>
              </w:rPr>
              <w:t>Welke dekking ziet de indiener voor de verschillende financiële scenario’s?</w:t>
            </w:r>
          </w:p>
          <w:p w:rsidRPr="00764300" w:rsidR="00764300" w:rsidP="00764300" w:rsidRDefault="00764300" w14:paraId="1B7F9BAA" w14:textId="77777777">
            <w:pPr>
              <w:rPr>
                <w:sz w:val="22"/>
                <w:szCs w:val="22"/>
              </w:rPr>
            </w:pPr>
            <w:r w:rsidRPr="00764300">
              <w:rPr>
                <w:sz w:val="22"/>
                <w:szCs w:val="22"/>
              </w:rPr>
              <w:t xml:space="preserve">Zoals eerder aangegeven heeft de Volt fractie in de doorrekening van ons vorige verkiezingsprogramma is deze post meegenomen en gedekt door meerdere </w:t>
            </w:r>
            <w:r w:rsidRPr="00764300">
              <w:rPr>
                <w:sz w:val="22"/>
                <w:szCs w:val="22"/>
              </w:rPr>
              <w:lastRenderedPageBreak/>
              <w:t>voorgestelde hervormingen in ons belastingsysteem. Zowel in de PBL als de CPB doorrekening zijn de kosten incidenteel opgenomen tot 2050. </w:t>
            </w:r>
          </w:p>
          <w:p w:rsidRPr="00764300" w:rsidR="00764300" w:rsidP="00764300" w:rsidRDefault="00764300" w14:paraId="0983957D" w14:textId="77777777">
            <w:pPr>
              <w:rPr>
                <w:sz w:val="22"/>
                <w:szCs w:val="22"/>
              </w:rPr>
            </w:pPr>
            <w:r w:rsidRPr="00764300">
              <w:rPr>
                <w:sz w:val="22"/>
                <w:szCs w:val="22"/>
              </w:rPr>
              <w:t>Gezien de enorme complexiteit van ons belastingvoorstel is er niet één post die zorgt voor dekking aan te wijzen. Uiteindelijk is het een politieke keuze om tot 2050 structureel te investeren in de verbetering van het spoor. Met oog op de voorstellen onder de verhoogde NAVO norm kunnen de kosten lager uitvallen. Hier zal een nieuwe doorrekening nodig zijn. </w:t>
            </w:r>
          </w:p>
        </w:tc>
        <w:tc>
          <w:tcPr>
            <w:tcW w:w="0" w:type="auto"/>
            <w:tcMar>
              <w:top w:w="0" w:type="dxa"/>
              <w:left w:w="108" w:type="dxa"/>
              <w:bottom w:w="0" w:type="dxa"/>
              <w:right w:w="108" w:type="dxa"/>
            </w:tcMar>
            <w:hideMark/>
          </w:tcPr>
          <w:p w:rsidRPr="00764300" w:rsidR="00764300" w:rsidP="00764300" w:rsidRDefault="00764300" w14:paraId="180A8FE3" w14:textId="77777777">
            <w:pPr>
              <w:rPr>
                <w:sz w:val="22"/>
                <w:szCs w:val="22"/>
              </w:rPr>
            </w:pPr>
            <w:r w:rsidRPr="00764300">
              <w:rPr>
                <w:sz w:val="22"/>
                <w:szCs w:val="22"/>
              </w:rPr>
              <w:lastRenderedPageBreak/>
              <w:t> </w:t>
            </w:r>
          </w:p>
        </w:tc>
        <w:tc>
          <w:tcPr>
            <w:tcW w:w="0" w:type="auto"/>
            <w:tcMar>
              <w:top w:w="0" w:type="dxa"/>
              <w:left w:w="108" w:type="dxa"/>
              <w:bottom w:w="0" w:type="dxa"/>
              <w:right w:w="108" w:type="dxa"/>
            </w:tcMar>
            <w:hideMark/>
          </w:tcPr>
          <w:p w:rsidRPr="00764300" w:rsidR="00764300" w:rsidP="00764300" w:rsidRDefault="00764300" w14:paraId="683EC922" w14:textId="77777777">
            <w:pPr>
              <w:rPr>
                <w:sz w:val="22"/>
                <w:szCs w:val="22"/>
              </w:rPr>
            </w:pPr>
            <w:r w:rsidRPr="00764300">
              <w:rPr>
                <w:sz w:val="22"/>
                <w:szCs w:val="22"/>
              </w:rPr>
              <w:t>62</w:t>
            </w:r>
          </w:p>
        </w:tc>
        <w:tc>
          <w:tcPr>
            <w:tcW w:w="0" w:type="auto"/>
            <w:tcMar>
              <w:top w:w="0" w:type="dxa"/>
              <w:left w:w="108" w:type="dxa"/>
              <w:bottom w:w="0" w:type="dxa"/>
              <w:right w:w="108" w:type="dxa"/>
            </w:tcMar>
            <w:hideMark/>
          </w:tcPr>
          <w:p w:rsidRPr="00764300" w:rsidR="00764300" w:rsidP="00764300" w:rsidRDefault="00764300" w14:paraId="4BB71D1B" w14:textId="77777777">
            <w:pPr>
              <w:rPr>
                <w:sz w:val="22"/>
                <w:szCs w:val="22"/>
              </w:rPr>
            </w:pPr>
            <w:r w:rsidRPr="00764300">
              <w:rPr>
                <w:sz w:val="22"/>
                <w:szCs w:val="22"/>
              </w:rPr>
              <w:t> </w:t>
            </w:r>
          </w:p>
        </w:tc>
      </w:tr>
      <w:tr w:rsidRPr="00764300" w:rsidR="00764300" w:rsidTr="00764300" w14:paraId="168D07E7" w14:textId="77777777">
        <w:trPr>
          <w:trHeight w:val="1399"/>
        </w:trPr>
        <w:tc>
          <w:tcPr>
            <w:tcW w:w="0" w:type="auto"/>
            <w:tcMar>
              <w:top w:w="0" w:type="dxa"/>
              <w:left w:w="108" w:type="dxa"/>
              <w:bottom w:w="0" w:type="dxa"/>
              <w:right w:w="108" w:type="dxa"/>
            </w:tcMar>
            <w:hideMark/>
          </w:tcPr>
          <w:p w:rsidRPr="00764300" w:rsidR="00764300" w:rsidP="00764300" w:rsidRDefault="00764300" w14:paraId="36B81C06" w14:textId="77777777">
            <w:pPr>
              <w:rPr>
                <w:sz w:val="22"/>
                <w:szCs w:val="22"/>
              </w:rPr>
            </w:pPr>
            <w:r w:rsidRPr="00764300">
              <w:rPr>
                <w:sz w:val="22"/>
                <w:szCs w:val="22"/>
              </w:rPr>
              <w:t>15</w:t>
            </w:r>
          </w:p>
        </w:tc>
        <w:tc>
          <w:tcPr>
            <w:tcW w:w="0" w:type="auto"/>
            <w:tcMar>
              <w:top w:w="0" w:type="dxa"/>
              <w:left w:w="108" w:type="dxa"/>
              <w:bottom w:w="0" w:type="dxa"/>
              <w:right w:w="108" w:type="dxa"/>
            </w:tcMar>
            <w:hideMark/>
          </w:tcPr>
          <w:p w:rsidRPr="00764300" w:rsidR="00764300" w:rsidP="00764300" w:rsidRDefault="00764300" w14:paraId="5017DE28" w14:textId="77777777">
            <w:pPr>
              <w:rPr>
                <w:sz w:val="22"/>
                <w:szCs w:val="22"/>
              </w:rPr>
            </w:pPr>
            <w:r w:rsidRPr="00764300">
              <w:rPr>
                <w:b/>
                <w:bCs/>
                <w:sz w:val="22"/>
                <w:szCs w:val="22"/>
              </w:rPr>
              <w:t>Welke volgorde van maatregelen en oplossingsrichtingen, financieel en niet financieel, zou de indiener hanteren bij het verbeteren van het internationale spoorwegbeleid in Nederland?</w:t>
            </w:r>
          </w:p>
          <w:p w:rsidRPr="00764300" w:rsidR="00764300" w:rsidP="00DC2079" w:rsidRDefault="00764300" w14:paraId="61B50806" w14:textId="55A26270">
            <w:pPr>
              <w:rPr>
                <w:sz w:val="22"/>
                <w:szCs w:val="22"/>
              </w:rPr>
            </w:pPr>
            <w:r w:rsidRPr="00764300">
              <w:rPr>
                <w:sz w:val="22"/>
                <w:szCs w:val="22"/>
              </w:rPr>
              <w:t>Infrastructurele investeringen zijn langdurig van aard. Het is belangrijk lange termijn commitment te tonen vanuit de overheid, met de nodige financiële borging.  Hierna is het aan de dynamiek tussen verschillende onderdelen van de overheid, ProRail en de NS om de juiste puzzel te leggen. Qua beleidsmaatregelen zijn er een aantal maatregelen die meer tijd kosten en bijvoorbeeld Europees moeten worden aangepakt. Er liggen hier grote politieke keuzes aan ten grondslag, zoals het vraagstuk rondom marktwerking op het sport. Begonnen kan worden met een handzamer ticketsysteem. </w:t>
            </w:r>
          </w:p>
        </w:tc>
        <w:tc>
          <w:tcPr>
            <w:tcW w:w="0" w:type="auto"/>
            <w:tcMar>
              <w:top w:w="0" w:type="dxa"/>
              <w:left w:w="108" w:type="dxa"/>
              <w:bottom w:w="0" w:type="dxa"/>
              <w:right w:w="108" w:type="dxa"/>
            </w:tcMar>
            <w:hideMark/>
          </w:tcPr>
          <w:p w:rsidRPr="00764300" w:rsidR="00764300" w:rsidP="00764300" w:rsidRDefault="00764300" w14:paraId="7901CA2F" w14:textId="77777777">
            <w:pPr>
              <w:rPr>
                <w:sz w:val="22"/>
                <w:szCs w:val="22"/>
              </w:rPr>
            </w:pPr>
            <w:r w:rsidRPr="00764300">
              <w:rPr>
                <w:sz w:val="22"/>
                <w:szCs w:val="22"/>
              </w:rPr>
              <w:t> </w:t>
            </w:r>
          </w:p>
        </w:tc>
        <w:tc>
          <w:tcPr>
            <w:tcW w:w="0" w:type="auto"/>
            <w:tcMar>
              <w:top w:w="0" w:type="dxa"/>
              <w:left w:w="108" w:type="dxa"/>
              <w:bottom w:w="0" w:type="dxa"/>
              <w:right w:w="108" w:type="dxa"/>
            </w:tcMar>
            <w:hideMark/>
          </w:tcPr>
          <w:p w:rsidRPr="00764300" w:rsidR="00764300" w:rsidP="00764300" w:rsidRDefault="00764300" w14:paraId="54B65E84" w14:textId="77777777">
            <w:pPr>
              <w:rPr>
                <w:sz w:val="22"/>
                <w:szCs w:val="22"/>
              </w:rPr>
            </w:pPr>
            <w:r w:rsidRPr="00764300">
              <w:rPr>
                <w:sz w:val="22"/>
                <w:szCs w:val="22"/>
              </w:rPr>
              <w:t>62</w:t>
            </w:r>
          </w:p>
        </w:tc>
        <w:tc>
          <w:tcPr>
            <w:tcW w:w="0" w:type="auto"/>
            <w:tcMar>
              <w:top w:w="0" w:type="dxa"/>
              <w:left w:w="108" w:type="dxa"/>
              <w:bottom w:w="0" w:type="dxa"/>
              <w:right w:w="108" w:type="dxa"/>
            </w:tcMar>
            <w:hideMark/>
          </w:tcPr>
          <w:p w:rsidRPr="00764300" w:rsidR="00764300" w:rsidP="00764300" w:rsidRDefault="00764300" w14:paraId="7354C817" w14:textId="77777777">
            <w:pPr>
              <w:rPr>
                <w:sz w:val="22"/>
                <w:szCs w:val="22"/>
              </w:rPr>
            </w:pPr>
            <w:r w:rsidRPr="00764300">
              <w:rPr>
                <w:sz w:val="22"/>
                <w:szCs w:val="22"/>
              </w:rPr>
              <w:t> </w:t>
            </w:r>
          </w:p>
        </w:tc>
      </w:tr>
    </w:tbl>
    <w:p w:rsidRPr="00764300" w:rsidR="00764300" w:rsidP="00764300" w:rsidRDefault="00764300" w14:paraId="3B74F1F9" w14:textId="77777777">
      <w:pPr>
        <w:rPr>
          <w:sz w:val="22"/>
          <w:szCs w:val="22"/>
        </w:rPr>
      </w:pPr>
      <w:r w:rsidRPr="00764300">
        <w:rPr>
          <w:sz w:val="22"/>
          <w:szCs w:val="22"/>
        </w:rPr>
        <w:br/>
      </w:r>
      <w:r w:rsidRPr="00764300">
        <w:rPr>
          <w:sz w:val="22"/>
          <w:szCs w:val="22"/>
        </w:rPr>
        <w:br/>
      </w:r>
    </w:p>
    <w:p w:rsidRPr="00764300" w:rsidR="00764300" w:rsidP="00764300" w:rsidRDefault="00764300" w14:paraId="1073BB1F" w14:textId="77777777">
      <w:pPr>
        <w:rPr>
          <w:sz w:val="22"/>
          <w:szCs w:val="22"/>
        </w:rPr>
      </w:pPr>
      <w:r w:rsidRPr="00764300">
        <w:rPr>
          <w:sz w:val="22"/>
          <w:szCs w:val="22"/>
        </w:rPr>
        <w:br/>
      </w:r>
      <w:r w:rsidRPr="00764300">
        <w:rPr>
          <w:sz w:val="22"/>
          <w:szCs w:val="22"/>
        </w:rPr>
        <w:br/>
      </w:r>
    </w:p>
    <w:p w:rsidRPr="00DC2079" w:rsidR="00117DC2" w:rsidRDefault="00117DC2" w14:paraId="4FDAD528" w14:textId="77777777">
      <w:pPr>
        <w:rPr>
          <w:sz w:val="22"/>
          <w:szCs w:val="22"/>
        </w:rPr>
      </w:pPr>
    </w:p>
    <w:sectPr w:rsidRPr="00DC2079" w:rsidR="00117DC2" w:rsidSect="00764300">
      <w:pgSz w:w="11906" w:h="16838"/>
      <w:pgMar w:top="720" w:right="720" w:bottom="720" w:left="72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77C75"/>
    <w:multiLevelType w:val="multilevel"/>
    <w:tmpl w:val="CE7A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981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00"/>
    <w:rsid w:val="00024235"/>
    <w:rsid w:val="00117DC2"/>
    <w:rsid w:val="00151243"/>
    <w:rsid w:val="001B7EB1"/>
    <w:rsid w:val="00266416"/>
    <w:rsid w:val="005035E7"/>
    <w:rsid w:val="005A7C9F"/>
    <w:rsid w:val="00603D1B"/>
    <w:rsid w:val="006F5B26"/>
    <w:rsid w:val="007069D0"/>
    <w:rsid w:val="00764300"/>
    <w:rsid w:val="00831834"/>
    <w:rsid w:val="00927792"/>
    <w:rsid w:val="00A34C8A"/>
    <w:rsid w:val="00CB1824"/>
    <w:rsid w:val="00CC5338"/>
    <w:rsid w:val="00DA0DFA"/>
    <w:rsid w:val="00DC2079"/>
    <w:rsid w:val="00ED60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FB95C"/>
  <w15:chartTrackingRefBased/>
  <w15:docId w15:val="{FE07D574-31B2-466D-9E8E-BD4FD518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4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4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43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43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43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43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43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43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43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43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43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43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43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43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43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43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43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4300"/>
    <w:rPr>
      <w:rFonts w:eastAsiaTheme="majorEastAsia" w:cstheme="majorBidi"/>
      <w:color w:val="272727" w:themeColor="text1" w:themeTint="D8"/>
    </w:rPr>
  </w:style>
  <w:style w:type="paragraph" w:styleId="Titel">
    <w:name w:val="Title"/>
    <w:basedOn w:val="Standaard"/>
    <w:next w:val="Standaard"/>
    <w:link w:val="TitelChar"/>
    <w:uiPriority w:val="10"/>
    <w:qFormat/>
    <w:rsid w:val="00764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43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43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43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43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4300"/>
    <w:rPr>
      <w:i/>
      <w:iCs/>
      <w:color w:val="404040" w:themeColor="text1" w:themeTint="BF"/>
    </w:rPr>
  </w:style>
  <w:style w:type="paragraph" w:styleId="Lijstalinea">
    <w:name w:val="List Paragraph"/>
    <w:basedOn w:val="Standaard"/>
    <w:uiPriority w:val="34"/>
    <w:qFormat/>
    <w:rsid w:val="00764300"/>
    <w:pPr>
      <w:ind w:left="720"/>
      <w:contextualSpacing/>
    </w:pPr>
  </w:style>
  <w:style w:type="character" w:styleId="Intensievebenadrukking">
    <w:name w:val="Intense Emphasis"/>
    <w:basedOn w:val="Standaardalinea-lettertype"/>
    <w:uiPriority w:val="21"/>
    <w:qFormat/>
    <w:rsid w:val="00764300"/>
    <w:rPr>
      <w:i/>
      <w:iCs/>
      <w:color w:val="0F4761" w:themeColor="accent1" w:themeShade="BF"/>
    </w:rPr>
  </w:style>
  <w:style w:type="paragraph" w:styleId="Duidelijkcitaat">
    <w:name w:val="Intense Quote"/>
    <w:basedOn w:val="Standaard"/>
    <w:next w:val="Standaard"/>
    <w:link w:val="DuidelijkcitaatChar"/>
    <w:uiPriority w:val="30"/>
    <w:qFormat/>
    <w:rsid w:val="00764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4300"/>
    <w:rPr>
      <w:i/>
      <w:iCs/>
      <w:color w:val="0F4761" w:themeColor="accent1" w:themeShade="BF"/>
    </w:rPr>
  </w:style>
  <w:style w:type="character" w:styleId="Intensieveverwijzing">
    <w:name w:val="Intense Reference"/>
    <w:basedOn w:val="Standaardalinea-lettertype"/>
    <w:uiPriority w:val="32"/>
    <w:qFormat/>
    <w:rsid w:val="007643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11839">
      <w:bodyDiv w:val="1"/>
      <w:marLeft w:val="0"/>
      <w:marRight w:val="0"/>
      <w:marTop w:val="0"/>
      <w:marBottom w:val="0"/>
      <w:divBdr>
        <w:top w:val="none" w:sz="0" w:space="0" w:color="auto"/>
        <w:left w:val="none" w:sz="0" w:space="0" w:color="auto"/>
        <w:bottom w:val="none" w:sz="0" w:space="0" w:color="auto"/>
        <w:right w:val="none" w:sz="0" w:space="0" w:color="auto"/>
      </w:divBdr>
    </w:div>
    <w:div w:id="403338426">
      <w:bodyDiv w:val="1"/>
      <w:marLeft w:val="0"/>
      <w:marRight w:val="0"/>
      <w:marTop w:val="0"/>
      <w:marBottom w:val="0"/>
      <w:divBdr>
        <w:top w:val="none" w:sz="0" w:space="0" w:color="auto"/>
        <w:left w:val="none" w:sz="0" w:space="0" w:color="auto"/>
        <w:bottom w:val="none" w:sz="0" w:space="0" w:color="auto"/>
        <w:right w:val="none" w:sz="0" w:space="0" w:color="auto"/>
      </w:divBdr>
    </w:div>
    <w:div w:id="425082953">
      <w:bodyDiv w:val="1"/>
      <w:marLeft w:val="0"/>
      <w:marRight w:val="0"/>
      <w:marTop w:val="0"/>
      <w:marBottom w:val="0"/>
      <w:divBdr>
        <w:top w:val="none" w:sz="0" w:space="0" w:color="auto"/>
        <w:left w:val="none" w:sz="0" w:space="0" w:color="auto"/>
        <w:bottom w:val="none" w:sz="0" w:space="0" w:color="auto"/>
        <w:right w:val="none" w:sz="0" w:space="0" w:color="auto"/>
      </w:divBdr>
    </w:div>
    <w:div w:id="453912909">
      <w:bodyDiv w:val="1"/>
      <w:marLeft w:val="0"/>
      <w:marRight w:val="0"/>
      <w:marTop w:val="0"/>
      <w:marBottom w:val="0"/>
      <w:divBdr>
        <w:top w:val="none" w:sz="0" w:space="0" w:color="auto"/>
        <w:left w:val="none" w:sz="0" w:space="0" w:color="auto"/>
        <w:bottom w:val="none" w:sz="0" w:space="0" w:color="auto"/>
        <w:right w:val="none" w:sz="0" w:space="0" w:color="auto"/>
      </w:divBdr>
    </w:div>
    <w:div w:id="506529739">
      <w:bodyDiv w:val="1"/>
      <w:marLeft w:val="0"/>
      <w:marRight w:val="0"/>
      <w:marTop w:val="0"/>
      <w:marBottom w:val="0"/>
      <w:divBdr>
        <w:top w:val="none" w:sz="0" w:space="0" w:color="auto"/>
        <w:left w:val="none" w:sz="0" w:space="0" w:color="auto"/>
        <w:bottom w:val="none" w:sz="0" w:space="0" w:color="auto"/>
        <w:right w:val="none" w:sz="0" w:space="0" w:color="auto"/>
      </w:divBdr>
    </w:div>
    <w:div w:id="694500881">
      <w:bodyDiv w:val="1"/>
      <w:marLeft w:val="0"/>
      <w:marRight w:val="0"/>
      <w:marTop w:val="0"/>
      <w:marBottom w:val="0"/>
      <w:divBdr>
        <w:top w:val="none" w:sz="0" w:space="0" w:color="auto"/>
        <w:left w:val="none" w:sz="0" w:space="0" w:color="auto"/>
        <w:bottom w:val="none" w:sz="0" w:space="0" w:color="auto"/>
        <w:right w:val="none" w:sz="0" w:space="0" w:color="auto"/>
      </w:divBdr>
    </w:div>
    <w:div w:id="1284654480">
      <w:bodyDiv w:val="1"/>
      <w:marLeft w:val="0"/>
      <w:marRight w:val="0"/>
      <w:marTop w:val="0"/>
      <w:marBottom w:val="0"/>
      <w:divBdr>
        <w:top w:val="none" w:sz="0" w:space="0" w:color="auto"/>
        <w:left w:val="none" w:sz="0" w:space="0" w:color="auto"/>
        <w:bottom w:val="none" w:sz="0" w:space="0" w:color="auto"/>
        <w:right w:val="none" w:sz="0" w:space="0" w:color="auto"/>
      </w:divBdr>
    </w:div>
    <w:div w:id="1305046249">
      <w:bodyDiv w:val="1"/>
      <w:marLeft w:val="0"/>
      <w:marRight w:val="0"/>
      <w:marTop w:val="0"/>
      <w:marBottom w:val="0"/>
      <w:divBdr>
        <w:top w:val="none" w:sz="0" w:space="0" w:color="auto"/>
        <w:left w:val="none" w:sz="0" w:space="0" w:color="auto"/>
        <w:bottom w:val="none" w:sz="0" w:space="0" w:color="auto"/>
        <w:right w:val="none" w:sz="0" w:space="0" w:color="auto"/>
      </w:divBdr>
    </w:div>
    <w:div w:id="1350061657">
      <w:bodyDiv w:val="1"/>
      <w:marLeft w:val="0"/>
      <w:marRight w:val="0"/>
      <w:marTop w:val="0"/>
      <w:marBottom w:val="0"/>
      <w:divBdr>
        <w:top w:val="none" w:sz="0" w:space="0" w:color="auto"/>
        <w:left w:val="none" w:sz="0" w:space="0" w:color="auto"/>
        <w:bottom w:val="none" w:sz="0" w:space="0" w:color="auto"/>
        <w:right w:val="none" w:sz="0" w:space="0" w:color="auto"/>
      </w:divBdr>
    </w:div>
    <w:div w:id="1662583188">
      <w:bodyDiv w:val="1"/>
      <w:marLeft w:val="0"/>
      <w:marRight w:val="0"/>
      <w:marTop w:val="0"/>
      <w:marBottom w:val="0"/>
      <w:divBdr>
        <w:top w:val="none" w:sz="0" w:space="0" w:color="auto"/>
        <w:left w:val="none" w:sz="0" w:space="0" w:color="auto"/>
        <w:bottom w:val="none" w:sz="0" w:space="0" w:color="auto"/>
        <w:right w:val="none" w:sz="0" w:space="0" w:color="auto"/>
      </w:divBdr>
    </w:div>
    <w:div w:id="1769738384">
      <w:bodyDiv w:val="1"/>
      <w:marLeft w:val="0"/>
      <w:marRight w:val="0"/>
      <w:marTop w:val="0"/>
      <w:marBottom w:val="0"/>
      <w:divBdr>
        <w:top w:val="none" w:sz="0" w:space="0" w:color="auto"/>
        <w:left w:val="none" w:sz="0" w:space="0" w:color="auto"/>
        <w:bottom w:val="none" w:sz="0" w:space="0" w:color="auto"/>
        <w:right w:val="none" w:sz="0" w:space="0" w:color="auto"/>
      </w:divBdr>
    </w:div>
    <w:div w:id="211628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1964</ap:Words>
  <ap:Characters>10807</ap:Characters>
  <ap:DocSecurity>0</ap:DocSecurity>
  <ap:Lines>90</ap:Lines>
  <ap:Paragraphs>25</ap:Paragraphs>
  <ap:ScaleCrop>false</ap:ScaleCrop>
  <ap:LinksUpToDate>false</ap:LinksUpToDate>
  <ap:CharactersWithSpaces>12746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2025-09-14T18:01:00.0000000Z</dcterms:created>
  <dcterms:modified xsi:type="dcterms:W3CDTF">2025-09-14T18:15:00.0000000Z</dcterms:modified>
  <version/>
  <category/>
</coreProperties>
</file>