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2025Z16854</w:t>
        <w:br/>
      </w:r>
      <w:proofErr w:type="spellEnd"/>
    </w:p>
    <w:p>
      <w:pPr>
        <w:pStyle w:val="Normal"/>
        <w:rPr>
          <w:b w:val="1"/>
          <w:bCs w:val="1"/>
        </w:rPr>
      </w:pPr>
      <w:r w:rsidR="250AE766">
        <w:rPr>
          <w:b w:val="0"/>
          <w:bCs w:val="0"/>
        </w:rPr>
        <w:t>(ingezonden 15 september 2025)</w:t>
        <w:br/>
      </w:r>
    </w:p>
    <w:p>
      <w:r>
        <w:t xml:space="preserve">Vragen van het lid El Abassi (DENK) aan de minister van Justitie en Veiligheid over de berichtgeving over de onterechte aanhouding en de gevolgen voor een Marokkaans-Nederlands gezin in Urk</w:t>
      </w:r>
      <w:r>
        <w:br/>
      </w:r>
    </w:p>
    <w:p>
      <w:r>
        <w:t xml:space="preserve"> </w:t>
      </w:r>
      <w:r>
        <w:br/>
      </w:r>
    </w:p>
    <w:p>
      <w:pPr>
        <w:pStyle w:val="ListParagraph"/>
        <w:numPr>
          <w:ilvl w:val="0"/>
          <w:numId w:val="100486440"/>
        </w:numPr>
        <w:ind w:left="360"/>
      </w:pPr>
      <w:r>
        <w:t xml:space="preserve">Bent u bekend met de berichtgeving over hoe op Urk een Marokkaans-Nederlands gezin werd opgeofferd om de rust in het dorp te bewaren, waarbij een veertienjarige jongen onterecht werd aangehouden en vervolgens een zogenoemd </w:t>
      </w:r>
      <w:r>
        <w:rPr>
          <w:i w:val="1"/>
          <w:iCs w:val="1"/>
        </w:rPr>
        <w:t xml:space="preserve">sepot 01</w:t>
      </w:r>
      <w:r>
        <w:rPr/>
        <w:t xml:space="preserve"> ontving? 1)</w:t>
      </w:r>
      <w:r>
        <w:br/>
      </w:r>
    </w:p>
    <w:p>
      <w:pPr>
        <w:pStyle w:val="ListParagraph"/>
        <w:numPr>
          <w:ilvl w:val="0"/>
          <w:numId w:val="100486440"/>
        </w:numPr>
        <w:ind w:left="360"/>
      </w:pPr>
      <w:r>
        <w:t xml:space="preserve">Klopt het dat de veiligheidsdriehoek in Urk op 11 oktober 2023 heeft besloten “voor het weekend een aanhouding te verrichten” om de rust in het dorp te bewaren? Hoe beoordeelt u deze handelwijze, mede gelet op het ontbreken van bewijs tegen de betrokken minderjarige?</w:t>
      </w:r>
      <w:r>
        <w:br/>
      </w:r>
    </w:p>
    <w:p>
      <w:pPr>
        <w:pStyle w:val="ListParagraph"/>
        <w:numPr>
          <w:ilvl w:val="0"/>
          <w:numId w:val="100486440"/>
        </w:numPr>
        <w:ind w:left="360"/>
      </w:pPr>
      <w:r>
        <w:t xml:space="preserve">Welke concrete juridische en operationele afwegingen zijn gemaakt bij het besluit tot aanhouding van deze minderjarige? Hoe is rekening gehouden met proportionaliteit, subsidiariteit, kinderrechten en de onschuldpresumptie?</w:t>
      </w:r>
      <w:r>
        <w:br/>
      </w:r>
    </w:p>
    <w:p>
      <w:pPr>
        <w:pStyle w:val="ListParagraph"/>
        <w:numPr>
          <w:ilvl w:val="0"/>
          <w:numId w:val="100486440"/>
        </w:numPr>
        <w:ind w:left="360"/>
      </w:pPr>
      <w:r>
        <w:t xml:space="preserve">Waarom is, ondanks het snelle besluit tot seponeren, niet onmiddellijk en publiekelijk gecommuniceerd dat de jongen onschuldig was? Bestaan er richtlijnen die het Openbaar Ministerie (OM) verplichten om in dit soort gevallen actief te rectificeren? Zo ja, waarom is dat niet gebeurd?</w:t>
      </w:r>
      <w:r>
        <w:br/>
      </w:r>
    </w:p>
    <w:p>
      <w:pPr>
        <w:pStyle w:val="ListParagraph"/>
        <w:numPr>
          <w:ilvl w:val="0"/>
          <w:numId w:val="100486440"/>
        </w:numPr>
        <w:ind w:left="360"/>
      </w:pPr>
      <w:r>
        <w:t xml:space="preserve">Wie nam het besluit tot het verspreiden van een politiebericht waarin werd gesteld dat “de verdachte op het spoor was gekomen”, terwijl de jongen kort daarvoor was vrijgelaten en later volledig onschuldig bleek? Waarom is dit bericht niet onmiddellijk ingetrokken of gecorrigeerd?</w:t>
      </w:r>
      <w:r>
        <w:br/>
      </w:r>
    </w:p>
    <w:p>
      <w:pPr>
        <w:pStyle w:val="ListParagraph"/>
        <w:numPr>
          <w:ilvl w:val="0"/>
          <w:numId w:val="100486440"/>
        </w:numPr>
        <w:ind w:left="360"/>
      </w:pPr>
      <w:r>
        <w:t xml:space="preserve">Welke beschermingsmaatregelen zijn aan het gezin aangeboden toen bekend werd dat zij bedreigd werden door dorpsgenoten? Waarom is er niet gekozen voor directe bescherming of een veiligheidsplan ter plaatse, in plaats van hen feitelijk te dwingen tot vluchten?</w:t>
      </w:r>
      <w:r>
        <w:br/>
      </w:r>
    </w:p>
    <w:p>
      <w:pPr>
        <w:pStyle w:val="ListParagraph"/>
        <w:numPr>
          <w:ilvl w:val="0"/>
          <w:numId w:val="100486440"/>
        </w:numPr>
        <w:ind w:left="360"/>
      </w:pPr>
      <w:r>
        <w:t xml:space="preserve">Hoe beoordeelt u de keuze om de aanhouding zichtbaar uit te voeren met dienstauto’s bij de woning, in een kleine gemeenschap waar bekend was dat dit onmiddellijk tot stigmatisering zou leiden? Past dit binnen de richtlijnen voor het omgaan met minderjarigen?</w:t>
      </w:r>
      <w:r>
        <w:br/>
      </w:r>
    </w:p>
    <w:p>
      <w:pPr>
        <w:pStyle w:val="ListParagraph"/>
        <w:numPr>
          <w:ilvl w:val="0"/>
          <w:numId w:val="100486440"/>
        </w:numPr>
        <w:ind w:left="360"/>
      </w:pPr>
      <w:r>
        <w:t xml:space="preserve">Klopt het dat het gezin herhaaldelijk processtukken heeft opgevraagd, maar deze tot op heden niet heeft ontvangen? Op welke wettelijke grond is dit geweigerd? Hoe verhoudt dit zich tot hun recht op inzage en herstel?</w:t>
      </w:r>
      <w:r>
        <w:br/>
      </w:r>
    </w:p>
    <w:p>
      <w:pPr>
        <w:pStyle w:val="ListParagraph"/>
        <w:numPr>
          <w:ilvl w:val="0"/>
          <w:numId w:val="100486440"/>
        </w:numPr>
        <w:ind w:left="360"/>
      </w:pPr>
      <w:r>
        <w:t xml:space="preserve">Herkent u het patroon dat lokale overheden in situaties met sterke politieke of maatschappelijke emoties sneller geneigd zijn minderheden als “bliksemafleider” te gebruiken? Welke landelijke waarborgen bestaan er om dit te voorkomen?</w:t>
      </w:r>
      <w:r>
        <w:br/>
      </w:r>
    </w:p>
    <w:p>
      <w:pPr>
        <w:pStyle w:val="ListParagraph"/>
        <w:numPr>
          <w:ilvl w:val="0"/>
          <w:numId w:val="100486440"/>
        </w:numPr>
        <w:ind w:left="360"/>
      </w:pPr>
      <w:r>
        <w:t xml:space="preserve">Hoe verklaart u dat de gemeente, politie en het OM in hun interne communicatie vooral spraken over de “beeldvorming” en reputatie van de instituties, terwijl de veiligheid van het gezin nauwelijks aandacht kreeg? Hoe verhoudt dit zich tot de plicht van de overheid om burgers te beschermen?</w:t>
      </w:r>
      <w:r>
        <w:br/>
      </w:r>
    </w:p>
    <w:p>
      <w:pPr>
        <w:pStyle w:val="ListParagraph"/>
        <w:numPr>
          <w:ilvl w:val="0"/>
          <w:numId w:val="100486440"/>
        </w:numPr>
        <w:ind w:left="360"/>
      </w:pPr>
      <w:r>
        <w:t xml:space="preserve">Bent u bereid een onafhankelijk onderzoek in te stellen naar de handelwijze van politie, OM en gemeente Urk in deze zaak, zodat duidelijk wordt welke fouten zijn gemaakt en welke lessen daaruit moeten worden getrokken?</w:t>
      </w:r>
      <w:r>
        <w:br/>
      </w:r>
    </w:p>
    <w:p>
      <w:pPr>
        <w:pStyle w:val="ListParagraph"/>
        <w:numPr>
          <w:ilvl w:val="0"/>
          <w:numId w:val="100486440"/>
        </w:numPr>
        <w:ind w:left="360"/>
      </w:pPr>
      <w:r>
        <w:t xml:space="preserve">Welke routes van compensatie en herstel staan dit gezin nu daadwerkelijk open, zowel juridisch (schadevergoeding) als praktisch (psychosociale hulp, onderwijs voor de kinderen, bescherming)? Wordt dit gezin proactief hierin begeleid?</w:t>
      </w:r>
      <w:r>
        <w:br/>
      </w:r>
    </w:p>
    <w:p>
      <w:pPr>
        <w:pStyle w:val="ListParagraph"/>
        <w:numPr>
          <w:ilvl w:val="0"/>
          <w:numId w:val="100486440"/>
        </w:numPr>
        <w:ind w:left="360"/>
      </w:pPr>
      <w:r>
        <w:t xml:space="preserve">Bent u bereid te komen tot landelijke richtlijnen die borgen dat minderjarigen nooit louter om ‘signaalwerking’ worden aangehouden, dat bij een onterechte verdenking binnen 48 uur publiekelijk wordt gerectificeerd en dat gezinnen in dergelijke situaties recht hebben op directe bescherming en nazorg?</w:t>
      </w:r>
      <w:r>
        <w:br/>
      </w:r>
    </w:p>
    <w:p>
      <w:r>
        <w:t xml:space="preserve"> </w:t>
      </w:r>
      <w:r>
        <w:br/>
      </w:r>
    </w:p>
    <w:p>
      <w:r>
        <w:t xml:space="preserve">1) ND, 11 september 2025, Hoe op Urk één Marokkaans-Nederlands gezin werd opgeofferd om de rust te bewaren. ‘We zijn kapotgemaakt’ (www.nd.nl/nieuws/nederland/1284490/hoe-op-urk-een-marokkaans-nederlands-gezin-werd-opgeofferd-om#closemodal).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420">
    <w:abstractNumId w:val="100486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