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68A0" w:rsidR="006205DB" w:rsidP="00991A65" w:rsidRDefault="006205DB" w14:paraId="7F129C06" w14:textId="55007D01">
      <w:pPr>
        <w:pStyle w:val="Artikel"/>
      </w:pPr>
    </w:p>
    <w:p w:rsidRPr="00BE68A0" w:rsidR="008D7777" w:rsidRDefault="008D7777" w14:paraId="093B7C47" w14:textId="40E2FF07">
      <w:pPr>
        <w:rPr>
          <w:b/>
          <w:bCs/>
        </w:rPr>
      </w:pPr>
      <w:bookmarkStart w:name="_Hlk196398100" w:id="0"/>
    </w:p>
    <w:p w:rsidR="00E12688" w:rsidP="00543884" w:rsidRDefault="00E12688" w14:paraId="605D8D46" w14:textId="170B77D0">
      <w:pPr>
        <w:spacing w:line="276" w:lineRule="auto"/>
        <w:rPr>
          <w:b/>
          <w:bCs/>
        </w:rPr>
      </w:pPr>
      <w:r w:rsidRPr="00E12688">
        <w:rPr>
          <w:b/>
          <w:bCs/>
        </w:rPr>
        <w:t>Wijziging van het Belastingplan 2025 in verband met het behoud van het verlaagde btw-tarief op cultuur, media en sport en een beperking van de jaarlijkse indexering van een aantal bedragen die gelden voor de inkomstenbelasting of de loonbelasting door middel van het beperkt toepassen van de tabelcorrectiefactor (Wet behoud verlaagd btw-tarief op cultuur, media en sport)</w:t>
      </w:r>
    </w:p>
    <w:p w:rsidRPr="00BE68A0" w:rsidR="00E12688" w:rsidRDefault="00E12688" w14:paraId="3AA58E6E" w14:textId="77777777">
      <w:pPr>
        <w:rPr>
          <w:b/>
          <w:bCs/>
        </w:rPr>
      </w:pPr>
    </w:p>
    <w:bookmarkEnd w:id="0"/>
    <w:p w:rsidRPr="00BE68A0" w:rsidR="00212260" w:rsidRDefault="000A1944" w14:paraId="52E7C6CF" w14:textId="2189BB38">
      <w:pPr>
        <w:rPr>
          <w:b/>
          <w:bCs/>
          <w:szCs w:val="18"/>
        </w:rPr>
      </w:pPr>
      <w:r w:rsidRPr="00BE68A0">
        <w:rPr>
          <w:b/>
          <w:bCs/>
          <w:szCs w:val="18"/>
        </w:rPr>
        <w:t xml:space="preserve">Memorie van </w:t>
      </w:r>
      <w:r w:rsidR="00F47072">
        <w:rPr>
          <w:b/>
          <w:bCs/>
          <w:szCs w:val="18"/>
        </w:rPr>
        <w:t>t</w:t>
      </w:r>
      <w:r w:rsidRPr="00BE68A0">
        <w:rPr>
          <w:b/>
          <w:bCs/>
          <w:szCs w:val="18"/>
        </w:rPr>
        <w:t>oelichting</w:t>
      </w:r>
    </w:p>
    <w:sdt>
      <w:sdtPr>
        <w:rPr>
          <w:rFonts w:ascii="Verdana" w:hAnsi="Verdana" w:cs="Times New Roman" w:eastAsiaTheme="minorHAnsi"/>
          <w:color w:val="auto"/>
          <w:sz w:val="18"/>
          <w:szCs w:val="20"/>
          <w:lang w:eastAsia="en-US"/>
        </w:rPr>
        <w:id w:val="798877980"/>
        <w:docPartObj>
          <w:docPartGallery w:val="Table of Contents"/>
          <w:docPartUnique/>
        </w:docPartObj>
      </w:sdtPr>
      <w:sdtEndPr>
        <w:rPr>
          <w:b/>
          <w:bCs/>
        </w:rPr>
      </w:sdtEndPr>
      <w:sdtContent>
        <w:p w:rsidRPr="00BE68A0" w:rsidR="00212260" w:rsidP="00D01DFC" w:rsidRDefault="00212260" w14:paraId="45054B0E" w14:textId="30489E8B">
          <w:pPr>
            <w:pStyle w:val="Kopvaninhoudsopgave"/>
            <w:spacing w:line="360" w:lineRule="auto"/>
            <w:rPr>
              <w:rFonts w:ascii="Verdana" w:hAnsi="Verdana"/>
              <w:b/>
              <w:bCs/>
              <w:color w:val="auto"/>
              <w:sz w:val="18"/>
              <w:szCs w:val="18"/>
            </w:rPr>
          </w:pPr>
          <w:r w:rsidRPr="00BE68A0">
            <w:rPr>
              <w:rFonts w:ascii="Verdana" w:hAnsi="Verdana"/>
              <w:b/>
              <w:bCs/>
              <w:color w:val="auto"/>
              <w:sz w:val="18"/>
              <w:szCs w:val="18"/>
            </w:rPr>
            <w:t>Inhoudsopgave</w:t>
          </w:r>
        </w:p>
        <w:p w:rsidRPr="00BE68A0" w:rsidR="00C152C9" w:rsidP="00D01DFC" w:rsidRDefault="00C152C9" w14:paraId="0961BA4D" w14:textId="77777777">
          <w:pPr>
            <w:spacing w:line="360" w:lineRule="auto"/>
            <w:rPr>
              <w:lang w:eastAsia="nl-NL"/>
            </w:rPr>
          </w:pPr>
        </w:p>
        <w:p w:rsidR="00C868A2" w:rsidRDefault="00212260" w14:paraId="65A59339" w14:textId="4D8B28BA">
          <w:pPr>
            <w:pStyle w:val="Inhopg1"/>
            <w:rPr>
              <w:rFonts w:asciiTheme="minorHAnsi" w:hAnsiTheme="minorHAnsi" w:eastAsiaTheme="minorEastAsia" w:cstheme="minorBidi"/>
              <w:noProof/>
              <w:kern w:val="2"/>
              <w:sz w:val="24"/>
              <w:szCs w:val="24"/>
              <w:lang w:eastAsia="nl-NL"/>
              <w14:ligatures w14:val="standardContextual"/>
            </w:rPr>
          </w:pPr>
          <w:r w:rsidRPr="00BE68A0">
            <w:rPr>
              <w:szCs w:val="18"/>
            </w:rPr>
            <w:fldChar w:fldCharType="begin"/>
          </w:r>
          <w:r w:rsidRPr="00BE68A0">
            <w:rPr>
              <w:szCs w:val="18"/>
            </w:rPr>
            <w:instrText xml:space="preserve"> TOC \o "1-3" \h \z \u </w:instrText>
          </w:r>
          <w:r w:rsidRPr="00BE68A0">
            <w:rPr>
              <w:szCs w:val="18"/>
            </w:rPr>
            <w:fldChar w:fldCharType="separate"/>
          </w:r>
          <w:hyperlink w:history="1" w:anchor="_Toc208415305">
            <w:r w:rsidRPr="008476AF" w:rsidR="00C868A2">
              <w:rPr>
                <w:rStyle w:val="Hyperlink"/>
                <w:noProof/>
              </w:rPr>
              <w:t>I. ALGEMEEN</w:t>
            </w:r>
            <w:r w:rsidR="00C868A2">
              <w:rPr>
                <w:noProof/>
                <w:webHidden/>
              </w:rPr>
              <w:tab/>
            </w:r>
            <w:r w:rsidR="00C868A2">
              <w:rPr>
                <w:noProof/>
                <w:webHidden/>
              </w:rPr>
              <w:fldChar w:fldCharType="begin"/>
            </w:r>
            <w:r w:rsidR="00C868A2">
              <w:rPr>
                <w:noProof/>
                <w:webHidden/>
              </w:rPr>
              <w:instrText xml:space="preserve"> PAGEREF _Toc208415305 \h </w:instrText>
            </w:r>
            <w:r w:rsidR="00C868A2">
              <w:rPr>
                <w:noProof/>
                <w:webHidden/>
              </w:rPr>
            </w:r>
            <w:r w:rsidR="00C868A2">
              <w:rPr>
                <w:noProof/>
                <w:webHidden/>
              </w:rPr>
              <w:fldChar w:fldCharType="separate"/>
            </w:r>
            <w:r w:rsidR="00A20401">
              <w:rPr>
                <w:noProof/>
                <w:webHidden/>
              </w:rPr>
              <w:t>4</w:t>
            </w:r>
            <w:r w:rsidR="00C868A2">
              <w:rPr>
                <w:noProof/>
                <w:webHidden/>
              </w:rPr>
              <w:fldChar w:fldCharType="end"/>
            </w:r>
          </w:hyperlink>
        </w:p>
        <w:p w:rsidR="00C868A2" w:rsidRDefault="00C868A2" w14:paraId="1C0DD999" w14:textId="6C3935EE">
          <w:pPr>
            <w:pStyle w:val="Inhopg2"/>
            <w:rPr>
              <w:rFonts w:asciiTheme="minorHAnsi" w:hAnsiTheme="minorHAnsi" w:eastAsiaTheme="minorEastAsia" w:cstheme="minorBidi"/>
              <w:noProof/>
              <w:kern w:val="2"/>
              <w:sz w:val="24"/>
              <w:szCs w:val="24"/>
              <w:lang w:eastAsia="nl-NL"/>
              <w14:ligatures w14:val="standardContextual"/>
            </w:rPr>
          </w:pPr>
          <w:hyperlink w:history="1" w:anchor="_Toc208415306">
            <w:r w:rsidRPr="008476AF">
              <w:rPr>
                <w:rStyle w:val="Hyperlink"/>
                <w:noProof/>
              </w:rPr>
              <w:t>1.</w:t>
            </w:r>
            <w:r>
              <w:rPr>
                <w:rFonts w:asciiTheme="minorHAnsi" w:hAnsiTheme="minorHAnsi" w:eastAsiaTheme="minorEastAsia" w:cstheme="minorBidi"/>
                <w:noProof/>
                <w:kern w:val="2"/>
                <w:sz w:val="24"/>
                <w:szCs w:val="24"/>
                <w:lang w:eastAsia="nl-NL"/>
                <w14:ligatures w14:val="standardContextual"/>
              </w:rPr>
              <w:tab/>
            </w:r>
            <w:r w:rsidRPr="008476AF">
              <w:rPr>
                <w:rStyle w:val="Hyperlink"/>
                <w:noProof/>
              </w:rPr>
              <w:t>Inleiding</w:t>
            </w:r>
            <w:r>
              <w:rPr>
                <w:noProof/>
                <w:webHidden/>
              </w:rPr>
              <w:tab/>
            </w:r>
            <w:r>
              <w:rPr>
                <w:noProof/>
                <w:webHidden/>
              </w:rPr>
              <w:fldChar w:fldCharType="begin"/>
            </w:r>
            <w:r>
              <w:rPr>
                <w:noProof/>
                <w:webHidden/>
              </w:rPr>
              <w:instrText xml:space="preserve"> PAGEREF _Toc208415306 \h </w:instrText>
            </w:r>
            <w:r>
              <w:rPr>
                <w:noProof/>
                <w:webHidden/>
              </w:rPr>
            </w:r>
            <w:r>
              <w:rPr>
                <w:noProof/>
                <w:webHidden/>
              </w:rPr>
              <w:fldChar w:fldCharType="separate"/>
            </w:r>
            <w:r w:rsidR="00A20401">
              <w:rPr>
                <w:noProof/>
                <w:webHidden/>
              </w:rPr>
              <w:t>4</w:t>
            </w:r>
            <w:r>
              <w:rPr>
                <w:noProof/>
                <w:webHidden/>
              </w:rPr>
              <w:fldChar w:fldCharType="end"/>
            </w:r>
          </w:hyperlink>
        </w:p>
        <w:p w:rsidR="00C868A2" w:rsidRDefault="00C868A2" w14:paraId="5A618352" w14:textId="2E6E56FF">
          <w:pPr>
            <w:pStyle w:val="Inhopg2"/>
            <w:rPr>
              <w:rFonts w:asciiTheme="minorHAnsi" w:hAnsiTheme="minorHAnsi" w:eastAsiaTheme="minorEastAsia" w:cstheme="minorBidi"/>
              <w:noProof/>
              <w:kern w:val="2"/>
              <w:sz w:val="24"/>
              <w:szCs w:val="24"/>
              <w:lang w:eastAsia="nl-NL"/>
              <w14:ligatures w14:val="standardContextual"/>
            </w:rPr>
          </w:pPr>
          <w:hyperlink w:history="1" w:anchor="_Toc208415307">
            <w:r w:rsidRPr="008476AF">
              <w:rPr>
                <w:rStyle w:val="Hyperlink"/>
                <w:noProof/>
              </w:rPr>
              <w:t>2.</w:t>
            </w:r>
            <w:r>
              <w:rPr>
                <w:rFonts w:asciiTheme="minorHAnsi" w:hAnsiTheme="minorHAnsi" w:eastAsiaTheme="minorEastAsia" w:cstheme="minorBidi"/>
                <w:noProof/>
                <w:kern w:val="2"/>
                <w:sz w:val="24"/>
                <w:szCs w:val="24"/>
                <w:lang w:eastAsia="nl-NL"/>
                <w14:ligatures w14:val="standardContextual"/>
              </w:rPr>
              <w:tab/>
            </w:r>
            <w:r w:rsidRPr="008476AF">
              <w:rPr>
                <w:rStyle w:val="Hyperlink"/>
                <w:noProof/>
              </w:rPr>
              <w:t>Algemene toelichting maatregelen</w:t>
            </w:r>
            <w:r>
              <w:rPr>
                <w:noProof/>
                <w:webHidden/>
              </w:rPr>
              <w:tab/>
            </w:r>
            <w:r>
              <w:rPr>
                <w:noProof/>
                <w:webHidden/>
              </w:rPr>
              <w:fldChar w:fldCharType="begin"/>
            </w:r>
            <w:r>
              <w:rPr>
                <w:noProof/>
                <w:webHidden/>
              </w:rPr>
              <w:instrText xml:space="preserve"> PAGEREF _Toc208415307 \h </w:instrText>
            </w:r>
            <w:r>
              <w:rPr>
                <w:noProof/>
                <w:webHidden/>
              </w:rPr>
            </w:r>
            <w:r>
              <w:rPr>
                <w:noProof/>
                <w:webHidden/>
              </w:rPr>
              <w:fldChar w:fldCharType="separate"/>
            </w:r>
            <w:r w:rsidR="00A20401">
              <w:rPr>
                <w:noProof/>
                <w:webHidden/>
              </w:rPr>
              <w:t>4</w:t>
            </w:r>
            <w:r>
              <w:rPr>
                <w:noProof/>
                <w:webHidden/>
              </w:rPr>
              <w:fldChar w:fldCharType="end"/>
            </w:r>
          </w:hyperlink>
        </w:p>
        <w:p w:rsidR="00C868A2" w:rsidRDefault="00C868A2" w14:paraId="69F7B83A" w14:textId="2904558D">
          <w:pPr>
            <w:pStyle w:val="Inhopg3"/>
            <w:rPr>
              <w:rFonts w:asciiTheme="minorHAnsi" w:hAnsiTheme="minorHAnsi" w:eastAsiaTheme="minorEastAsia" w:cstheme="minorBidi"/>
              <w:noProof/>
              <w:kern w:val="2"/>
              <w:sz w:val="24"/>
              <w:szCs w:val="24"/>
              <w:lang w:eastAsia="nl-NL"/>
              <w14:ligatures w14:val="standardContextual"/>
            </w:rPr>
          </w:pPr>
          <w:hyperlink w:history="1" w:anchor="_Toc208415308">
            <w:r w:rsidRPr="008476AF">
              <w:rPr>
                <w:rStyle w:val="Hyperlink"/>
                <w:i/>
                <w:iCs/>
                <w:noProof/>
              </w:rPr>
              <w:t>2.1</w:t>
            </w:r>
            <w:r>
              <w:rPr>
                <w:rFonts w:asciiTheme="minorHAnsi" w:hAnsiTheme="minorHAnsi" w:eastAsiaTheme="minorEastAsia" w:cstheme="minorBidi"/>
                <w:noProof/>
                <w:kern w:val="2"/>
                <w:sz w:val="24"/>
                <w:szCs w:val="24"/>
                <w:lang w:eastAsia="nl-NL"/>
                <w14:ligatures w14:val="standardContextual"/>
              </w:rPr>
              <w:tab/>
            </w:r>
            <w:r w:rsidRPr="008476AF">
              <w:rPr>
                <w:rStyle w:val="Hyperlink"/>
                <w:i/>
                <w:iCs/>
                <w:noProof/>
              </w:rPr>
              <w:t>Behoud van het verlaagde btw-tarief op cultuur, media en sport</w:t>
            </w:r>
            <w:r>
              <w:rPr>
                <w:noProof/>
                <w:webHidden/>
              </w:rPr>
              <w:tab/>
            </w:r>
            <w:r>
              <w:rPr>
                <w:noProof/>
                <w:webHidden/>
              </w:rPr>
              <w:fldChar w:fldCharType="begin"/>
            </w:r>
            <w:r>
              <w:rPr>
                <w:noProof/>
                <w:webHidden/>
              </w:rPr>
              <w:instrText xml:space="preserve"> PAGEREF _Toc208415308 \h </w:instrText>
            </w:r>
            <w:r>
              <w:rPr>
                <w:noProof/>
                <w:webHidden/>
              </w:rPr>
            </w:r>
            <w:r>
              <w:rPr>
                <w:noProof/>
                <w:webHidden/>
              </w:rPr>
              <w:fldChar w:fldCharType="separate"/>
            </w:r>
            <w:r w:rsidR="00A20401">
              <w:rPr>
                <w:noProof/>
                <w:webHidden/>
              </w:rPr>
              <w:t>4</w:t>
            </w:r>
            <w:r>
              <w:rPr>
                <w:noProof/>
                <w:webHidden/>
              </w:rPr>
              <w:fldChar w:fldCharType="end"/>
            </w:r>
          </w:hyperlink>
        </w:p>
        <w:p w:rsidR="00C868A2" w:rsidRDefault="00C868A2" w14:paraId="5F63884C" w14:textId="2B249406">
          <w:pPr>
            <w:pStyle w:val="Inhopg3"/>
            <w:rPr>
              <w:rFonts w:asciiTheme="minorHAnsi" w:hAnsiTheme="minorHAnsi" w:eastAsiaTheme="minorEastAsia" w:cstheme="minorBidi"/>
              <w:noProof/>
              <w:kern w:val="2"/>
              <w:sz w:val="24"/>
              <w:szCs w:val="24"/>
              <w:lang w:eastAsia="nl-NL"/>
              <w14:ligatures w14:val="standardContextual"/>
            </w:rPr>
          </w:pPr>
          <w:hyperlink w:history="1" w:anchor="_Toc208415309">
            <w:r w:rsidRPr="008476AF">
              <w:rPr>
                <w:rStyle w:val="Hyperlink"/>
                <w:i/>
                <w:iCs/>
                <w:noProof/>
              </w:rPr>
              <w:t>2.2</w:t>
            </w:r>
            <w:r>
              <w:rPr>
                <w:rFonts w:asciiTheme="minorHAnsi" w:hAnsiTheme="minorHAnsi" w:eastAsiaTheme="minorEastAsia" w:cstheme="minorBidi"/>
                <w:noProof/>
                <w:kern w:val="2"/>
                <w:sz w:val="24"/>
                <w:szCs w:val="24"/>
                <w:lang w:eastAsia="nl-NL"/>
                <w14:ligatures w14:val="standardContextual"/>
              </w:rPr>
              <w:tab/>
            </w:r>
            <w:r w:rsidRPr="008476AF">
              <w:rPr>
                <w:rStyle w:val="Hyperlink"/>
                <w:i/>
                <w:iCs/>
                <w:noProof/>
              </w:rPr>
              <w:t>Beperkt toepassen van de tabelcorrectiefactor voor de inkomstenbelasting en de loonbelasting</w:t>
            </w:r>
            <w:r>
              <w:rPr>
                <w:noProof/>
                <w:webHidden/>
              </w:rPr>
              <w:tab/>
            </w:r>
            <w:r>
              <w:rPr>
                <w:noProof/>
                <w:webHidden/>
              </w:rPr>
              <w:fldChar w:fldCharType="begin"/>
            </w:r>
            <w:r>
              <w:rPr>
                <w:noProof/>
                <w:webHidden/>
              </w:rPr>
              <w:instrText xml:space="preserve"> PAGEREF _Toc208415309 \h </w:instrText>
            </w:r>
            <w:r>
              <w:rPr>
                <w:noProof/>
                <w:webHidden/>
              </w:rPr>
            </w:r>
            <w:r>
              <w:rPr>
                <w:noProof/>
                <w:webHidden/>
              </w:rPr>
              <w:fldChar w:fldCharType="separate"/>
            </w:r>
            <w:r w:rsidR="00A20401">
              <w:rPr>
                <w:noProof/>
                <w:webHidden/>
              </w:rPr>
              <w:t>5</w:t>
            </w:r>
            <w:r>
              <w:rPr>
                <w:noProof/>
                <w:webHidden/>
              </w:rPr>
              <w:fldChar w:fldCharType="end"/>
            </w:r>
          </w:hyperlink>
        </w:p>
        <w:p w:rsidR="00C868A2" w:rsidRDefault="00C868A2" w14:paraId="0870B5C9" w14:textId="42CE9B54">
          <w:pPr>
            <w:pStyle w:val="Inhopg2"/>
            <w:rPr>
              <w:rFonts w:asciiTheme="minorHAnsi" w:hAnsiTheme="minorHAnsi" w:eastAsiaTheme="minorEastAsia" w:cstheme="minorBidi"/>
              <w:noProof/>
              <w:kern w:val="2"/>
              <w:sz w:val="24"/>
              <w:szCs w:val="24"/>
              <w:lang w:eastAsia="nl-NL"/>
              <w14:ligatures w14:val="standardContextual"/>
            </w:rPr>
          </w:pPr>
          <w:hyperlink w:history="1" w:anchor="_Toc208415310">
            <w:r w:rsidRPr="008476AF">
              <w:rPr>
                <w:rStyle w:val="Hyperlink"/>
                <w:noProof/>
              </w:rPr>
              <w:t>3.</w:t>
            </w:r>
            <w:r>
              <w:rPr>
                <w:rFonts w:asciiTheme="minorHAnsi" w:hAnsiTheme="minorHAnsi" w:eastAsiaTheme="minorEastAsia" w:cstheme="minorBidi"/>
                <w:noProof/>
                <w:kern w:val="2"/>
                <w:sz w:val="24"/>
                <w:szCs w:val="24"/>
                <w:lang w:eastAsia="nl-NL"/>
                <w14:ligatures w14:val="standardContextual"/>
              </w:rPr>
              <w:tab/>
            </w:r>
            <w:r w:rsidRPr="008476AF">
              <w:rPr>
                <w:rStyle w:val="Hyperlink"/>
                <w:noProof/>
              </w:rPr>
              <w:t>Doeltreffendheid, doelmatigheid en evaluatie</w:t>
            </w:r>
            <w:r>
              <w:rPr>
                <w:noProof/>
                <w:webHidden/>
              </w:rPr>
              <w:tab/>
            </w:r>
            <w:r>
              <w:rPr>
                <w:noProof/>
                <w:webHidden/>
              </w:rPr>
              <w:fldChar w:fldCharType="begin"/>
            </w:r>
            <w:r>
              <w:rPr>
                <w:noProof/>
                <w:webHidden/>
              </w:rPr>
              <w:instrText xml:space="preserve"> PAGEREF _Toc208415310 \h </w:instrText>
            </w:r>
            <w:r>
              <w:rPr>
                <w:noProof/>
                <w:webHidden/>
              </w:rPr>
            </w:r>
            <w:r>
              <w:rPr>
                <w:noProof/>
                <w:webHidden/>
              </w:rPr>
              <w:fldChar w:fldCharType="separate"/>
            </w:r>
            <w:r w:rsidR="00A20401">
              <w:rPr>
                <w:noProof/>
                <w:webHidden/>
              </w:rPr>
              <w:t>6</w:t>
            </w:r>
            <w:r>
              <w:rPr>
                <w:noProof/>
                <w:webHidden/>
              </w:rPr>
              <w:fldChar w:fldCharType="end"/>
            </w:r>
          </w:hyperlink>
        </w:p>
        <w:p w:rsidR="00C868A2" w:rsidRDefault="00C868A2" w14:paraId="66FAA241" w14:textId="2FF75882">
          <w:pPr>
            <w:pStyle w:val="Inhopg2"/>
            <w:rPr>
              <w:rFonts w:asciiTheme="minorHAnsi" w:hAnsiTheme="minorHAnsi" w:eastAsiaTheme="minorEastAsia" w:cstheme="minorBidi"/>
              <w:noProof/>
              <w:kern w:val="2"/>
              <w:sz w:val="24"/>
              <w:szCs w:val="24"/>
              <w:lang w:eastAsia="nl-NL"/>
              <w14:ligatures w14:val="standardContextual"/>
            </w:rPr>
          </w:pPr>
          <w:hyperlink w:history="1" w:anchor="_Toc208415311">
            <w:r w:rsidRPr="008476AF">
              <w:rPr>
                <w:rStyle w:val="Hyperlink"/>
                <w:noProof/>
              </w:rPr>
              <w:t>4.</w:t>
            </w:r>
            <w:r>
              <w:rPr>
                <w:rFonts w:asciiTheme="minorHAnsi" w:hAnsiTheme="minorHAnsi" w:eastAsiaTheme="minorEastAsia" w:cstheme="minorBidi"/>
                <w:noProof/>
                <w:kern w:val="2"/>
                <w:sz w:val="24"/>
                <w:szCs w:val="24"/>
                <w:lang w:eastAsia="nl-NL"/>
                <w14:ligatures w14:val="standardContextual"/>
              </w:rPr>
              <w:tab/>
            </w:r>
            <w:r w:rsidRPr="008476AF">
              <w:rPr>
                <w:rStyle w:val="Hyperlink"/>
                <w:noProof/>
              </w:rPr>
              <w:t>Budgettaire aspecten</w:t>
            </w:r>
            <w:r>
              <w:rPr>
                <w:noProof/>
                <w:webHidden/>
              </w:rPr>
              <w:tab/>
            </w:r>
            <w:r>
              <w:rPr>
                <w:noProof/>
                <w:webHidden/>
              </w:rPr>
              <w:fldChar w:fldCharType="begin"/>
            </w:r>
            <w:r>
              <w:rPr>
                <w:noProof/>
                <w:webHidden/>
              </w:rPr>
              <w:instrText xml:space="preserve"> PAGEREF _Toc208415311 \h </w:instrText>
            </w:r>
            <w:r>
              <w:rPr>
                <w:noProof/>
                <w:webHidden/>
              </w:rPr>
            </w:r>
            <w:r>
              <w:rPr>
                <w:noProof/>
                <w:webHidden/>
              </w:rPr>
              <w:fldChar w:fldCharType="separate"/>
            </w:r>
            <w:r w:rsidR="00A20401">
              <w:rPr>
                <w:noProof/>
                <w:webHidden/>
              </w:rPr>
              <w:t>6</w:t>
            </w:r>
            <w:r>
              <w:rPr>
                <w:noProof/>
                <w:webHidden/>
              </w:rPr>
              <w:fldChar w:fldCharType="end"/>
            </w:r>
          </w:hyperlink>
        </w:p>
        <w:p w:rsidR="00C868A2" w:rsidRDefault="00C868A2" w14:paraId="382F8755" w14:textId="4B3356B8">
          <w:pPr>
            <w:pStyle w:val="Inhopg2"/>
            <w:rPr>
              <w:rFonts w:asciiTheme="minorHAnsi" w:hAnsiTheme="minorHAnsi" w:eastAsiaTheme="minorEastAsia" w:cstheme="minorBidi"/>
              <w:noProof/>
              <w:kern w:val="2"/>
              <w:sz w:val="24"/>
              <w:szCs w:val="24"/>
              <w:lang w:eastAsia="nl-NL"/>
              <w14:ligatures w14:val="standardContextual"/>
            </w:rPr>
          </w:pPr>
          <w:hyperlink w:history="1" w:anchor="_Toc208415312">
            <w:r w:rsidRPr="008476AF">
              <w:rPr>
                <w:rStyle w:val="Hyperlink"/>
                <w:noProof/>
              </w:rPr>
              <w:t>5.</w:t>
            </w:r>
            <w:r>
              <w:rPr>
                <w:rFonts w:asciiTheme="minorHAnsi" w:hAnsiTheme="minorHAnsi" w:eastAsiaTheme="minorEastAsia" w:cstheme="minorBidi"/>
                <w:noProof/>
                <w:kern w:val="2"/>
                <w:sz w:val="24"/>
                <w:szCs w:val="24"/>
                <w:lang w:eastAsia="nl-NL"/>
                <w14:ligatures w14:val="standardContextual"/>
              </w:rPr>
              <w:tab/>
            </w:r>
            <w:r w:rsidRPr="008476AF">
              <w:rPr>
                <w:rStyle w:val="Hyperlink"/>
                <w:noProof/>
              </w:rPr>
              <w:t>Grenseffecten</w:t>
            </w:r>
            <w:r>
              <w:rPr>
                <w:noProof/>
                <w:webHidden/>
              </w:rPr>
              <w:tab/>
            </w:r>
            <w:r>
              <w:rPr>
                <w:noProof/>
                <w:webHidden/>
              </w:rPr>
              <w:fldChar w:fldCharType="begin"/>
            </w:r>
            <w:r>
              <w:rPr>
                <w:noProof/>
                <w:webHidden/>
              </w:rPr>
              <w:instrText xml:space="preserve"> PAGEREF _Toc208415312 \h </w:instrText>
            </w:r>
            <w:r>
              <w:rPr>
                <w:noProof/>
                <w:webHidden/>
              </w:rPr>
            </w:r>
            <w:r>
              <w:rPr>
                <w:noProof/>
                <w:webHidden/>
              </w:rPr>
              <w:fldChar w:fldCharType="separate"/>
            </w:r>
            <w:r w:rsidR="00A20401">
              <w:rPr>
                <w:noProof/>
                <w:webHidden/>
              </w:rPr>
              <w:t>7</w:t>
            </w:r>
            <w:r>
              <w:rPr>
                <w:noProof/>
                <w:webHidden/>
              </w:rPr>
              <w:fldChar w:fldCharType="end"/>
            </w:r>
          </w:hyperlink>
        </w:p>
        <w:p w:rsidR="00C868A2" w:rsidRDefault="00C868A2" w14:paraId="12679B0D" w14:textId="14061943">
          <w:pPr>
            <w:pStyle w:val="Inhopg2"/>
            <w:rPr>
              <w:rFonts w:asciiTheme="minorHAnsi" w:hAnsiTheme="minorHAnsi" w:eastAsiaTheme="minorEastAsia" w:cstheme="minorBidi"/>
              <w:noProof/>
              <w:kern w:val="2"/>
              <w:sz w:val="24"/>
              <w:szCs w:val="24"/>
              <w:lang w:eastAsia="nl-NL"/>
              <w14:ligatures w14:val="standardContextual"/>
            </w:rPr>
          </w:pPr>
          <w:hyperlink w:history="1" w:anchor="_Toc208415313">
            <w:r w:rsidRPr="008476AF">
              <w:rPr>
                <w:rStyle w:val="Hyperlink"/>
                <w:noProof/>
              </w:rPr>
              <w:t>6.</w:t>
            </w:r>
            <w:r>
              <w:rPr>
                <w:rFonts w:asciiTheme="minorHAnsi" w:hAnsiTheme="minorHAnsi" w:eastAsiaTheme="minorEastAsia" w:cstheme="minorBidi"/>
                <w:noProof/>
                <w:kern w:val="2"/>
                <w:sz w:val="24"/>
                <w:szCs w:val="24"/>
                <w:lang w:eastAsia="nl-NL"/>
                <w14:ligatures w14:val="standardContextual"/>
              </w:rPr>
              <w:tab/>
            </w:r>
            <w:r w:rsidRPr="008476AF">
              <w:rPr>
                <w:rStyle w:val="Hyperlink"/>
                <w:noProof/>
              </w:rPr>
              <w:t>EU-aspecten</w:t>
            </w:r>
            <w:r>
              <w:rPr>
                <w:noProof/>
                <w:webHidden/>
              </w:rPr>
              <w:tab/>
            </w:r>
            <w:r>
              <w:rPr>
                <w:noProof/>
                <w:webHidden/>
              </w:rPr>
              <w:fldChar w:fldCharType="begin"/>
            </w:r>
            <w:r>
              <w:rPr>
                <w:noProof/>
                <w:webHidden/>
              </w:rPr>
              <w:instrText xml:space="preserve"> PAGEREF _Toc208415313 \h </w:instrText>
            </w:r>
            <w:r>
              <w:rPr>
                <w:noProof/>
                <w:webHidden/>
              </w:rPr>
            </w:r>
            <w:r>
              <w:rPr>
                <w:noProof/>
                <w:webHidden/>
              </w:rPr>
              <w:fldChar w:fldCharType="separate"/>
            </w:r>
            <w:r w:rsidR="00A20401">
              <w:rPr>
                <w:noProof/>
                <w:webHidden/>
              </w:rPr>
              <w:t>7</w:t>
            </w:r>
            <w:r>
              <w:rPr>
                <w:noProof/>
                <w:webHidden/>
              </w:rPr>
              <w:fldChar w:fldCharType="end"/>
            </w:r>
          </w:hyperlink>
        </w:p>
        <w:p w:rsidR="00C868A2" w:rsidRDefault="00C868A2" w14:paraId="2BB40D07" w14:textId="102CE5BE">
          <w:pPr>
            <w:pStyle w:val="Inhopg2"/>
            <w:rPr>
              <w:rFonts w:asciiTheme="minorHAnsi" w:hAnsiTheme="minorHAnsi" w:eastAsiaTheme="minorEastAsia" w:cstheme="minorBidi"/>
              <w:noProof/>
              <w:kern w:val="2"/>
              <w:sz w:val="24"/>
              <w:szCs w:val="24"/>
              <w:lang w:eastAsia="nl-NL"/>
              <w14:ligatures w14:val="standardContextual"/>
            </w:rPr>
          </w:pPr>
          <w:hyperlink w:history="1" w:anchor="_Toc208415314">
            <w:r w:rsidRPr="008476AF">
              <w:rPr>
                <w:rStyle w:val="Hyperlink"/>
                <w:noProof/>
              </w:rPr>
              <w:t>7.</w:t>
            </w:r>
            <w:r>
              <w:rPr>
                <w:rFonts w:asciiTheme="minorHAnsi" w:hAnsiTheme="minorHAnsi" w:eastAsiaTheme="minorEastAsia" w:cstheme="minorBidi"/>
                <w:noProof/>
                <w:kern w:val="2"/>
                <w:sz w:val="24"/>
                <w:szCs w:val="24"/>
                <w:lang w:eastAsia="nl-NL"/>
                <w14:ligatures w14:val="standardContextual"/>
              </w:rPr>
              <w:tab/>
            </w:r>
            <w:r w:rsidRPr="008476AF">
              <w:rPr>
                <w:rStyle w:val="Hyperlink"/>
                <w:noProof/>
              </w:rPr>
              <w:t>Gegevensbescherming</w:t>
            </w:r>
            <w:r>
              <w:rPr>
                <w:noProof/>
                <w:webHidden/>
              </w:rPr>
              <w:tab/>
            </w:r>
            <w:r>
              <w:rPr>
                <w:noProof/>
                <w:webHidden/>
              </w:rPr>
              <w:fldChar w:fldCharType="begin"/>
            </w:r>
            <w:r>
              <w:rPr>
                <w:noProof/>
                <w:webHidden/>
              </w:rPr>
              <w:instrText xml:space="preserve"> PAGEREF _Toc208415314 \h </w:instrText>
            </w:r>
            <w:r>
              <w:rPr>
                <w:noProof/>
                <w:webHidden/>
              </w:rPr>
            </w:r>
            <w:r>
              <w:rPr>
                <w:noProof/>
                <w:webHidden/>
              </w:rPr>
              <w:fldChar w:fldCharType="separate"/>
            </w:r>
            <w:r w:rsidR="00A20401">
              <w:rPr>
                <w:noProof/>
                <w:webHidden/>
              </w:rPr>
              <w:t>7</w:t>
            </w:r>
            <w:r>
              <w:rPr>
                <w:noProof/>
                <w:webHidden/>
              </w:rPr>
              <w:fldChar w:fldCharType="end"/>
            </w:r>
          </w:hyperlink>
        </w:p>
        <w:p w:rsidR="00C868A2" w:rsidRDefault="00C868A2" w14:paraId="35648E13" w14:textId="44087A03">
          <w:pPr>
            <w:pStyle w:val="Inhopg2"/>
            <w:rPr>
              <w:rFonts w:asciiTheme="minorHAnsi" w:hAnsiTheme="minorHAnsi" w:eastAsiaTheme="minorEastAsia" w:cstheme="minorBidi"/>
              <w:noProof/>
              <w:kern w:val="2"/>
              <w:sz w:val="24"/>
              <w:szCs w:val="24"/>
              <w:lang w:eastAsia="nl-NL"/>
              <w14:ligatures w14:val="standardContextual"/>
            </w:rPr>
          </w:pPr>
          <w:hyperlink w:history="1" w:anchor="_Toc208415315">
            <w:r w:rsidRPr="008476AF">
              <w:rPr>
                <w:rStyle w:val="Hyperlink"/>
                <w:noProof/>
              </w:rPr>
              <w:t>8.</w:t>
            </w:r>
            <w:r>
              <w:rPr>
                <w:rFonts w:asciiTheme="minorHAnsi" w:hAnsiTheme="minorHAnsi" w:eastAsiaTheme="minorEastAsia" w:cstheme="minorBidi"/>
                <w:noProof/>
                <w:kern w:val="2"/>
                <w:sz w:val="24"/>
                <w:szCs w:val="24"/>
                <w:lang w:eastAsia="nl-NL"/>
                <w14:ligatures w14:val="standardContextual"/>
              </w:rPr>
              <w:tab/>
            </w:r>
            <w:r w:rsidRPr="008476AF">
              <w:rPr>
                <w:rStyle w:val="Hyperlink"/>
                <w:noProof/>
              </w:rPr>
              <w:t>Doenvermogen</w:t>
            </w:r>
            <w:r>
              <w:rPr>
                <w:noProof/>
                <w:webHidden/>
              </w:rPr>
              <w:tab/>
            </w:r>
            <w:r>
              <w:rPr>
                <w:noProof/>
                <w:webHidden/>
              </w:rPr>
              <w:fldChar w:fldCharType="begin"/>
            </w:r>
            <w:r>
              <w:rPr>
                <w:noProof/>
                <w:webHidden/>
              </w:rPr>
              <w:instrText xml:space="preserve"> PAGEREF _Toc208415315 \h </w:instrText>
            </w:r>
            <w:r>
              <w:rPr>
                <w:noProof/>
                <w:webHidden/>
              </w:rPr>
            </w:r>
            <w:r>
              <w:rPr>
                <w:noProof/>
                <w:webHidden/>
              </w:rPr>
              <w:fldChar w:fldCharType="separate"/>
            </w:r>
            <w:r w:rsidR="00A20401">
              <w:rPr>
                <w:noProof/>
                <w:webHidden/>
              </w:rPr>
              <w:t>7</w:t>
            </w:r>
            <w:r>
              <w:rPr>
                <w:noProof/>
                <w:webHidden/>
              </w:rPr>
              <w:fldChar w:fldCharType="end"/>
            </w:r>
          </w:hyperlink>
        </w:p>
        <w:p w:rsidR="00C868A2" w:rsidRDefault="00C868A2" w14:paraId="6DAB4225" w14:textId="352218E7">
          <w:pPr>
            <w:pStyle w:val="Inhopg2"/>
            <w:rPr>
              <w:rFonts w:asciiTheme="minorHAnsi" w:hAnsiTheme="minorHAnsi" w:eastAsiaTheme="minorEastAsia" w:cstheme="minorBidi"/>
              <w:noProof/>
              <w:kern w:val="2"/>
              <w:sz w:val="24"/>
              <w:szCs w:val="24"/>
              <w:lang w:eastAsia="nl-NL"/>
              <w14:ligatures w14:val="standardContextual"/>
            </w:rPr>
          </w:pPr>
          <w:hyperlink w:history="1" w:anchor="_Toc208415316">
            <w:r w:rsidRPr="008476AF">
              <w:rPr>
                <w:rStyle w:val="Hyperlink"/>
                <w:noProof/>
              </w:rPr>
              <w:t>9.</w:t>
            </w:r>
            <w:r>
              <w:rPr>
                <w:rFonts w:asciiTheme="minorHAnsi" w:hAnsiTheme="minorHAnsi" w:eastAsiaTheme="minorEastAsia" w:cstheme="minorBidi"/>
                <w:noProof/>
                <w:kern w:val="2"/>
                <w:sz w:val="24"/>
                <w:szCs w:val="24"/>
                <w:lang w:eastAsia="nl-NL"/>
                <w14:ligatures w14:val="standardContextual"/>
              </w:rPr>
              <w:tab/>
            </w:r>
            <w:r w:rsidRPr="008476AF">
              <w:rPr>
                <w:rStyle w:val="Hyperlink"/>
                <w:noProof/>
              </w:rPr>
              <w:t>Gevolgen voor burgers en het bedrijfsleven</w:t>
            </w:r>
            <w:r>
              <w:rPr>
                <w:noProof/>
                <w:webHidden/>
              </w:rPr>
              <w:tab/>
            </w:r>
            <w:r>
              <w:rPr>
                <w:noProof/>
                <w:webHidden/>
              </w:rPr>
              <w:fldChar w:fldCharType="begin"/>
            </w:r>
            <w:r>
              <w:rPr>
                <w:noProof/>
                <w:webHidden/>
              </w:rPr>
              <w:instrText xml:space="preserve"> PAGEREF _Toc208415316 \h </w:instrText>
            </w:r>
            <w:r>
              <w:rPr>
                <w:noProof/>
                <w:webHidden/>
              </w:rPr>
            </w:r>
            <w:r>
              <w:rPr>
                <w:noProof/>
                <w:webHidden/>
              </w:rPr>
              <w:fldChar w:fldCharType="separate"/>
            </w:r>
            <w:r w:rsidR="00A20401">
              <w:rPr>
                <w:noProof/>
                <w:webHidden/>
              </w:rPr>
              <w:t>7</w:t>
            </w:r>
            <w:r>
              <w:rPr>
                <w:noProof/>
                <w:webHidden/>
              </w:rPr>
              <w:fldChar w:fldCharType="end"/>
            </w:r>
          </w:hyperlink>
        </w:p>
        <w:p w:rsidR="00C868A2" w:rsidRDefault="00C868A2" w14:paraId="5E157E13" w14:textId="15B18D99">
          <w:pPr>
            <w:pStyle w:val="Inhopg2"/>
            <w:rPr>
              <w:rFonts w:asciiTheme="minorHAnsi" w:hAnsiTheme="minorHAnsi" w:eastAsiaTheme="minorEastAsia" w:cstheme="minorBidi"/>
              <w:noProof/>
              <w:kern w:val="2"/>
              <w:sz w:val="24"/>
              <w:szCs w:val="24"/>
              <w:lang w:eastAsia="nl-NL"/>
              <w14:ligatures w14:val="standardContextual"/>
            </w:rPr>
          </w:pPr>
          <w:hyperlink w:history="1" w:anchor="_Toc208415317">
            <w:r w:rsidRPr="008476AF">
              <w:rPr>
                <w:rStyle w:val="Hyperlink"/>
                <w:noProof/>
              </w:rPr>
              <w:t>10.</w:t>
            </w:r>
            <w:r>
              <w:rPr>
                <w:rFonts w:asciiTheme="minorHAnsi" w:hAnsiTheme="minorHAnsi" w:eastAsiaTheme="minorEastAsia" w:cstheme="minorBidi"/>
                <w:noProof/>
                <w:kern w:val="2"/>
                <w:sz w:val="24"/>
                <w:szCs w:val="24"/>
                <w:lang w:eastAsia="nl-NL"/>
                <w14:ligatures w14:val="standardContextual"/>
              </w:rPr>
              <w:tab/>
            </w:r>
            <w:r w:rsidRPr="008476AF">
              <w:rPr>
                <w:rStyle w:val="Hyperlink"/>
                <w:noProof/>
              </w:rPr>
              <w:t>Uitvoeringsgevolgen Belastingdienst, Douane en Toeslagen</w:t>
            </w:r>
            <w:r>
              <w:rPr>
                <w:noProof/>
                <w:webHidden/>
              </w:rPr>
              <w:tab/>
            </w:r>
            <w:r>
              <w:rPr>
                <w:noProof/>
                <w:webHidden/>
              </w:rPr>
              <w:fldChar w:fldCharType="begin"/>
            </w:r>
            <w:r>
              <w:rPr>
                <w:noProof/>
                <w:webHidden/>
              </w:rPr>
              <w:instrText xml:space="preserve"> PAGEREF _Toc208415317 \h </w:instrText>
            </w:r>
            <w:r>
              <w:rPr>
                <w:noProof/>
                <w:webHidden/>
              </w:rPr>
            </w:r>
            <w:r>
              <w:rPr>
                <w:noProof/>
                <w:webHidden/>
              </w:rPr>
              <w:fldChar w:fldCharType="separate"/>
            </w:r>
            <w:r w:rsidR="00A20401">
              <w:rPr>
                <w:noProof/>
                <w:webHidden/>
              </w:rPr>
              <w:t>8</w:t>
            </w:r>
            <w:r>
              <w:rPr>
                <w:noProof/>
                <w:webHidden/>
              </w:rPr>
              <w:fldChar w:fldCharType="end"/>
            </w:r>
          </w:hyperlink>
        </w:p>
        <w:p w:rsidR="00C868A2" w:rsidRDefault="00C868A2" w14:paraId="799289D2" w14:textId="6B2854C0">
          <w:pPr>
            <w:pStyle w:val="Inhopg2"/>
            <w:rPr>
              <w:rFonts w:asciiTheme="minorHAnsi" w:hAnsiTheme="minorHAnsi" w:eastAsiaTheme="minorEastAsia" w:cstheme="minorBidi"/>
              <w:noProof/>
              <w:kern w:val="2"/>
              <w:sz w:val="24"/>
              <w:szCs w:val="24"/>
              <w:lang w:eastAsia="nl-NL"/>
              <w14:ligatures w14:val="standardContextual"/>
            </w:rPr>
          </w:pPr>
          <w:hyperlink w:history="1" w:anchor="_Toc208415318">
            <w:r w:rsidRPr="008476AF">
              <w:rPr>
                <w:rStyle w:val="Hyperlink"/>
                <w:noProof/>
              </w:rPr>
              <w:t>11.</w:t>
            </w:r>
            <w:r>
              <w:rPr>
                <w:rFonts w:asciiTheme="minorHAnsi" w:hAnsiTheme="minorHAnsi" w:eastAsiaTheme="minorEastAsia" w:cstheme="minorBidi"/>
                <w:noProof/>
                <w:kern w:val="2"/>
                <w:sz w:val="24"/>
                <w:szCs w:val="24"/>
                <w:lang w:eastAsia="nl-NL"/>
                <w14:ligatures w14:val="standardContextual"/>
              </w:rPr>
              <w:tab/>
            </w:r>
            <w:r w:rsidRPr="008476AF">
              <w:rPr>
                <w:rStyle w:val="Hyperlink"/>
                <w:noProof/>
              </w:rPr>
              <w:t>Advies en consultatie</w:t>
            </w:r>
            <w:r>
              <w:rPr>
                <w:noProof/>
                <w:webHidden/>
              </w:rPr>
              <w:tab/>
            </w:r>
            <w:r>
              <w:rPr>
                <w:noProof/>
                <w:webHidden/>
              </w:rPr>
              <w:fldChar w:fldCharType="begin"/>
            </w:r>
            <w:r>
              <w:rPr>
                <w:noProof/>
                <w:webHidden/>
              </w:rPr>
              <w:instrText xml:space="preserve"> PAGEREF _Toc208415318 \h </w:instrText>
            </w:r>
            <w:r>
              <w:rPr>
                <w:noProof/>
                <w:webHidden/>
              </w:rPr>
            </w:r>
            <w:r>
              <w:rPr>
                <w:noProof/>
                <w:webHidden/>
              </w:rPr>
              <w:fldChar w:fldCharType="separate"/>
            </w:r>
            <w:r w:rsidR="00A20401">
              <w:rPr>
                <w:noProof/>
                <w:webHidden/>
              </w:rPr>
              <w:t>8</w:t>
            </w:r>
            <w:r>
              <w:rPr>
                <w:noProof/>
                <w:webHidden/>
              </w:rPr>
              <w:fldChar w:fldCharType="end"/>
            </w:r>
          </w:hyperlink>
        </w:p>
        <w:p w:rsidR="00C868A2" w:rsidRDefault="00C868A2" w14:paraId="05BE4536" w14:textId="4CF381B0">
          <w:pPr>
            <w:pStyle w:val="Inhopg1"/>
            <w:rPr>
              <w:rFonts w:asciiTheme="minorHAnsi" w:hAnsiTheme="minorHAnsi" w:eastAsiaTheme="minorEastAsia" w:cstheme="minorBidi"/>
              <w:noProof/>
              <w:kern w:val="2"/>
              <w:sz w:val="24"/>
              <w:szCs w:val="24"/>
              <w:lang w:eastAsia="nl-NL"/>
              <w14:ligatures w14:val="standardContextual"/>
            </w:rPr>
          </w:pPr>
          <w:hyperlink w:history="1" w:anchor="_Toc208415319">
            <w:r w:rsidRPr="008476AF">
              <w:rPr>
                <w:rStyle w:val="Hyperlink"/>
                <w:noProof/>
              </w:rPr>
              <w:t>II. ARTIKELSGEWIJZE TOELICHTING</w:t>
            </w:r>
            <w:r>
              <w:rPr>
                <w:noProof/>
                <w:webHidden/>
              </w:rPr>
              <w:tab/>
            </w:r>
            <w:r>
              <w:rPr>
                <w:noProof/>
                <w:webHidden/>
              </w:rPr>
              <w:fldChar w:fldCharType="begin"/>
            </w:r>
            <w:r>
              <w:rPr>
                <w:noProof/>
                <w:webHidden/>
              </w:rPr>
              <w:instrText xml:space="preserve"> PAGEREF _Toc208415319 \h </w:instrText>
            </w:r>
            <w:r>
              <w:rPr>
                <w:noProof/>
                <w:webHidden/>
              </w:rPr>
            </w:r>
            <w:r>
              <w:rPr>
                <w:noProof/>
                <w:webHidden/>
              </w:rPr>
              <w:fldChar w:fldCharType="separate"/>
            </w:r>
            <w:r w:rsidR="00A20401">
              <w:rPr>
                <w:noProof/>
                <w:webHidden/>
              </w:rPr>
              <w:t>9</w:t>
            </w:r>
            <w:r>
              <w:rPr>
                <w:noProof/>
                <w:webHidden/>
              </w:rPr>
              <w:fldChar w:fldCharType="end"/>
            </w:r>
          </w:hyperlink>
        </w:p>
        <w:p w:rsidRPr="00BE68A0" w:rsidR="009A7191" w:rsidP="00D01DFC" w:rsidRDefault="00212260" w14:paraId="24420BB8" w14:textId="2F35AF5D">
          <w:pPr>
            <w:spacing w:line="360" w:lineRule="auto"/>
            <w:rPr>
              <w:b/>
              <w:bCs/>
            </w:rPr>
          </w:pPr>
          <w:r w:rsidRPr="00BE68A0">
            <w:rPr>
              <w:b/>
              <w:bCs/>
              <w:szCs w:val="18"/>
            </w:rPr>
            <w:fldChar w:fldCharType="end"/>
          </w:r>
        </w:p>
      </w:sdtContent>
    </w:sdt>
    <w:p w:rsidRPr="00BE68A0" w:rsidR="00E00828" w:rsidP="00E00154" w:rsidRDefault="009A7191" w14:paraId="59CD4FAD" w14:textId="7B23525A">
      <w:r w:rsidRPr="00BE68A0">
        <w:rPr>
          <w:b/>
          <w:bCs/>
        </w:rPr>
        <w:br w:type="page"/>
      </w:r>
    </w:p>
    <w:p w:rsidRPr="00BE68A0" w:rsidR="00CD6365" w:rsidP="00683D61" w:rsidRDefault="00CD6365" w14:paraId="51B8F008" w14:textId="17735B78">
      <w:pPr>
        <w:rPr>
          <w:rFonts w:eastAsia="Calibri"/>
          <w:b/>
          <w:bCs/>
          <w:szCs w:val="18"/>
        </w:rPr>
      </w:pPr>
      <w:r w:rsidRPr="00BE68A0">
        <w:rPr>
          <w:rFonts w:eastAsia="Calibri"/>
          <w:b/>
          <w:bCs/>
          <w:szCs w:val="18"/>
        </w:rPr>
        <w:lastRenderedPageBreak/>
        <w:t>MEMORIE VAN TOELICHTING</w:t>
      </w:r>
    </w:p>
    <w:p w:rsidRPr="00BE68A0" w:rsidR="000A1944" w:rsidP="00D01DFC" w:rsidRDefault="000A1944" w14:paraId="2D589436" w14:textId="17686346">
      <w:pPr>
        <w:pStyle w:val="Kop1"/>
        <w:rPr>
          <w:sz w:val="18"/>
          <w:szCs w:val="18"/>
        </w:rPr>
      </w:pPr>
      <w:bookmarkStart w:name="_Toc208415305" w:id="1"/>
      <w:r w:rsidRPr="00BE68A0">
        <w:rPr>
          <w:sz w:val="18"/>
          <w:szCs w:val="18"/>
        </w:rPr>
        <w:t>I. A</w:t>
      </w:r>
      <w:r w:rsidRPr="00BE68A0" w:rsidR="00FC04E7">
        <w:rPr>
          <w:sz w:val="18"/>
          <w:szCs w:val="18"/>
        </w:rPr>
        <w:t>LGEMEEN</w:t>
      </w:r>
      <w:bookmarkEnd w:id="1"/>
      <w:r w:rsidRPr="00BE68A0">
        <w:rPr>
          <w:sz w:val="18"/>
          <w:szCs w:val="18"/>
        </w:rPr>
        <w:t xml:space="preserve"> </w:t>
      </w:r>
    </w:p>
    <w:p w:rsidRPr="00BE68A0" w:rsidR="00683D61" w:rsidP="00683D61" w:rsidRDefault="00683D61" w14:paraId="34E6F398" w14:textId="77777777"/>
    <w:p w:rsidRPr="00BE68A0" w:rsidR="000A1944" w:rsidP="00C90BD6" w:rsidRDefault="000A1944" w14:paraId="1D8B64E6" w14:textId="69FD09C2">
      <w:pPr>
        <w:pStyle w:val="Kop2"/>
        <w:spacing w:before="0"/>
      </w:pPr>
      <w:bookmarkStart w:name="_Toc208415306" w:id="2"/>
      <w:r w:rsidRPr="00BE68A0">
        <w:t>Inleiding</w:t>
      </w:r>
      <w:bookmarkEnd w:id="2"/>
      <w:r w:rsidRPr="00BE68A0">
        <w:t xml:space="preserve"> </w:t>
      </w:r>
    </w:p>
    <w:p w:rsidRPr="00BE68A0" w:rsidR="00D457A3" w:rsidP="00E9164F" w:rsidRDefault="00E9164F" w14:paraId="3AD9251D" w14:textId="043A9C25">
      <w:pPr>
        <w:spacing w:line="360" w:lineRule="auto"/>
        <w:contextualSpacing/>
      </w:pPr>
      <w:r w:rsidRPr="00BE68A0">
        <w:t>In het Hoofdlijnenakkoord</w:t>
      </w:r>
      <w:r w:rsidRPr="00BE68A0">
        <w:rPr>
          <w:rStyle w:val="Voetnootmarkering"/>
        </w:rPr>
        <w:footnoteReference w:id="1"/>
      </w:r>
      <w:r w:rsidRPr="00BE68A0">
        <w:t xml:space="preserve"> is opgenomen dat het verlaagde </w:t>
      </w:r>
      <w:r w:rsidRPr="00BE68A0" w:rsidR="005B39D6">
        <w:t>tarief van de belasting over toegevoegde waarde (</w:t>
      </w:r>
      <w:r w:rsidRPr="00BE68A0">
        <w:t>btw</w:t>
      </w:r>
      <w:r w:rsidRPr="00BE68A0" w:rsidR="005B39D6">
        <w:t>)</w:t>
      </w:r>
      <w:r w:rsidRPr="00BE68A0">
        <w:t xml:space="preserve"> op </w:t>
      </w:r>
      <w:r w:rsidRPr="00BE68A0" w:rsidR="00312955">
        <w:t xml:space="preserve">logies, </w:t>
      </w:r>
      <w:r w:rsidRPr="00BE68A0">
        <w:t>cultuur, media en sport per 1 januari 2026 wordt verhoogd naar 21%.</w:t>
      </w:r>
      <w:r w:rsidRPr="00BE68A0" w:rsidR="00173FE1">
        <w:t xml:space="preserve"> Deze maatregel maakt onderdeel uit van het Belastingplan 2025</w:t>
      </w:r>
      <w:r w:rsidRPr="00BE68A0" w:rsidR="006F2A9D">
        <w:t xml:space="preserve"> (BP 2025)</w:t>
      </w:r>
      <w:r w:rsidRPr="00BE68A0" w:rsidR="00173FE1">
        <w:t xml:space="preserve"> </w:t>
      </w:r>
      <w:r w:rsidRPr="00BE68A0" w:rsidR="00CF0D2A">
        <w:t xml:space="preserve">dat </w:t>
      </w:r>
      <w:r w:rsidRPr="00BE68A0" w:rsidR="00173FE1">
        <w:t>op 1 januari 2025 in werking is getreden. De btw-maatregel zou op 1</w:t>
      </w:r>
      <w:r w:rsidRPr="00BE68A0" w:rsidR="00312955">
        <w:t> </w:t>
      </w:r>
      <w:r w:rsidRPr="00BE68A0" w:rsidR="00173FE1">
        <w:t>januari 2026 in werking treden</w:t>
      </w:r>
      <w:r w:rsidRPr="00BE68A0" w:rsidR="002363AE">
        <w:t>. H</w:t>
      </w:r>
      <w:r w:rsidRPr="00BE68A0" w:rsidR="00DD63ED">
        <w:t xml:space="preserve">et </w:t>
      </w:r>
      <w:r w:rsidRPr="00BE68A0" w:rsidR="00FA662E">
        <w:t xml:space="preserve">bijbehorende </w:t>
      </w:r>
      <w:r w:rsidRPr="00BE68A0" w:rsidR="00DD63ED">
        <w:t>overgangsrecht is per 1 januari 2025 in werking getreden</w:t>
      </w:r>
      <w:r w:rsidRPr="00BE68A0" w:rsidR="002363AE">
        <w:t xml:space="preserve">, maar </w:t>
      </w:r>
      <w:r w:rsidRPr="00BE68A0" w:rsidR="00DD63ED">
        <w:t xml:space="preserve">voor zover het cultuur, media en sport betreft, buiten werking gesteld </w:t>
      </w:r>
      <w:r w:rsidRPr="00BE68A0" w:rsidR="002363AE">
        <w:t>via</w:t>
      </w:r>
      <w:r w:rsidRPr="00BE68A0" w:rsidR="00DD63ED">
        <w:t xml:space="preserve"> een </w:t>
      </w:r>
      <w:r w:rsidRPr="00BE68A0" w:rsidR="00B87430">
        <w:t xml:space="preserve">tweetal </w:t>
      </w:r>
      <w:r w:rsidRPr="00BE68A0" w:rsidR="00DD63ED">
        <w:t>beleidsbesluit</w:t>
      </w:r>
      <w:r w:rsidRPr="00BE68A0" w:rsidR="00B87430">
        <w:t>en</w:t>
      </w:r>
      <w:r w:rsidRPr="00BE68A0" w:rsidR="00312955">
        <w:rPr>
          <w:rStyle w:val="Voetnootmarkering"/>
        </w:rPr>
        <w:footnoteReference w:id="2"/>
      </w:r>
      <w:r w:rsidRPr="00BE68A0" w:rsidR="00173FE1">
        <w:t xml:space="preserve">. </w:t>
      </w:r>
      <w:r w:rsidRPr="00BE68A0">
        <w:t>Over d</w:t>
      </w:r>
      <w:r w:rsidRPr="00BE68A0" w:rsidR="00173FE1">
        <w:t>e maatregel die de btw-</w:t>
      </w:r>
      <w:r w:rsidRPr="00BE68A0">
        <w:t>verhoging</w:t>
      </w:r>
      <w:r w:rsidRPr="00BE68A0" w:rsidR="00173FE1">
        <w:t xml:space="preserve"> regelt</w:t>
      </w:r>
      <w:r w:rsidRPr="00BE68A0">
        <w:t xml:space="preserve"> is tijdens de behandeling van het </w:t>
      </w:r>
      <w:r w:rsidRPr="00BE68A0" w:rsidR="006F2A9D">
        <w:t>BP</w:t>
      </w:r>
      <w:r w:rsidRPr="00BE68A0">
        <w:t xml:space="preserve"> 2025 uitvoerig gedebatteerd. Tijdens het debat met de Tweede Kamer is de motie Van Dijk c.s.</w:t>
      </w:r>
      <w:r w:rsidRPr="00BE68A0">
        <w:rPr>
          <w:rStyle w:val="Voetnootmarkering"/>
        </w:rPr>
        <w:footnoteReference w:id="3"/>
      </w:r>
      <w:r w:rsidRPr="00BE68A0">
        <w:t xml:space="preserve"> met algemene stemmen aangenomen. Deze motie verzocht de regering om vóór de Voorjaarsnota in overleg met </w:t>
      </w:r>
      <w:r w:rsidRPr="00BE68A0" w:rsidR="00173FE1">
        <w:t>de Tweede</w:t>
      </w:r>
      <w:r w:rsidRPr="00BE68A0">
        <w:t xml:space="preserve"> Kamer een alternatieve invulling voor de afschaffing van het verlaagde btw-tarief op cultuur, media en sport te presenteren.</w:t>
      </w:r>
      <w:r w:rsidRPr="00BE68A0" w:rsidR="00173FE1">
        <w:t xml:space="preserve"> </w:t>
      </w:r>
      <w:r w:rsidRPr="00BE68A0">
        <w:t>Bij publicatie van de Voorjaarsnota 2025</w:t>
      </w:r>
      <w:r w:rsidRPr="00BE68A0">
        <w:rPr>
          <w:rStyle w:val="Voetnootmarkering"/>
        </w:rPr>
        <w:footnoteReference w:id="4"/>
      </w:r>
      <w:r w:rsidRPr="00BE68A0">
        <w:t xml:space="preserve"> op 18 april 2025 heeft het kabinet aangegeven dat het ervoor kiest om de btw-verhoging op cultuur, media en sport te schrappen. </w:t>
      </w:r>
      <w:r w:rsidRPr="00BE68A0" w:rsidR="007E52B2">
        <w:t>Daartoe</w:t>
      </w:r>
      <w:r w:rsidRPr="00BE68A0">
        <w:t xml:space="preserve"> wordt met d</w:t>
      </w:r>
      <w:r w:rsidRPr="00BE68A0" w:rsidR="002146BB">
        <w:t>it</w:t>
      </w:r>
      <w:r w:rsidRPr="00BE68A0">
        <w:t xml:space="preserve"> wet</w:t>
      </w:r>
      <w:r w:rsidRPr="00BE68A0" w:rsidR="002146BB">
        <w:t>svoorstel</w:t>
      </w:r>
      <w:r w:rsidRPr="00BE68A0">
        <w:t xml:space="preserve"> </w:t>
      </w:r>
      <w:r w:rsidRPr="00BE68A0" w:rsidR="00173FE1">
        <w:t xml:space="preserve">voorgesteld om </w:t>
      </w:r>
      <w:r w:rsidRPr="00BE68A0">
        <w:t xml:space="preserve">het </w:t>
      </w:r>
      <w:r w:rsidRPr="00BE68A0" w:rsidR="006F2A9D">
        <w:t>BP</w:t>
      </w:r>
      <w:r w:rsidRPr="00BE68A0">
        <w:t xml:space="preserve"> 2025 </w:t>
      </w:r>
      <w:r w:rsidRPr="00BE68A0" w:rsidR="007E52B2">
        <w:t xml:space="preserve">te wijzingen per 1 januari 2026. </w:t>
      </w:r>
      <w:r w:rsidRPr="00BE68A0" w:rsidR="00DD63ED">
        <w:t>Effectief wordt door de</w:t>
      </w:r>
      <w:r w:rsidRPr="00BE68A0" w:rsidR="002363AE">
        <w:t>ze</w:t>
      </w:r>
      <w:r w:rsidRPr="00BE68A0" w:rsidR="00DD63ED">
        <w:t xml:space="preserve"> wijziging va</w:t>
      </w:r>
      <w:r w:rsidRPr="00BE68A0" w:rsidR="007B7FC0">
        <w:t>n</w:t>
      </w:r>
      <w:r w:rsidRPr="00BE68A0" w:rsidR="00DD63ED">
        <w:t xml:space="preserve"> het </w:t>
      </w:r>
      <w:r w:rsidRPr="00BE68A0" w:rsidR="006F2A9D">
        <w:t>BP</w:t>
      </w:r>
      <w:r w:rsidRPr="00BE68A0" w:rsidR="00DD63ED">
        <w:t xml:space="preserve"> </w:t>
      </w:r>
      <w:r w:rsidRPr="00BE68A0" w:rsidR="007B7FC0">
        <w:t xml:space="preserve">2025 </w:t>
      </w:r>
      <w:r w:rsidRPr="00BE68A0" w:rsidR="00DD63ED">
        <w:t xml:space="preserve">bereikt dat de </w:t>
      </w:r>
      <w:r w:rsidRPr="00BE68A0" w:rsidR="002363AE">
        <w:t>bestaande situatie</w:t>
      </w:r>
      <w:r w:rsidRPr="00BE68A0" w:rsidR="002363AE">
        <w:rPr>
          <w:i/>
          <w:iCs/>
        </w:rPr>
        <w:t xml:space="preserve"> </w:t>
      </w:r>
      <w:r w:rsidRPr="00BE68A0" w:rsidR="00DD63ED">
        <w:t xml:space="preserve">wat betreft </w:t>
      </w:r>
      <w:r w:rsidRPr="00BE68A0" w:rsidR="002363AE">
        <w:t xml:space="preserve">de toepassing van </w:t>
      </w:r>
      <w:r w:rsidRPr="00BE68A0" w:rsidR="00DD63ED">
        <w:t>het verlaagde btw-tarief op cultuur, media en sport wordt behouden.</w:t>
      </w:r>
      <w:r w:rsidRPr="00BE68A0" w:rsidR="00312955">
        <w:t xml:space="preserve"> Het verlaagde btw-tarief op logies </w:t>
      </w:r>
      <w:r w:rsidRPr="00BE68A0" w:rsidR="00FC2111">
        <w:t xml:space="preserve">wordt </w:t>
      </w:r>
      <w:r w:rsidRPr="00BE68A0" w:rsidR="00312955">
        <w:t xml:space="preserve">per 1 januari 2026 </w:t>
      </w:r>
      <w:r w:rsidRPr="00BE68A0" w:rsidR="00FC2111">
        <w:t>wel</w:t>
      </w:r>
      <w:r w:rsidRPr="00BE68A0" w:rsidR="00312955">
        <w:t xml:space="preserve"> verhoogd naar 21%.</w:t>
      </w:r>
      <w:r w:rsidRPr="00BE68A0" w:rsidR="000D1357">
        <w:t xml:space="preserve"> </w:t>
      </w:r>
      <w:r w:rsidRPr="00BE68A0" w:rsidR="00DE6675">
        <w:t>Onderhavig</w:t>
      </w:r>
      <w:r w:rsidRPr="00BE68A0" w:rsidR="000D1357">
        <w:t xml:space="preserve"> wet</w:t>
      </w:r>
      <w:r w:rsidRPr="00BE68A0" w:rsidR="00DE6675">
        <w:t>svoorstel</w:t>
      </w:r>
      <w:r w:rsidRPr="00BE68A0" w:rsidR="000D1357">
        <w:t xml:space="preserve"> </w:t>
      </w:r>
      <w:r w:rsidRPr="00BE68A0" w:rsidR="00DE6675">
        <w:t>dient</w:t>
      </w:r>
      <w:r w:rsidRPr="00BE68A0" w:rsidR="000D1357">
        <w:t xml:space="preserve"> </w:t>
      </w:r>
      <w:r w:rsidRPr="00BE68A0" w:rsidR="00DE6675">
        <w:t xml:space="preserve">ook om de goedkeuring </w:t>
      </w:r>
      <w:r w:rsidRPr="00BE68A0" w:rsidR="0099494D">
        <w:t xml:space="preserve">wettelijk vast te leggen die het </w:t>
      </w:r>
      <w:r w:rsidRPr="00BE68A0" w:rsidR="00FA662E">
        <w:t xml:space="preserve">bijbehorende </w:t>
      </w:r>
      <w:r w:rsidRPr="00BE68A0" w:rsidR="0099494D">
        <w:t xml:space="preserve">overgangsrecht in 2025 buiten toepassing stelde en die in </w:t>
      </w:r>
      <w:r w:rsidRPr="00BE68A0" w:rsidR="000D1357">
        <w:t>eerdergenoemd</w:t>
      </w:r>
      <w:r w:rsidRPr="00BE68A0" w:rsidR="00DE6675">
        <w:t>e</w:t>
      </w:r>
      <w:r w:rsidRPr="00BE68A0" w:rsidR="000D1357">
        <w:t xml:space="preserve"> beleidsbesluit</w:t>
      </w:r>
      <w:r w:rsidRPr="00BE68A0" w:rsidR="00DE6675">
        <w:t xml:space="preserve">en </w:t>
      </w:r>
      <w:r w:rsidRPr="00BE68A0" w:rsidR="0099494D">
        <w:t>vooruitlopend op wetgeving was opgenome</w:t>
      </w:r>
      <w:r w:rsidRPr="00BE68A0" w:rsidR="00DE6675">
        <w:t>n</w:t>
      </w:r>
      <w:r w:rsidRPr="00BE68A0" w:rsidR="00511789">
        <w:t xml:space="preserve">. </w:t>
      </w:r>
      <w:r w:rsidRPr="00BE68A0" w:rsidR="009128F8">
        <w:t xml:space="preserve">De dekking is gevonden door de reguliere inflatiecorrectie </w:t>
      </w:r>
      <w:r w:rsidRPr="00BE68A0" w:rsidR="00155D9C">
        <w:t xml:space="preserve">(met de tabelcorrectiefactor) </w:t>
      </w:r>
      <w:r w:rsidRPr="00BE68A0" w:rsidR="009128F8">
        <w:t xml:space="preserve">voor bepaalde bedragen </w:t>
      </w:r>
      <w:r w:rsidRPr="00BE68A0" w:rsidR="003609A9">
        <w:t>voor</w:t>
      </w:r>
      <w:r w:rsidRPr="00BE68A0" w:rsidR="009128F8">
        <w:t xml:space="preserve"> de inkomstenbelasting</w:t>
      </w:r>
      <w:r w:rsidR="00247436">
        <w:t xml:space="preserve"> en</w:t>
      </w:r>
      <w:r w:rsidRPr="00BE68A0" w:rsidR="009128F8">
        <w:t xml:space="preserve"> de loonbelasting per 1 januari 2026 niet volledig toe te passen.</w:t>
      </w:r>
    </w:p>
    <w:p w:rsidRPr="00BE68A0" w:rsidR="00D71997" w:rsidP="00C90BD6" w:rsidRDefault="00D71997" w14:paraId="3120F251" w14:textId="77777777">
      <w:pPr>
        <w:spacing w:line="360" w:lineRule="auto"/>
      </w:pPr>
    </w:p>
    <w:p w:rsidRPr="00BE68A0" w:rsidR="00E9164F" w:rsidP="00C90BD6" w:rsidRDefault="000A1944" w14:paraId="276E586E" w14:textId="2E4EFAE3">
      <w:pPr>
        <w:pStyle w:val="Kop2"/>
        <w:spacing w:before="0"/>
      </w:pPr>
      <w:bookmarkStart w:name="_Toc208415307" w:id="3"/>
      <w:r w:rsidRPr="00BE68A0">
        <w:t>Algemene toelichting maatregelen</w:t>
      </w:r>
      <w:bookmarkEnd w:id="3"/>
      <w:r w:rsidRPr="00BE68A0">
        <w:t xml:space="preserve"> </w:t>
      </w:r>
    </w:p>
    <w:p w:rsidRPr="00BE68A0" w:rsidR="00E9164F" w:rsidP="00B55E2A" w:rsidRDefault="00E9164F" w14:paraId="5B83EFCE" w14:textId="33AD1DCB">
      <w:pPr>
        <w:pStyle w:val="Kop3"/>
        <w:rPr>
          <w:i/>
          <w:iCs/>
        </w:rPr>
      </w:pPr>
      <w:bookmarkStart w:name="_Toc208415308" w:id="4"/>
      <w:bookmarkStart w:name="_Hlk196399160" w:id="5"/>
      <w:r w:rsidRPr="00BE68A0">
        <w:rPr>
          <w:i/>
          <w:iCs/>
        </w:rPr>
        <w:t>Behoud van het verlaagde btw-tarief op cultuur</w:t>
      </w:r>
      <w:r w:rsidRPr="00BE68A0" w:rsidR="007D1286">
        <w:rPr>
          <w:i/>
          <w:iCs/>
        </w:rPr>
        <w:t>,</w:t>
      </w:r>
      <w:r w:rsidRPr="00BE68A0">
        <w:rPr>
          <w:i/>
          <w:iCs/>
        </w:rPr>
        <w:t xml:space="preserve"> media en sport</w:t>
      </w:r>
      <w:bookmarkEnd w:id="4"/>
    </w:p>
    <w:bookmarkEnd w:id="5"/>
    <w:p w:rsidRPr="00BE68A0" w:rsidR="00F005EB" w:rsidP="00B55E2A" w:rsidRDefault="00B55E2A" w14:paraId="0D393C71" w14:textId="2F482BDF">
      <w:pPr>
        <w:spacing w:line="360" w:lineRule="auto"/>
      </w:pPr>
      <w:r w:rsidRPr="00BE68A0">
        <w:t xml:space="preserve">De conclusie </w:t>
      </w:r>
      <w:r w:rsidRPr="00BE68A0" w:rsidR="003B6208">
        <w:t>van het kabinet</w:t>
      </w:r>
      <w:r w:rsidRPr="00BE68A0" w:rsidR="007E52B2">
        <w:t xml:space="preserve"> is, in overleg met de Tweede Kamer,</w:t>
      </w:r>
      <w:r w:rsidRPr="00BE68A0">
        <w:t xml:space="preserve"> dat het gewenst is om</w:t>
      </w:r>
      <w:r w:rsidRPr="00BE68A0" w:rsidR="007E52B2">
        <w:t xml:space="preserve"> </w:t>
      </w:r>
      <w:r w:rsidRPr="00BE68A0">
        <w:t xml:space="preserve">een aantal posten niet te treffen met </w:t>
      </w:r>
      <w:r w:rsidRPr="00BE68A0" w:rsidR="003B6208">
        <w:t>een btw-verhoging van 9% naar 21% en i</w:t>
      </w:r>
      <w:r w:rsidRPr="00BE68A0">
        <w:t>n die gevallen het verlaagde btw-tarief in stand te laten</w:t>
      </w:r>
      <w:r w:rsidRPr="00BE68A0" w:rsidR="003B6208">
        <w:t>. Het gaat hier om de posten waarin goederen en diensten staan vermeld die zien op cultuur, media en sport. Voor de exacte posten wordt verwezen naar de artikelsgewijze toelichting.</w:t>
      </w:r>
      <w:r w:rsidRPr="00BE68A0" w:rsidR="003B6208">
        <w:rPr>
          <w:rStyle w:val="Voetnootmarkering"/>
        </w:rPr>
        <w:footnoteReference w:id="5"/>
      </w:r>
    </w:p>
    <w:p w:rsidR="00E9164F" w:rsidP="00B55E2A" w:rsidRDefault="00E9164F" w14:paraId="3F436339" w14:textId="77777777">
      <w:pPr>
        <w:spacing w:line="360" w:lineRule="auto"/>
      </w:pPr>
    </w:p>
    <w:p w:rsidR="00C868A2" w:rsidP="00B55E2A" w:rsidRDefault="00C868A2" w14:paraId="51F9A23F" w14:textId="77777777">
      <w:pPr>
        <w:spacing w:line="360" w:lineRule="auto"/>
      </w:pPr>
    </w:p>
    <w:p w:rsidRPr="00BE68A0" w:rsidR="00C868A2" w:rsidP="00B55E2A" w:rsidRDefault="00C868A2" w14:paraId="4C0540A4" w14:textId="77777777">
      <w:pPr>
        <w:spacing w:line="360" w:lineRule="auto"/>
      </w:pPr>
    </w:p>
    <w:p w:rsidRPr="00BE68A0" w:rsidR="00E9164F" w:rsidP="00E9164F" w:rsidRDefault="00E9164F" w14:paraId="1A0DB306" w14:textId="235FD216">
      <w:pPr>
        <w:pStyle w:val="Kop3"/>
        <w:rPr>
          <w:i/>
          <w:iCs/>
        </w:rPr>
      </w:pPr>
      <w:bookmarkStart w:name="_Toc208415309" w:id="6"/>
      <w:bookmarkStart w:name="_Hlk196398902" w:id="7"/>
      <w:r w:rsidRPr="00BE68A0">
        <w:rPr>
          <w:i/>
          <w:iCs/>
        </w:rPr>
        <w:lastRenderedPageBreak/>
        <w:t xml:space="preserve">Beperkt toepassen van de tabelcorrectiefactor </w:t>
      </w:r>
      <w:r w:rsidRPr="00BE68A0" w:rsidR="00414CAC">
        <w:rPr>
          <w:i/>
          <w:iCs/>
        </w:rPr>
        <w:t>voor</w:t>
      </w:r>
      <w:r w:rsidRPr="00BE68A0">
        <w:rPr>
          <w:i/>
          <w:iCs/>
        </w:rPr>
        <w:t xml:space="preserve"> de inkomstenbelasting</w:t>
      </w:r>
      <w:r w:rsidR="00247436">
        <w:rPr>
          <w:i/>
          <w:iCs/>
        </w:rPr>
        <w:t xml:space="preserve"> en de</w:t>
      </w:r>
      <w:r w:rsidRPr="00BE68A0" w:rsidR="004E35D1">
        <w:rPr>
          <w:i/>
          <w:iCs/>
        </w:rPr>
        <w:t xml:space="preserve"> loonbelasting</w:t>
      </w:r>
      <w:bookmarkEnd w:id="6"/>
    </w:p>
    <w:bookmarkEnd w:id="7"/>
    <w:p w:rsidRPr="00BE68A0" w:rsidR="00C51B2B" w:rsidP="00C51B2B" w:rsidRDefault="00C51B2B" w14:paraId="3476749B" w14:textId="77777777">
      <w:pPr>
        <w:spacing w:line="360" w:lineRule="auto"/>
      </w:pPr>
    </w:p>
    <w:p w:rsidRPr="00BE68A0" w:rsidR="00EF342E" w:rsidP="00C51B2B" w:rsidRDefault="00C51B2B" w14:paraId="588FD3B8" w14:textId="48F3B6E7">
      <w:pPr>
        <w:spacing w:line="360" w:lineRule="auto"/>
      </w:pPr>
      <w:r w:rsidRPr="00BE68A0">
        <w:t xml:space="preserve">Om het behoud van het verlaagde btw-tarief voor de genoemde posten te dekken, wordt voorgesteld de wettelijke inflatiecorrectie voor het kalenderjaar 2026 beperkt toe te passen voor </w:t>
      </w:r>
      <w:r w:rsidRPr="00BE68A0" w:rsidR="004E35D1">
        <w:t xml:space="preserve">bepaalde bedragen </w:t>
      </w:r>
      <w:r w:rsidRPr="00BE68A0" w:rsidR="00414CAC">
        <w:t>die gelden voor</w:t>
      </w:r>
      <w:r w:rsidRPr="00BE68A0" w:rsidR="004E35D1">
        <w:t xml:space="preserve"> </w:t>
      </w:r>
      <w:r w:rsidRPr="00BE68A0">
        <w:t>de inkomstenbelasting</w:t>
      </w:r>
      <w:r w:rsidR="00247436">
        <w:t xml:space="preserve"> en</w:t>
      </w:r>
      <w:r w:rsidRPr="00BE68A0">
        <w:t xml:space="preserve"> de loonbelasting. De opbrengst van de in het BP 2025 voorgestelde btw-verhoging op cultuur, media en sport is destijds ingezet voor een pakket aan koopkrachtmaatregelen met lastenverlichting via de inkomstenbelasting. Daarom is ervoor gekozen om deze lastenverlichting </w:t>
      </w:r>
      <w:r w:rsidRPr="00BE68A0" w:rsidR="003609A9">
        <w:t>voor</w:t>
      </w:r>
      <w:r w:rsidRPr="00BE68A0">
        <w:t xml:space="preserve"> de inkomstenbelasting nu terug te draaien voor zover dit noodzakelijk is voor de dekking van het behoud van het lage btw-tarief op cultuur, media en sport. Dit gebeurt door middel van een beperking van het toepassen van de inflatiecorrectie. </w:t>
      </w:r>
    </w:p>
    <w:p w:rsidRPr="00BE68A0" w:rsidR="00EF342E" w:rsidP="00C51B2B" w:rsidRDefault="00EF342E" w14:paraId="51733181" w14:textId="2DE71C1B">
      <w:pPr>
        <w:spacing w:line="360" w:lineRule="auto"/>
      </w:pPr>
      <w:r w:rsidRPr="00BE68A0">
        <w:t>De wettelijke inflatiecorrectie per 1 januari 2026 bedraagt 2,9%. Dit komt overeen met een tabelcorrectiefactor van 1,029. Om voor de benodigde dekking voor het behoud van het verlaagde btw-tarief op cultuur, media en sport te zorgen, wordt voorgesteld de wettelijke inflatiecorrectie voor 57% toe te passen. De daaruit volgende indexatiefactor is 1,01653.</w:t>
      </w:r>
    </w:p>
    <w:p w:rsidRPr="00BE68A0" w:rsidR="00EF342E" w:rsidP="00C51B2B" w:rsidRDefault="00EF342E" w14:paraId="292FD19A" w14:textId="77777777">
      <w:pPr>
        <w:spacing w:line="360" w:lineRule="auto"/>
      </w:pPr>
    </w:p>
    <w:p w:rsidRPr="00BE68A0" w:rsidR="00C51B2B" w:rsidP="00C51B2B" w:rsidRDefault="00C51B2B" w14:paraId="3F64214B" w14:textId="32490CD7">
      <w:pPr>
        <w:spacing w:line="360" w:lineRule="auto"/>
      </w:pPr>
      <w:r w:rsidRPr="00BE68A0">
        <w:t>Het beperkt toepassen van de inflatiecorrectie voor de inkomstenbelasting</w:t>
      </w:r>
      <w:r w:rsidR="00247436">
        <w:t xml:space="preserve"> en</w:t>
      </w:r>
      <w:r w:rsidRPr="00BE68A0">
        <w:t xml:space="preserve"> de loonbelasting raakt verschillende groepen belastingplichtigen naar verwachting in gelijke mate. De gevolgen voor de mediane koopkracht van huishoudens </w:t>
      </w:r>
      <w:r w:rsidRPr="00BE68A0" w:rsidR="00EF342E">
        <w:t>zijn</w:t>
      </w:r>
      <w:r w:rsidRPr="00BE68A0">
        <w:t xml:space="preserve"> daarmee </w:t>
      </w:r>
      <w:r w:rsidRPr="00BE68A0" w:rsidR="00EF342E">
        <w:t xml:space="preserve">naar verwachting </w:t>
      </w:r>
      <w:r w:rsidRPr="00BE68A0">
        <w:t>nagenoeg gelijk aan de gevolgen van het verhogen van het verlaagde btw-tarief. Een verhoging van de inkomstenbelasting en de loonbelasting via het beperkt toepassen van de inflatiecorrectie leidt tot een lager besteedbaar inkomen. Daar staat tegenover dat huishoudens profiteren van lage</w:t>
      </w:r>
      <w:r w:rsidR="00247436">
        <w:t>re</w:t>
      </w:r>
      <w:r w:rsidRPr="00BE68A0">
        <w:t xml:space="preserve"> prijzen van bijvoorbeeld een abonnement op de sportschool, een tijdschrift of een concert. Bij een verhoging van het lage btw-tarief hebben mensen een hoger besteedbaar inkomen, maar kunnen ze minder kopen doordat producten of diensten die onder het lage btw-tarief vallen duurder worden, doordat de btw van 9% naar 21% gaat. De uiteindelijke koopkrachtgevolgen hangen uiteraard ook af van het bestedingspatroon van huishoudens. </w:t>
      </w:r>
    </w:p>
    <w:p w:rsidRPr="00BE68A0" w:rsidR="00EF342E" w:rsidP="00C51B2B" w:rsidRDefault="00EF342E" w14:paraId="6734F29E" w14:textId="77777777">
      <w:pPr>
        <w:spacing w:line="360" w:lineRule="auto"/>
      </w:pPr>
    </w:p>
    <w:p w:rsidRPr="00BE68A0" w:rsidR="00EF342E" w:rsidP="00C51B2B" w:rsidRDefault="00EF342E" w14:paraId="7CDF50E7" w14:textId="04D7566C">
      <w:pPr>
        <w:spacing w:line="360" w:lineRule="auto"/>
      </w:pPr>
      <w:r w:rsidRPr="00BE68A0">
        <w:t xml:space="preserve">De beperkte toepassing van de inflatiecorrectie heeft onder andere gevolgen voor de bedragen van de heffingskortingen en de bedragen in de vierde kolom van de tabellen </w:t>
      </w:r>
      <w:r w:rsidRPr="00BE68A0" w:rsidR="003609A9">
        <w:t>voor</w:t>
      </w:r>
      <w:r w:rsidRPr="00BE68A0">
        <w:t xml:space="preserve"> de inkomstenbelasting die bepalen in welke tariefschijf een belastingplichtige valt. Er zijn echter meer bedragen die per 1 januari 2026 voor de inkomstenbelasting met deze afwijkende indexatiefactor worden geïndexeerd. Naast deze bedragen wordt de tabelcorrectiefactor voor de inkomstenbelasting onder andere ook gebruikt voor de grenzen in de kleinschaligheidsinvesteringsaftrek, de maximumbedragen voor de vrijstellingen van groen beleggen en van contant geld, de aanslag- en teruggavedrempel</w:t>
      </w:r>
      <w:r w:rsidR="007223BE">
        <w:t xml:space="preserve"> en</w:t>
      </w:r>
      <w:r w:rsidRPr="00BE68A0">
        <w:t xml:space="preserve"> de hoogste grens van de eigenwoningwaarde voor het eigenwoningforfait. </w:t>
      </w:r>
    </w:p>
    <w:p w:rsidRPr="00BE68A0" w:rsidR="00EF342E" w:rsidP="00C51B2B" w:rsidRDefault="00C51B2B" w14:paraId="5B2B72CD" w14:textId="23BBB79C">
      <w:pPr>
        <w:spacing w:line="360" w:lineRule="auto"/>
      </w:pPr>
      <w:r w:rsidRPr="00BE68A0">
        <w:t xml:space="preserve">Niet </w:t>
      </w:r>
      <w:r w:rsidRPr="00BE68A0" w:rsidR="00C64B69">
        <w:t xml:space="preserve">bij </w:t>
      </w:r>
      <w:r w:rsidRPr="00BE68A0">
        <w:t xml:space="preserve">alle bedragen </w:t>
      </w:r>
      <w:r w:rsidRPr="00BE68A0" w:rsidR="003609A9">
        <w:t>voor</w:t>
      </w:r>
      <w:r w:rsidRPr="00BE68A0">
        <w:t xml:space="preserve"> de inkomstenbelasting zorg</w:t>
      </w:r>
      <w:r w:rsidRPr="00BE68A0" w:rsidR="00C64B69">
        <w:t>t</w:t>
      </w:r>
      <w:r w:rsidRPr="00BE68A0">
        <w:t xml:space="preserve"> </w:t>
      </w:r>
      <w:r w:rsidRPr="00BE68A0" w:rsidR="00C64B69">
        <w:t>het</w:t>
      </w:r>
      <w:r w:rsidRPr="00BE68A0">
        <w:t xml:space="preserve"> niet of minder gecorrigeerd worden voor de inflatie</w:t>
      </w:r>
      <w:r w:rsidRPr="00BE68A0" w:rsidR="00C64B69">
        <w:t xml:space="preserve"> voor een opbrengst</w:t>
      </w:r>
      <w:r w:rsidRPr="00BE68A0">
        <w:t xml:space="preserve">. Denk bijvoorbeeld aan het bedrag van de verschuldigde belasting waarbij nog geen aanslag wordt opgelegd. De opbrengst van het minder indexeren van heffingskortingen en </w:t>
      </w:r>
      <w:r w:rsidRPr="00BE68A0" w:rsidR="00105945">
        <w:t xml:space="preserve">grenzen van </w:t>
      </w:r>
      <w:r w:rsidRPr="00BE68A0">
        <w:t xml:space="preserve">tariefschijven is echter vele malen hoger dan deze geringe derving. Het kabinet heeft er daarom voor gekozen om de beperking van het toepassen van de inflatiecorrectie </w:t>
      </w:r>
      <w:r w:rsidRPr="00BE68A0" w:rsidR="009128F8">
        <w:t>voor de</w:t>
      </w:r>
      <w:r w:rsidRPr="00BE68A0">
        <w:t xml:space="preserve"> inkomstenbelasting te laten gelden voor zover de bedragen geïndexeerd worden met de tabelcorrectiefactor. </w:t>
      </w:r>
      <w:bookmarkStart w:name="_Hlk203565273" w:id="8"/>
      <w:r w:rsidRPr="00BE68A0" w:rsidR="00F00477">
        <w:t xml:space="preserve">Dit geldt ook voor de daarmee corresponderende bedragen </w:t>
      </w:r>
      <w:r w:rsidRPr="00BE68A0" w:rsidR="00105945">
        <w:lastRenderedPageBreak/>
        <w:t>voor</w:t>
      </w:r>
      <w:r w:rsidRPr="00BE68A0" w:rsidR="00F00477">
        <w:t xml:space="preserve"> de loonbelasting. Daarom wordt voorgesteld dat de voor de loonbelasting geldende bedragen die aansluiten bij de voor de inkomstenbelasting geldende bedragen de facto eveneens met de hiervoor genoemde indexatiefactor van 1,01653</w:t>
      </w:r>
      <w:r w:rsidRPr="00BE68A0" w:rsidR="00F00477">
        <w:rPr>
          <w:vertAlign w:val="superscript"/>
        </w:rPr>
        <w:footnoteReference w:id="6"/>
      </w:r>
      <w:r w:rsidRPr="00BE68A0" w:rsidR="00F00477">
        <w:t xml:space="preserve"> worden geïndexeerd. Dit betreft de tarieftabellen en de heffingskortingen.</w:t>
      </w:r>
      <w:r w:rsidRPr="00BE68A0" w:rsidR="00F00477">
        <w:rPr>
          <w:vertAlign w:val="superscript"/>
        </w:rPr>
        <w:footnoteReference w:id="7"/>
      </w:r>
      <w:r w:rsidRPr="00BE68A0" w:rsidR="00F00477">
        <w:t xml:space="preserve"> </w:t>
      </w:r>
      <w:r w:rsidRPr="00BE68A0" w:rsidR="002E0D7D">
        <w:t xml:space="preserve">Omdat de loonbelasting een voorheffing is op de inkomstenbelasting is het van belang dat </w:t>
      </w:r>
      <w:r w:rsidRPr="00BE68A0" w:rsidR="00867E88">
        <w:t xml:space="preserve">de </w:t>
      </w:r>
      <w:r w:rsidRPr="00BE68A0" w:rsidR="002E0D7D">
        <w:t xml:space="preserve">bedragen </w:t>
      </w:r>
      <w:r w:rsidRPr="00BE68A0" w:rsidR="00105945">
        <w:t>voor</w:t>
      </w:r>
      <w:r w:rsidRPr="00BE68A0" w:rsidR="00867E88">
        <w:t xml:space="preserve"> de loonbelasting </w:t>
      </w:r>
      <w:r w:rsidRPr="00BE68A0" w:rsidR="002E0D7D">
        <w:t xml:space="preserve">aansluiten bij de </w:t>
      </w:r>
      <w:r w:rsidRPr="00BE68A0" w:rsidR="00867E88">
        <w:t xml:space="preserve">corresponderende </w:t>
      </w:r>
      <w:r w:rsidRPr="00BE68A0" w:rsidR="002E0D7D">
        <w:t>voor de inkomstenbelasting geldende bedragen</w:t>
      </w:r>
      <w:r w:rsidRPr="00BE68A0" w:rsidR="00867E88">
        <w:t>.</w:t>
      </w:r>
      <w:r w:rsidRPr="00BE68A0" w:rsidR="002E0D7D">
        <w:t xml:space="preserve"> </w:t>
      </w:r>
    </w:p>
    <w:p w:rsidRPr="00BE68A0" w:rsidR="00EF342E" w:rsidP="00C51B2B" w:rsidRDefault="00EF342E" w14:paraId="2598A8A6" w14:textId="77777777">
      <w:pPr>
        <w:spacing w:line="360" w:lineRule="auto"/>
      </w:pPr>
    </w:p>
    <w:p w:rsidRPr="00BE68A0" w:rsidR="00C51B2B" w:rsidP="00C51B2B" w:rsidRDefault="00C51B2B" w14:paraId="596E880E" w14:textId="2C62D4E3">
      <w:pPr>
        <w:spacing w:line="360" w:lineRule="auto"/>
      </w:pPr>
      <w:r w:rsidRPr="00BE68A0">
        <w:t>In het wetsvoorstel Belastingplan 2026</w:t>
      </w:r>
      <w:r w:rsidRPr="00BE68A0">
        <w:rPr>
          <w:vertAlign w:val="superscript"/>
        </w:rPr>
        <w:footnoteReference w:id="8"/>
      </w:r>
      <w:r w:rsidRPr="00BE68A0">
        <w:t xml:space="preserve"> wordt ook een beperking van de toepassing van de inflatiecorrectie voorgesteld. Deze twee wijzigingen samen betekenen dat de toe te passen inflatiecorrectie voor 2026 voor 52,</w:t>
      </w:r>
      <w:r w:rsidRPr="00BE68A0" w:rsidR="003E7F5C">
        <w:t>8</w:t>
      </w:r>
      <w:r w:rsidRPr="00BE68A0">
        <w:t>% wordt toegepast. In dat geval wordt de te hanteren indexatiefactor vastgesteld op 1,</w:t>
      </w:r>
      <w:r w:rsidRPr="00BE68A0" w:rsidR="003E7F5C">
        <w:t>015312</w:t>
      </w:r>
      <w:r w:rsidRPr="00BE68A0">
        <w:t>.</w:t>
      </w:r>
      <w:bookmarkEnd w:id="8"/>
      <w:r w:rsidRPr="00BE68A0">
        <w:t xml:space="preserve"> In dit wetsvoorstel wordt alleen de beperking geregeld die als dekking dient voor het behouden van het verlaagde btw-tarief op cultuur, media en sport. De daaruit volgende indexatiefactor is </w:t>
      </w:r>
      <w:r w:rsidRPr="00BE68A0" w:rsidR="00105945">
        <w:t xml:space="preserve">zoals gezegd </w:t>
      </w:r>
      <w:r w:rsidRPr="00BE68A0">
        <w:t>1,</w:t>
      </w:r>
      <w:r w:rsidRPr="00BE68A0" w:rsidR="003E7F5C">
        <w:t>01653</w:t>
      </w:r>
      <w:r w:rsidRPr="00BE68A0">
        <w:t>.</w:t>
      </w:r>
    </w:p>
    <w:p w:rsidRPr="00BE68A0" w:rsidR="00A20CC2" w:rsidP="00C90BD6" w:rsidRDefault="00A20CC2" w14:paraId="026CB0F0" w14:textId="77777777">
      <w:pPr>
        <w:spacing w:line="360" w:lineRule="auto"/>
      </w:pPr>
    </w:p>
    <w:p w:rsidRPr="00BE68A0" w:rsidR="003D70B4" w:rsidP="00C90BD6" w:rsidRDefault="003D70B4" w14:paraId="05F067AA" w14:textId="33C23D1B">
      <w:pPr>
        <w:pStyle w:val="Kop2"/>
        <w:spacing w:before="0"/>
      </w:pPr>
      <w:bookmarkStart w:name="_Toc208415310" w:id="9"/>
      <w:r w:rsidRPr="00BE68A0">
        <w:t>Doeltreffendheid, doelmatigheid en evaluatie</w:t>
      </w:r>
      <w:bookmarkEnd w:id="9"/>
    </w:p>
    <w:p w:rsidRPr="00BE68A0" w:rsidR="003D70B4" w:rsidP="00B55160" w:rsidRDefault="003D70B4" w14:paraId="5A7D58FA" w14:textId="53E67DCD">
      <w:pPr>
        <w:spacing w:line="360" w:lineRule="auto"/>
      </w:pPr>
      <w:r w:rsidRPr="00BE68A0">
        <w:t xml:space="preserve">Het doel is om </w:t>
      </w:r>
      <w:r w:rsidRPr="00BE68A0" w:rsidR="00B55160">
        <w:t xml:space="preserve">het verlaagde tarief op cultuur, media en sport te behouden. Dit wordt gedaan door de wettelijke maatregel die het tarief voor de betreffende posten zou verhogen van 9% naar 21% terug te draaien. </w:t>
      </w:r>
      <w:r w:rsidRPr="00BE68A0">
        <w:t xml:space="preserve">De voorgestelde wettelijke maatregel is daarin doeltreffend en doelmatig. </w:t>
      </w:r>
      <w:r w:rsidRPr="00BE68A0" w:rsidR="0097027B">
        <w:t xml:space="preserve">Ook de dekking door middel van een beperking van de toepassing van de tabelcorrectiefactor is doeltreffend en doelmatig. </w:t>
      </w:r>
      <w:r w:rsidRPr="00BE68A0">
        <w:t>Er wordt niet voorzien in een evaluatie.</w:t>
      </w:r>
    </w:p>
    <w:p w:rsidRPr="00BE68A0" w:rsidR="003D70B4" w:rsidP="003D70B4" w:rsidRDefault="003D70B4" w14:paraId="32570058" w14:textId="77777777"/>
    <w:p w:rsidRPr="00BE68A0" w:rsidR="00A7698D" w:rsidP="00C90BD6" w:rsidRDefault="001D223D" w14:paraId="5A855770" w14:textId="1D4BF486">
      <w:pPr>
        <w:pStyle w:val="Kop2"/>
        <w:spacing w:before="0"/>
      </w:pPr>
      <w:bookmarkStart w:name="_Toc208415311" w:id="10"/>
      <w:r w:rsidRPr="00BE68A0">
        <w:t>Budgettaire aspecten</w:t>
      </w:r>
      <w:bookmarkEnd w:id="10"/>
    </w:p>
    <w:p w:rsidRPr="00BE68A0" w:rsidR="007626AC" w:rsidP="007626AC" w:rsidRDefault="007D1286" w14:paraId="1C33253F" w14:textId="2C5BDF51">
      <w:pPr>
        <w:pStyle w:val="Huisstijl-Standaard"/>
        <w:spacing w:line="360" w:lineRule="auto"/>
        <w:rPr>
          <w:rFonts w:eastAsiaTheme="minorHAnsi"/>
          <w:szCs w:val="20"/>
          <w:lang w:eastAsia="en-US"/>
        </w:rPr>
      </w:pPr>
      <w:r w:rsidRPr="00BE68A0">
        <w:rPr>
          <w:rFonts w:eastAsiaTheme="minorHAnsi"/>
          <w:szCs w:val="20"/>
          <w:lang w:eastAsia="en-US"/>
        </w:rPr>
        <w:t>Het behoud van het verlaagde btw-tarief op cultuur, media en sport</w:t>
      </w:r>
      <w:r w:rsidRPr="00BE68A0" w:rsidR="00E9164F">
        <w:rPr>
          <w:rFonts w:eastAsiaTheme="minorHAnsi"/>
          <w:szCs w:val="20"/>
          <w:lang w:eastAsia="en-US"/>
        </w:rPr>
        <w:t xml:space="preserve"> levert een structurele derving op van</w:t>
      </w:r>
      <w:r w:rsidRPr="00BE68A0" w:rsidR="0091704B">
        <w:rPr>
          <w:rFonts w:eastAsiaTheme="minorHAnsi"/>
          <w:szCs w:val="20"/>
          <w:lang w:eastAsia="en-US"/>
        </w:rPr>
        <w:t xml:space="preserve"> </w:t>
      </w:r>
      <w:r w:rsidRPr="00BE68A0" w:rsidR="00AE2548">
        <w:rPr>
          <w:rFonts w:eastAsiaTheme="minorHAnsi"/>
          <w:szCs w:val="20"/>
          <w:lang w:eastAsia="en-US"/>
        </w:rPr>
        <w:t xml:space="preserve">€ </w:t>
      </w:r>
      <w:r w:rsidRPr="00BE68A0" w:rsidR="00E9164F">
        <w:rPr>
          <w:rFonts w:eastAsiaTheme="minorHAnsi"/>
          <w:szCs w:val="20"/>
          <w:lang w:eastAsia="en-US"/>
        </w:rPr>
        <w:t xml:space="preserve">1,3 miljard vanaf 2026. </w:t>
      </w:r>
      <w:r w:rsidRPr="00BE68A0" w:rsidR="007626AC">
        <w:rPr>
          <w:rFonts w:eastAsiaTheme="minorHAnsi"/>
          <w:szCs w:val="20"/>
          <w:lang w:eastAsia="en-US"/>
        </w:rPr>
        <w:t>Als dekking daarvoor wordt de reguliere inflatiecompensatie</w:t>
      </w:r>
      <w:r w:rsidRPr="00BE68A0" w:rsidR="00C51B2B">
        <w:t xml:space="preserve"> </w:t>
      </w:r>
      <w:r w:rsidRPr="00BE68A0" w:rsidR="00C51B2B">
        <w:rPr>
          <w:rFonts w:eastAsiaTheme="minorHAnsi"/>
          <w:szCs w:val="20"/>
          <w:lang w:eastAsia="en-US"/>
        </w:rPr>
        <w:t xml:space="preserve">voor </w:t>
      </w:r>
      <w:r w:rsidRPr="00BE68A0" w:rsidR="005E0CC1">
        <w:rPr>
          <w:rFonts w:eastAsiaTheme="minorHAnsi"/>
          <w:szCs w:val="20"/>
          <w:lang w:eastAsia="en-US"/>
        </w:rPr>
        <w:t xml:space="preserve">een aantal bedragen die gelden voor </w:t>
      </w:r>
      <w:r w:rsidRPr="00BE68A0" w:rsidR="00C51B2B">
        <w:rPr>
          <w:rFonts w:eastAsiaTheme="minorHAnsi"/>
          <w:szCs w:val="20"/>
          <w:lang w:eastAsia="en-US"/>
        </w:rPr>
        <w:t>de inkomstenbelasting</w:t>
      </w:r>
      <w:r w:rsidR="00247436">
        <w:rPr>
          <w:rFonts w:eastAsiaTheme="minorHAnsi"/>
          <w:szCs w:val="20"/>
          <w:lang w:eastAsia="en-US"/>
        </w:rPr>
        <w:t xml:space="preserve"> en</w:t>
      </w:r>
      <w:r w:rsidRPr="00BE68A0" w:rsidR="00C51B2B">
        <w:rPr>
          <w:rFonts w:eastAsiaTheme="minorHAnsi"/>
          <w:szCs w:val="20"/>
          <w:lang w:eastAsia="en-US"/>
        </w:rPr>
        <w:t xml:space="preserve"> de loonbelasting </w:t>
      </w:r>
      <w:r w:rsidRPr="00BE68A0" w:rsidR="007626AC">
        <w:rPr>
          <w:rFonts w:eastAsiaTheme="minorHAnsi"/>
          <w:szCs w:val="20"/>
          <w:lang w:eastAsia="en-US"/>
        </w:rPr>
        <w:t>per 1 januari 2026 slechts gedeeltelijk (</w:t>
      </w:r>
      <w:r w:rsidRPr="00BE68A0" w:rsidR="00407F29">
        <w:rPr>
          <w:rFonts w:eastAsiaTheme="minorHAnsi"/>
          <w:szCs w:val="20"/>
          <w:lang w:eastAsia="en-US"/>
        </w:rPr>
        <w:t>57%</w:t>
      </w:r>
      <w:r w:rsidRPr="00BE68A0" w:rsidR="007626AC">
        <w:rPr>
          <w:rFonts w:eastAsiaTheme="minorHAnsi"/>
          <w:szCs w:val="20"/>
          <w:lang w:eastAsia="en-US"/>
        </w:rPr>
        <w:t>) toegepast.</w:t>
      </w:r>
      <w:r w:rsidRPr="00BE68A0" w:rsidR="0091704B">
        <w:rPr>
          <w:rFonts w:eastAsiaTheme="minorHAnsi"/>
          <w:szCs w:val="20"/>
          <w:lang w:eastAsia="en-US"/>
        </w:rPr>
        <w:t xml:space="preserve"> </w:t>
      </w:r>
      <w:r w:rsidRPr="00BE68A0" w:rsidR="007626AC">
        <w:rPr>
          <w:rFonts w:eastAsiaTheme="minorHAnsi"/>
          <w:szCs w:val="20"/>
          <w:lang w:eastAsia="en-US"/>
        </w:rPr>
        <w:t xml:space="preserve">Dit betekent dat diverse parameters </w:t>
      </w:r>
      <w:r w:rsidRPr="00BE68A0" w:rsidR="003609A9">
        <w:rPr>
          <w:rFonts w:eastAsiaTheme="minorHAnsi"/>
          <w:szCs w:val="20"/>
          <w:lang w:eastAsia="en-US"/>
        </w:rPr>
        <w:t>voor</w:t>
      </w:r>
      <w:r w:rsidRPr="00BE68A0" w:rsidR="007626AC">
        <w:rPr>
          <w:rFonts w:eastAsiaTheme="minorHAnsi"/>
          <w:szCs w:val="20"/>
          <w:lang w:eastAsia="en-US"/>
        </w:rPr>
        <w:t xml:space="preserve"> de inkomstenbelasting, waaronder de </w:t>
      </w:r>
      <w:r w:rsidRPr="00BE68A0" w:rsidR="00105945">
        <w:rPr>
          <w:rFonts w:eastAsiaTheme="minorHAnsi"/>
          <w:szCs w:val="20"/>
          <w:lang w:eastAsia="en-US"/>
        </w:rPr>
        <w:t xml:space="preserve">grenzen van de </w:t>
      </w:r>
      <w:r w:rsidRPr="00BE68A0" w:rsidR="007626AC">
        <w:rPr>
          <w:rFonts w:eastAsiaTheme="minorHAnsi"/>
          <w:szCs w:val="20"/>
          <w:lang w:eastAsia="en-US"/>
        </w:rPr>
        <w:t>belasting</w:t>
      </w:r>
      <w:r w:rsidRPr="00BE68A0" w:rsidR="00105945">
        <w:rPr>
          <w:rFonts w:eastAsiaTheme="minorHAnsi"/>
          <w:szCs w:val="20"/>
          <w:lang w:eastAsia="en-US"/>
        </w:rPr>
        <w:t>schijven</w:t>
      </w:r>
      <w:r w:rsidRPr="00BE68A0" w:rsidR="007626AC">
        <w:rPr>
          <w:rFonts w:eastAsiaTheme="minorHAnsi"/>
          <w:szCs w:val="20"/>
          <w:lang w:eastAsia="en-US"/>
        </w:rPr>
        <w:t xml:space="preserve"> en </w:t>
      </w:r>
      <w:r w:rsidRPr="00BE68A0" w:rsidR="00105945">
        <w:rPr>
          <w:rFonts w:eastAsiaTheme="minorHAnsi"/>
          <w:szCs w:val="20"/>
          <w:lang w:eastAsia="en-US"/>
        </w:rPr>
        <w:t xml:space="preserve">de </w:t>
      </w:r>
      <w:r w:rsidRPr="00BE68A0" w:rsidR="007626AC">
        <w:rPr>
          <w:rFonts w:eastAsiaTheme="minorHAnsi"/>
          <w:szCs w:val="20"/>
          <w:lang w:eastAsia="en-US"/>
        </w:rPr>
        <w:t xml:space="preserve">heffingskortingen, niet volledig worden </w:t>
      </w:r>
      <w:r w:rsidRPr="00BE68A0" w:rsidR="00C51B2B">
        <w:rPr>
          <w:rFonts w:eastAsiaTheme="minorHAnsi"/>
          <w:szCs w:val="20"/>
          <w:lang w:eastAsia="en-US"/>
        </w:rPr>
        <w:t>aangepast aan de inflatie</w:t>
      </w:r>
      <w:r w:rsidRPr="00BE68A0" w:rsidR="0097027B">
        <w:rPr>
          <w:rFonts w:eastAsiaTheme="minorHAnsi"/>
          <w:szCs w:val="20"/>
          <w:lang w:eastAsia="en-US"/>
        </w:rPr>
        <w:t>.</w:t>
      </w:r>
      <w:r w:rsidRPr="00BE68A0" w:rsidR="00407F29">
        <w:rPr>
          <w:rFonts w:eastAsiaTheme="minorHAnsi"/>
          <w:szCs w:val="20"/>
          <w:lang w:eastAsia="en-US"/>
        </w:rPr>
        <w:t xml:space="preserve"> Er is sprake van jaarlijks €</w:t>
      </w:r>
      <w:r w:rsidRPr="00BE68A0" w:rsidR="00BA4BB0">
        <w:rPr>
          <w:rFonts w:eastAsiaTheme="minorHAnsi"/>
          <w:szCs w:val="20"/>
          <w:lang w:eastAsia="en-US"/>
        </w:rPr>
        <w:t> </w:t>
      </w:r>
      <w:r w:rsidRPr="00BE68A0" w:rsidR="00407F29">
        <w:rPr>
          <w:rFonts w:eastAsiaTheme="minorHAnsi"/>
          <w:szCs w:val="20"/>
          <w:lang w:eastAsia="en-US"/>
        </w:rPr>
        <w:t xml:space="preserve">9 miljoen overdekking omdat met het beperkt toepassen van de tabelcorrectiefactor niet op een exacte opbrengst in miljoenen gestuurd kan worden.  </w:t>
      </w:r>
    </w:p>
    <w:p w:rsidRPr="00BE68A0" w:rsidR="00204F95" w:rsidP="007626AC" w:rsidRDefault="00204F95" w14:paraId="1429512B" w14:textId="77777777">
      <w:pPr>
        <w:pStyle w:val="Huisstijl-Standaard"/>
        <w:spacing w:line="360" w:lineRule="auto"/>
        <w:rPr>
          <w:rFonts w:eastAsiaTheme="minorHAnsi"/>
          <w:szCs w:val="20"/>
          <w:lang w:eastAsia="en-US"/>
        </w:rPr>
      </w:pPr>
    </w:p>
    <w:p w:rsidRPr="00184C4A" w:rsidR="00871673" w:rsidP="00FC4B91" w:rsidRDefault="00871673" w14:paraId="09EB77B6" w14:textId="5E41B551">
      <w:pPr>
        <w:pStyle w:val="Bijschrift"/>
        <w:keepNext/>
        <w:rPr>
          <w:color w:val="auto"/>
          <w:sz w:val="16"/>
          <w:szCs w:val="16"/>
        </w:rPr>
      </w:pPr>
      <w:r w:rsidRPr="00184C4A">
        <w:rPr>
          <w:color w:val="auto"/>
          <w:sz w:val="16"/>
          <w:szCs w:val="16"/>
        </w:rPr>
        <w:t xml:space="preserve">Tabel </w:t>
      </w:r>
      <w:r w:rsidRPr="00184C4A">
        <w:rPr>
          <w:color w:val="auto"/>
          <w:sz w:val="16"/>
          <w:szCs w:val="16"/>
        </w:rPr>
        <w:fldChar w:fldCharType="begin"/>
      </w:r>
      <w:r w:rsidRPr="00184C4A">
        <w:rPr>
          <w:color w:val="auto"/>
          <w:sz w:val="16"/>
          <w:szCs w:val="16"/>
        </w:rPr>
        <w:instrText xml:space="preserve"> SEQ Tabel \* ARABIC </w:instrText>
      </w:r>
      <w:r w:rsidRPr="00184C4A">
        <w:rPr>
          <w:color w:val="auto"/>
          <w:sz w:val="16"/>
          <w:szCs w:val="16"/>
        </w:rPr>
        <w:fldChar w:fldCharType="separate"/>
      </w:r>
      <w:r w:rsidRPr="00184C4A" w:rsidR="00C85D2C">
        <w:rPr>
          <w:noProof/>
          <w:color w:val="auto"/>
          <w:sz w:val="16"/>
          <w:szCs w:val="16"/>
        </w:rPr>
        <w:t>1</w:t>
      </w:r>
      <w:r w:rsidRPr="00184C4A">
        <w:rPr>
          <w:color w:val="auto"/>
          <w:sz w:val="16"/>
          <w:szCs w:val="16"/>
        </w:rPr>
        <w:fldChar w:fldCharType="end"/>
      </w:r>
      <w:r w:rsidRPr="00184C4A">
        <w:rPr>
          <w:color w:val="auto"/>
          <w:sz w:val="16"/>
          <w:szCs w:val="16"/>
        </w:rPr>
        <w:t>: Budgettaire gevolgen</w:t>
      </w:r>
      <w:r w:rsidRPr="00184C4A" w:rsidR="004A35D8">
        <w:rPr>
          <w:color w:val="auto"/>
          <w:sz w:val="16"/>
          <w:szCs w:val="16"/>
        </w:rPr>
        <w:t xml:space="preserve"> per maatregel in € mln</w:t>
      </w:r>
      <w:r w:rsidRPr="00184C4A" w:rsidR="00407F29">
        <w:rPr>
          <w:color w:val="auto"/>
          <w:sz w:val="16"/>
          <w:szCs w:val="16"/>
        </w:rPr>
        <w:t xml:space="preserve"> in prijzen 2025</w:t>
      </w:r>
      <w:r w:rsidRPr="00184C4A" w:rsidR="004A35D8">
        <w:rPr>
          <w:color w:val="auto"/>
          <w:sz w:val="16"/>
          <w:szCs w:val="16"/>
        </w:rPr>
        <w:t>.</w:t>
      </w:r>
      <w:r w:rsidRPr="00184C4A" w:rsidR="004A35D8">
        <w:rPr>
          <w:rStyle w:val="Voetnootmarkering"/>
          <w:color w:val="auto"/>
          <w:sz w:val="16"/>
          <w:szCs w:val="16"/>
        </w:rPr>
        <w:footnoteReference w:id="9"/>
      </w:r>
    </w:p>
    <w:tbl>
      <w:tblPr>
        <w:tblStyle w:val="Rastertabel4-Accent1"/>
        <w:tblW w:w="0" w:type="auto"/>
        <w:tblLayout w:type="fixed"/>
        <w:tblLook w:val="04A0" w:firstRow="1" w:lastRow="0" w:firstColumn="1" w:lastColumn="0" w:noHBand="0" w:noVBand="1"/>
      </w:tblPr>
      <w:tblGrid>
        <w:gridCol w:w="4531"/>
        <w:gridCol w:w="851"/>
        <w:gridCol w:w="992"/>
        <w:gridCol w:w="851"/>
        <w:gridCol w:w="953"/>
        <w:gridCol w:w="884"/>
      </w:tblGrid>
      <w:tr w:rsidRPr="006329C1" w:rsidR="007626AC" w:rsidTr="00184C4A" w14:paraId="6A2FC79C" w14:textId="77777777">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6329C1" w:rsidR="004A35D8" w:rsidP="008127B4" w:rsidRDefault="007626AC" w14:paraId="2EAF3F82" w14:textId="55414E61">
            <w:pPr>
              <w:rPr>
                <w:rFonts w:eastAsia="Times New Roman" w:cs="Calibri"/>
                <w:b w:val="0"/>
                <w:bCs w:val="0"/>
                <w:sz w:val="16"/>
                <w:szCs w:val="16"/>
                <w:lang w:eastAsia="nl-NL"/>
              </w:rPr>
            </w:pPr>
            <w:r w:rsidRPr="006329C1">
              <w:rPr>
                <w:rFonts w:eastAsia="Times New Roman" w:cs="Calibri"/>
                <w:sz w:val="16"/>
                <w:szCs w:val="16"/>
                <w:lang w:eastAsia="nl-NL"/>
              </w:rPr>
              <w:t>Maatregel</w:t>
            </w:r>
          </w:p>
        </w:tc>
        <w:tc>
          <w:tcPr>
            <w:tcW w:w="851" w:type="dxa"/>
            <w:noWrap/>
            <w:hideMark/>
          </w:tcPr>
          <w:p w:rsidRPr="006329C1" w:rsidR="007626AC" w:rsidP="008127B4" w:rsidRDefault="007626AC" w14:paraId="4BCCDE41"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sz w:val="16"/>
                <w:szCs w:val="16"/>
                <w:lang w:eastAsia="nl-NL"/>
              </w:rPr>
            </w:pPr>
            <w:r w:rsidRPr="006329C1">
              <w:rPr>
                <w:rFonts w:eastAsia="Times New Roman" w:cs="Calibri"/>
                <w:sz w:val="16"/>
                <w:szCs w:val="16"/>
                <w:lang w:eastAsia="nl-NL"/>
              </w:rPr>
              <w:t>2026</w:t>
            </w:r>
          </w:p>
        </w:tc>
        <w:tc>
          <w:tcPr>
            <w:tcW w:w="992" w:type="dxa"/>
            <w:noWrap/>
            <w:hideMark/>
          </w:tcPr>
          <w:p w:rsidRPr="006329C1" w:rsidR="007626AC" w:rsidP="008127B4" w:rsidRDefault="007626AC" w14:paraId="0D773C55"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sz w:val="16"/>
                <w:szCs w:val="16"/>
                <w:lang w:eastAsia="nl-NL"/>
              </w:rPr>
            </w:pPr>
            <w:r w:rsidRPr="006329C1">
              <w:rPr>
                <w:rFonts w:eastAsia="Times New Roman" w:cs="Calibri"/>
                <w:sz w:val="16"/>
                <w:szCs w:val="16"/>
                <w:lang w:eastAsia="nl-NL"/>
              </w:rPr>
              <w:t>2027</w:t>
            </w:r>
          </w:p>
        </w:tc>
        <w:tc>
          <w:tcPr>
            <w:tcW w:w="851" w:type="dxa"/>
            <w:noWrap/>
            <w:hideMark/>
          </w:tcPr>
          <w:p w:rsidRPr="006329C1" w:rsidR="007626AC" w:rsidP="008127B4" w:rsidRDefault="007626AC" w14:paraId="32523EC1"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sz w:val="16"/>
                <w:szCs w:val="16"/>
                <w:lang w:eastAsia="nl-NL"/>
              </w:rPr>
            </w:pPr>
            <w:r w:rsidRPr="006329C1">
              <w:rPr>
                <w:rFonts w:eastAsia="Times New Roman" w:cs="Calibri"/>
                <w:sz w:val="16"/>
                <w:szCs w:val="16"/>
                <w:lang w:eastAsia="nl-NL"/>
              </w:rPr>
              <w:t>2028</w:t>
            </w:r>
          </w:p>
        </w:tc>
        <w:tc>
          <w:tcPr>
            <w:tcW w:w="953" w:type="dxa"/>
            <w:noWrap/>
            <w:hideMark/>
          </w:tcPr>
          <w:p w:rsidRPr="006329C1" w:rsidR="007626AC" w:rsidP="008127B4" w:rsidRDefault="007626AC" w14:paraId="183E3C98" w14:textId="77777777">
            <w:pPr>
              <w:cnfStyle w:val="100000000000" w:firstRow="1" w:lastRow="0" w:firstColumn="0" w:lastColumn="0" w:oddVBand="0" w:evenVBand="0" w:oddHBand="0" w:evenHBand="0" w:firstRowFirstColumn="0" w:firstRowLastColumn="0" w:lastRowFirstColumn="0" w:lastRowLastColumn="0"/>
              <w:rPr>
                <w:rFonts w:eastAsia="Times New Roman" w:cs="Calibri"/>
                <w:sz w:val="16"/>
                <w:szCs w:val="16"/>
                <w:lang w:eastAsia="nl-NL"/>
              </w:rPr>
            </w:pPr>
            <w:proofErr w:type="spellStart"/>
            <w:r w:rsidRPr="006329C1">
              <w:rPr>
                <w:rFonts w:eastAsia="Times New Roman" w:cs="Calibri"/>
                <w:sz w:val="16"/>
                <w:szCs w:val="16"/>
                <w:lang w:eastAsia="nl-NL"/>
              </w:rPr>
              <w:t>struc</w:t>
            </w:r>
            <w:proofErr w:type="spellEnd"/>
          </w:p>
        </w:tc>
        <w:tc>
          <w:tcPr>
            <w:tcW w:w="884" w:type="dxa"/>
            <w:noWrap/>
            <w:hideMark/>
          </w:tcPr>
          <w:p w:rsidRPr="006329C1" w:rsidR="007626AC" w:rsidP="008127B4" w:rsidRDefault="007626AC" w14:paraId="26A75BD3" w14:textId="77777777">
            <w:pPr>
              <w:cnfStyle w:val="100000000000" w:firstRow="1" w:lastRow="0" w:firstColumn="0" w:lastColumn="0" w:oddVBand="0" w:evenVBand="0" w:oddHBand="0" w:evenHBand="0" w:firstRowFirstColumn="0" w:firstRowLastColumn="0" w:lastRowFirstColumn="0" w:lastRowLastColumn="0"/>
              <w:rPr>
                <w:rFonts w:eastAsia="Times New Roman" w:cs="Calibri"/>
                <w:sz w:val="16"/>
                <w:szCs w:val="16"/>
                <w:lang w:eastAsia="nl-NL"/>
              </w:rPr>
            </w:pPr>
            <w:proofErr w:type="spellStart"/>
            <w:r w:rsidRPr="006329C1">
              <w:rPr>
                <w:rFonts w:eastAsia="Times New Roman" w:cs="Calibri"/>
                <w:sz w:val="16"/>
                <w:szCs w:val="16"/>
                <w:lang w:eastAsia="nl-NL"/>
              </w:rPr>
              <w:t>struc</w:t>
            </w:r>
            <w:proofErr w:type="spellEnd"/>
            <w:r w:rsidRPr="006329C1">
              <w:rPr>
                <w:rFonts w:eastAsia="Times New Roman" w:cs="Calibri"/>
                <w:sz w:val="16"/>
                <w:szCs w:val="16"/>
                <w:lang w:eastAsia="nl-NL"/>
              </w:rPr>
              <w:t xml:space="preserve"> in </w:t>
            </w:r>
          </w:p>
        </w:tc>
      </w:tr>
      <w:tr w:rsidRPr="006329C1" w:rsidR="007626AC" w:rsidTr="00184C4A" w14:paraId="5D31ECEB" w14:textId="7777777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6329C1" w:rsidR="007626AC" w:rsidP="008127B4" w:rsidRDefault="00A87704" w14:paraId="60BB1DCC" w14:textId="621940B2">
            <w:pPr>
              <w:rPr>
                <w:rFonts w:eastAsia="Times New Roman" w:cs="Calibri"/>
                <w:b w:val="0"/>
                <w:bCs w:val="0"/>
                <w:color w:val="000000"/>
                <w:sz w:val="16"/>
                <w:szCs w:val="16"/>
                <w:lang w:eastAsia="nl-NL"/>
              </w:rPr>
            </w:pPr>
            <w:r w:rsidRPr="006329C1">
              <w:rPr>
                <w:rFonts w:eastAsia="Times New Roman" w:cs="Calibri"/>
                <w:color w:val="000000"/>
                <w:sz w:val="16"/>
                <w:szCs w:val="16"/>
                <w:lang w:eastAsia="nl-NL"/>
              </w:rPr>
              <w:t>Behoud verlaagd</w:t>
            </w:r>
            <w:r w:rsidRPr="006329C1" w:rsidR="007626AC">
              <w:rPr>
                <w:rFonts w:eastAsia="Times New Roman" w:cs="Calibri"/>
                <w:color w:val="000000"/>
                <w:sz w:val="16"/>
                <w:szCs w:val="16"/>
                <w:lang w:eastAsia="nl-NL"/>
              </w:rPr>
              <w:t xml:space="preserve"> btw-</w:t>
            </w:r>
            <w:r w:rsidRPr="006329C1">
              <w:rPr>
                <w:rFonts w:eastAsia="Times New Roman" w:cs="Calibri"/>
                <w:color w:val="000000"/>
                <w:sz w:val="16"/>
                <w:szCs w:val="16"/>
                <w:lang w:eastAsia="nl-NL"/>
              </w:rPr>
              <w:t>tarief</w:t>
            </w:r>
            <w:r w:rsidRPr="006329C1" w:rsidR="007626AC">
              <w:rPr>
                <w:rFonts w:eastAsia="Times New Roman" w:cs="Calibri"/>
                <w:color w:val="000000"/>
                <w:sz w:val="16"/>
                <w:szCs w:val="16"/>
                <w:lang w:eastAsia="nl-NL"/>
              </w:rPr>
              <w:t xml:space="preserve"> cultuur, media en sport</w:t>
            </w:r>
          </w:p>
        </w:tc>
        <w:tc>
          <w:tcPr>
            <w:tcW w:w="851" w:type="dxa"/>
            <w:noWrap/>
            <w:hideMark/>
          </w:tcPr>
          <w:p w:rsidRPr="006329C1" w:rsidR="007626AC" w:rsidP="0091704B" w:rsidRDefault="007626AC" w14:paraId="28C6C1F3" w14:textId="6D76253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6329C1">
              <w:rPr>
                <w:rFonts w:eastAsia="Times New Roman" w:cs="Calibri"/>
                <w:color w:val="000000"/>
                <w:sz w:val="16"/>
                <w:szCs w:val="16"/>
                <w:lang w:eastAsia="nl-NL"/>
              </w:rPr>
              <w:t>-1</w:t>
            </w:r>
            <w:r w:rsidRPr="006329C1" w:rsidR="00F513E7">
              <w:rPr>
                <w:rFonts w:eastAsia="Times New Roman" w:cs="Calibri"/>
                <w:color w:val="000000"/>
                <w:sz w:val="16"/>
                <w:szCs w:val="16"/>
                <w:lang w:eastAsia="nl-NL"/>
              </w:rPr>
              <w:t>291</w:t>
            </w:r>
          </w:p>
        </w:tc>
        <w:tc>
          <w:tcPr>
            <w:tcW w:w="992" w:type="dxa"/>
            <w:noWrap/>
            <w:hideMark/>
          </w:tcPr>
          <w:p w:rsidRPr="006329C1" w:rsidR="007626AC" w:rsidP="0091704B" w:rsidRDefault="007626AC" w14:paraId="6C0B3D4C" w14:textId="687E68E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6329C1">
              <w:rPr>
                <w:rFonts w:eastAsia="Times New Roman" w:cs="Calibri"/>
                <w:color w:val="000000"/>
                <w:sz w:val="16"/>
                <w:szCs w:val="16"/>
                <w:lang w:eastAsia="nl-NL"/>
              </w:rPr>
              <w:t>-1</w:t>
            </w:r>
            <w:r w:rsidRPr="006329C1" w:rsidR="00F513E7">
              <w:rPr>
                <w:rFonts w:eastAsia="Times New Roman" w:cs="Calibri"/>
                <w:color w:val="000000"/>
                <w:sz w:val="16"/>
                <w:szCs w:val="16"/>
                <w:lang w:eastAsia="nl-NL"/>
              </w:rPr>
              <w:t>291</w:t>
            </w:r>
          </w:p>
        </w:tc>
        <w:tc>
          <w:tcPr>
            <w:tcW w:w="851" w:type="dxa"/>
            <w:noWrap/>
            <w:hideMark/>
          </w:tcPr>
          <w:p w:rsidRPr="006329C1" w:rsidR="007626AC" w:rsidP="0091704B" w:rsidRDefault="007626AC" w14:paraId="063B8B64" w14:textId="548B2921">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6329C1">
              <w:rPr>
                <w:rFonts w:eastAsia="Times New Roman" w:cs="Calibri"/>
                <w:color w:val="000000"/>
                <w:sz w:val="16"/>
                <w:szCs w:val="16"/>
                <w:lang w:eastAsia="nl-NL"/>
              </w:rPr>
              <w:t>-1</w:t>
            </w:r>
            <w:r w:rsidRPr="006329C1" w:rsidR="00F513E7">
              <w:rPr>
                <w:rFonts w:eastAsia="Times New Roman" w:cs="Calibri"/>
                <w:color w:val="000000"/>
                <w:sz w:val="16"/>
                <w:szCs w:val="16"/>
                <w:lang w:eastAsia="nl-NL"/>
              </w:rPr>
              <w:t>291</w:t>
            </w:r>
          </w:p>
        </w:tc>
        <w:tc>
          <w:tcPr>
            <w:tcW w:w="953" w:type="dxa"/>
            <w:noWrap/>
            <w:hideMark/>
          </w:tcPr>
          <w:p w:rsidRPr="006329C1" w:rsidR="007626AC" w:rsidP="0091704B" w:rsidRDefault="007626AC" w14:paraId="355F3BB1" w14:textId="79B5AE34">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6329C1">
              <w:rPr>
                <w:rFonts w:eastAsia="Times New Roman" w:cs="Calibri"/>
                <w:color w:val="000000"/>
                <w:sz w:val="16"/>
                <w:szCs w:val="16"/>
                <w:lang w:eastAsia="nl-NL"/>
              </w:rPr>
              <w:t>-1</w:t>
            </w:r>
            <w:r w:rsidRPr="006329C1" w:rsidR="00F513E7">
              <w:rPr>
                <w:rFonts w:eastAsia="Times New Roman" w:cs="Calibri"/>
                <w:color w:val="000000"/>
                <w:sz w:val="16"/>
                <w:szCs w:val="16"/>
                <w:lang w:eastAsia="nl-NL"/>
              </w:rPr>
              <w:t>291</w:t>
            </w:r>
          </w:p>
        </w:tc>
        <w:tc>
          <w:tcPr>
            <w:tcW w:w="884" w:type="dxa"/>
            <w:noWrap/>
            <w:hideMark/>
          </w:tcPr>
          <w:p w:rsidRPr="006329C1" w:rsidR="007626AC" w:rsidP="0091704B" w:rsidRDefault="007626AC" w14:paraId="2181D044"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6329C1">
              <w:rPr>
                <w:rFonts w:eastAsia="Times New Roman" w:cs="Calibri"/>
                <w:color w:val="000000"/>
                <w:sz w:val="16"/>
                <w:szCs w:val="16"/>
                <w:lang w:eastAsia="nl-NL"/>
              </w:rPr>
              <w:t>2028</w:t>
            </w:r>
          </w:p>
        </w:tc>
      </w:tr>
      <w:tr w:rsidRPr="006329C1" w:rsidR="007626AC" w:rsidTr="00184C4A" w14:paraId="1F7F6255" w14:textId="77777777">
        <w:trPr>
          <w:trHeight w:val="306"/>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6329C1" w:rsidR="007626AC" w:rsidP="008127B4" w:rsidRDefault="007626AC" w14:paraId="30A9F880" w14:textId="2E4DA71B">
            <w:pPr>
              <w:rPr>
                <w:rFonts w:eastAsia="Times New Roman" w:cs="Calibri"/>
                <w:b w:val="0"/>
                <w:bCs w:val="0"/>
                <w:color w:val="000000"/>
                <w:sz w:val="16"/>
                <w:szCs w:val="16"/>
                <w:lang w:eastAsia="nl-NL"/>
              </w:rPr>
            </w:pPr>
            <w:r w:rsidRPr="006329C1">
              <w:rPr>
                <w:rFonts w:eastAsia="Times New Roman" w:cs="Calibri"/>
                <w:color w:val="000000"/>
                <w:sz w:val="16"/>
                <w:szCs w:val="16"/>
                <w:lang w:eastAsia="nl-NL"/>
              </w:rPr>
              <w:t xml:space="preserve">Voor </w:t>
            </w:r>
            <w:r w:rsidRPr="006329C1" w:rsidR="00407F29">
              <w:rPr>
                <w:rFonts w:eastAsia="Times New Roman" w:cs="Calibri"/>
                <w:color w:val="000000"/>
                <w:sz w:val="16"/>
                <w:szCs w:val="16"/>
                <w:lang w:eastAsia="nl-NL"/>
              </w:rPr>
              <w:t>57</w:t>
            </w:r>
            <w:r w:rsidRPr="006329C1">
              <w:rPr>
                <w:rFonts w:eastAsia="Times New Roman" w:cs="Calibri"/>
                <w:color w:val="000000"/>
                <w:sz w:val="16"/>
                <w:szCs w:val="16"/>
                <w:lang w:eastAsia="nl-NL"/>
              </w:rPr>
              <w:t xml:space="preserve">% toepassen van de tabelcorrectiefactor </w:t>
            </w:r>
            <w:r w:rsidRPr="006329C1" w:rsidR="00105945">
              <w:rPr>
                <w:rFonts w:eastAsia="Times New Roman" w:cs="Calibri"/>
                <w:color w:val="000000"/>
                <w:sz w:val="16"/>
                <w:szCs w:val="16"/>
                <w:lang w:eastAsia="nl-NL"/>
              </w:rPr>
              <w:t>voor</w:t>
            </w:r>
            <w:r w:rsidRPr="006329C1">
              <w:rPr>
                <w:rFonts w:eastAsia="Times New Roman" w:cs="Calibri"/>
                <w:color w:val="000000"/>
                <w:sz w:val="16"/>
                <w:szCs w:val="16"/>
                <w:lang w:eastAsia="nl-NL"/>
              </w:rPr>
              <w:t xml:space="preserve"> de IB</w:t>
            </w:r>
            <w:r w:rsidRPr="006329C1" w:rsidR="00247436">
              <w:rPr>
                <w:rFonts w:eastAsia="Times New Roman" w:cs="Calibri"/>
                <w:color w:val="000000"/>
                <w:sz w:val="16"/>
                <w:szCs w:val="16"/>
                <w:lang w:eastAsia="nl-NL"/>
              </w:rPr>
              <w:t xml:space="preserve"> en</w:t>
            </w:r>
            <w:r w:rsidRPr="006329C1" w:rsidR="00105945">
              <w:rPr>
                <w:rFonts w:eastAsia="Times New Roman" w:cs="Calibri"/>
                <w:color w:val="000000"/>
                <w:sz w:val="16"/>
                <w:szCs w:val="16"/>
                <w:lang w:eastAsia="nl-NL"/>
              </w:rPr>
              <w:t xml:space="preserve"> de LB</w:t>
            </w:r>
          </w:p>
        </w:tc>
        <w:tc>
          <w:tcPr>
            <w:tcW w:w="851" w:type="dxa"/>
            <w:noWrap/>
            <w:hideMark/>
          </w:tcPr>
          <w:p w:rsidRPr="006329C1" w:rsidR="007626AC" w:rsidP="0091704B" w:rsidRDefault="007626AC" w14:paraId="6F92859F" w14:textId="60E2D792">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6329C1">
              <w:rPr>
                <w:rFonts w:eastAsia="Times New Roman" w:cs="Calibri"/>
                <w:color w:val="000000"/>
                <w:sz w:val="16"/>
                <w:szCs w:val="16"/>
                <w:lang w:eastAsia="nl-NL"/>
              </w:rPr>
              <w:t> </w:t>
            </w:r>
            <w:r w:rsidRPr="006329C1" w:rsidR="00407F29">
              <w:rPr>
                <w:rFonts w:eastAsia="Times New Roman" w:cs="Calibri"/>
                <w:color w:val="000000"/>
                <w:sz w:val="16"/>
                <w:szCs w:val="16"/>
                <w:lang w:eastAsia="nl-NL"/>
              </w:rPr>
              <w:t>1300</w:t>
            </w:r>
          </w:p>
        </w:tc>
        <w:tc>
          <w:tcPr>
            <w:tcW w:w="992" w:type="dxa"/>
            <w:noWrap/>
            <w:hideMark/>
          </w:tcPr>
          <w:p w:rsidRPr="006329C1" w:rsidR="007626AC" w:rsidP="0091704B" w:rsidRDefault="007626AC" w14:paraId="631D14ED" w14:textId="150F69F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6329C1">
              <w:rPr>
                <w:rFonts w:eastAsia="Times New Roman" w:cs="Calibri"/>
                <w:color w:val="000000"/>
                <w:sz w:val="16"/>
                <w:szCs w:val="16"/>
                <w:lang w:eastAsia="nl-NL"/>
              </w:rPr>
              <w:t> </w:t>
            </w:r>
            <w:r w:rsidRPr="006329C1" w:rsidR="00407F29">
              <w:rPr>
                <w:rFonts w:eastAsia="Times New Roman" w:cs="Calibri"/>
                <w:color w:val="000000"/>
                <w:sz w:val="16"/>
                <w:szCs w:val="16"/>
                <w:lang w:eastAsia="nl-NL"/>
              </w:rPr>
              <w:t>1300</w:t>
            </w:r>
          </w:p>
        </w:tc>
        <w:tc>
          <w:tcPr>
            <w:tcW w:w="851" w:type="dxa"/>
            <w:noWrap/>
            <w:hideMark/>
          </w:tcPr>
          <w:p w:rsidRPr="006329C1" w:rsidR="007626AC" w:rsidP="0091704B" w:rsidRDefault="007626AC" w14:paraId="6DB8C527" w14:textId="0CD5B3C3">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6329C1">
              <w:rPr>
                <w:rFonts w:eastAsia="Times New Roman" w:cs="Calibri"/>
                <w:color w:val="000000"/>
                <w:sz w:val="16"/>
                <w:szCs w:val="16"/>
                <w:lang w:eastAsia="nl-NL"/>
              </w:rPr>
              <w:t> </w:t>
            </w:r>
            <w:r w:rsidRPr="006329C1" w:rsidR="00407F29">
              <w:rPr>
                <w:rFonts w:eastAsia="Times New Roman" w:cs="Calibri"/>
                <w:color w:val="000000"/>
                <w:sz w:val="16"/>
                <w:szCs w:val="16"/>
                <w:lang w:eastAsia="nl-NL"/>
              </w:rPr>
              <w:t>1300</w:t>
            </w:r>
          </w:p>
        </w:tc>
        <w:tc>
          <w:tcPr>
            <w:tcW w:w="953" w:type="dxa"/>
            <w:noWrap/>
            <w:hideMark/>
          </w:tcPr>
          <w:p w:rsidRPr="006329C1" w:rsidR="007626AC" w:rsidP="0091704B" w:rsidRDefault="007626AC" w14:paraId="64704913" w14:textId="1B151C0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6329C1">
              <w:rPr>
                <w:rFonts w:eastAsia="Times New Roman" w:cs="Calibri"/>
                <w:color w:val="000000"/>
                <w:sz w:val="16"/>
                <w:szCs w:val="16"/>
                <w:lang w:eastAsia="nl-NL"/>
              </w:rPr>
              <w:t> </w:t>
            </w:r>
            <w:r w:rsidRPr="006329C1" w:rsidR="00407F29">
              <w:rPr>
                <w:rFonts w:eastAsia="Times New Roman" w:cs="Calibri"/>
                <w:color w:val="000000"/>
                <w:sz w:val="16"/>
                <w:szCs w:val="16"/>
                <w:lang w:eastAsia="nl-NL"/>
              </w:rPr>
              <w:t>1300</w:t>
            </w:r>
          </w:p>
        </w:tc>
        <w:tc>
          <w:tcPr>
            <w:tcW w:w="884" w:type="dxa"/>
            <w:noWrap/>
            <w:hideMark/>
          </w:tcPr>
          <w:p w:rsidRPr="006329C1" w:rsidR="007626AC" w:rsidP="0091704B" w:rsidRDefault="007626AC" w14:paraId="42B04AEC" w14:textId="5937321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6329C1">
              <w:rPr>
                <w:rFonts w:eastAsia="Times New Roman" w:cs="Calibri"/>
                <w:color w:val="000000"/>
                <w:sz w:val="16"/>
                <w:szCs w:val="16"/>
                <w:lang w:eastAsia="nl-NL"/>
              </w:rPr>
              <w:t> 2028</w:t>
            </w:r>
          </w:p>
        </w:tc>
      </w:tr>
      <w:tr w:rsidRPr="006329C1" w:rsidR="007626AC" w:rsidTr="00184C4A" w14:paraId="629DCBEC" w14:textId="7777777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6329C1" w:rsidR="007626AC" w:rsidP="008127B4" w:rsidRDefault="007626AC" w14:paraId="5E837B10" w14:textId="77777777">
            <w:pPr>
              <w:rPr>
                <w:rFonts w:eastAsia="Times New Roman" w:cs="Calibri"/>
                <w:color w:val="000000"/>
                <w:sz w:val="16"/>
                <w:szCs w:val="16"/>
                <w:lang w:eastAsia="nl-NL"/>
              </w:rPr>
            </w:pPr>
            <w:r w:rsidRPr="006329C1">
              <w:rPr>
                <w:rFonts w:eastAsia="Times New Roman" w:cs="Calibri"/>
                <w:color w:val="000000"/>
                <w:sz w:val="16"/>
                <w:szCs w:val="16"/>
                <w:lang w:eastAsia="nl-NL"/>
              </w:rPr>
              <w:t>Totaal</w:t>
            </w:r>
          </w:p>
        </w:tc>
        <w:tc>
          <w:tcPr>
            <w:tcW w:w="851" w:type="dxa"/>
            <w:noWrap/>
            <w:hideMark/>
          </w:tcPr>
          <w:p w:rsidRPr="006329C1" w:rsidR="007626AC" w:rsidP="0091704B" w:rsidRDefault="007626AC" w14:paraId="4036AFAA" w14:textId="13E0F982">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6329C1">
              <w:rPr>
                <w:rFonts w:eastAsia="Times New Roman" w:cs="Calibri"/>
                <w:color w:val="000000"/>
                <w:sz w:val="16"/>
                <w:szCs w:val="16"/>
                <w:lang w:eastAsia="nl-NL"/>
              </w:rPr>
              <w:t> </w:t>
            </w:r>
            <w:r w:rsidRPr="006329C1" w:rsidR="00407F29">
              <w:rPr>
                <w:rFonts w:eastAsia="Times New Roman" w:cs="Calibri"/>
                <w:color w:val="000000"/>
                <w:sz w:val="16"/>
                <w:szCs w:val="16"/>
                <w:lang w:eastAsia="nl-NL"/>
              </w:rPr>
              <w:t>9</w:t>
            </w:r>
            <w:r w:rsidRPr="006329C1" w:rsidR="0091704B">
              <w:rPr>
                <w:rFonts w:eastAsia="Times New Roman" w:cs="Calibri"/>
                <w:color w:val="000000"/>
                <w:sz w:val="16"/>
                <w:szCs w:val="16"/>
                <w:lang w:eastAsia="nl-NL"/>
              </w:rPr>
              <w:t xml:space="preserve"> </w:t>
            </w:r>
          </w:p>
        </w:tc>
        <w:tc>
          <w:tcPr>
            <w:tcW w:w="992" w:type="dxa"/>
            <w:noWrap/>
            <w:hideMark/>
          </w:tcPr>
          <w:p w:rsidRPr="006329C1" w:rsidR="007626AC" w:rsidP="0091704B" w:rsidRDefault="00407F29" w14:paraId="0CFDE733" w14:textId="38D0B63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6329C1">
              <w:rPr>
                <w:rFonts w:eastAsia="Times New Roman" w:cs="Calibri"/>
                <w:color w:val="000000"/>
                <w:sz w:val="16"/>
                <w:szCs w:val="16"/>
                <w:lang w:eastAsia="nl-NL"/>
              </w:rPr>
              <w:t>9</w:t>
            </w:r>
          </w:p>
        </w:tc>
        <w:tc>
          <w:tcPr>
            <w:tcW w:w="851" w:type="dxa"/>
            <w:noWrap/>
            <w:hideMark/>
          </w:tcPr>
          <w:p w:rsidRPr="006329C1" w:rsidR="007626AC" w:rsidP="0091704B" w:rsidRDefault="00407F29" w14:paraId="039B4C39" w14:textId="39EB021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6329C1">
              <w:rPr>
                <w:rFonts w:eastAsia="Times New Roman" w:cs="Calibri"/>
                <w:color w:val="000000"/>
                <w:sz w:val="16"/>
                <w:szCs w:val="16"/>
                <w:lang w:eastAsia="nl-NL"/>
              </w:rPr>
              <w:t>9</w:t>
            </w:r>
          </w:p>
        </w:tc>
        <w:tc>
          <w:tcPr>
            <w:tcW w:w="953" w:type="dxa"/>
            <w:noWrap/>
            <w:hideMark/>
          </w:tcPr>
          <w:p w:rsidRPr="006329C1" w:rsidR="007626AC" w:rsidP="0091704B" w:rsidRDefault="00407F29" w14:paraId="77C7DF20" w14:textId="07BD2433">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6329C1">
              <w:rPr>
                <w:rFonts w:eastAsia="Times New Roman" w:cs="Calibri"/>
                <w:color w:val="000000"/>
                <w:sz w:val="16"/>
                <w:szCs w:val="16"/>
                <w:lang w:eastAsia="nl-NL"/>
              </w:rPr>
              <w:t>9</w:t>
            </w:r>
          </w:p>
        </w:tc>
        <w:tc>
          <w:tcPr>
            <w:tcW w:w="884" w:type="dxa"/>
            <w:noWrap/>
            <w:hideMark/>
          </w:tcPr>
          <w:p w:rsidRPr="006329C1" w:rsidR="007626AC" w:rsidP="0091704B" w:rsidRDefault="007626AC" w14:paraId="49C7C636" w14:textId="263B18A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6329C1">
              <w:rPr>
                <w:rFonts w:eastAsia="Times New Roman" w:cs="Calibri"/>
                <w:color w:val="000000"/>
                <w:sz w:val="16"/>
                <w:szCs w:val="16"/>
                <w:lang w:eastAsia="nl-NL"/>
              </w:rPr>
              <w:t> 2028</w:t>
            </w:r>
          </w:p>
        </w:tc>
      </w:tr>
    </w:tbl>
    <w:p w:rsidRPr="00BE68A0" w:rsidR="008127B4" w:rsidP="00E9164F" w:rsidRDefault="008127B4" w14:paraId="3E94D053" w14:textId="77777777">
      <w:pPr>
        <w:pStyle w:val="Huisstijl-Standaard"/>
        <w:spacing w:line="360" w:lineRule="auto"/>
        <w:rPr>
          <w:rFonts w:eastAsiaTheme="minorHAnsi"/>
          <w:szCs w:val="20"/>
          <w:lang w:eastAsia="en-US"/>
        </w:rPr>
      </w:pPr>
    </w:p>
    <w:p w:rsidRPr="00BE68A0" w:rsidR="002D3364" w:rsidP="00C90BD6" w:rsidRDefault="002D3364" w14:paraId="2F0CD22B" w14:textId="77777777">
      <w:pPr>
        <w:spacing w:line="360" w:lineRule="auto"/>
      </w:pPr>
    </w:p>
    <w:p w:rsidRPr="00BE68A0" w:rsidR="001D223D" w:rsidP="00C90BD6" w:rsidRDefault="001D223D" w14:paraId="5175D5C1" w14:textId="6724CC74">
      <w:pPr>
        <w:pStyle w:val="Kop2"/>
        <w:spacing w:before="0"/>
      </w:pPr>
      <w:bookmarkStart w:name="_Toc208415312" w:id="11"/>
      <w:r w:rsidRPr="00BE68A0">
        <w:t>Grenseffecten</w:t>
      </w:r>
      <w:bookmarkEnd w:id="11"/>
    </w:p>
    <w:p w:rsidRPr="00BE68A0" w:rsidR="00E27183" w:rsidP="00B6750E" w:rsidRDefault="00B6750E" w14:paraId="09C463F9" w14:textId="7E227032">
      <w:pPr>
        <w:spacing w:line="360" w:lineRule="auto"/>
      </w:pPr>
      <w:r w:rsidRPr="00BE68A0">
        <w:t xml:space="preserve">Bij </w:t>
      </w:r>
      <w:r w:rsidRPr="00BE68A0" w:rsidR="004E35D1">
        <w:t xml:space="preserve">de behandeling van </w:t>
      </w:r>
      <w:r w:rsidRPr="00BE68A0">
        <w:t xml:space="preserve">het </w:t>
      </w:r>
      <w:r w:rsidRPr="00BE68A0" w:rsidR="006F2A9D">
        <w:t>BP</w:t>
      </w:r>
      <w:r w:rsidRPr="00BE68A0">
        <w:t xml:space="preserve"> 2025 is</w:t>
      </w:r>
      <w:r w:rsidRPr="00BE68A0" w:rsidR="006216A4">
        <w:t xml:space="preserve"> </w:t>
      </w:r>
      <w:r w:rsidRPr="00BE68A0">
        <w:t xml:space="preserve">aangegeven dat als gevolg van eventuele prijsverhogingen niet valt uit te sluiten dat consumenten in sommige gevallen </w:t>
      </w:r>
      <w:r w:rsidRPr="00BE68A0" w:rsidR="002950EE">
        <w:t xml:space="preserve">ervoor zullen kiezen om </w:t>
      </w:r>
      <w:r w:rsidRPr="00BE68A0">
        <w:t xml:space="preserve">bijvoorbeeld kunst, boeken of andere culturele activiteiten </w:t>
      </w:r>
      <w:r w:rsidRPr="00BE68A0" w:rsidR="002950EE">
        <w:t>elders (buiten Nederland) aan te schaffen</w:t>
      </w:r>
      <w:r w:rsidRPr="00BE68A0" w:rsidR="00FC2111">
        <w:t xml:space="preserve"> of te bezoeken</w:t>
      </w:r>
      <w:r w:rsidRPr="00BE68A0">
        <w:t xml:space="preserve">. Hoewel de exacte omvang en impact van deze grenseffecten niet te kwantificeren zijn vanwege een veelvoud aan factoren die dergelijke beslissingen beïnvloeden, zullen deze effecten zich als gevolg van het afzien van de btw-verhoging voor deze goederen en diensten niet </w:t>
      </w:r>
      <w:r w:rsidRPr="00BE68A0" w:rsidR="00E53C02">
        <w:t xml:space="preserve">langer </w:t>
      </w:r>
      <w:r w:rsidRPr="00BE68A0">
        <w:t>voordoen.</w:t>
      </w:r>
    </w:p>
    <w:p w:rsidRPr="00BE68A0" w:rsidR="00A10EF2" w:rsidP="00B6750E" w:rsidRDefault="00A10EF2" w14:paraId="2F34A528" w14:textId="77777777">
      <w:pPr>
        <w:spacing w:line="360" w:lineRule="auto"/>
      </w:pPr>
    </w:p>
    <w:p w:rsidRPr="00BE68A0" w:rsidR="00A10EF2" w:rsidP="00B6750E" w:rsidRDefault="00A10EF2" w14:paraId="46D0CBAF" w14:textId="238CD5E5">
      <w:pPr>
        <w:spacing w:line="360" w:lineRule="auto"/>
      </w:pPr>
      <w:bookmarkStart w:name="_Hlk198106778" w:id="12"/>
      <w:r w:rsidRPr="00BE68A0">
        <w:t xml:space="preserve">Aan het beperkt toepassen van de tabelcorrectiefactor </w:t>
      </w:r>
      <w:r w:rsidRPr="00BE68A0" w:rsidR="003609A9">
        <w:t>voor</w:t>
      </w:r>
      <w:r w:rsidRPr="00BE68A0">
        <w:t xml:space="preserve"> de inkomstenbelasting zitten g</w:t>
      </w:r>
      <w:r w:rsidRPr="00BE68A0" w:rsidR="00C95DBD">
        <w:t>ee</w:t>
      </w:r>
      <w:r w:rsidRPr="00BE68A0">
        <w:t xml:space="preserve">n </w:t>
      </w:r>
      <w:r w:rsidRPr="00BE68A0" w:rsidR="004E35D1">
        <w:t xml:space="preserve">noemenswaardige </w:t>
      </w:r>
      <w:r w:rsidRPr="00BE68A0">
        <w:t>grenseffecten</w:t>
      </w:r>
      <w:r w:rsidRPr="00BE68A0" w:rsidR="002950EE">
        <w:t>.</w:t>
      </w:r>
    </w:p>
    <w:bookmarkEnd w:id="12"/>
    <w:p w:rsidRPr="00BE68A0" w:rsidR="00E27183" w:rsidP="00C90BD6" w:rsidRDefault="00E27183" w14:paraId="6D391E74" w14:textId="77777777">
      <w:pPr>
        <w:spacing w:line="360" w:lineRule="auto"/>
      </w:pPr>
    </w:p>
    <w:p w:rsidRPr="00BE68A0" w:rsidR="001D223D" w:rsidP="00C90BD6" w:rsidRDefault="001D223D" w14:paraId="46BB268A" w14:textId="6A28CB3B">
      <w:pPr>
        <w:pStyle w:val="Kop2"/>
        <w:spacing w:before="0"/>
      </w:pPr>
      <w:bookmarkStart w:name="_Toc208415313" w:id="13"/>
      <w:r w:rsidRPr="00BE68A0">
        <w:t>EU-aspecten</w:t>
      </w:r>
      <w:bookmarkEnd w:id="13"/>
    </w:p>
    <w:p w:rsidRPr="00BE68A0" w:rsidR="00B6750E" w:rsidP="002D3364" w:rsidRDefault="00B6750E" w14:paraId="0250D0D9" w14:textId="77BE8E2F">
      <w:pPr>
        <w:spacing w:line="360" w:lineRule="auto"/>
      </w:pPr>
      <w:r w:rsidRPr="00BE68A0">
        <w:t>De hoofdregel in de btw is dat het algemene tarief van toepassing is. In Nederland is het algemene btw-tarief momenteel 21%. Vanuit de btw-richtlijn worden mogelijkheden geboden om op bepaalde goederen en diensten een verlaagd btw-tarief toe te passen.</w:t>
      </w:r>
      <w:r w:rsidRPr="00BE68A0">
        <w:rPr>
          <w:rStyle w:val="Voetnootmarkering"/>
        </w:rPr>
        <w:footnoteReference w:id="10"/>
      </w:r>
      <w:r w:rsidRPr="00BE68A0">
        <w:t xml:space="preserve"> Het verlaagde btw-tarief in Nederland is momenteel 9%. De btw-richtlijn verplicht lidstaten echter niet om een verlaagd btw-tarief toe te passen op bepaalde goederen en diensten. Nederland heeft daarmee </w:t>
      </w:r>
      <w:r w:rsidRPr="00BE68A0" w:rsidR="002950EE">
        <w:t xml:space="preserve">een zekere </w:t>
      </w:r>
      <w:r w:rsidRPr="00BE68A0">
        <w:t>beleidsvrijheid</w:t>
      </w:r>
      <w:r w:rsidRPr="00BE68A0" w:rsidR="00FC2111">
        <w:t xml:space="preserve"> </w:t>
      </w:r>
      <w:r w:rsidRPr="00BE68A0" w:rsidR="002950EE">
        <w:t>op dit punt</w:t>
      </w:r>
      <w:r w:rsidRPr="00BE68A0">
        <w:t xml:space="preserve">. </w:t>
      </w:r>
      <w:r w:rsidRPr="00BE68A0" w:rsidR="0028048D">
        <w:t xml:space="preserve">Aan het behoud van het verlaagde btw-tarief op cultuur, media en sport </w:t>
      </w:r>
      <w:r w:rsidRPr="00BE68A0" w:rsidR="0007126E">
        <w:t>zijn</w:t>
      </w:r>
      <w:r w:rsidRPr="00BE68A0" w:rsidR="0028048D">
        <w:t xml:space="preserve"> geen andere Europeesrechtelijke aspecten </w:t>
      </w:r>
      <w:r w:rsidRPr="00BE68A0" w:rsidR="0007126E">
        <w:t>verbonden</w:t>
      </w:r>
      <w:r w:rsidRPr="00BE68A0" w:rsidR="00FC2111">
        <w:t>.</w:t>
      </w:r>
      <w:r w:rsidRPr="00BE68A0" w:rsidR="0007126E">
        <w:t xml:space="preserve"> </w:t>
      </w:r>
    </w:p>
    <w:p w:rsidRPr="00BE68A0" w:rsidR="004A3B92" w:rsidP="002D3364" w:rsidRDefault="004A3B92" w14:paraId="001CF870" w14:textId="77777777">
      <w:pPr>
        <w:spacing w:line="360" w:lineRule="auto"/>
      </w:pPr>
    </w:p>
    <w:p w:rsidRPr="00BE68A0" w:rsidR="004A3B92" w:rsidP="002D3364" w:rsidRDefault="004A3B92" w14:paraId="58FEEA4C" w14:textId="3883F56B">
      <w:pPr>
        <w:spacing w:line="360" w:lineRule="auto"/>
      </w:pPr>
      <w:r w:rsidRPr="00BE68A0">
        <w:t>Aan het beperkt toepassen van de tabelcorrectiefactor</w:t>
      </w:r>
      <w:r w:rsidRPr="00BE68A0" w:rsidR="005E0CC1">
        <w:t xml:space="preserve"> voor een aantal bedragen die gelden voor </w:t>
      </w:r>
      <w:r w:rsidRPr="00BE68A0">
        <w:t>de inkomstenbelasting</w:t>
      </w:r>
      <w:r w:rsidR="00247436">
        <w:t xml:space="preserve"> en de</w:t>
      </w:r>
      <w:r w:rsidRPr="00BE68A0" w:rsidR="005E0CC1">
        <w:t xml:space="preserve"> loonbelasting </w:t>
      </w:r>
      <w:r w:rsidRPr="00BE68A0">
        <w:t>zitten g</w:t>
      </w:r>
      <w:r w:rsidRPr="00BE68A0" w:rsidR="00C95DBD">
        <w:t>ee</w:t>
      </w:r>
      <w:r w:rsidRPr="00BE68A0">
        <w:t xml:space="preserve">n EU-aspecten. </w:t>
      </w:r>
    </w:p>
    <w:p w:rsidRPr="00BE68A0" w:rsidR="00AF04FF" w:rsidP="002D3364" w:rsidRDefault="00AF04FF" w14:paraId="3B0AB0A6" w14:textId="77777777">
      <w:pPr>
        <w:spacing w:line="360" w:lineRule="auto"/>
      </w:pPr>
    </w:p>
    <w:p w:rsidRPr="00BE68A0" w:rsidR="00342800" w:rsidP="00342800" w:rsidRDefault="00342800" w14:paraId="6E97E6EB" w14:textId="6DD1DE76">
      <w:pPr>
        <w:pStyle w:val="Kop2"/>
      </w:pPr>
      <w:bookmarkStart w:name="_Toc208415314" w:id="14"/>
      <w:r w:rsidRPr="00BE68A0">
        <w:t>Gegevensbescherming</w:t>
      </w:r>
      <w:bookmarkEnd w:id="14"/>
    </w:p>
    <w:p w:rsidRPr="00BE68A0" w:rsidR="00914842" w:rsidP="00A10EF2" w:rsidRDefault="00A10EF2" w14:paraId="155D49D8" w14:textId="5B60A658">
      <w:pPr>
        <w:spacing w:line="360" w:lineRule="auto"/>
      </w:pPr>
      <w:r w:rsidRPr="00BE68A0">
        <w:t>Over het volledige pakket Belastingplan 202</w:t>
      </w:r>
      <w:r w:rsidRPr="00BE68A0" w:rsidR="006216A4">
        <w:t>6</w:t>
      </w:r>
      <w:r w:rsidRPr="00BE68A0">
        <w:t xml:space="preserve"> is advies gevraagd aan de Autoriteit Persoonsgegevens (AP). </w:t>
      </w:r>
      <w:r w:rsidRPr="00BE68A0" w:rsidR="004A3B92">
        <w:t>Dit wetsvoorstel heeft</w:t>
      </w:r>
      <w:r w:rsidRPr="00BE68A0" w:rsidR="00B6750E">
        <w:t xml:space="preserve"> geen privacyaspecten.</w:t>
      </w:r>
      <w:r w:rsidRPr="00BE68A0">
        <w:t xml:space="preserve"> </w:t>
      </w:r>
    </w:p>
    <w:p w:rsidRPr="00BE68A0" w:rsidR="00B00EB4" w:rsidP="00C90BD6" w:rsidRDefault="00B00EB4" w14:paraId="4D2DDA73" w14:textId="7322491D">
      <w:pPr>
        <w:spacing w:line="360" w:lineRule="auto"/>
        <w:rPr>
          <w:szCs w:val="18"/>
        </w:rPr>
      </w:pPr>
    </w:p>
    <w:p w:rsidRPr="00BE68A0" w:rsidR="001D223D" w:rsidP="00C90BD6" w:rsidRDefault="001D223D" w14:paraId="5042AF85" w14:textId="573FAAF3">
      <w:pPr>
        <w:pStyle w:val="Kop2"/>
        <w:spacing w:before="0"/>
      </w:pPr>
      <w:bookmarkStart w:name="_Toc208415315" w:id="15"/>
      <w:r w:rsidRPr="00BE68A0">
        <w:t>Doenvermogen</w:t>
      </w:r>
      <w:bookmarkEnd w:id="15"/>
    </w:p>
    <w:p w:rsidRPr="00BE68A0" w:rsidR="00857275" w:rsidP="00B6750E" w:rsidRDefault="00B6750E" w14:paraId="36879472" w14:textId="6E94752F">
      <w:pPr>
        <w:spacing w:line="360" w:lineRule="auto"/>
        <w:rPr>
          <w:szCs w:val="18"/>
        </w:rPr>
      </w:pPr>
      <w:r w:rsidRPr="00BE68A0">
        <w:rPr>
          <w:szCs w:val="18"/>
        </w:rPr>
        <w:t xml:space="preserve">Doenlijkheid is onveranderd </w:t>
      </w:r>
      <w:r w:rsidRPr="00BE68A0" w:rsidR="00E144A8">
        <w:rPr>
          <w:szCs w:val="18"/>
        </w:rPr>
        <w:t>d</w:t>
      </w:r>
      <w:r w:rsidRPr="00BE68A0">
        <w:rPr>
          <w:szCs w:val="18"/>
        </w:rPr>
        <w:t xml:space="preserve">oor </w:t>
      </w:r>
      <w:r w:rsidRPr="00BE68A0" w:rsidR="00E144A8">
        <w:rPr>
          <w:szCs w:val="18"/>
        </w:rPr>
        <w:t xml:space="preserve">dit </w:t>
      </w:r>
      <w:r w:rsidRPr="00BE68A0" w:rsidR="00A10EF2">
        <w:rPr>
          <w:szCs w:val="18"/>
        </w:rPr>
        <w:t>w</w:t>
      </w:r>
      <w:r w:rsidRPr="00BE68A0" w:rsidR="00E144A8">
        <w:rPr>
          <w:szCs w:val="18"/>
        </w:rPr>
        <w:t>etsvoorstel</w:t>
      </w:r>
      <w:r w:rsidRPr="00BE68A0">
        <w:rPr>
          <w:szCs w:val="18"/>
        </w:rPr>
        <w:t xml:space="preserve">. </w:t>
      </w:r>
      <w:r w:rsidRPr="00BE68A0" w:rsidR="00E144A8">
        <w:rPr>
          <w:szCs w:val="18"/>
        </w:rPr>
        <w:t>T</w:t>
      </w:r>
      <w:r w:rsidRPr="00BE68A0">
        <w:rPr>
          <w:szCs w:val="18"/>
        </w:rPr>
        <w:t xml:space="preserve">en opzichte van de huidige situatie </w:t>
      </w:r>
      <w:r w:rsidRPr="00BE68A0" w:rsidR="00E144A8">
        <w:rPr>
          <w:szCs w:val="18"/>
        </w:rPr>
        <w:t xml:space="preserve">vraagt dit </w:t>
      </w:r>
      <w:r w:rsidRPr="00BE68A0" w:rsidR="00F0043D">
        <w:rPr>
          <w:szCs w:val="18"/>
        </w:rPr>
        <w:t>w</w:t>
      </w:r>
      <w:r w:rsidRPr="00BE68A0" w:rsidR="00E144A8">
        <w:rPr>
          <w:szCs w:val="18"/>
        </w:rPr>
        <w:t xml:space="preserve">etsvoorstel </w:t>
      </w:r>
      <w:r w:rsidRPr="00BE68A0">
        <w:rPr>
          <w:szCs w:val="18"/>
        </w:rPr>
        <w:t>geen extra acties van mensen</w:t>
      </w:r>
      <w:r w:rsidRPr="00BE68A0" w:rsidR="00922B8C">
        <w:rPr>
          <w:szCs w:val="18"/>
        </w:rPr>
        <w:t>,</w:t>
      </w:r>
      <w:r w:rsidRPr="00BE68A0">
        <w:rPr>
          <w:szCs w:val="18"/>
        </w:rPr>
        <w:t xml:space="preserve"> omdat de bestaande situatie gehandhaafd blijft. </w:t>
      </w:r>
    </w:p>
    <w:p w:rsidRPr="00BE68A0" w:rsidR="00F0043D" w:rsidP="00B6750E" w:rsidRDefault="00F0043D" w14:paraId="55C5151A" w14:textId="49A58551">
      <w:pPr>
        <w:spacing w:line="360" w:lineRule="auto"/>
        <w:rPr>
          <w:szCs w:val="18"/>
        </w:rPr>
      </w:pPr>
      <w:r w:rsidRPr="00BE68A0">
        <w:rPr>
          <w:szCs w:val="18"/>
        </w:rPr>
        <w:t xml:space="preserve">De beperkte toepassing van de tabelcorrectiefactor </w:t>
      </w:r>
      <w:r w:rsidRPr="00BE68A0" w:rsidR="004C68CC">
        <w:rPr>
          <w:szCs w:val="18"/>
        </w:rPr>
        <w:t xml:space="preserve">vraagt geen extra handeling van belastingplichtigen. </w:t>
      </w:r>
    </w:p>
    <w:p w:rsidRPr="00BE68A0" w:rsidR="00A20CC2" w:rsidP="00C90BD6" w:rsidRDefault="00A20CC2" w14:paraId="2592252A" w14:textId="77777777">
      <w:pPr>
        <w:spacing w:line="360" w:lineRule="auto"/>
        <w:rPr>
          <w:szCs w:val="18"/>
        </w:rPr>
      </w:pPr>
    </w:p>
    <w:p w:rsidRPr="00BE68A0" w:rsidR="001D223D" w:rsidP="00C90BD6" w:rsidRDefault="001D223D" w14:paraId="7F7C0093" w14:textId="55BCBD1E">
      <w:pPr>
        <w:pStyle w:val="Kop2"/>
        <w:spacing w:before="0"/>
      </w:pPr>
      <w:bookmarkStart w:name="_Toc208415316" w:id="16"/>
      <w:r w:rsidRPr="00BE68A0">
        <w:t xml:space="preserve">Gevolgen voor </w:t>
      </w:r>
      <w:r w:rsidRPr="00BE68A0" w:rsidR="0091704B">
        <w:t>b</w:t>
      </w:r>
      <w:r w:rsidRPr="00BE68A0">
        <w:t>urgers en het bedrijfsleven</w:t>
      </w:r>
      <w:bookmarkEnd w:id="16"/>
    </w:p>
    <w:p w:rsidRPr="00BE68A0" w:rsidR="00E10C7B" w:rsidP="00C90BD6" w:rsidRDefault="00A10EF2" w14:paraId="0175ABAB" w14:textId="31B6871D">
      <w:pPr>
        <w:spacing w:line="360" w:lineRule="auto"/>
      </w:pPr>
      <w:r w:rsidRPr="00BE68A0">
        <w:t xml:space="preserve">Het behoud van het verlaagde btw-tarief op cultuur media en sport </w:t>
      </w:r>
      <w:r w:rsidRPr="00BE68A0" w:rsidR="00B6750E">
        <w:t xml:space="preserve">heeft geen </w:t>
      </w:r>
      <w:r w:rsidR="001D7E00">
        <w:t>directe btw-</w:t>
      </w:r>
      <w:r w:rsidRPr="00BE68A0" w:rsidR="00B6750E">
        <w:t>gevolgen voor burgers en het bedrijfsleven in die zin dat</w:t>
      </w:r>
      <w:r w:rsidR="001D7E00">
        <w:t xml:space="preserve"> het geldende btw-tarief voor deze prestaties</w:t>
      </w:r>
      <w:r w:rsidRPr="00BE68A0" w:rsidR="00B6750E">
        <w:t xml:space="preserve"> onveranderd blijft. </w:t>
      </w:r>
    </w:p>
    <w:p w:rsidRPr="00BE68A0" w:rsidR="00A10EF2" w:rsidP="00C90BD6" w:rsidRDefault="00A10EF2" w14:paraId="7211173D" w14:textId="77777777">
      <w:pPr>
        <w:spacing w:line="360" w:lineRule="auto"/>
      </w:pPr>
    </w:p>
    <w:p w:rsidRPr="00BE68A0" w:rsidR="00A10EF2" w:rsidP="004C68CC" w:rsidRDefault="001D7E00" w14:paraId="01D699C9" w14:textId="671E4E43">
      <w:pPr>
        <w:spacing w:line="360" w:lineRule="auto"/>
      </w:pPr>
      <w:r>
        <w:lastRenderedPageBreak/>
        <w:t xml:space="preserve">Behoud van het verlaagde btw-tarief op cultuur, media en sport met dekking door het beperkt toepassen van de tabelcorrectiefactor leidt per saldo wel tot een lastenverzwaring voor burgers. </w:t>
      </w:r>
      <w:r w:rsidRPr="00BE68A0" w:rsidR="00A10EF2">
        <w:t xml:space="preserve">Het beperkt toepassen van de tabelcorrectiefactor </w:t>
      </w:r>
      <w:r w:rsidRPr="00BE68A0" w:rsidR="003609A9">
        <w:t>voor</w:t>
      </w:r>
      <w:r w:rsidRPr="00BE68A0" w:rsidR="00A10EF2">
        <w:t xml:space="preserve"> de inkomstenbelasting</w:t>
      </w:r>
      <w:r w:rsidRPr="00BE68A0" w:rsidR="00F0043D">
        <w:t xml:space="preserve"> </w:t>
      </w:r>
      <w:r>
        <w:t xml:space="preserve">is </w:t>
      </w:r>
      <w:r w:rsidRPr="00BE68A0" w:rsidR="00F0043D">
        <w:t xml:space="preserve">een lastenverzwaring voor burgers. </w:t>
      </w:r>
      <w:r w:rsidRPr="00BE68A0" w:rsidR="004C68CC">
        <w:t>D</w:t>
      </w:r>
      <w:r w:rsidRPr="00BE68A0" w:rsidR="009203F6">
        <w:t>it</w:t>
      </w:r>
      <w:r w:rsidRPr="00BE68A0" w:rsidR="004C68CC">
        <w:t xml:space="preserve"> komt onder andere door een lagere algemene heffingskorting (AHK) en lagere uitkeringen die via de netto-nettokoppeling meebewegen met de AHK</w:t>
      </w:r>
      <w:r w:rsidRPr="00BE68A0" w:rsidR="0091704B">
        <w:t xml:space="preserve">. </w:t>
      </w:r>
      <w:r w:rsidRPr="00BE68A0" w:rsidR="006216A4">
        <w:t>Daarnaast wordt</w:t>
      </w:r>
      <w:r w:rsidRPr="00BE68A0" w:rsidR="0091704B">
        <w:t xml:space="preserve"> </w:t>
      </w:r>
      <w:r w:rsidRPr="00BE68A0" w:rsidR="006216A4">
        <w:t>bij</w:t>
      </w:r>
      <w:r w:rsidRPr="00BE68A0" w:rsidR="0091704B">
        <w:t xml:space="preserve">voorbeeld de </w:t>
      </w:r>
      <w:r w:rsidRPr="00BE68A0" w:rsidR="004C68CC">
        <w:t>arbeidskorting lager</w:t>
      </w:r>
      <w:r w:rsidRPr="00BE68A0" w:rsidR="009203F6">
        <w:t xml:space="preserve"> </w:t>
      </w:r>
      <w:r w:rsidRPr="00BE68A0" w:rsidR="004C68CC">
        <w:t>dan deze geweest zou zijn zonder de beperkte toepassing van de inflatiecorrectie.</w:t>
      </w:r>
      <w:r w:rsidRPr="00BE68A0" w:rsidR="007D753D">
        <w:t xml:space="preserve"> Daar staat </w:t>
      </w:r>
      <w:r>
        <w:t xml:space="preserve">een lastenverlichting voor burgers </w:t>
      </w:r>
      <w:r w:rsidRPr="00BE68A0" w:rsidR="007D753D">
        <w:t xml:space="preserve">tegenover </w:t>
      </w:r>
      <w:r>
        <w:t>om</w:t>
      </w:r>
      <w:r w:rsidRPr="00BE68A0" w:rsidR="007D753D">
        <w:t>dat het verlaagde btw-tarief op cultuur</w:t>
      </w:r>
      <w:r>
        <w:t>,</w:t>
      </w:r>
      <w:r w:rsidRPr="00BE68A0" w:rsidR="007D753D">
        <w:t xml:space="preserve"> media </w:t>
      </w:r>
      <w:r>
        <w:t xml:space="preserve">en sport </w:t>
      </w:r>
      <w:r w:rsidRPr="00BE68A0" w:rsidR="007D753D">
        <w:t>behouden blijft.</w:t>
      </w:r>
      <w:r>
        <w:t xml:space="preserve"> Die lastenverlichting is echter kleiner dan de lastenverzwaring door het beperkt toepassen van de tabelcorrectiefactor. Dit komt doordat een btw-verhoging niet volledig zou worden doorberekend (</w:t>
      </w:r>
      <w:r w:rsidR="007D2FCE">
        <w:t>circa</w:t>
      </w:r>
      <w:r>
        <w:t xml:space="preserve"> 70%-80%, zie ook het evaluatierapport van </w:t>
      </w:r>
      <w:proofErr w:type="spellStart"/>
      <w:r>
        <w:t>Dialogic</w:t>
      </w:r>
      <w:proofErr w:type="spellEnd"/>
      <w:r w:rsidR="007D2FCE">
        <w:rPr>
          <w:rStyle w:val="Voetnootmarkering"/>
        </w:rPr>
        <w:footnoteReference w:id="11"/>
      </w:r>
      <w:r>
        <w:t>).</w:t>
      </w:r>
    </w:p>
    <w:p w:rsidRPr="00BE68A0" w:rsidR="00AF04FF" w:rsidP="00C90BD6" w:rsidRDefault="00AF04FF" w14:paraId="6F5085B6" w14:textId="77777777">
      <w:pPr>
        <w:spacing w:line="360" w:lineRule="auto"/>
        <w:rPr>
          <w:szCs w:val="18"/>
        </w:rPr>
      </w:pPr>
    </w:p>
    <w:p w:rsidRPr="00BE68A0" w:rsidR="001D223D" w:rsidP="00C90BD6" w:rsidRDefault="001D223D" w14:paraId="648C16A9" w14:textId="3160EEA4">
      <w:pPr>
        <w:pStyle w:val="Kop2"/>
        <w:spacing w:before="0"/>
      </w:pPr>
      <w:bookmarkStart w:name="_Toc208415317" w:id="17"/>
      <w:r w:rsidRPr="00BE68A0">
        <w:t>Uitvoeringsgevolgen Belastingdienst, Douane en Toeslagen</w:t>
      </w:r>
      <w:bookmarkEnd w:id="17"/>
    </w:p>
    <w:p w:rsidRPr="00BE68A0" w:rsidR="00A10EF2" w:rsidP="00C90BD6" w:rsidRDefault="00E144A8" w14:paraId="72352918" w14:textId="25DA5B42">
      <w:pPr>
        <w:spacing w:line="360" w:lineRule="auto"/>
      </w:pPr>
      <w:r w:rsidRPr="00BE68A0">
        <w:t xml:space="preserve">Dit wetsvoorstel </w:t>
      </w:r>
      <w:r w:rsidRPr="00BE68A0" w:rsidR="009365A4">
        <w:t xml:space="preserve">is </w:t>
      </w:r>
      <w:r w:rsidRPr="00BE68A0">
        <w:t xml:space="preserve">door de Belastingdienst beoordeeld met </w:t>
      </w:r>
      <w:r w:rsidRPr="00BE68A0" w:rsidR="00E42261">
        <w:t xml:space="preserve">een </w:t>
      </w:r>
      <w:r w:rsidRPr="00BE68A0" w:rsidR="009203F6">
        <w:t>u</w:t>
      </w:r>
      <w:r w:rsidRPr="00BE68A0">
        <w:t>itvoeringstoets</w:t>
      </w:r>
      <w:r w:rsidRPr="00BE68A0" w:rsidR="00E42261">
        <w:t xml:space="preserve"> waaruit blijkt dat het voorstel uitvoerbaar is</w:t>
      </w:r>
      <w:r w:rsidRPr="00BE68A0">
        <w:t>.</w:t>
      </w:r>
      <w:r w:rsidRPr="00BE68A0" w:rsidR="00F513E7">
        <w:t xml:space="preserve"> Het behoud van het verlaagde btw-tarief op cultuur, media en sport leidt tot instandhouding van de bestaande complexiteit rondom het verlaagde btw-tarief voor de genoemde goederen en diensten. Voor een nadere beschrijving van de uitvoeringsgevolgen wordt verwezen naar de Uitvoeringstoets.</w:t>
      </w:r>
    </w:p>
    <w:p w:rsidRPr="00BE68A0" w:rsidR="000E3E27" w:rsidP="00C90BD6" w:rsidRDefault="000E3E27" w14:paraId="6597FF68" w14:textId="77777777">
      <w:pPr>
        <w:spacing w:line="360" w:lineRule="auto"/>
        <w:rPr>
          <w:szCs w:val="18"/>
        </w:rPr>
      </w:pPr>
    </w:p>
    <w:p w:rsidRPr="00BE68A0" w:rsidR="001D223D" w:rsidP="00C90BD6" w:rsidRDefault="000C2352" w14:paraId="3C1B00E3" w14:textId="3CEA5195">
      <w:pPr>
        <w:pStyle w:val="Kop2"/>
        <w:spacing w:before="0"/>
      </w:pPr>
      <w:r w:rsidRPr="00BE68A0">
        <w:t xml:space="preserve"> </w:t>
      </w:r>
      <w:bookmarkStart w:name="_Toc208415318" w:id="18"/>
      <w:r w:rsidRPr="00BE68A0" w:rsidR="001D223D">
        <w:t>Advies en consultatie</w:t>
      </w:r>
      <w:bookmarkEnd w:id="18"/>
    </w:p>
    <w:p w:rsidRPr="00BE68A0" w:rsidR="00AF04FF" w:rsidP="00A10EF2" w:rsidRDefault="004A3B92" w14:paraId="04D30A33" w14:textId="7856706A">
      <w:pPr>
        <w:spacing w:line="360" w:lineRule="auto"/>
      </w:pPr>
      <w:r w:rsidRPr="00BE68A0">
        <w:t xml:space="preserve">Gelet op het karakter van </w:t>
      </w:r>
      <w:r w:rsidRPr="00BE68A0" w:rsidR="00922B8C">
        <w:t xml:space="preserve">het </w:t>
      </w:r>
      <w:r w:rsidRPr="00BE68A0" w:rsidR="00A10EF2">
        <w:t>wet</w:t>
      </w:r>
      <w:r w:rsidRPr="00BE68A0" w:rsidR="00922B8C">
        <w:t>svoorstel</w:t>
      </w:r>
      <w:r w:rsidRPr="00BE68A0" w:rsidR="00A10EF2">
        <w:t xml:space="preserve">, namelijk het </w:t>
      </w:r>
      <w:r w:rsidRPr="00BE68A0">
        <w:t xml:space="preserve">terugdraaien van een maatregel </w:t>
      </w:r>
      <w:r w:rsidRPr="00BE68A0" w:rsidR="00A10EF2">
        <w:t>die nog niet in werking is getreden</w:t>
      </w:r>
      <w:r w:rsidRPr="00BE68A0" w:rsidR="00C856C3">
        <w:t>,</w:t>
      </w:r>
      <w:r w:rsidRPr="00BE68A0" w:rsidR="00A10EF2">
        <w:t xml:space="preserve"> heeft het kabinet </w:t>
      </w:r>
      <w:r w:rsidRPr="00BE68A0" w:rsidR="00B5048B">
        <w:t xml:space="preserve">ervoor </w:t>
      </w:r>
      <w:r w:rsidRPr="00BE68A0" w:rsidR="00A10EF2">
        <w:t xml:space="preserve">gekozen </w:t>
      </w:r>
      <w:r w:rsidRPr="00BE68A0" w:rsidR="00B5048B">
        <w:t xml:space="preserve">om </w:t>
      </w:r>
      <w:r w:rsidRPr="00BE68A0" w:rsidR="006216A4">
        <w:t xml:space="preserve">voor het behoud van het verlaagde btw-tarief </w:t>
      </w:r>
      <w:r w:rsidRPr="00BE68A0" w:rsidR="00A10EF2">
        <w:t>geen consultatie te doen.</w:t>
      </w:r>
      <w:r w:rsidRPr="00BE68A0" w:rsidR="006216A4">
        <w:t xml:space="preserve"> Voor de beperking van de toepassing van de tabelcorrectiefactor geldt dat de uiteindelijke gevolgen voor de koopkracht van burgers in samenhang gezien moeten worden met het koopkrachtpakket dat in het </w:t>
      </w:r>
      <w:r w:rsidRPr="00BE68A0" w:rsidR="00027E47">
        <w:t xml:space="preserve">wetsvoorstel </w:t>
      </w:r>
      <w:r w:rsidRPr="00BE68A0" w:rsidR="006216A4">
        <w:t>Belastingplan 2026 is opgenomen. Aangezien over het koopkrachtpakket altijd in augustus wordt besloten, is er geen tijd voor een internetconsultatie.</w:t>
      </w:r>
    </w:p>
    <w:p w:rsidRPr="00BE68A0" w:rsidR="00A10EF2" w:rsidP="00A10EF2" w:rsidRDefault="00A10EF2" w14:paraId="2A3D24D5" w14:textId="0EE10ECE">
      <w:pPr>
        <w:spacing w:line="360" w:lineRule="auto"/>
      </w:pPr>
    </w:p>
    <w:p w:rsidRPr="00BE68A0" w:rsidR="00AE4A00" w:rsidRDefault="00AE4A00" w14:paraId="6F977D8D" w14:textId="0B6B5E3E"/>
    <w:p w:rsidRPr="00BE68A0" w:rsidR="009E28A7" w:rsidP="009E28A7" w:rsidRDefault="009E28A7" w14:paraId="570B0C30" w14:textId="1B9FCB87">
      <w:pPr>
        <w:spacing w:line="360" w:lineRule="auto"/>
        <w:rPr>
          <w:szCs w:val="18"/>
        </w:rPr>
      </w:pPr>
      <w:r w:rsidRPr="00BE68A0">
        <w:rPr>
          <w:szCs w:val="18"/>
        </w:rPr>
        <w:br w:type="page"/>
      </w:r>
    </w:p>
    <w:p w:rsidRPr="00BE68A0" w:rsidR="001D223D" w:rsidP="00C90BD6" w:rsidRDefault="001D223D" w14:paraId="5316BA97" w14:textId="7DB04D6E">
      <w:pPr>
        <w:pStyle w:val="Kop1"/>
        <w:spacing w:before="0"/>
        <w:rPr>
          <w:sz w:val="24"/>
          <w:szCs w:val="24"/>
        </w:rPr>
      </w:pPr>
      <w:bookmarkStart w:name="_Toc208415319" w:id="19"/>
      <w:r w:rsidRPr="00BE68A0">
        <w:rPr>
          <w:sz w:val="18"/>
          <w:szCs w:val="18"/>
        </w:rPr>
        <w:lastRenderedPageBreak/>
        <w:t>II. ARTIKELSGEWIJZE TOELICHTING</w:t>
      </w:r>
      <w:bookmarkEnd w:id="19"/>
    </w:p>
    <w:p w:rsidRPr="00BE68A0" w:rsidR="00AD5962" w:rsidP="00AD5962" w:rsidRDefault="00AD5962" w14:paraId="2988745D" w14:textId="77777777">
      <w:pPr>
        <w:spacing w:line="360" w:lineRule="auto"/>
      </w:pPr>
    </w:p>
    <w:p w:rsidR="006329C1" w:rsidP="006329C1" w:rsidRDefault="009C67F4" w14:paraId="6ACD089E" w14:textId="77777777">
      <w:pPr>
        <w:spacing w:line="360" w:lineRule="auto"/>
        <w:rPr>
          <w:rFonts w:eastAsia="Yu Mincho"/>
          <w:i/>
          <w:iCs/>
          <w:szCs w:val="22"/>
          <w:lang w:eastAsia="ja-JP"/>
        </w:rPr>
      </w:pPr>
      <w:r w:rsidRPr="00BE68A0">
        <w:rPr>
          <w:rFonts w:eastAsia="Yu Mincho"/>
          <w:i/>
          <w:iCs/>
          <w:szCs w:val="22"/>
          <w:lang w:eastAsia="ja-JP"/>
        </w:rPr>
        <w:t xml:space="preserve">Artikel </w:t>
      </w:r>
      <w:r w:rsidRPr="00BE68A0" w:rsidR="00E00154">
        <w:rPr>
          <w:rFonts w:eastAsia="Yu Mincho"/>
          <w:i/>
          <w:iCs/>
          <w:szCs w:val="22"/>
          <w:lang w:eastAsia="ja-JP"/>
        </w:rPr>
        <w:t>I</w:t>
      </w:r>
      <w:r w:rsidRPr="00BE68A0" w:rsidR="000A7F94">
        <w:rPr>
          <w:rFonts w:eastAsia="Yu Mincho"/>
          <w:i/>
          <w:iCs/>
          <w:szCs w:val="22"/>
          <w:lang w:eastAsia="ja-JP"/>
        </w:rPr>
        <w:t xml:space="preserve"> (artikel XXI, onderdeel B</w:t>
      </w:r>
      <w:r w:rsidRPr="00BE68A0" w:rsidR="00C95DBD">
        <w:rPr>
          <w:rFonts w:eastAsia="Yu Mincho"/>
          <w:i/>
          <w:iCs/>
          <w:szCs w:val="22"/>
          <w:lang w:eastAsia="ja-JP"/>
        </w:rPr>
        <w:t>,</w:t>
      </w:r>
      <w:r w:rsidRPr="00BE68A0" w:rsidR="000A7F94">
        <w:rPr>
          <w:rFonts w:eastAsia="Yu Mincho"/>
          <w:i/>
          <w:iCs/>
          <w:szCs w:val="22"/>
          <w:lang w:eastAsia="ja-JP"/>
        </w:rPr>
        <w:t xml:space="preserve"> van het Belastingplan 2025)</w:t>
      </w:r>
    </w:p>
    <w:p w:rsidRPr="00F022D9" w:rsidR="00882F62" w:rsidP="00A10EF2" w:rsidRDefault="009C67F4" w14:paraId="4AB59524" w14:textId="19519BA7">
      <w:pPr>
        <w:spacing w:after="160" w:line="360" w:lineRule="auto"/>
        <w:rPr>
          <w:rFonts w:eastAsia="Yu Mincho"/>
          <w:i/>
          <w:iCs/>
          <w:szCs w:val="22"/>
          <w:lang w:eastAsia="ja-JP"/>
        </w:rPr>
      </w:pPr>
      <w:r w:rsidRPr="00BE68A0">
        <w:rPr>
          <w:rFonts w:eastAsia="Yu Mincho"/>
          <w:szCs w:val="22"/>
          <w:lang w:eastAsia="ja-JP"/>
        </w:rPr>
        <w:t>De</w:t>
      </w:r>
      <w:r w:rsidRPr="00BE68A0" w:rsidR="00774F15">
        <w:rPr>
          <w:rFonts w:eastAsia="Yu Mincho"/>
          <w:szCs w:val="22"/>
          <w:lang w:eastAsia="ja-JP"/>
        </w:rPr>
        <w:t xml:space="preserve"> onderhavig</w:t>
      </w:r>
      <w:r w:rsidRPr="00BE68A0">
        <w:rPr>
          <w:rFonts w:eastAsia="Yu Mincho"/>
          <w:szCs w:val="22"/>
          <w:lang w:eastAsia="ja-JP"/>
        </w:rPr>
        <w:t xml:space="preserve">e </w:t>
      </w:r>
      <w:r w:rsidRPr="00BE68A0" w:rsidR="00774F15">
        <w:rPr>
          <w:rFonts w:eastAsia="Yu Mincho"/>
          <w:szCs w:val="22"/>
          <w:lang w:eastAsia="ja-JP"/>
        </w:rPr>
        <w:t xml:space="preserve">voorgestelde </w:t>
      </w:r>
      <w:r w:rsidRPr="00BE68A0">
        <w:rPr>
          <w:rFonts w:eastAsia="Yu Mincho"/>
          <w:szCs w:val="22"/>
          <w:lang w:eastAsia="ja-JP"/>
        </w:rPr>
        <w:t xml:space="preserve">wijziging </w:t>
      </w:r>
      <w:r w:rsidRPr="00BE68A0" w:rsidR="00B55E2A">
        <w:rPr>
          <w:rFonts w:eastAsia="Yu Mincho"/>
          <w:szCs w:val="22"/>
          <w:lang w:eastAsia="ja-JP"/>
        </w:rPr>
        <w:t xml:space="preserve">zorgt voor het </w:t>
      </w:r>
      <w:r w:rsidRPr="00BE68A0" w:rsidR="008E2ED7">
        <w:rPr>
          <w:rFonts w:eastAsia="Yu Mincho"/>
          <w:szCs w:val="22"/>
          <w:lang w:eastAsia="ja-JP"/>
        </w:rPr>
        <w:t xml:space="preserve">handhaven </w:t>
      </w:r>
      <w:r w:rsidRPr="00BE68A0" w:rsidR="00B55E2A">
        <w:rPr>
          <w:rFonts w:eastAsia="Yu Mincho"/>
          <w:szCs w:val="22"/>
          <w:lang w:eastAsia="ja-JP"/>
        </w:rPr>
        <w:t>van</w:t>
      </w:r>
      <w:r w:rsidRPr="00BE68A0" w:rsidR="00E00154">
        <w:rPr>
          <w:rFonts w:eastAsia="Yu Mincho"/>
          <w:szCs w:val="22"/>
          <w:lang w:eastAsia="ja-JP"/>
        </w:rPr>
        <w:t xml:space="preserve"> het verlaagde btw-tarief op </w:t>
      </w:r>
      <w:r w:rsidRPr="00BE68A0" w:rsidR="00B55E2A">
        <w:rPr>
          <w:rFonts w:eastAsia="Yu Mincho"/>
          <w:szCs w:val="22"/>
          <w:lang w:eastAsia="ja-JP"/>
        </w:rPr>
        <w:t xml:space="preserve">cultuur, media en sport. Daartoe wordt </w:t>
      </w:r>
      <w:r w:rsidRPr="00BE68A0" w:rsidR="009E6AA3">
        <w:rPr>
          <w:rFonts w:eastAsia="Yu Mincho"/>
          <w:szCs w:val="22"/>
          <w:lang w:eastAsia="ja-JP"/>
        </w:rPr>
        <w:t>a</w:t>
      </w:r>
      <w:r w:rsidRPr="00BE68A0" w:rsidR="00E00154">
        <w:rPr>
          <w:rFonts w:eastAsia="Yu Mincho"/>
          <w:szCs w:val="22"/>
          <w:lang w:eastAsia="ja-JP"/>
        </w:rPr>
        <w:t>rtikel XXI, onderdeel B</w:t>
      </w:r>
      <w:r w:rsidRPr="00BE68A0" w:rsidR="008E2ED7">
        <w:rPr>
          <w:rFonts w:eastAsia="Yu Mincho"/>
          <w:szCs w:val="22"/>
          <w:lang w:eastAsia="ja-JP"/>
        </w:rPr>
        <w:t>,</w:t>
      </w:r>
      <w:r w:rsidRPr="00BE68A0" w:rsidR="00E00154">
        <w:rPr>
          <w:rFonts w:eastAsia="Yu Mincho"/>
          <w:szCs w:val="22"/>
          <w:lang w:eastAsia="ja-JP"/>
        </w:rPr>
        <w:t xml:space="preserve"> </w:t>
      </w:r>
      <w:r w:rsidRPr="00BE68A0" w:rsidR="006F2A9D">
        <w:rPr>
          <w:rFonts w:eastAsia="Yu Mincho"/>
          <w:szCs w:val="22"/>
          <w:lang w:eastAsia="ja-JP"/>
        </w:rPr>
        <w:t>BP</w:t>
      </w:r>
      <w:r w:rsidRPr="00BE68A0" w:rsidR="00FC2111">
        <w:rPr>
          <w:rFonts w:eastAsia="Yu Mincho"/>
          <w:szCs w:val="22"/>
          <w:lang w:eastAsia="ja-JP"/>
        </w:rPr>
        <w:t> </w:t>
      </w:r>
      <w:r w:rsidRPr="00BE68A0" w:rsidR="00E00154">
        <w:rPr>
          <w:rFonts w:eastAsia="Yu Mincho"/>
          <w:szCs w:val="22"/>
          <w:lang w:eastAsia="ja-JP"/>
        </w:rPr>
        <w:t xml:space="preserve">2025 </w:t>
      </w:r>
      <w:r w:rsidRPr="00BE68A0" w:rsidR="00B55E2A">
        <w:rPr>
          <w:rFonts w:eastAsia="Yu Mincho"/>
          <w:szCs w:val="22"/>
          <w:lang w:eastAsia="ja-JP"/>
        </w:rPr>
        <w:t>gewijzigd</w:t>
      </w:r>
      <w:r w:rsidRPr="00BE68A0">
        <w:rPr>
          <w:rFonts w:eastAsia="Yu Mincho"/>
          <w:szCs w:val="22"/>
          <w:lang w:eastAsia="ja-JP"/>
        </w:rPr>
        <w:t>.</w:t>
      </w:r>
      <w:r w:rsidRPr="00BE68A0" w:rsidR="00B55E2A">
        <w:rPr>
          <w:rFonts w:eastAsia="Yu Mincho"/>
          <w:szCs w:val="22"/>
          <w:lang w:eastAsia="ja-JP"/>
        </w:rPr>
        <w:t xml:space="preserve"> Dit voorkomt het </w:t>
      </w:r>
      <w:r w:rsidRPr="00BE68A0" w:rsidR="00AE6D2C">
        <w:rPr>
          <w:rFonts w:eastAsia="Yu Mincho"/>
          <w:szCs w:val="22"/>
          <w:lang w:eastAsia="ja-JP"/>
        </w:rPr>
        <w:t xml:space="preserve">per 1 januari 2026 </w:t>
      </w:r>
      <w:r w:rsidRPr="00BE68A0" w:rsidR="00B55E2A">
        <w:rPr>
          <w:rFonts w:eastAsia="Yu Mincho"/>
          <w:szCs w:val="22"/>
          <w:lang w:eastAsia="ja-JP"/>
        </w:rPr>
        <w:t>vervallen van een aantal posten</w:t>
      </w:r>
      <w:r w:rsidRPr="00BE68A0" w:rsidR="003B6208">
        <w:rPr>
          <w:rFonts w:eastAsia="Yu Mincho"/>
          <w:szCs w:val="22"/>
          <w:lang w:eastAsia="ja-JP"/>
        </w:rPr>
        <w:t xml:space="preserve"> </w:t>
      </w:r>
      <w:r w:rsidRPr="00BE68A0" w:rsidR="008E2ED7">
        <w:rPr>
          <w:rFonts w:eastAsia="Yu Mincho"/>
          <w:szCs w:val="22"/>
          <w:lang w:eastAsia="ja-JP"/>
        </w:rPr>
        <w:t xml:space="preserve">in </w:t>
      </w:r>
      <w:r w:rsidRPr="00BE68A0" w:rsidR="00FC2111">
        <w:rPr>
          <w:rFonts w:eastAsia="Yu Mincho"/>
          <w:szCs w:val="22"/>
          <w:lang w:eastAsia="ja-JP"/>
        </w:rPr>
        <w:t>t</w:t>
      </w:r>
      <w:r w:rsidRPr="00BE68A0" w:rsidR="003B6208">
        <w:rPr>
          <w:rFonts w:eastAsia="Yu Mincho"/>
          <w:szCs w:val="22"/>
          <w:lang w:eastAsia="ja-JP"/>
        </w:rPr>
        <w:t>abel I bij de Wet op de omzetbelasting 1968</w:t>
      </w:r>
      <w:r w:rsidRPr="00BE68A0" w:rsidR="00B55E2A">
        <w:rPr>
          <w:rFonts w:eastAsia="Yu Mincho"/>
          <w:szCs w:val="22"/>
          <w:lang w:eastAsia="ja-JP"/>
        </w:rPr>
        <w:t xml:space="preserve"> </w:t>
      </w:r>
      <w:r w:rsidRPr="00BE68A0" w:rsidR="00E400C4">
        <w:rPr>
          <w:rFonts w:eastAsia="Yu Mincho"/>
          <w:szCs w:val="22"/>
          <w:lang w:eastAsia="ja-JP"/>
        </w:rPr>
        <w:t>(Wet OB 1968) - hierna: t</w:t>
      </w:r>
      <w:r w:rsidRPr="00BE68A0" w:rsidR="008E2ED7">
        <w:rPr>
          <w:rFonts w:eastAsia="Yu Mincho"/>
          <w:szCs w:val="22"/>
          <w:lang w:eastAsia="ja-JP"/>
        </w:rPr>
        <w:t>abel I</w:t>
      </w:r>
      <w:r w:rsidRPr="00BE68A0" w:rsidR="00E400C4">
        <w:rPr>
          <w:rFonts w:eastAsia="Yu Mincho"/>
          <w:szCs w:val="22"/>
          <w:lang w:eastAsia="ja-JP"/>
        </w:rPr>
        <w:t xml:space="preserve"> -</w:t>
      </w:r>
      <w:r w:rsidRPr="00BE68A0" w:rsidR="008E2ED7">
        <w:rPr>
          <w:rFonts w:eastAsia="Yu Mincho"/>
          <w:szCs w:val="22"/>
          <w:lang w:eastAsia="ja-JP"/>
        </w:rPr>
        <w:t xml:space="preserve"> </w:t>
      </w:r>
      <w:r w:rsidRPr="00BE68A0" w:rsidR="00B55E2A">
        <w:rPr>
          <w:rFonts w:eastAsia="Yu Mincho"/>
          <w:szCs w:val="22"/>
          <w:lang w:eastAsia="ja-JP"/>
        </w:rPr>
        <w:t>die zien op bepaalde culturele goederen en diensten (zie onderstaande tabel).</w:t>
      </w:r>
      <w:r w:rsidRPr="00BE68A0" w:rsidR="009203F6">
        <w:rPr>
          <w:rFonts w:eastAsia="Yu Mincho"/>
          <w:szCs w:val="22"/>
          <w:lang w:eastAsia="ja-JP"/>
        </w:rPr>
        <w:t xml:space="preserve"> Tabel I bepaalt op welke goederen en diensten het verlaagde btw-tarief van toepassing is ingevolge artikel 9, tweede lid, onderdeel a, Wet OB 1968, als uitzondering op de hoofdregel dat het algemene tarief van toepassing is (artikel 9, eerste lid</w:t>
      </w:r>
      <w:r w:rsidRPr="00BE68A0" w:rsidR="00CC0CF2">
        <w:rPr>
          <w:rFonts w:eastAsia="Yu Mincho"/>
          <w:szCs w:val="22"/>
          <w:lang w:eastAsia="ja-JP"/>
        </w:rPr>
        <w:t>,</w:t>
      </w:r>
      <w:r w:rsidRPr="00BE68A0" w:rsidR="009203F6">
        <w:rPr>
          <w:rFonts w:eastAsia="Yu Mincho"/>
          <w:szCs w:val="22"/>
          <w:lang w:eastAsia="ja-JP"/>
        </w:rPr>
        <w:t xml:space="preserve"> Wet OB 1968).</w:t>
      </w:r>
      <w:r w:rsidRPr="00BE68A0" w:rsidR="00B55E2A">
        <w:rPr>
          <w:rFonts w:eastAsia="Yu Mincho"/>
          <w:szCs w:val="22"/>
          <w:lang w:eastAsia="ja-JP"/>
        </w:rPr>
        <w:t xml:space="preserve"> </w:t>
      </w:r>
      <w:r w:rsidRPr="00BE68A0" w:rsidR="00882F62">
        <w:rPr>
          <w:rFonts w:eastAsia="Yu Mincho"/>
          <w:szCs w:val="22"/>
          <w:lang w:eastAsia="ja-JP"/>
        </w:rPr>
        <w:t xml:space="preserve">Door deze posten </w:t>
      </w:r>
      <w:r w:rsidRPr="00BE68A0" w:rsidR="00922B8C">
        <w:rPr>
          <w:rFonts w:eastAsia="Yu Mincho"/>
          <w:szCs w:val="22"/>
          <w:lang w:eastAsia="ja-JP"/>
        </w:rPr>
        <w:t xml:space="preserve">in tabel I </w:t>
      </w:r>
      <w:r w:rsidRPr="00BE68A0" w:rsidR="00882F62">
        <w:rPr>
          <w:rFonts w:eastAsia="Yu Mincho"/>
          <w:szCs w:val="22"/>
          <w:lang w:eastAsia="ja-JP"/>
        </w:rPr>
        <w:t xml:space="preserve">te behouden blijft het verlaagde btw-tarief daarop dus van toepassing. </w:t>
      </w:r>
    </w:p>
    <w:p w:rsidRPr="00BE68A0" w:rsidR="00882F62" w:rsidP="00A10EF2" w:rsidRDefault="00882F62" w14:paraId="72FD58AA" w14:textId="48CF3560">
      <w:pPr>
        <w:spacing w:after="160" w:line="360" w:lineRule="auto"/>
        <w:rPr>
          <w:rFonts w:eastAsia="Yu Mincho"/>
          <w:szCs w:val="22"/>
          <w:lang w:eastAsia="ja-JP"/>
        </w:rPr>
      </w:pPr>
      <w:r w:rsidRPr="00BE68A0">
        <w:rPr>
          <w:rFonts w:eastAsia="Yu Mincho"/>
          <w:szCs w:val="22"/>
          <w:lang w:eastAsia="ja-JP"/>
        </w:rPr>
        <w:t xml:space="preserve">Artikel LXII </w:t>
      </w:r>
      <w:r w:rsidRPr="00BE68A0" w:rsidR="006F2A9D">
        <w:rPr>
          <w:rFonts w:eastAsia="Yu Mincho"/>
          <w:szCs w:val="22"/>
          <w:lang w:eastAsia="ja-JP"/>
        </w:rPr>
        <w:t xml:space="preserve">BP 2025 </w:t>
      </w:r>
      <w:r w:rsidRPr="00BE68A0">
        <w:rPr>
          <w:rFonts w:eastAsia="Yu Mincho"/>
          <w:szCs w:val="22"/>
          <w:lang w:eastAsia="ja-JP"/>
        </w:rPr>
        <w:t xml:space="preserve">bevat een overgangsregeling </w:t>
      </w:r>
      <w:r w:rsidRPr="00BE68A0" w:rsidR="006F2A9D">
        <w:rPr>
          <w:rFonts w:eastAsia="Yu Mincho"/>
          <w:szCs w:val="22"/>
          <w:lang w:eastAsia="ja-JP"/>
        </w:rPr>
        <w:t>ten behoeve van</w:t>
      </w:r>
      <w:r w:rsidRPr="00BE68A0">
        <w:rPr>
          <w:rFonts w:eastAsia="Yu Mincho"/>
          <w:szCs w:val="22"/>
          <w:lang w:eastAsia="ja-JP"/>
        </w:rPr>
        <w:t xml:space="preserve"> betalingen en overdrachten van vouchers voor enkelvoudig gebruik in </w:t>
      </w:r>
      <w:r w:rsidRPr="00BE68A0" w:rsidR="006F2A9D">
        <w:rPr>
          <w:rFonts w:eastAsia="Yu Mincho"/>
          <w:szCs w:val="22"/>
          <w:lang w:eastAsia="ja-JP"/>
        </w:rPr>
        <w:t xml:space="preserve">het </w:t>
      </w:r>
      <w:r w:rsidRPr="00BE68A0" w:rsidR="00482B6F">
        <w:rPr>
          <w:rFonts w:eastAsia="Yu Mincho"/>
          <w:szCs w:val="22"/>
          <w:lang w:eastAsia="ja-JP"/>
        </w:rPr>
        <w:t xml:space="preserve">kalenderjaar </w:t>
      </w:r>
      <w:r w:rsidRPr="00BE68A0">
        <w:rPr>
          <w:rFonts w:eastAsia="Yu Mincho"/>
          <w:szCs w:val="22"/>
          <w:lang w:eastAsia="ja-JP"/>
        </w:rPr>
        <w:t xml:space="preserve">2025 voor </w:t>
      </w:r>
      <w:r w:rsidRPr="00BE68A0" w:rsidR="009D700F">
        <w:rPr>
          <w:rFonts w:eastAsia="Yu Mincho"/>
          <w:szCs w:val="22"/>
          <w:lang w:eastAsia="ja-JP"/>
        </w:rPr>
        <w:t>goederen</w:t>
      </w:r>
      <w:r w:rsidRPr="00BE68A0">
        <w:rPr>
          <w:rFonts w:eastAsia="Yu Mincho"/>
          <w:szCs w:val="22"/>
          <w:lang w:eastAsia="ja-JP"/>
        </w:rPr>
        <w:t xml:space="preserve"> en diensten </w:t>
      </w:r>
      <w:r w:rsidRPr="00BE68A0" w:rsidR="00CC0CF2">
        <w:rPr>
          <w:rFonts w:eastAsia="Yu Mincho"/>
          <w:szCs w:val="22"/>
          <w:lang w:eastAsia="ja-JP"/>
        </w:rPr>
        <w:t xml:space="preserve">ter zake </w:t>
      </w:r>
      <w:r w:rsidRPr="00BE68A0">
        <w:rPr>
          <w:rFonts w:eastAsia="Yu Mincho"/>
          <w:szCs w:val="22"/>
          <w:lang w:eastAsia="ja-JP"/>
        </w:rPr>
        <w:t>waarvan per 1 januari 2026 is voorzien in de afschaffing van het verlaagde btw-tarief. In een tweetal beleidsbesluiten</w:t>
      </w:r>
      <w:r w:rsidRPr="00BE68A0">
        <w:rPr>
          <w:rStyle w:val="Voetnootmarkering"/>
          <w:rFonts w:eastAsia="Yu Mincho"/>
          <w:szCs w:val="22"/>
          <w:lang w:eastAsia="ja-JP"/>
        </w:rPr>
        <w:footnoteReference w:id="12"/>
      </w:r>
      <w:r w:rsidRPr="00BE68A0">
        <w:rPr>
          <w:rFonts w:eastAsia="Yu Mincho"/>
          <w:szCs w:val="22"/>
          <w:lang w:eastAsia="ja-JP"/>
        </w:rPr>
        <w:t xml:space="preserve"> is goedgekeurd dat de in artikel LXII </w:t>
      </w:r>
      <w:r w:rsidRPr="00BE68A0" w:rsidR="006F2A9D">
        <w:rPr>
          <w:rFonts w:eastAsia="Yu Mincho"/>
          <w:szCs w:val="22"/>
          <w:lang w:eastAsia="ja-JP"/>
        </w:rPr>
        <w:t>BP</w:t>
      </w:r>
      <w:r w:rsidRPr="00BE68A0">
        <w:rPr>
          <w:rFonts w:eastAsia="Yu Mincho"/>
          <w:szCs w:val="22"/>
          <w:lang w:eastAsia="ja-JP"/>
        </w:rPr>
        <w:t xml:space="preserve"> 2025 opgenomen overgangsregeling buiten toepassing blijft voor betalingen en overdrachten van vouchers </w:t>
      </w:r>
      <w:r w:rsidRPr="00BE68A0" w:rsidR="00CC0CF2">
        <w:rPr>
          <w:rFonts w:eastAsia="Yu Mincho"/>
          <w:szCs w:val="22"/>
          <w:lang w:eastAsia="ja-JP"/>
        </w:rPr>
        <w:t xml:space="preserve">die </w:t>
      </w:r>
      <w:r w:rsidRPr="00BE68A0">
        <w:rPr>
          <w:rFonts w:eastAsia="Yu Mincho"/>
          <w:szCs w:val="22"/>
          <w:lang w:eastAsia="ja-JP"/>
        </w:rPr>
        <w:t xml:space="preserve">betrekking hebben op leveringen van goederen en diensten </w:t>
      </w:r>
      <w:r w:rsidRPr="00BE68A0" w:rsidR="003A236A">
        <w:rPr>
          <w:rFonts w:eastAsia="Yu Mincho"/>
          <w:szCs w:val="22"/>
          <w:lang w:eastAsia="ja-JP"/>
        </w:rPr>
        <w:t xml:space="preserve">als </w:t>
      </w:r>
      <w:r w:rsidRPr="00BE68A0">
        <w:rPr>
          <w:rFonts w:eastAsia="Yu Mincho"/>
          <w:szCs w:val="22"/>
          <w:lang w:eastAsia="ja-JP"/>
        </w:rPr>
        <w:t xml:space="preserve">bedoeld in de posten a.29, a.30, b.2, b.3, b.14, onderdelen c, d en f, b.17 en b.21 van </w:t>
      </w:r>
      <w:r w:rsidRPr="00BE68A0" w:rsidR="003A236A">
        <w:rPr>
          <w:rFonts w:eastAsia="Yu Mincho"/>
          <w:szCs w:val="22"/>
          <w:lang w:eastAsia="ja-JP"/>
        </w:rPr>
        <w:t>t</w:t>
      </w:r>
      <w:r w:rsidRPr="00BE68A0">
        <w:rPr>
          <w:rFonts w:eastAsia="Yu Mincho"/>
          <w:szCs w:val="22"/>
          <w:lang w:eastAsia="ja-JP"/>
        </w:rPr>
        <w:t xml:space="preserve">abel I behorende bij de Wet </w:t>
      </w:r>
      <w:r w:rsidRPr="00BE68A0" w:rsidR="00482B6F">
        <w:rPr>
          <w:rFonts w:eastAsia="Yu Mincho"/>
          <w:szCs w:val="22"/>
          <w:lang w:eastAsia="ja-JP"/>
        </w:rPr>
        <w:t>OB</w:t>
      </w:r>
      <w:r w:rsidRPr="00BE68A0">
        <w:rPr>
          <w:rFonts w:eastAsia="Yu Mincho"/>
          <w:szCs w:val="22"/>
          <w:lang w:eastAsia="ja-JP"/>
        </w:rPr>
        <w:t xml:space="preserve"> 1968</w:t>
      </w:r>
      <w:r w:rsidRPr="00BE68A0" w:rsidR="00A5350C">
        <w:rPr>
          <w:rFonts w:eastAsia="Yu Mincho"/>
          <w:szCs w:val="22"/>
          <w:lang w:eastAsia="ja-JP"/>
        </w:rPr>
        <w:t xml:space="preserve"> (zie ook </w:t>
      </w:r>
      <w:r w:rsidRPr="00BE68A0" w:rsidR="005619E4">
        <w:rPr>
          <w:rFonts w:eastAsia="Yu Mincho"/>
          <w:szCs w:val="22"/>
          <w:lang w:eastAsia="ja-JP"/>
        </w:rPr>
        <w:t>de hierna opgenomen</w:t>
      </w:r>
      <w:r w:rsidRPr="00BE68A0" w:rsidR="00A5350C">
        <w:rPr>
          <w:rFonts w:eastAsia="Yu Mincho"/>
          <w:szCs w:val="22"/>
          <w:lang w:eastAsia="ja-JP"/>
        </w:rPr>
        <w:t xml:space="preserve"> tabel)</w:t>
      </w:r>
      <w:r w:rsidRPr="00BE68A0">
        <w:rPr>
          <w:rFonts w:eastAsia="Yu Mincho"/>
          <w:szCs w:val="22"/>
          <w:lang w:eastAsia="ja-JP"/>
        </w:rPr>
        <w:t xml:space="preserve">. Doordat </w:t>
      </w:r>
      <w:r w:rsidRPr="00BE68A0" w:rsidR="00CC0CF2">
        <w:rPr>
          <w:rFonts w:eastAsia="Yu Mincho"/>
          <w:szCs w:val="22"/>
          <w:lang w:eastAsia="ja-JP"/>
        </w:rPr>
        <w:t xml:space="preserve">het </w:t>
      </w:r>
      <w:r w:rsidRPr="00BE68A0">
        <w:rPr>
          <w:rFonts w:eastAsia="Yu Mincho"/>
          <w:szCs w:val="22"/>
          <w:lang w:eastAsia="ja-JP"/>
        </w:rPr>
        <w:t>onderhavig</w:t>
      </w:r>
      <w:r w:rsidRPr="00BE68A0" w:rsidR="00CC0CF2">
        <w:rPr>
          <w:rFonts w:eastAsia="Yu Mincho"/>
          <w:szCs w:val="22"/>
          <w:lang w:eastAsia="ja-JP"/>
        </w:rPr>
        <w:t>e</w:t>
      </w:r>
      <w:r w:rsidRPr="00BE68A0">
        <w:rPr>
          <w:rFonts w:eastAsia="Yu Mincho"/>
          <w:szCs w:val="22"/>
          <w:lang w:eastAsia="ja-JP"/>
        </w:rPr>
        <w:t xml:space="preserve"> wetsvoorstel </w:t>
      </w:r>
      <w:r w:rsidRPr="00BE68A0" w:rsidR="00482B6F">
        <w:rPr>
          <w:rFonts w:eastAsia="Yu Mincho"/>
          <w:szCs w:val="22"/>
          <w:lang w:eastAsia="ja-JP"/>
        </w:rPr>
        <w:t xml:space="preserve">voor de betreffende posten </w:t>
      </w:r>
      <w:r w:rsidRPr="00BE68A0">
        <w:rPr>
          <w:rFonts w:eastAsia="Yu Mincho"/>
          <w:szCs w:val="22"/>
          <w:lang w:eastAsia="ja-JP"/>
        </w:rPr>
        <w:t xml:space="preserve">een verhoging per 1 januari 2026 voorkomt, </w:t>
      </w:r>
      <w:r w:rsidRPr="00BE68A0" w:rsidR="005619E4">
        <w:rPr>
          <w:rFonts w:eastAsia="Yu Mincho"/>
          <w:szCs w:val="22"/>
          <w:lang w:eastAsia="ja-JP"/>
        </w:rPr>
        <w:t>komt</w:t>
      </w:r>
      <w:r w:rsidRPr="00BE68A0" w:rsidR="001719FF">
        <w:rPr>
          <w:rFonts w:eastAsia="Yu Mincho"/>
          <w:szCs w:val="22"/>
          <w:lang w:eastAsia="ja-JP"/>
        </w:rPr>
        <w:t xml:space="preserve"> </w:t>
      </w:r>
      <w:r w:rsidRPr="00BE68A0" w:rsidR="005619E4">
        <w:rPr>
          <w:rFonts w:eastAsia="Yu Mincho"/>
          <w:szCs w:val="22"/>
          <w:lang w:eastAsia="ja-JP"/>
        </w:rPr>
        <w:t>aan</w:t>
      </w:r>
      <w:r w:rsidRPr="00BE68A0">
        <w:rPr>
          <w:rFonts w:eastAsia="Yu Mincho"/>
          <w:szCs w:val="22"/>
          <w:lang w:eastAsia="ja-JP"/>
        </w:rPr>
        <w:t xml:space="preserve"> het </w:t>
      </w:r>
      <w:r w:rsidRPr="00BE68A0" w:rsidR="001719FF">
        <w:rPr>
          <w:rFonts w:eastAsia="Yu Mincho"/>
          <w:szCs w:val="22"/>
          <w:lang w:eastAsia="ja-JP"/>
        </w:rPr>
        <w:t xml:space="preserve">op het kalenderjaar 2025 betrekking hebbende </w:t>
      </w:r>
      <w:r w:rsidRPr="00BE68A0">
        <w:rPr>
          <w:rFonts w:eastAsia="Yu Mincho"/>
          <w:szCs w:val="22"/>
          <w:lang w:eastAsia="ja-JP"/>
        </w:rPr>
        <w:t>overgangsrecht van artikel</w:t>
      </w:r>
      <w:r w:rsidRPr="00BE68A0" w:rsidR="00A5350C">
        <w:rPr>
          <w:rFonts w:eastAsia="Yu Mincho"/>
          <w:szCs w:val="22"/>
          <w:lang w:eastAsia="ja-JP"/>
        </w:rPr>
        <w:t> </w:t>
      </w:r>
      <w:r w:rsidRPr="00BE68A0">
        <w:rPr>
          <w:rFonts w:eastAsia="Yu Mincho"/>
          <w:szCs w:val="22"/>
          <w:lang w:eastAsia="ja-JP"/>
        </w:rPr>
        <w:t xml:space="preserve">LXII </w:t>
      </w:r>
      <w:r w:rsidRPr="00BE68A0" w:rsidR="00B22BC5">
        <w:rPr>
          <w:rFonts w:eastAsia="Yu Mincho"/>
          <w:szCs w:val="22"/>
          <w:lang w:eastAsia="ja-JP"/>
        </w:rPr>
        <w:t xml:space="preserve">BP 2025 </w:t>
      </w:r>
      <w:r w:rsidRPr="00BE68A0" w:rsidR="005619E4">
        <w:rPr>
          <w:rFonts w:eastAsia="Yu Mincho"/>
          <w:szCs w:val="22"/>
          <w:lang w:eastAsia="ja-JP"/>
        </w:rPr>
        <w:t xml:space="preserve">de grond te ontvallen </w:t>
      </w:r>
      <w:r w:rsidRPr="00BE68A0" w:rsidR="00482B6F">
        <w:rPr>
          <w:rFonts w:eastAsia="Yu Mincho"/>
          <w:szCs w:val="22"/>
          <w:lang w:eastAsia="ja-JP"/>
        </w:rPr>
        <w:t>voor wat betreft</w:t>
      </w:r>
      <w:r w:rsidRPr="00BE68A0" w:rsidR="005619E4">
        <w:rPr>
          <w:rFonts w:eastAsia="Yu Mincho"/>
          <w:szCs w:val="22"/>
          <w:lang w:eastAsia="ja-JP"/>
        </w:rPr>
        <w:t xml:space="preserve"> de hiervoor genoemde leveringen van goederen en diensten</w:t>
      </w:r>
      <w:r w:rsidRPr="00BE68A0" w:rsidR="005A020A">
        <w:rPr>
          <w:rFonts w:eastAsia="Yu Mincho"/>
          <w:szCs w:val="22"/>
          <w:lang w:eastAsia="ja-JP"/>
        </w:rPr>
        <w:t>. Hierdoor is</w:t>
      </w:r>
      <w:r w:rsidRPr="00BE68A0" w:rsidR="001719FF">
        <w:rPr>
          <w:rFonts w:eastAsia="Yu Mincho"/>
          <w:szCs w:val="22"/>
          <w:lang w:eastAsia="ja-JP"/>
        </w:rPr>
        <w:t xml:space="preserve"> dat artikel alsnog niet van toepassing </w:t>
      </w:r>
      <w:r w:rsidRPr="00BE68A0" w:rsidR="005619E4">
        <w:rPr>
          <w:rFonts w:eastAsia="Yu Mincho"/>
          <w:szCs w:val="22"/>
          <w:lang w:eastAsia="ja-JP"/>
        </w:rPr>
        <w:t xml:space="preserve">op deze goederen en diensten </w:t>
      </w:r>
      <w:r w:rsidRPr="00BE68A0">
        <w:rPr>
          <w:rFonts w:eastAsia="Yu Mincho"/>
          <w:szCs w:val="22"/>
          <w:lang w:eastAsia="ja-JP"/>
        </w:rPr>
        <w:t xml:space="preserve">vanaf de inwerkingtreding </w:t>
      </w:r>
      <w:r w:rsidRPr="00BE68A0" w:rsidR="001719FF">
        <w:rPr>
          <w:rFonts w:eastAsia="Yu Mincho"/>
          <w:szCs w:val="22"/>
          <w:lang w:eastAsia="ja-JP"/>
        </w:rPr>
        <w:t>er</w:t>
      </w:r>
      <w:r w:rsidRPr="00BE68A0" w:rsidR="00A5350C">
        <w:rPr>
          <w:rFonts w:eastAsia="Yu Mincho"/>
          <w:szCs w:val="22"/>
          <w:lang w:eastAsia="ja-JP"/>
        </w:rPr>
        <w:t xml:space="preserve">van </w:t>
      </w:r>
      <w:r w:rsidRPr="00BE68A0">
        <w:rPr>
          <w:rFonts w:eastAsia="Yu Mincho"/>
          <w:szCs w:val="22"/>
          <w:lang w:eastAsia="ja-JP"/>
        </w:rPr>
        <w:t>per 1 januari 2025</w:t>
      </w:r>
      <w:r w:rsidRPr="00BE68A0" w:rsidR="00482B6F">
        <w:rPr>
          <w:rFonts w:eastAsia="Yu Mincho"/>
          <w:szCs w:val="22"/>
          <w:lang w:eastAsia="ja-JP"/>
        </w:rPr>
        <w:t xml:space="preserve"> (en tot en met dat artikel materieel is uitgewerkt, per ultimo 2025)</w:t>
      </w:r>
      <w:r w:rsidRPr="00BE68A0">
        <w:rPr>
          <w:rFonts w:eastAsia="Yu Mincho"/>
          <w:szCs w:val="22"/>
          <w:lang w:eastAsia="ja-JP"/>
        </w:rPr>
        <w:t xml:space="preserve">. </w:t>
      </w:r>
      <w:r w:rsidRPr="00BE68A0" w:rsidR="00A5350C">
        <w:rPr>
          <w:rFonts w:eastAsia="Yu Mincho"/>
          <w:szCs w:val="22"/>
          <w:lang w:eastAsia="ja-JP"/>
        </w:rPr>
        <w:t xml:space="preserve">Door </w:t>
      </w:r>
      <w:r w:rsidRPr="00BE68A0" w:rsidR="001719FF">
        <w:rPr>
          <w:rFonts w:eastAsia="Yu Mincho"/>
          <w:szCs w:val="22"/>
          <w:lang w:eastAsia="ja-JP"/>
        </w:rPr>
        <w:t xml:space="preserve">de </w:t>
      </w:r>
      <w:r w:rsidRPr="00BE68A0" w:rsidR="00A5350C">
        <w:rPr>
          <w:rFonts w:eastAsia="Yu Mincho"/>
          <w:szCs w:val="22"/>
          <w:lang w:eastAsia="ja-JP"/>
        </w:rPr>
        <w:t xml:space="preserve">voorgestelde wijziging van artikel XXI, onderdeel B, </w:t>
      </w:r>
      <w:r w:rsidRPr="00BE68A0" w:rsidR="006F2A9D">
        <w:rPr>
          <w:rFonts w:eastAsia="Yu Mincho"/>
          <w:szCs w:val="22"/>
          <w:lang w:eastAsia="ja-JP"/>
        </w:rPr>
        <w:t>BP</w:t>
      </w:r>
      <w:r w:rsidRPr="00BE68A0" w:rsidR="00A5350C">
        <w:rPr>
          <w:rFonts w:eastAsia="Yu Mincho"/>
          <w:szCs w:val="22"/>
          <w:lang w:eastAsia="ja-JP"/>
        </w:rPr>
        <w:t xml:space="preserve"> 2025</w:t>
      </w:r>
      <w:r w:rsidRPr="00BE68A0">
        <w:rPr>
          <w:rFonts w:eastAsia="Yu Mincho"/>
          <w:szCs w:val="22"/>
          <w:lang w:eastAsia="ja-JP"/>
        </w:rPr>
        <w:t xml:space="preserve"> wordt </w:t>
      </w:r>
      <w:r w:rsidRPr="00BE68A0" w:rsidR="00A5350C">
        <w:rPr>
          <w:rFonts w:eastAsia="Yu Mincho"/>
          <w:szCs w:val="22"/>
          <w:lang w:eastAsia="ja-JP"/>
        </w:rPr>
        <w:t xml:space="preserve">dus </w:t>
      </w:r>
      <w:r w:rsidRPr="00BE68A0" w:rsidR="00482B6F">
        <w:rPr>
          <w:rFonts w:eastAsia="Yu Mincho"/>
          <w:szCs w:val="22"/>
          <w:lang w:eastAsia="ja-JP"/>
        </w:rPr>
        <w:t>tevens</w:t>
      </w:r>
      <w:r w:rsidRPr="00BE68A0" w:rsidR="00A5350C">
        <w:rPr>
          <w:rFonts w:eastAsia="Yu Mincho"/>
          <w:szCs w:val="22"/>
          <w:lang w:eastAsia="ja-JP"/>
        </w:rPr>
        <w:t xml:space="preserve"> </w:t>
      </w:r>
      <w:r w:rsidRPr="00BE68A0">
        <w:rPr>
          <w:rFonts w:eastAsia="Yu Mincho"/>
          <w:szCs w:val="22"/>
          <w:lang w:eastAsia="ja-JP"/>
        </w:rPr>
        <w:t>de goedkeuring van de</w:t>
      </w:r>
      <w:r w:rsidRPr="00BE68A0" w:rsidR="001719FF">
        <w:rPr>
          <w:rFonts w:eastAsia="Yu Mincho"/>
          <w:szCs w:val="22"/>
          <w:lang w:eastAsia="ja-JP"/>
        </w:rPr>
        <w:t xml:space="preserve"> genoemde</w:t>
      </w:r>
      <w:r w:rsidRPr="00BE68A0">
        <w:rPr>
          <w:rFonts w:eastAsia="Yu Mincho"/>
          <w:szCs w:val="22"/>
          <w:lang w:eastAsia="ja-JP"/>
        </w:rPr>
        <w:t xml:space="preserve"> beleidsbesluiten wettelijk vastgelegd.</w:t>
      </w:r>
    </w:p>
    <w:p w:rsidRPr="00BE68A0" w:rsidR="00377334" w:rsidP="00A10EF2" w:rsidRDefault="00377334" w14:paraId="2CDE6E70" w14:textId="2C4558E0">
      <w:pPr>
        <w:spacing w:after="160" w:line="360" w:lineRule="auto"/>
        <w:rPr>
          <w:rFonts w:eastAsia="Yu Mincho"/>
          <w:szCs w:val="22"/>
          <w:lang w:eastAsia="ja-JP"/>
        </w:rPr>
      </w:pPr>
      <w:r w:rsidRPr="00BE68A0">
        <w:rPr>
          <w:rFonts w:eastAsia="Yu Mincho"/>
          <w:szCs w:val="22"/>
          <w:lang w:eastAsia="ja-JP"/>
        </w:rPr>
        <w:t xml:space="preserve">Het </w:t>
      </w:r>
      <w:r w:rsidRPr="00BE68A0" w:rsidR="008E2ED7">
        <w:rPr>
          <w:rFonts w:eastAsia="Yu Mincho"/>
          <w:szCs w:val="22"/>
          <w:lang w:eastAsia="ja-JP"/>
        </w:rPr>
        <w:t xml:space="preserve">vervallen </w:t>
      </w:r>
      <w:r w:rsidRPr="00BE68A0">
        <w:rPr>
          <w:rFonts w:eastAsia="Yu Mincho"/>
          <w:szCs w:val="22"/>
          <w:lang w:eastAsia="ja-JP"/>
        </w:rPr>
        <w:t>van het verlaagd</w:t>
      </w:r>
      <w:r w:rsidRPr="00BE68A0" w:rsidR="00AE6D2C">
        <w:rPr>
          <w:rFonts w:eastAsia="Yu Mincho"/>
          <w:szCs w:val="22"/>
          <w:lang w:eastAsia="ja-JP"/>
        </w:rPr>
        <w:t>e</w:t>
      </w:r>
      <w:r w:rsidRPr="00BE68A0">
        <w:rPr>
          <w:rFonts w:eastAsia="Yu Mincho"/>
          <w:szCs w:val="22"/>
          <w:lang w:eastAsia="ja-JP"/>
        </w:rPr>
        <w:t xml:space="preserve"> btw-tarief voor het verstrekken van logies binnen het kader van het hotel-, pension- en vakantiebestedingsbedrijf aan personen die daar slechts voor een korte periode verblijf houden blijft </w:t>
      </w:r>
      <w:r w:rsidRPr="00BE68A0" w:rsidR="008E2ED7">
        <w:rPr>
          <w:rFonts w:eastAsia="Yu Mincho"/>
          <w:szCs w:val="22"/>
          <w:lang w:eastAsia="ja-JP"/>
        </w:rPr>
        <w:t xml:space="preserve">wel </w:t>
      </w:r>
      <w:r w:rsidRPr="00BE68A0">
        <w:rPr>
          <w:rFonts w:eastAsia="Yu Mincho"/>
          <w:szCs w:val="22"/>
          <w:lang w:eastAsia="ja-JP"/>
        </w:rPr>
        <w:t>in stand</w:t>
      </w:r>
      <w:r w:rsidRPr="00BE68A0" w:rsidR="00E00154">
        <w:rPr>
          <w:rFonts w:eastAsia="Yu Mincho"/>
          <w:szCs w:val="22"/>
          <w:lang w:eastAsia="ja-JP"/>
        </w:rPr>
        <w:t xml:space="preserve">. Dit </w:t>
      </w:r>
      <w:r w:rsidRPr="00BE68A0" w:rsidR="000A7F94">
        <w:rPr>
          <w:rFonts w:eastAsia="Yu Mincho"/>
          <w:szCs w:val="22"/>
          <w:lang w:eastAsia="ja-JP"/>
        </w:rPr>
        <w:t>betreft</w:t>
      </w:r>
      <w:r w:rsidRPr="00BE68A0" w:rsidR="00E00154">
        <w:rPr>
          <w:rFonts w:eastAsia="Yu Mincho"/>
          <w:szCs w:val="22"/>
          <w:lang w:eastAsia="ja-JP"/>
        </w:rPr>
        <w:t xml:space="preserve"> </w:t>
      </w:r>
      <w:r w:rsidRPr="00BE68A0" w:rsidR="00D430D5">
        <w:rPr>
          <w:rFonts w:eastAsia="Yu Mincho"/>
          <w:szCs w:val="22"/>
          <w:lang w:eastAsia="ja-JP"/>
        </w:rPr>
        <w:t>t</w:t>
      </w:r>
      <w:r w:rsidRPr="00BE68A0">
        <w:rPr>
          <w:rFonts w:eastAsia="Yu Mincho"/>
          <w:szCs w:val="22"/>
          <w:lang w:eastAsia="ja-JP"/>
        </w:rPr>
        <w:t xml:space="preserve">abel I, </w:t>
      </w:r>
      <w:r w:rsidRPr="00BE68A0" w:rsidR="00E00154">
        <w:rPr>
          <w:rFonts w:eastAsia="Yu Mincho"/>
          <w:szCs w:val="22"/>
          <w:lang w:eastAsia="ja-JP"/>
        </w:rPr>
        <w:t xml:space="preserve">onderdeel </w:t>
      </w:r>
      <w:r w:rsidRPr="00BE68A0">
        <w:rPr>
          <w:rFonts w:eastAsia="Yu Mincho"/>
          <w:szCs w:val="22"/>
          <w:lang w:eastAsia="ja-JP"/>
        </w:rPr>
        <w:t>b</w:t>
      </w:r>
      <w:r w:rsidRPr="00BE68A0" w:rsidR="008E2ED7">
        <w:rPr>
          <w:rFonts w:eastAsia="Yu Mincho"/>
          <w:szCs w:val="22"/>
          <w:lang w:eastAsia="ja-JP"/>
        </w:rPr>
        <w:t>,</w:t>
      </w:r>
      <w:r w:rsidRPr="00BE68A0">
        <w:rPr>
          <w:rFonts w:eastAsia="Yu Mincho"/>
          <w:szCs w:val="22"/>
          <w:lang w:eastAsia="ja-JP"/>
        </w:rPr>
        <w:t xml:space="preserve"> </w:t>
      </w:r>
      <w:r w:rsidRPr="00BE68A0" w:rsidR="00E00154">
        <w:rPr>
          <w:rFonts w:eastAsia="Yu Mincho"/>
          <w:szCs w:val="22"/>
          <w:lang w:eastAsia="ja-JP"/>
        </w:rPr>
        <w:t>post</w:t>
      </w:r>
      <w:r w:rsidRPr="00BE68A0" w:rsidR="003B6208">
        <w:rPr>
          <w:rFonts w:eastAsia="Yu Mincho"/>
          <w:szCs w:val="22"/>
          <w:lang w:eastAsia="ja-JP"/>
        </w:rPr>
        <w:t> </w:t>
      </w:r>
      <w:r w:rsidRPr="00BE68A0">
        <w:rPr>
          <w:rFonts w:eastAsia="Yu Mincho"/>
          <w:szCs w:val="22"/>
          <w:lang w:eastAsia="ja-JP"/>
        </w:rPr>
        <w:t>11</w:t>
      </w:r>
      <w:r w:rsidRPr="00BE68A0" w:rsidR="00E00154">
        <w:rPr>
          <w:rFonts w:eastAsia="Yu Mincho"/>
          <w:szCs w:val="22"/>
          <w:lang w:eastAsia="ja-JP"/>
        </w:rPr>
        <w:t>. H</w:t>
      </w:r>
      <w:r w:rsidRPr="00BE68A0" w:rsidR="00E77F82">
        <w:rPr>
          <w:rFonts w:eastAsia="Yu Mincho"/>
          <w:szCs w:val="22"/>
          <w:lang w:eastAsia="ja-JP"/>
        </w:rPr>
        <w:t xml:space="preserve">ierop </w:t>
      </w:r>
      <w:r w:rsidRPr="00BE68A0" w:rsidR="008E2ED7">
        <w:rPr>
          <w:rFonts w:eastAsia="Yu Mincho"/>
          <w:szCs w:val="22"/>
          <w:lang w:eastAsia="ja-JP"/>
        </w:rPr>
        <w:t xml:space="preserve">is </w:t>
      </w:r>
      <w:r w:rsidRPr="00BE68A0" w:rsidR="00AE6D2C">
        <w:rPr>
          <w:rFonts w:eastAsia="Yu Mincho"/>
          <w:szCs w:val="22"/>
          <w:lang w:eastAsia="ja-JP"/>
        </w:rPr>
        <w:t xml:space="preserve">dus </w:t>
      </w:r>
      <w:r w:rsidRPr="00BE68A0" w:rsidR="00E77F82">
        <w:rPr>
          <w:rFonts w:eastAsia="Yu Mincho"/>
          <w:szCs w:val="22"/>
          <w:lang w:eastAsia="ja-JP"/>
        </w:rPr>
        <w:t>per 1</w:t>
      </w:r>
      <w:r w:rsidRPr="00BE68A0" w:rsidR="00E00154">
        <w:rPr>
          <w:rFonts w:eastAsia="Yu Mincho"/>
          <w:szCs w:val="22"/>
          <w:lang w:eastAsia="ja-JP"/>
        </w:rPr>
        <w:t> </w:t>
      </w:r>
      <w:r w:rsidRPr="00BE68A0" w:rsidR="00E77F82">
        <w:rPr>
          <w:rFonts w:eastAsia="Yu Mincho"/>
          <w:szCs w:val="22"/>
          <w:lang w:eastAsia="ja-JP"/>
        </w:rPr>
        <w:t>januari</w:t>
      </w:r>
      <w:r w:rsidRPr="00BE68A0" w:rsidR="00E00154">
        <w:rPr>
          <w:rFonts w:eastAsia="Yu Mincho"/>
          <w:szCs w:val="22"/>
          <w:lang w:eastAsia="ja-JP"/>
        </w:rPr>
        <w:t> </w:t>
      </w:r>
      <w:r w:rsidRPr="00BE68A0" w:rsidR="00E77F82">
        <w:rPr>
          <w:rFonts w:eastAsia="Yu Mincho"/>
          <w:szCs w:val="22"/>
          <w:lang w:eastAsia="ja-JP"/>
        </w:rPr>
        <w:t>2026 het algemene tarief van toepassing</w:t>
      </w:r>
      <w:r w:rsidRPr="00BE68A0" w:rsidR="00142FE5">
        <w:rPr>
          <w:rFonts w:eastAsia="Yu Mincho"/>
          <w:szCs w:val="22"/>
          <w:lang w:eastAsia="ja-JP"/>
        </w:rPr>
        <w:t xml:space="preserve"> </w:t>
      </w:r>
      <w:r w:rsidRPr="00BE68A0" w:rsidR="00AE6D2C">
        <w:rPr>
          <w:rFonts w:eastAsia="Yu Mincho"/>
          <w:szCs w:val="22"/>
          <w:lang w:eastAsia="ja-JP"/>
        </w:rPr>
        <w:t>(</w:t>
      </w:r>
      <w:r w:rsidRPr="00BE68A0" w:rsidR="00FC2111">
        <w:rPr>
          <w:rFonts w:eastAsia="Yu Mincho"/>
          <w:szCs w:val="22"/>
          <w:lang w:eastAsia="ja-JP"/>
        </w:rPr>
        <w:t xml:space="preserve">en </w:t>
      </w:r>
      <w:r w:rsidRPr="00BE68A0" w:rsidR="008E2ED7">
        <w:rPr>
          <w:rFonts w:eastAsia="Yu Mincho"/>
          <w:szCs w:val="22"/>
          <w:lang w:eastAsia="ja-JP"/>
        </w:rPr>
        <w:t>geldt vanaf 1 januari 2025 al overgangsrecht</w:t>
      </w:r>
      <w:r w:rsidRPr="00BE68A0" w:rsidR="00AE6D2C">
        <w:rPr>
          <w:rFonts w:eastAsia="Yu Mincho"/>
          <w:szCs w:val="22"/>
          <w:lang w:eastAsia="ja-JP"/>
        </w:rPr>
        <w:t>)</w:t>
      </w:r>
      <w:r w:rsidRPr="00BE68A0">
        <w:rPr>
          <w:rFonts w:eastAsia="Yu Mincho"/>
          <w:szCs w:val="22"/>
          <w:lang w:eastAsia="ja-JP"/>
        </w:rPr>
        <w:t>.</w:t>
      </w:r>
    </w:p>
    <w:p w:rsidRPr="00BE68A0" w:rsidR="009C67F4" w:rsidP="00A10EF2" w:rsidRDefault="009C67F4" w14:paraId="4D10BD8E" w14:textId="2B580D48">
      <w:pPr>
        <w:spacing w:after="160" w:line="360" w:lineRule="auto"/>
        <w:rPr>
          <w:rFonts w:eastAsia="Yu Mincho"/>
          <w:szCs w:val="22"/>
          <w:lang w:eastAsia="ja-JP"/>
        </w:rPr>
      </w:pPr>
      <w:r w:rsidRPr="00BE68A0">
        <w:rPr>
          <w:rFonts w:eastAsia="Yu Mincho"/>
          <w:szCs w:val="22"/>
          <w:lang w:eastAsia="ja-JP"/>
        </w:rPr>
        <w:t>Per 1</w:t>
      </w:r>
      <w:r w:rsidRPr="00BE68A0" w:rsidR="00E00154">
        <w:rPr>
          <w:rFonts w:eastAsia="Yu Mincho"/>
          <w:szCs w:val="22"/>
          <w:lang w:eastAsia="ja-JP"/>
        </w:rPr>
        <w:t> </w:t>
      </w:r>
      <w:r w:rsidRPr="00BE68A0">
        <w:rPr>
          <w:rFonts w:eastAsia="Yu Mincho"/>
          <w:szCs w:val="22"/>
          <w:lang w:eastAsia="ja-JP"/>
        </w:rPr>
        <w:t>januari</w:t>
      </w:r>
      <w:r w:rsidRPr="00BE68A0" w:rsidR="00E00154">
        <w:rPr>
          <w:rFonts w:eastAsia="Yu Mincho"/>
          <w:szCs w:val="22"/>
          <w:lang w:eastAsia="ja-JP"/>
        </w:rPr>
        <w:t> </w:t>
      </w:r>
      <w:r w:rsidRPr="00BE68A0">
        <w:rPr>
          <w:rFonts w:eastAsia="Yu Mincho"/>
          <w:szCs w:val="22"/>
          <w:lang w:eastAsia="ja-JP"/>
        </w:rPr>
        <w:t>2026 zal</w:t>
      </w:r>
      <w:r w:rsidRPr="00BE68A0" w:rsidR="00B55E2A">
        <w:rPr>
          <w:rFonts w:eastAsia="Yu Mincho"/>
          <w:szCs w:val="22"/>
          <w:lang w:eastAsia="ja-JP"/>
        </w:rPr>
        <w:t xml:space="preserve"> dus</w:t>
      </w:r>
      <w:r w:rsidRPr="00BE68A0">
        <w:rPr>
          <w:rFonts w:eastAsia="Yu Mincho"/>
          <w:szCs w:val="22"/>
          <w:lang w:eastAsia="ja-JP"/>
        </w:rPr>
        <w:t xml:space="preserve"> als gevolg van </w:t>
      </w:r>
      <w:r w:rsidRPr="00BE68A0" w:rsidR="00E77F82">
        <w:rPr>
          <w:rFonts w:eastAsia="Yu Mincho"/>
          <w:szCs w:val="22"/>
          <w:lang w:eastAsia="ja-JP"/>
        </w:rPr>
        <w:t>de</w:t>
      </w:r>
      <w:r w:rsidRPr="00BE68A0">
        <w:rPr>
          <w:rFonts w:eastAsia="Yu Mincho"/>
          <w:szCs w:val="22"/>
          <w:lang w:eastAsia="ja-JP"/>
        </w:rPr>
        <w:t xml:space="preserve"> </w:t>
      </w:r>
      <w:r w:rsidRPr="00BE68A0" w:rsidR="00AE6D2C">
        <w:rPr>
          <w:rFonts w:eastAsia="Yu Mincho"/>
          <w:szCs w:val="22"/>
          <w:lang w:eastAsia="ja-JP"/>
        </w:rPr>
        <w:t>voorgestelde maatregel</w:t>
      </w:r>
      <w:r w:rsidRPr="00BE68A0" w:rsidR="00E77F82">
        <w:rPr>
          <w:rFonts w:eastAsia="Yu Mincho"/>
          <w:szCs w:val="22"/>
          <w:lang w:eastAsia="ja-JP"/>
        </w:rPr>
        <w:t xml:space="preserve"> </w:t>
      </w:r>
      <w:r w:rsidRPr="00BE68A0">
        <w:rPr>
          <w:rFonts w:eastAsia="Yu Mincho"/>
          <w:szCs w:val="22"/>
          <w:lang w:eastAsia="ja-JP"/>
        </w:rPr>
        <w:t>het verlaagde btw-tarief voor</w:t>
      </w:r>
      <w:r w:rsidRPr="00BE68A0" w:rsidR="00E00154">
        <w:rPr>
          <w:rFonts w:eastAsia="Yu Mincho"/>
          <w:szCs w:val="22"/>
          <w:lang w:eastAsia="ja-JP"/>
        </w:rPr>
        <w:t xml:space="preserve"> de volgende posten </w:t>
      </w:r>
      <w:r w:rsidRPr="00BE68A0" w:rsidR="00D602A8">
        <w:rPr>
          <w:rFonts w:eastAsia="Yu Mincho"/>
          <w:szCs w:val="22"/>
          <w:lang w:eastAsia="ja-JP"/>
        </w:rPr>
        <w:t>behouden blijven</w:t>
      </w:r>
      <w:r w:rsidRPr="00BE68A0">
        <w:rPr>
          <w:rFonts w:eastAsia="Yu Mincho"/>
          <w:szCs w:val="22"/>
          <w:lang w:eastAsia="ja-JP"/>
        </w:rPr>
        <w:t xml:space="preserve">: </w:t>
      </w:r>
    </w:p>
    <w:p w:rsidRPr="00BE68A0" w:rsidR="005A020A" w:rsidP="00A10EF2" w:rsidRDefault="005A020A" w14:paraId="33D09A2E" w14:textId="77777777">
      <w:pPr>
        <w:spacing w:after="160" w:line="360" w:lineRule="auto"/>
        <w:rPr>
          <w:rFonts w:eastAsia="Yu Mincho"/>
          <w:szCs w:val="22"/>
          <w:lang w:eastAsia="ja-JP"/>
        </w:rPr>
      </w:pPr>
    </w:p>
    <w:p w:rsidRPr="00BE68A0" w:rsidR="005A020A" w:rsidP="00A10EF2" w:rsidRDefault="005A020A" w14:paraId="060C2E22" w14:textId="77777777">
      <w:pPr>
        <w:spacing w:after="160" w:line="360" w:lineRule="auto"/>
        <w:rPr>
          <w:rFonts w:eastAsia="Yu Mincho"/>
          <w:szCs w:val="22"/>
          <w:lang w:eastAsia="ja-JP"/>
        </w:rPr>
      </w:pPr>
    </w:p>
    <w:p w:rsidRPr="00BE68A0" w:rsidR="00871673" w:rsidP="00FC4B91" w:rsidRDefault="00871673" w14:paraId="183E7BEE" w14:textId="5AF8508A">
      <w:pPr>
        <w:pStyle w:val="Bijschrift"/>
        <w:keepNext/>
        <w:rPr>
          <w:color w:val="auto"/>
        </w:rPr>
      </w:pPr>
      <w:r w:rsidRPr="00BE68A0">
        <w:rPr>
          <w:color w:val="auto"/>
        </w:rPr>
        <w:lastRenderedPageBreak/>
        <w:t xml:space="preserve">Tabel </w:t>
      </w:r>
      <w:r w:rsidRPr="00BE68A0">
        <w:rPr>
          <w:color w:val="auto"/>
        </w:rPr>
        <w:fldChar w:fldCharType="begin"/>
      </w:r>
      <w:r w:rsidRPr="00BE68A0">
        <w:rPr>
          <w:color w:val="auto"/>
        </w:rPr>
        <w:instrText xml:space="preserve"> SEQ Tabel \* ARABIC </w:instrText>
      </w:r>
      <w:r w:rsidRPr="00BE68A0">
        <w:rPr>
          <w:color w:val="auto"/>
        </w:rPr>
        <w:fldChar w:fldCharType="separate"/>
      </w:r>
      <w:r w:rsidR="00C85D2C">
        <w:rPr>
          <w:noProof/>
          <w:color w:val="auto"/>
        </w:rPr>
        <w:t>2</w:t>
      </w:r>
      <w:r w:rsidRPr="00BE68A0">
        <w:rPr>
          <w:color w:val="auto"/>
        </w:rPr>
        <w:fldChar w:fldCharType="end"/>
      </w:r>
      <w:r w:rsidRPr="00BE68A0">
        <w:rPr>
          <w:color w:val="auto"/>
        </w:rPr>
        <w:t>: Overzicht van btw-posten</w:t>
      </w:r>
    </w:p>
    <w:tbl>
      <w:tblPr>
        <w:tblStyle w:val="Tabelraster1"/>
        <w:tblW w:w="0" w:type="auto"/>
        <w:tblLook w:val="04A0" w:firstRow="1" w:lastRow="0" w:firstColumn="1" w:lastColumn="0" w:noHBand="0" w:noVBand="1"/>
      </w:tblPr>
      <w:tblGrid>
        <w:gridCol w:w="4508"/>
        <w:gridCol w:w="4509"/>
      </w:tblGrid>
      <w:tr w:rsidRPr="00BE68A0" w:rsidR="009C67F4" w:rsidTr="00BF5AF8" w14:paraId="022D0F00" w14:textId="77777777">
        <w:tc>
          <w:tcPr>
            <w:tcW w:w="4508" w:type="dxa"/>
          </w:tcPr>
          <w:p w:rsidRPr="00BE68A0" w:rsidR="009C67F4" w:rsidP="00A10EF2" w:rsidRDefault="009C67F4" w14:paraId="1644DC8F" w14:textId="77777777">
            <w:pPr>
              <w:spacing w:line="360" w:lineRule="auto"/>
              <w:rPr>
                <w:b/>
                <w:bCs/>
              </w:rPr>
            </w:pPr>
            <w:r w:rsidRPr="00BE68A0">
              <w:rPr>
                <w:b/>
                <w:bCs/>
              </w:rPr>
              <w:t>Post</w:t>
            </w:r>
          </w:p>
        </w:tc>
        <w:tc>
          <w:tcPr>
            <w:tcW w:w="4509" w:type="dxa"/>
          </w:tcPr>
          <w:p w:rsidRPr="00BE68A0" w:rsidR="009C67F4" w:rsidP="00A10EF2" w:rsidRDefault="009C67F4" w14:paraId="6ACE29F8" w14:textId="77777777">
            <w:pPr>
              <w:spacing w:line="360" w:lineRule="auto"/>
              <w:rPr>
                <w:b/>
                <w:bCs/>
              </w:rPr>
            </w:pPr>
            <w:proofErr w:type="spellStart"/>
            <w:r w:rsidRPr="00BE68A0">
              <w:rPr>
                <w:b/>
                <w:bCs/>
              </w:rPr>
              <w:t>Uitleg</w:t>
            </w:r>
            <w:proofErr w:type="spellEnd"/>
          </w:p>
        </w:tc>
      </w:tr>
      <w:tr w:rsidRPr="00BE68A0" w:rsidR="009C67F4" w:rsidTr="00BF5AF8" w14:paraId="21BB282B" w14:textId="77777777">
        <w:tc>
          <w:tcPr>
            <w:tcW w:w="4508" w:type="dxa"/>
          </w:tcPr>
          <w:p w:rsidRPr="00BE68A0" w:rsidR="009C67F4" w:rsidP="00A10EF2" w:rsidRDefault="009C67F4" w14:paraId="15A528E0" w14:textId="77777777">
            <w:pPr>
              <w:spacing w:line="360" w:lineRule="auto"/>
              <w:rPr>
                <w:lang w:val="nl-NL"/>
              </w:rPr>
            </w:pPr>
            <w:r w:rsidRPr="00BE68A0">
              <w:rPr>
                <w:lang w:val="nl-NL"/>
              </w:rPr>
              <w:t>Tabel I, a 29</w:t>
            </w:r>
          </w:p>
        </w:tc>
        <w:tc>
          <w:tcPr>
            <w:tcW w:w="4509" w:type="dxa"/>
          </w:tcPr>
          <w:p w:rsidRPr="00BE68A0" w:rsidR="009C67F4" w:rsidP="00A10EF2" w:rsidRDefault="009C67F4" w14:paraId="7C1DE3DA" w14:textId="6D90C69F">
            <w:pPr>
              <w:spacing w:line="360" w:lineRule="auto"/>
              <w:rPr>
                <w:lang w:val="nl-NL"/>
              </w:rPr>
            </w:pPr>
            <w:r w:rsidRPr="00BE68A0">
              <w:rPr>
                <w:lang w:val="nl-NL"/>
              </w:rPr>
              <w:t>Kunst</w:t>
            </w:r>
            <w:r w:rsidRPr="00BE68A0" w:rsidR="00301257">
              <w:rPr>
                <w:lang w:val="nl-NL"/>
              </w:rPr>
              <w:t>voorwerpen</w:t>
            </w:r>
            <w:r w:rsidRPr="00BE68A0">
              <w:rPr>
                <w:lang w:val="nl-NL"/>
              </w:rPr>
              <w:t>: invoer van kunstvoorwerpen, voorwerpen voor verzamelingen en antiquiteiten</w:t>
            </w:r>
            <w:r w:rsidRPr="00BE68A0" w:rsidR="008065D4">
              <w:rPr>
                <w:lang w:val="nl-NL"/>
              </w:rPr>
              <w:t>;</w:t>
            </w:r>
            <w:r w:rsidRPr="00BE68A0">
              <w:rPr>
                <w:lang w:val="nl-NL"/>
              </w:rPr>
              <w:t xml:space="preserve"> levering van kunstvoorwerpen door de maker, diens rechtverkrijgende of aftrekgerechtigde ondernemers</w:t>
            </w:r>
          </w:p>
        </w:tc>
      </w:tr>
      <w:tr w:rsidRPr="00BE68A0" w:rsidR="009C67F4" w:rsidTr="00BF5AF8" w14:paraId="7A9E93DA" w14:textId="77777777">
        <w:tc>
          <w:tcPr>
            <w:tcW w:w="4508" w:type="dxa"/>
          </w:tcPr>
          <w:p w:rsidRPr="00BE68A0" w:rsidR="009C67F4" w:rsidP="00A10EF2" w:rsidRDefault="009C67F4" w14:paraId="2400CAC5" w14:textId="77777777">
            <w:pPr>
              <w:spacing w:line="360" w:lineRule="auto"/>
              <w:rPr>
                <w:lang w:val="nl-NL"/>
              </w:rPr>
            </w:pPr>
            <w:r w:rsidRPr="00BE68A0">
              <w:rPr>
                <w:lang w:val="nl-NL"/>
              </w:rPr>
              <w:t>Tabel I, a 30</w:t>
            </w:r>
          </w:p>
        </w:tc>
        <w:tc>
          <w:tcPr>
            <w:tcW w:w="4509" w:type="dxa"/>
          </w:tcPr>
          <w:p w:rsidRPr="00BE68A0" w:rsidR="009C67F4" w:rsidP="00A10EF2" w:rsidRDefault="009C67F4" w14:paraId="2F48101A" w14:textId="6C023FD9">
            <w:pPr>
              <w:spacing w:line="360" w:lineRule="auto"/>
              <w:rPr>
                <w:lang w:val="nl-NL"/>
              </w:rPr>
            </w:pPr>
            <w:r w:rsidRPr="00BE68A0">
              <w:rPr>
                <w:lang w:val="nl-NL"/>
              </w:rPr>
              <w:t>Boeken</w:t>
            </w:r>
            <w:r w:rsidRPr="00BE68A0" w:rsidR="00FC2111">
              <w:rPr>
                <w:lang w:val="nl-NL"/>
              </w:rPr>
              <w:t>:</w:t>
            </w:r>
            <w:r w:rsidRPr="00BE68A0" w:rsidR="00D602A8">
              <w:rPr>
                <w:lang w:val="nl-NL"/>
              </w:rPr>
              <w:t xml:space="preserve"> </w:t>
            </w:r>
            <w:r w:rsidRPr="00BE68A0">
              <w:rPr>
                <w:lang w:val="nl-NL"/>
              </w:rPr>
              <w:t>hieronder vallen onder meer</w:t>
            </w:r>
            <w:r w:rsidRPr="00BE68A0" w:rsidR="00FC2111">
              <w:rPr>
                <w:lang w:val="nl-NL"/>
              </w:rPr>
              <w:t>:</w:t>
            </w:r>
            <w:r w:rsidRPr="00BE68A0">
              <w:rPr>
                <w:lang w:val="nl-NL"/>
              </w:rPr>
              <w:t xml:space="preserve"> (digitale) fotoboeken, stripboeken,</w:t>
            </w:r>
            <w:r w:rsidRPr="00BE68A0" w:rsidR="00E00154">
              <w:rPr>
                <w:lang w:val="nl-NL"/>
              </w:rPr>
              <w:t xml:space="preserve"> </w:t>
            </w:r>
            <w:r w:rsidRPr="00BE68A0">
              <w:rPr>
                <w:lang w:val="nl-NL"/>
              </w:rPr>
              <w:t>kleurboeken</w:t>
            </w:r>
            <w:r w:rsidRPr="00BE68A0" w:rsidR="008065D4">
              <w:rPr>
                <w:lang w:val="nl-NL"/>
              </w:rPr>
              <w:t xml:space="preserve"> en</w:t>
            </w:r>
            <w:r w:rsidRPr="00BE68A0">
              <w:rPr>
                <w:lang w:val="nl-NL"/>
              </w:rPr>
              <w:t xml:space="preserve"> schoolboeken</w:t>
            </w:r>
            <w:r w:rsidRPr="00BE68A0" w:rsidR="004C01BB">
              <w:rPr>
                <w:lang w:val="nl-NL"/>
              </w:rPr>
              <w:t>)</w:t>
            </w:r>
            <w:r w:rsidRPr="00BE68A0" w:rsidR="00DA19A1">
              <w:rPr>
                <w:lang w:val="nl-NL"/>
              </w:rPr>
              <w:t>;</w:t>
            </w:r>
            <w:r w:rsidRPr="00BE68A0">
              <w:rPr>
                <w:lang w:val="nl-NL"/>
              </w:rPr>
              <w:t xml:space="preserve"> educatieve informatie op fysieke dragers bestemd voor</w:t>
            </w:r>
            <w:r w:rsidRPr="00BE68A0" w:rsidR="00E00154">
              <w:rPr>
                <w:lang w:val="nl-NL"/>
              </w:rPr>
              <w:t xml:space="preserve"> </w:t>
            </w:r>
            <w:r w:rsidRPr="00BE68A0">
              <w:rPr>
                <w:lang w:val="nl-NL"/>
              </w:rPr>
              <w:t>onderwijs; dagbladen, weekbladen, tijdschriften en andere ten minste</w:t>
            </w:r>
            <w:r w:rsidRPr="00BE68A0" w:rsidR="00E00154">
              <w:rPr>
                <w:lang w:val="nl-NL"/>
              </w:rPr>
              <w:t xml:space="preserve"> </w:t>
            </w:r>
            <w:r w:rsidRPr="00BE68A0">
              <w:rPr>
                <w:lang w:val="nl-NL"/>
              </w:rPr>
              <w:t>driemaal per jaar periodiek verschijnende uitgaven</w:t>
            </w:r>
          </w:p>
        </w:tc>
      </w:tr>
      <w:tr w:rsidRPr="00BE68A0" w:rsidR="009C67F4" w:rsidTr="00BF5AF8" w14:paraId="69940C43" w14:textId="77777777">
        <w:tc>
          <w:tcPr>
            <w:tcW w:w="4508" w:type="dxa"/>
          </w:tcPr>
          <w:p w:rsidRPr="00BE68A0" w:rsidR="009C67F4" w:rsidP="00A10EF2" w:rsidRDefault="009C67F4" w14:paraId="309B0D4E" w14:textId="77777777">
            <w:pPr>
              <w:spacing w:line="360" w:lineRule="auto"/>
              <w:rPr>
                <w:lang w:val="nl-NL"/>
              </w:rPr>
            </w:pPr>
            <w:r w:rsidRPr="00BE68A0">
              <w:rPr>
                <w:lang w:val="nl-NL"/>
              </w:rPr>
              <w:t>Tabel I, b 2</w:t>
            </w:r>
          </w:p>
        </w:tc>
        <w:tc>
          <w:tcPr>
            <w:tcW w:w="4509" w:type="dxa"/>
          </w:tcPr>
          <w:p w:rsidRPr="00BE68A0" w:rsidR="009C67F4" w:rsidP="00A10EF2" w:rsidRDefault="009C67F4" w14:paraId="475A2D98" w14:textId="2D58469E">
            <w:pPr>
              <w:spacing w:line="360" w:lineRule="auto"/>
              <w:rPr>
                <w:lang w:val="nl-NL"/>
              </w:rPr>
            </w:pPr>
            <w:r w:rsidRPr="00BE68A0">
              <w:rPr>
                <w:lang w:val="nl-NL"/>
              </w:rPr>
              <w:t xml:space="preserve">Uitlenen van </w:t>
            </w:r>
            <w:r w:rsidRPr="00BE68A0" w:rsidR="004C01BB">
              <w:rPr>
                <w:lang w:val="nl-NL"/>
              </w:rPr>
              <w:t>de in post a 30 bedoelde goederen</w:t>
            </w:r>
            <w:r w:rsidRPr="00BE68A0" w:rsidR="00D602A8">
              <w:rPr>
                <w:lang w:val="nl-NL"/>
              </w:rPr>
              <w:t xml:space="preserve"> (</w:t>
            </w:r>
            <w:r w:rsidRPr="00BE68A0">
              <w:rPr>
                <w:lang w:val="nl-NL"/>
              </w:rPr>
              <w:t>boeken</w:t>
            </w:r>
            <w:r w:rsidRPr="00BE68A0" w:rsidR="00D602A8">
              <w:rPr>
                <w:lang w:val="nl-NL"/>
              </w:rPr>
              <w:t>)</w:t>
            </w:r>
          </w:p>
        </w:tc>
      </w:tr>
      <w:tr w:rsidRPr="00BE68A0" w:rsidR="009C67F4" w:rsidTr="00BF5AF8" w14:paraId="7139F72A" w14:textId="77777777">
        <w:tc>
          <w:tcPr>
            <w:tcW w:w="4508" w:type="dxa"/>
          </w:tcPr>
          <w:p w:rsidRPr="00BE68A0" w:rsidR="009C67F4" w:rsidP="00A10EF2" w:rsidRDefault="009C67F4" w14:paraId="6FA763B1" w14:textId="77777777">
            <w:pPr>
              <w:spacing w:line="360" w:lineRule="auto"/>
              <w:rPr>
                <w:lang w:val="nl-NL"/>
              </w:rPr>
            </w:pPr>
            <w:r w:rsidRPr="00BE68A0">
              <w:rPr>
                <w:lang w:val="nl-NL"/>
              </w:rPr>
              <w:t>Tabel I, b 3</w:t>
            </w:r>
          </w:p>
        </w:tc>
        <w:tc>
          <w:tcPr>
            <w:tcW w:w="4509" w:type="dxa"/>
          </w:tcPr>
          <w:p w:rsidRPr="00BE68A0" w:rsidR="009C67F4" w:rsidP="00A10EF2" w:rsidRDefault="009C67F4" w14:paraId="03A87916" w14:textId="2E99ECB2">
            <w:pPr>
              <w:spacing w:line="360" w:lineRule="auto"/>
              <w:rPr>
                <w:lang w:val="nl-NL"/>
              </w:rPr>
            </w:pPr>
            <w:r w:rsidRPr="00BE68A0">
              <w:rPr>
                <w:lang w:val="nl-NL"/>
              </w:rPr>
              <w:t xml:space="preserve">Het geven van gelegenheid tot sportbeoefening </w:t>
            </w:r>
            <w:r w:rsidRPr="00BE68A0" w:rsidR="008065D4">
              <w:rPr>
                <w:lang w:val="nl-NL"/>
              </w:rPr>
              <w:t>(</w:t>
            </w:r>
            <w:r w:rsidRPr="00BE68A0">
              <w:rPr>
                <w:lang w:val="nl-NL"/>
              </w:rPr>
              <w:t>het gelegenheid bieden aan sporters om te sporten in of vanuit een sportaccommodatie</w:t>
            </w:r>
            <w:r w:rsidRPr="00BE68A0" w:rsidR="008065D4">
              <w:rPr>
                <w:lang w:val="nl-NL"/>
              </w:rPr>
              <w:t>) en baden</w:t>
            </w:r>
          </w:p>
        </w:tc>
      </w:tr>
      <w:tr w:rsidRPr="00BE68A0" w:rsidR="009C67F4" w:rsidTr="00BF5AF8" w14:paraId="4FA21C43" w14:textId="77777777">
        <w:tc>
          <w:tcPr>
            <w:tcW w:w="4508" w:type="dxa"/>
          </w:tcPr>
          <w:p w:rsidRPr="00BE68A0" w:rsidR="009C67F4" w:rsidP="00A10EF2" w:rsidRDefault="009C67F4" w14:paraId="382C49BC" w14:textId="77777777">
            <w:pPr>
              <w:spacing w:line="360" w:lineRule="auto"/>
              <w:rPr>
                <w:lang w:val="nl-NL"/>
              </w:rPr>
            </w:pPr>
            <w:r w:rsidRPr="00BE68A0">
              <w:rPr>
                <w:lang w:val="nl-NL"/>
              </w:rPr>
              <w:t>Tabel I, b 14-c</w:t>
            </w:r>
          </w:p>
        </w:tc>
        <w:tc>
          <w:tcPr>
            <w:tcW w:w="4509" w:type="dxa"/>
          </w:tcPr>
          <w:p w:rsidRPr="00BE68A0" w:rsidR="009C67F4" w:rsidP="00A10EF2" w:rsidRDefault="009C67F4" w14:paraId="16157123" w14:textId="77777777">
            <w:pPr>
              <w:spacing w:line="360" w:lineRule="auto"/>
              <w:rPr>
                <w:lang w:val="nl-NL"/>
              </w:rPr>
            </w:pPr>
            <w:r w:rsidRPr="00BE68A0">
              <w:rPr>
                <w:lang w:val="nl-NL"/>
              </w:rPr>
              <w:t>Het verlenen van toegang tot openbare musea of verzamelingen</w:t>
            </w:r>
          </w:p>
        </w:tc>
      </w:tr>
      <w:tr w:rsidRPr="00BE68A0" w:rsidR="009C67F4" w:rsidTr="00BF5AF8" w14:paraId="73A8C7DF" w14:textId="77777777">
        <w:tc>
          <w:tcPr>
            <w:tcW w:w="4508" w:type="dxa"/>
          </w:tcPr>
          <w:p w:rsidRPr="00BE68A0" w:rsidR="009C67F4" w:rsidP="00A10EF2" w:rsidRDefault="009C67F4" w14:paraId="19231A4C" w14:textId="77777777">
            <w:pPr>
              <w:spacing w:line="360" w:lineRule="auto"/>
              <w:rPr>
                <w:lang w:val="nl-NL"/>
              </w:rPr>
            </w:pPr>
            <w:r w:rsidRPr="00BE68A0">
              <w:rPr>
                <w:lang w:val="nl-NL"/>
              </w:rPr>
              <w:t>Tabel I, b 14-d</w:t>
            </w:r>
          </w:p>
        </w:tc>
        <w:tc>
          <w:tcPr>
            <w:tcW w:w="4509" w:type="dxa"/>
          </w:tcPr>
          <w:p w:rsidRPr="00BE68A0" w:rsidR="009C67F4" w:rsidP="00A10EF2" w:rsidRDefault="009C67F4" w14:paraId="14C20E3C" w14:textId="621A4593">
            <w:pPr>
              <w:spacing w:line="360" w:lineRule="auto"/>
              <w:rPr>
                <w:lang w:val="nl-NL"/>
              </w:rPr>
            </w:pPr>
            <w:r w:rsidRPr="00BE68A0">
              <w:rPr>
                <w:lang w:val="nl-NL"/>
              </w:rPr>
              <w:t>Toegang tot muziek</w:t>
            </w:r>
            <w:r w:rsidRPr="00BE68A0" w:rsidR="00DA19A1">
              <w:rPr>
                <w:lang w:val="nl-NL"/>
              </w:rPr>
              <w:t>-</w:t>
            </w:r>
            <w:r w:rsidRPr="00BE68A0">
              <w:rPr>
                <w:lang w:val="nl-NL"/>
              </w:rPr>
              <w:t xml:space="preserve"> en toneeluitvoeringen: onder meer concerten, muziekfestivals, </w:t>
            </w:r>
            <w:r w:rsidRPr="00BE68A0" w:rsidR="00DA19A1">
              <w:rPr>
                <w:lang w:val="nl-NL"/>
              </w:rPr>
              <w:t>opera’s</w:t>
            </w:r>
            <w:r w:rsidRPr="00BE68A0">
              <w:rPr>
                <w:lang w:val="nl-NL"/>
              </w:rPr>
              <w:t>, dansvoorstellingen,</w:t>
            </w:r>
            <w:r w:rsidRPr="00BE68A0" w:rsidR="00E00154">
              <w:rPr>
                <w:lang w:val="nl-NL"/>
              </w:rPr>
              <w:t xml:space="preserve"> </w:t>
            </w:r>
            <w:r w:rsidRPr="00BE68A0">
              <w:rPr>
                <w:lang w:val="nl-NL"/>
              </w:rPr>
              <w:t>musicals en cabaretvoorstellingen</w:t>
            </w:r>
          </w:p>
        </w:tc>
      </w:tr>
      <w:tr w:rsidRPr="00BE68A0" w:rsidR="009C67F4" w:rsidTr="00BF5AF8" w14:paraId="15421155" w14:textId="77777777">
        <w:tc>
          <w:tcPr>
            <w:tcW w:w="4508" w:type="dxa"/>
          </w:tcPr>
          <w:p w:rsidRPr="00BE68A0" w:rsidR="009C67F4" w:rsidP="00A10EF2" w:rsidRDefault="009C67F4" w14:paraId="2D089912" w14:textId="77777777">
            <w:pPr>
              <w:spacing w:line="360" w:lineRule="auto"/>
              <w:rPr>
                <w:lang w:val="nl-NL"/>
              </w:rPr>
            </w:pPr>
            <w:r w:rsidRPr="00BE68A0">
              <w:rPr>
                <w:lang w:val="nl-NL"/>
              </w:rPr>
              <w:t>Tabel I, b 14-f</w:t>
            </w:r>
          </w:p>
        </w:tc>
        <w:tc>
          <w:tcPr>
            <w:tcW w:w="4509" w:type="dxa"/>
          </w:tcPr>
          <w:p w:rsidRPr="00BE68A0" w:rsidR="009C67F4" w:rsidP="00A10EF2" w:rsidRDefault="009C67F4" w14:paraId="3DE5001C" w14:textId="24EBFB3C">
            <w:pPr>
              <w:spacing w:line="360" w:lineRule="auto"/>
              <w:rPr>
                <w:lang w:val="nl-NL"/>
              </w:rPr>
            </w:pPr>
            <w:r w:rsidRPr="00BE68A0">
              <w:rPr>
                <w:lang w:val="nl-NL"/>
              </w:rPr>
              <w:t>Toegang tot sportwedstrijden, -demonstraties en dergelijke</w:t>
            </w:r>
          </w:p>
        </w:tc>
      </w:tr>
      <w:tr w:rsidRPr="00BE68A0" w:rsidR="009C67F4" w:rsidTr="00BF5AF8" w14:paraId="4E7D0E0E" w14:textId="77777777">
        <w:tc>
          <w:tcPr>
            <w:tcW w:w="4508" w:type="dxa"/>
          </w:tcPr>
          <w:p w:rsidRPr="00BE68A0" w:rsidR="009C67F4" w:rsidP="00A10EF2" w:rsidRDefault="009C67F4" w14:paraId="229FB795" w14:textId="77777777">
            <w:pPr>
              <w:spacing w:line="360" w:lineRule="auto"/>
              <w:rPr>
                <w:lang w:val="nl-NL"/>
              </w:rPr>
            </w:pPr>
            <w:r w:rsidRPr="00BE68A0">
              <w:rPr>
                <w:lang w:val="nl-NL"/>
              </w:rPr>
              <w:t>Tabel I, b 17</w:t>
            </w:r>
          </w:p>
        </w:tc>
        <w:tc>
          <w:tcPr>
            <w:tcW w:w="4509" w:type="dxa"/>
          </w:tcPr>
          <w:p w:rsidRPr="00BE68A0" w:rsidR="009C67F4" w:rsidP="00A10EF2" w:rsidRDefault="00D602A8" w14:paraId="64529077" w14:textId="0C11F6AE">
            <w:pPr>
              <w:spacing w:line="360" w:lineRule="auto"/>
              <w:rPr>
                <w:lang w:val="nl-NL"/>
              </w:rPr>
            </w:pPr>
            <w:r w:rsidRPr="00BE68A0">
              <w:rPr>
                <w:lang w:val="nl-NL"/>
              </w:rPr>
              <w:t>Het o</w:t>
            </w:r>
            <w:r w:rsidRPr="00BE68A0" w:rsidR="009C67F4">
              <w:rPr>
                <w:lang w:val="nl-NL"/>
              </w:rPr>
              <w:t xml:space="preserve">ptreden </w:t>
            </w:r>
            <w:r w:rsidRPr="00BE68A0" w:rsidR="008E5D4F">
              <w:rPr>
                <w:lang w:val="nl-NL"/>
              </w:rPr>
              <w:t xml:space="preserve">door </w:t>
            </w:r>
            <w:r w:rsidRPr="00BE68A0" w:rsidR="009C67F4">
              <w:rPr>
                <w:lang w:val="nl-NL"/>
              </w:rPr>
              <w:t>uitvoerende kunstenaars</w:t>
            </w:r>
          </w:p>
        </w:tc>
      </w:tr>
      <w:tr w:rsidRPr="00BE68A0" w:rsidR="009C67F4" w:rsidTr="00BF5AF8" w14:paraId="2D58EF82" w14:textId="77777777">
        <w:tc>
          <w:tcPr>
            <w:tcW w:w="4508" w:type="dxa"/>
          </w:tcPr>
          <w:p w:rsidRPr="00BE68A0" w:rsidR="009C67F4" w:rsidP="00A10EF2" w:rsidRDefault="009C67F4" w14:paraId="2E910D59" w14:textId="77777777">
            <w:pPr>
              <w:spacing w:line="360" w:lineRule="auto"/>
              <w:rPr>
                <w:lang w:val="nl-NL"/>
              </w:rPr>
            </w:pPr>
            <w:r w:rsidRPr="00BE68A0">
              <w:rPr>
                <w:lang w:val="nl-NL"/>
              </w:rPr>
              <w:t>Tabel I, b 21</w:t>
            </w:r>
          </w:p>
        </w:tc>
        <w:tc>
          <w:tcPr>
            <w:tcW w:w="4509" w:type="dxa"/>
          </w:tcPr>
          <w:p w:rsidRPr="00BE68A0" w:rsidR="009C67F4" w:rsidP="00A10EF2" w:rsidRDefault="00DA19A1" w14:paraId="0DB9D625" w14:textId="2831286F">
            <w:pPr>
              <w:spacing w:line="360" w:lineRule="auto"/>
              <w:rPr>
                <w:lang w:val="nl-NL"/>
              </w:rPr>
            </w:pPr>
            <w:r w:rsidRPr="00BE68A0">
              <w:rPr>
                <w:lang w:val="nl-NL"/>
              </w:rPr>
              <w:t xml:space="preserve">Het langs elektronische weg </w:t>
            </w:r>
            <w:r w:rsidRPr="00BE68A0" w:rsidR="009C67F4">
              <w:rPr>
                <w:lang w:val="nl-NL"/>
              </w:rPr>
              <w:t xml:space="preserve">leveren of uitlenen van </w:t>
            </w:r>
            <w:r w:rsidRPr="00BE68A0">
              <w:rPr>
                <w:lang w:val="nl-NL"/>
              </w:rPr>
              <w:t>uitgaven als bedoeld in post a 30</w:t>
            </w:r>
            <w:r w:rsidRPr="00BE68A0" w:rsidR="00B55E2A">
              <w:rPr>
                <w:lang w:val="nl-NL"/>
              </w:rPr>
              <w:t xml:space="preserve"> (boeken)</w:t>
            </w:r>
            <w:r w:rsidRPr="00BE68A0">
              <w:rPr>
                <w:lang w:val="nl-NL"/>
              </w:rPr>
              <w:t xml:space="preserve"> of het verlenen van toegang tot nieuwswebsites zoals die van dagbladen, weekbladen en </w:t>
            </w:r>
            <w:r w:rsidRPr="00BE68A0" w:rsidR="008E5D4F">
              <w:rPr>
                <w:lang w:val="nl-NL"/>
              </w:rPr>
              <w:t>tijdschriften</w:t>
            </w:r>
            <w:r w:rsidRPr="00BE68A0" w:rsidR="009C67F4">
              <w:rPr>
                <w:lang w:val="nl-NL"/>
              </w:rPr>
              <w:t xml:space="preserve"> </w:t>
            </w:r>
          </w:p>
        </w:tc>
      </w:tr>
    </w:tbl>
    <w:p w:rsidR="00644CE3" w:rsidP="00A10EF2" w:rsidRDefault="00644CE3" w14:paraId="0C9A3610" w14:textId="77777777">
      <w:pPr>
        <w:pStyle w:val="Huisstijl-Standaard"/>
        <w:spacing w:line="360" w:lineRule="auto"/>
      </w:pPr>
    </w:p>
    <w:p w:rsidR="000F7745" w:rsidP="00A10EF2" w:rsidRDefault="000F7745" w14:paraId="25CE954B" w14:textId="77777777">
      <w:pPr>
        <w:pStyle w:val="Huisstijl-Standaard"/>
        <w:spacing w:line="360" w:lineRule="auto"/>
      </w:pPr>
    </w:p>
    <w:p w:rsidR="000F7745" w:rsidP="00A10EF2" w:rsidRDefault="000F7745" w14:paraId="6091A227" w14:textId="77777777">
      <w:pPr>
        <w:pStyle w:val="Huisstijl-Standaard"/>
        <w:spacing w:line="360" w:lineRule="auto"/>
      </w:pPr>
    </w:p>
    <w:p w:rsidR="000F7745" w:rsidP="00A10EF2" w:rsidRDefault="000F7745" w14:paraId="6BDFC9BD" w14:textId="77777777">
      <w:pPr>
        <w:pStyle w:val="Huisstijl-Standaard"/>
        <w:spacing w:line="360" w:lineRule="auto"/>
      </w:pPr>
    </w:p>
    <w:p w:rsidR="000F7745" w:rsidP="00A10EF2" w:rsidRDefault="000F7745" w14:paraId="7C796AD3" w14:textId="77777777">
      <w:pPr>
        <w:pStyle w:val="Huisstijl-Standaard"/>
        <w:spacing w:line="360" w:lineRule="auto"/>
      </w:pPr>
    </w:p>
    <w:p w:rsidR="000F7745" w:rsidP="00A10EF2" w:rsidRDefault="000F7745" w14:paraId="0DBE0233" w14:textId="77777777">
      <w:pPr>
        <w:pStyle w:val="Huisstijl-Standaard"/>
        <w:spacing w:line="360" w:lineRule="auto"/>
      </w:pPr>
    </w:p>
    <w:p w:rsidRPr="00BE68A0" w:rsidR="000F7745" w:rsidP="00A10EF2" w:rsidRDefault="000F7745" w14:paraId="08F641D6" w14:textId="77777777">
      <w:pPr>
        <w:pStyle w:val="Huisstijl-Standaard"/>
        <w:spacing w:line="360" w:lineRule="auto"/>
      </w:pPr>
    </w:p>
    <w:p w:rsidRPr="00BE68A0" w:rsidR="006216A4" w:rsidP="006216A4" w:rsidRDefault="00A10EF2" w14:paraId="15EA5EA2" w14:textId="223B5B71">
      <w:pPr>
        <w:pStyle w:val="Huisstijl-Standaard"/>
        <w:spacing w:line="360" w:lineRule="auto"/>
        <w:rPr>
          <w:i/>
        </w:rPr>
      </w:pPr>
      <w:r w:rsidRPr="00BE68A0">
        <w:rPr>
          <w:i/>
        </w:rPr>
        <w:lastRenderedPageBreak/>
        <w:t>Artikel II</w:t>
      </w:r>
      <w:r w:rsidRPr="00BE68A0" w:rsidR="00C856C3">
        <w:rPr>
          <w:i/>
        </w:rPr>
        <w:t xml:space="preserve"> </w:t>
      </w:r>
      <w:r w:rsidRPr="00BE68A0" w:rsidR="00AA3005">
        <w:rPr>
          <w:i/>
        </w:rPr>
        <w:t>(tabelcorrectiefactor)</w:t>
      </w:r>
    </w:p>
    <w:p w:rsidRPr="00BE68A0" w:rsidR="006216A4" w:rsidP="006216A4" w:rsidRDefault="006216A4" w14:paraId="035D6374" w14:textId="55B42305">
      <w:pPr>
        <w:pStyle w:val="Huisstijl-Standaard"/>
        <w:spacing w:line="360" w:lineRule="auto"/>
        <w:rPr>
          <w:iCs/>
        </w:rPr>
      </w:pPr>
      <w:r w:rsidRPr="00BE68A0">
        <w:rPr>
          <w:iCs/>
        </w:rPr>
        <w:t>Met het voorgestelde artikel II, eerste lid, wordt bewerkstelligd dat de op grond van de artikelen 10.1, eerste lid, 10.3, tweede lid, en 10bis.12 van de Wet inkomstenbelasting 2001 (Wet IB 2001)</w:t>
      </w:r>
      <w:r w:rsidR="006D7F1C">
        <w:rPr>
          <w:iCs/>
        </w:rPr>
        <w:t xml:space="preserve"> en</w:t>
      </w:r>
      <w:r w:rsidRPr="00BE68A0">
        <w:rPr>
          <w:iCs/>
        </w:rPr>
        <w:t xml:space="preserve"> </w:t>
      </w:r>
      <w:r w:rsidR="00DA5B1C">
        <w:rPr>
          <w:iCs/>
        </w:rPr>
        <w:t xml:space="preserve">de </w:t>
      </w:r>
      <w:r w:rsidRPr="00BE68A0">
        <w:rPr>
          <w:iCs/>
        </w:rPr>
        <w:t>artikel</w:t>
      </w:r>
      <w:r w:rsidR="009A5780">
        <w:rPr>
          <w:iCs/>
        </w:rPr>
        <w:t>en 20a, tweede lid, en</w:t>
      </w:r>
      <w:r w:rsidRPr="00BE68A0">
        <w:rPr>
          <w:iCs/>
        </w:rPr>
        <w:t xml:space="preserve"> 22d van de Wet op de loonbelasting 1964 (Wet LB 1964) per 1 januari 2026 met de tabelcorrectiefactor, bedoeld in artikel 10.2 Wet IB 2001, te indexeren bedragen beperkt worden geïndexeerd door de </w:t>
      </w:r>
      <w:r w:rsidRPr="00BE68A0" w:rsidR="001A16EA">
        <w:rPr>
          <w:iCs/>
        </w:rPr>
        <w:t>per 1 januari 2026 geldende tabel</w:t>
      </w:r>
      <w:r w:rsidRPr="00BE68A0">
        <w:rPr>
          <w:iCs/>
        </w:rPr>
        <w:t>correctie</w:t>
      </w:r>
      <w:r w:rsidRPr="00BE68A0" w:rsidR="001A16EA">
        <w:rPr>
          <w:iCs/>
        </w:rPr>
        <w:t>factor</w:t>
      </w:r>
      <w:r w:rsidRPr="00BE68A0">
        <w:rPr>
          <w:iCs/>
        </w:rPr>
        <w:t xml:space="preserve"> van </w:t>
      </w:r>
      <w:r w:rsidRPr="00BE68A0" w:rsidR="001A16EA">
        <w:rPr>
          <w:iCs/>
        </w:rPr>
        <w:t>1</w:t>
      </w:r>
      <w:r w:rsidRPr="00BE68A0" w:rsidR="004340E0">
        <w:rPr>
          <w:iCs/>
        </w:rPr>
        <w:t>,</w:t>
      </w:r>
      <w:r w:rsidRPr="00BE68A0" w:rsidR="001A16EA">
        <w:rPr>
          <w:iCs/>
        </w:rPr>
        <w:t>0</w:t>
      </w:r>
      <w:r w:rsidRPr="00BE68A0">
        <w:rPr>
          <w:iCs/>
        </w:rPr>
        <w:t xml:space="preserve">29 voor </w:t>
      </w:r>
      <w:r w:rsidRPr="00BE68A0" w:rsidR="00CC188F">
        <w:rPr>
          <w:iCs/>
        </w:rPr>
        <w:t>57</w:t>
      </w:r>
      <w:r w:rsidRPr="00BE68A0">
        <w:rPr>
          <w:iCs/>
        </w:rPr>
        <w:t>% toe te passen. De in dat geval te hanteren tabelcorrectiefactor</w:t>
      </w:r>
      <w:r w:rsidR="00F47072">
        <w:rPr>
          <w:iCs/>
        </w:rPr>
        <w:t xml:space="preserve"> </w:t>
      </w:r>
      <w:r w:rsidRPr="00BE68A0">
        <w:rPr>
          <w:iCs/>
        </w:rPr>
        <w:t xml:space="preserve">wordt </w:t>
      </w:r>
      <w:r w:rsidRPr="00BE68A0" w:rsidR="001A16EA">
        <w:rPr>
          <w:iCs/>
        </w:rPr>
        <w:t xml:space="preserve">dus </w:t>
      </w:r>
      <w:r w:rsidRPr="00BE68A0">
        <w:rPr>
          <w:iCs/>
        </w:rPr>
        <w:t>berekend met de formule: 1</w:t>
      </w:r>
      <w:r w:rsidRPr="00BE68A0" w:rsidR="00BA4BB0">
        <w:rPr>
          <w:iCs/>
        </w:rPr>
        <w:t> </w:t>
      </w:r>
      <w:r w:rsidRPr="00BE68A0">
        <w:rPr>
          <w:iCs/>
        </w:rPr>
        <w:t>+</w:t>
      </w:r>
      <w:r w:rsidRPr="00BE68A0" w:rsidR="00BA4BB0">
        <w:rPr>
          <w:iCs/>
        </w:rPr>
        <w:t> </w:t>
      </w:r>
      <w:r w:rsidRPr="00BE68A0">
        <w:rPr>
          <w:iCs/>
        </w:rPr>
        <w:t>(57% x (tabelcorrectiefactor – 1)). Dit leidt tot een te hanteren indexatiefactor van 1,</w:t>
      </w:r>
      <w:r w:rsidRPr="00BE68A0" w:rsidR="00CC188F">
        <w:rPr>
          <w:iCs/>
        </w:rPr>
        <w:t>01653</w:t>
      </w:r>
      <w:r w:rsidRPr="00BE68A0">
        <w:rPr>
          <w:iCs/>
        </w:rPr>
        <w:t xml:space="preserve">. </w:t>
      </w:r>
    </w:p>
    <w:p w:rsidRPr="00BE68A0" w:rsidR="006216A4" w:rsidP="006216A4" w:rsidRDefault="006216A4" w14:paraId="4D5AD39E" w14:textId="77777777">
      <w:pPr>
        <w:pStyle w:val="Huisstijl-Standaard"/>
        <w:spacing w:line="360" w:lineRule="auto"/>
        <w:rPr>
          <w:iCs/>
        </w:rPr>
      </w:pPr>
    </w:p>
    <w:p w:rsidRPr="00BE68A0" w:rsidR="006216A4" w:rsidP="006216A4" w:rsidRDefault="006216A4" w14:paraId="613D8830" w14:textId="7AB058D2">
      <w:pPr>
        <w:pStyle w:val="Huisstijl-Standaard"/>
        <w:spacing w:line="360" w:lineRule="auto"/>
        <w:rPr>
          <w:iCs/>
        </w:rPr>
      </w:pPr>
      <w:r w:rsidRPr="00BE68A0">
        <w:rPr>
          <w:iCs/>
        </w:rPr>
        <w:t xml:space="preserve">Het voorgestelde artikel II, tweede lid, regelt dat </w:t>
      </w:r>
      <w:r w:rsidRPr="00BE68A0" w:rsidR="004E4142">
        <w:rPr>
          <w:iCs/>
        </w:rPr>
        <w:t>ook een</w:t>
      </w:r>
      <w:r w:rsidRPr="00BE68A0">
        <w:rPr>
          <w:iCs/>
        </w:rPr>
        <w:t xml:space="preserve"> beperkte toepassing van de inflatiecorrectie </w:t>
      </w:r>
      <w:r w:rsidRPr="00BE68A0" w:rsidR="004E4142">
        <w:rPr>
          <w:iCs/>
        </w:rPr>
        <w:t>geldt voor</w:t>
      </w:r>
      <w:r w:rsidRPr="00BE68A0">
        <w:rPr>
          <w:iCs/>
        </w:rPr>
        <w:t xml:space="preserve"> de indexatie van het bedrag dat is vermeld in de eerste regel van de tweede kolom en de tweede regel van de eerste kolom van de voor belastingplichtigen die vóór 1 januari 1946 zijn geboren geldende tabel die is opgenomen in artikel 2.10a, eerste lid, Wet IB 2001 en artikel 20b, eerste lid, Wet LB 1964. Dat bedrag betreft de </w:t>
      </w:r>
      <w:proofErr w:type="spellStart"/>
      <w:r w:rsidRPr="00BE68A0">
        <w:rPr>
          <w:iCs/>
        </w:rPr>
        <w:t>eersteschijfgrens</w:t>
      </w:r>
      <w:proofErr w:type="spellEnd"/>
      <w:r w:rsidRPr="00BE68A0">
        <w:rPr>
          <w:iCs/>
        </w:rPr>
        <w:t xml:space="preserve"> die op grond van artikel 10.1, tweede lid, Wet IB 2001 </w:t>
      </w:r>
      <w:r w:rsidRPr="00BE68A0" w:rsidR="00B22BC5">
        <w:rPr>
          <w:iCs/>
        </w:rPr>
        <w:t>en artikel 20b, tweede lid, Wet LB 1964</w:t>
      </w:r>
      <w:r w:rsidRPr="00BE68A0" w:rsidR="001A16EA">
        <w:rPr>
          <w:iCs/>
        </w:rPr>
        <w:t>, gecombineerd met het voorgestelde artikel I</w:t>
      </w:r>
      <w:r w:rsidRPr="00BE68A0" w:rsidR="004340E0">
        <w:rPr>
          <w:iCs/>
        </w:rPr>
        <w:t>I</w:t>
      </w:r>
      <w:r w:rsidRPr="00BE68A0" w:rsidR="001A16EA">
        <w:rPr>
          <w:iCs/>
        </w:rPr>
        <w:t>, tweede lid,</w:t>
      </w:r>
      <w:r w:rsidRPr="00BE68A0" w:rsidR="00B22BC5">
        <w:rPr>
          <w:iCs/>
        </w:rPr>
        <w:t xml:space="preserve"> </w:t>
      </w:r>
      <w:r w:rsidRPr="00BE68A0">
        <w:rPr>
          <w:iCs/>
        </w:rPr>
        <w:t xml:space="preserve">wordt geïndexeerd met de uitkomst van de formule: 1 + (57% x (75% x (tabelcorrectiefactor – 1))). Toepassing van die formule geeft </w:t>
      </w:r>
      <w:r w:rsidRPr="00BE68A0" w:rsidR="001A16EA">
        <w:rPr>
          <w:iCs/>
        </w:rPr>
        <w:t>een</w:t>
      </w:r>
      <w:r w:rsidRPr="00BE68A0">
        <w:rPr>
          <w:iCs/>
        </w:rPr>
        <w:t xml:space="preserve"> uitkomst van 1,</w:t>
      </w:r>
      <w:r w:rsidRPr="00BE68A0" w:rsidR="004D45EF">
        <w:rPr>
          <w:iCs/>
        </w:rPr>
        <w:t>0123975</w:t>
      </w:r>
      <w:r w:rsidRPr="00BE68A0">
        <w:rPr>
          <w:iCs/>
        </w:rPr>
        <w:t xml:space="preserve">. </w:t>
      </w:r>
    </w:p>
    <w:p w:rsidR="000B5B27" w:rsidP="006216A4" w:rsidRDefault="0019539D" w14:paraId="77BB7ED0" w14:textId="5A2AE155">
      <w:pPr>
        <w:pStyle w:val="Huisstijl-Standaard"/>
        <w:spacing w:line="360" w:lineRule="auto"/>
        <w:rPr>
          <w:iCs/>
        </w:rPr>
      </w:pPr>
      <w:r w:rsidRPr="00C868A2">
        <w:rPr>
          <w:iCs/>
        </w:rPr>
        <w:t>H</w:t>
      </w:r>
      <w:r w:rsidRPr="00C868A2" w:rsidR="000B5B27">
        <w:rPr>
          <w:iCs/>
        </w:rPr>
        <w:t>et</w:t>
      </w:r>
      <w:r w:rsidRPr="00C868A2">
        <w:rPr>
          <w:iCs/>
        </w:rPr>
        <w:t xml:space="preserve"> voorgestelde artikel </w:t>
      </w:r>
      <w:r w:rsidR="00F022D9">
        <w:rPr>
          <w:iCs/>
        </w:rPr>
        <w:t>II</w:t>
      </w:r>
      <w:r w:rsidRPr="00C868A2">
        <w:rPr>
          <w:iCs/>
        </w:rPr>
        <w:t>,</w:t>
      </w:r>
      <w:r w:rsidRPr="00C868A2" w:rsidR="000B5B27">
        <w:rPr>
          <w:iCs/>
        </w:rPr>
        <w:t xml:space="preserve"> derde lid</w:t>
      </w:r>
      <w:r w:rsidRPr="00C868A2">
        <w:rPr>
          <w:iCs/>
        </w:rPr>
        <w:t>, regelt dat</w:t>
      </w:r>
      <w:r w:rsidRPr="00C868A2" w:rsidR="000B5B27">
        <w:rPr>
          <w:iCs/>
        </w:rPr>
        <w:t xml:space="preserve"> het bedrag van de vermogensgrens om wel of geen aanslag vast te stellen, </w:t>
      </w:r>
      <w:r w:rsidRPr="00C868A2">
        <w:rPr>
          <w:iCs/>
        </w:rPr>
        <w:t xml:space="preserve">dat is </w:t>
      </w:r>
      <w:r w:rsidRPr="00C868A2" w:rsidR="000B5B27">
        <w:rPr>
          <w:iCs/>
        </w:rPr>
        <w:t xml:space="preserve">opgenomen in artikel 9.4, eerste lid, onderdeel c, Wet IB 2001 en het bedrag van de beschikking rendementsgrondslag, </w:t>
      </w:r>
      <w:r w:rsidRPr="00C868A2">
        <w:rPr>
          <w:iCs/>
        </w:rPr>
        <w:t xml:space="preserve">dat is </w:t>
      </w:r>
      <w:r w:rsidRPr="00C868A2" w:rsidR="000B5B27">
        <w:rPr>
          <w:iCs/>
        </w:rPr>
        <w:t>opgenomen in artikel 9.4a, eerste lid, onderdeel a, Wet IB 2001</w:t>
      </w:r>
      <w:r w:rsidRPr="00C868A2">
        <w:rPr>
          <w:iCs/>
        </w:rPr>
        <w:t>,</w:t>
      </w:r>
      <w:r w:rsidRPr="00C868A2" w:rsidR="000B5B27">
        <w:rPr>
          <w:iCs/>
        </w:rPr>
        <w:t xml:space="preserve"> met de volledige tabelcorrectiefactor </w:t>
      </w:r>
      <w:r w:rsidRPr="00C868A2">
        <w:rPr>
          <w:iCs/>
        </w:rPr>
        <w:t>wordt</w:t>
      </w:r>
      <w:r w:rsidRPr="00C868A2" w:rsidR="000B5B27">
        <w:rPr>
          <w:iCs/>
        </w:rPr>
        <w:t xml:space="preserve"> vermenigvuldig</w:t>
      </w:r>
      <w:r w:rsidRPr="00C868A2">
        <w:rPr>
          <w:iCs/>
        </w:rPr>
        <w:t>d</w:t>
      </w:r>
      <w:r w:rsidRPr="00C868A2" w:rsidR="000B5B27">
        <w:rPr>
          <w:iCs/>
        </w:rPr>
        <w:t>. Deze vermogensgrenzen zijn gelijk aan de vermogensgrens van de huurtoeslag,</w:t>
      </w:r>
      <w:r w:rsidRPr="00C868A2">
        <w:rPr>
          <w:iCs/>
        </w:rPr>
        <w:t xml:space="preserve"> die is</w:t>
      </w:r>
      <w:r w:rsidRPr="00C868A2" w:rsidR="000B5B27">
        <w:rPr>
          <w:iCs/>
        </w:rPr>
        <w:t xml:space="preserve"> opgenomen in artikel 7, derde en vierde lid, </w:t>
      </w:r>
      <w:proofErr w:type="spellStart"/>
      <w:r w:rsidRPr="00C868A2" w:rsidR="000B5B27">
        <w:rPr>
          <w:iCs/>
        </w:rPr>
        <w:t>Awir</w:t>
      </w:r>
      <w:proofErr w:type="spellEnd"/>
      <w:r w:rsidRPr="00C868A2" w:rsidR="000B5B27">
        <w:rPr>
          <w:iCs/>
        </w:rPr>
        <w:t xml:space="preserve">. De vermogensgrens van de huurtoeslag wordt met de tabelcorrectiefactor geïndexeerd. Het wordt onwenselijk geacht om de hiervoor genoemde vermogensgrenzen voor de inkomstenbelasting en de huurtoeslag op verschillende bedragen vast te stellen, omdat de beschikking rendementsgrondslag </w:t>
      </w:r>
      <w:r w:rsidRPr="00C868A2" w:rsidR="009A5780">
        <w:rPr>
          <w:iCs/>
        </w:rPr>
        <w:t>ook</w:t>
      </w:r>
      <w:r w:rsidRPr="00C868A2" w:rsidR="000B5B27">
        <w:rPr>
          <w:iCs/>
        </w:rPr>
        <w:t xml:space="preserve"> van belang is voor de toekenning van het recht op huurtoeslag.</w:t>
      </w:r>
    </w:p>
    <w:p w:rsidRPr="00BE68A0" w:rsidR="006216A4" w:rsidP="006216A4" w:rsidRDefault="006216A4" w14:paraId="2B79A84B" w14:textId="041D6BC1">
      <w:pPr>
        <w:pStyle w:val="Huisstijl-Standaard"/>
        <w:spacing w:line="360" w:lineRule="auto"/>
        <w:rPr>
          <w:iCs/>
        </w:rPr>
      </w:pPr>
      <w:r w:rsidRPr="00BE68A0">
        <w:rPr>
          <w:iCs/>
        </w:rPr>
        <w:t>Voor de volledigheid wordt opgemerkt dat artikel II geen doorwerking heeft naar indexatievoorschriften in verscheidene wetten die de artikelen 10.1 of 10.2 Wet IB 2001 van overeenkomstige toepassing verklaren.</w:t>
      </w:r>
      <w:r w:rsidRPr="00BE68A0">
        <w:rPr>
          <w:rStyle w:val="Voetnootmarkering"/>
          <w:iCs/>
        </w:rPr>
        <w:footnoteReference w:id="13"/>
      </w:r>
    </w:p>
    <w:p w:rsidRPr="00BE68A0" w:rsidR="000B5B27" w:rsidP="006216A4" w:rsidRDefault="000B5B27" w14:paraId="2124B9B4" w14:textId="77777777">
      <w:pPr>
        <w:pStyle w:val="Huisstijl-Standaard"/>
        <w:spacing w:line="360" w:lineRule="auto"/>
        <w:rPr>
          <w:iCs/>
        </w:rPr>
      </w:pPr>
    </w:p>
    <w:p w:rsidRPr="00BE68A0" w:rsidR="006216A4" w:rsidP="006216A4" w:rsidRDefault="006216A4" w14:paraId="2693CCEF" w14:textId="4D5D86B6">
      <w:pPr>
        <w:pStyle w:val="Huisstijl-Standaard"/>
        <w:spacing w:line="360" w:lineRule="auto"/>
        <w:rPr>
          <w:iCs/>
        </w:rPr>
      </w:pPr>
      <w:r w:rsidRPr="00BE68A0">
        <w:rPr>
          <w:iCs/>
        </w:rPr>
        <w:t xml:space="preserve">Zowel in het onderhavige wetsvoorstel als in artikel </w:t>
      </w:r>
      <w:r w:rsidR="000B5B27">
        <w:rPr>
          <w:iCs/>
        </w:rPr>
        <w:t>XLI</w:t>
      </w:r>
      <w:r w:rsidRPr="00BE68A0">
        <w:rPr>
          <w:iCs/>
        </w:rPr>
        <w:t xml:space="preserve"> van het wetsvoorstel Belastingplan 2026 wordt voorgesteld de tabelcorrectiefactor voor minder dan 100% toe te passen. Ingevolge de in artikel </w:t>
      </w:r>
      <w:r w:rsidR="00D30343">
        <w:rPr>
          <w:iCs/>
        </w:rPr>
        <w:t>XLIX</w:t>
      </w:r>
      <w:r w:rsidRPr="00BE68A0">
        <w:rPr>
          <w:iCs/>
        </w:rPr>
        <w:t xml:space="preserve"> van laatstgenoemd wetsvoorstel opgenomen samenloopbepaling worden, wanneer beide wetsvoorstellen </w:t>
      </w:r>
      <w:r w:rsidRPr="00BE68A0" w:rsidR="00906D8F">
        <w:rPr>
          <w:iCs/>
        </w:rPr>
        <w:t xml:space="preserve">in 2025 </w:t>
      </w:r>
      <w:r w:rsidRPr="00BE68A0">
        <w:rPr>
          <w:iCs/>
        </w:rPr>
        <w:t>tot wet worden verheven en die wetten beide in werking treden per 1 januari 2026, de beperkingen van de tabelcorrectiefactor samengenomen om zo tot één toe te passen tabelcorrectiefactor te komen.</w:t>
      </w:r>
    </w:p>
    <w:p w:rsidR="006216A4" w:rsidP="006216A4" w:rsidRDefault="006216A4" w14:paraId="372AF60A" w14:textId="77777777">
      <w:pPr>
        <w:pStyle w:val="Huisstijl-Standaard"/>
        <w:spacing w:line="360" w:lineRule="auto"/>
        <w:rPr>
          <w:iCs/>
        </w:rPr>
      </w:pPr>
    </w:p>
    <w:p w:rsidRPr="00BE68A0" w:rsidR="00C868A2" w:rsidP="006216A4" w:rsidRDefault="00C868A2" w14:paraId="664A0037" w14:textId="77777777">
      <w:pPr>
        <w:pStyle w:val="Huisstijl-Standaard"/>
        <w:spacing w:line="360" w:lineRule="auto"/>
        <w:rPr>
          <w:iCs/>
        </w:rPr>
      </w:pPr>
    </w:p>
    <w:p w:rsidR="006D7F1C" w:rsidP="006216A4" w:rsidRDefault="006D7F1C" w14:paraId="20086E02" w14:textId="3527737D">
      <w:pPr>
        <w:pStyle w:val="Huisstijl-Standaard"/>
        <w:spacing w:line="360" w:lineRule="auto"/>
        <w:rPr>
          <w:i/>
        </w:rPr>
      </w:pPr>
      <w:r>
        <w:rPr>
          <w:i/>
        </w:rPr>
        <w:lastRenderedPageBreak/>
        <w:t>Artikel III (artikel XXXV van het Belastingplan 2024)</w:t>
      </w:r>
    </w:p>
    <w:p w:rsidR="006D7F1C" w:rsidRDefault="006D7F1C" w14:paraId="6D36CFE3" w14:textId="32632D3D">
      <w:pPr>
        <w:spacing w:line="360" w:lineRule="auto"/>
        <w:rPr>
          <w:rFonts w:eastAsia="Times New Roman"/>
          <w:lang w:eastAsia="nl-NL"/>
        </w:rPr>
      </w:pPr>
      <w:r w:rsidRPr="006D7F1C">
        <w:rPr>
          <w:rFonts w:eastAsia="Times New Roman"/>
          <w:lang w:eastAsia="nl-NL"/>
        </w:rPr>
        <w:t xml:space="preserve">In het </w:t>
      </w:r>
      <w:r>
        <w:rPr>
          <w:rFonts w:eastAsia="Times New Roman"/>
          <w:lang w:eastAsia="nl-NL"/>
        </w:rPr>
        <w:t>Belastingplan 2024 (</w:t>
      </w:r>
      <w:r w:rsidRPr="006D7F1C">
        <w:rPr>
          <w:rFonts w:eastAsia="Times New Roman"/>
          <w:lang w:eastAsia="nl-NL"/>
        </w:rPr>
        <w:t>BP 2024</w:t>
      </w:r>
      <w:r>
        <w:rPr>
          <w:rFonts w:eastAsia="Times New Roman"/>
          <w:lang w:eastAsia="nl-NL"/>
        </w:rPr>
        <w:t>)</w:t>
      </w:r>
      <w:r w:rsidRPr="006D7F1C">
        <w:rPr>
          <w:rFonts w:eastAsia="Times New Roman"/>
          <w:lang w:eastAsia="nl-NL"/>
        </w:rPr>
        <w:t xml:space="preserve"> is de afbouw van de inkomensafhankelijke combinatiekorting (IACK) geregeld. In lijn met de in het BP 2024 voor het jaar 2024 opgenomen beperkte inflatiecorrectie is in het voorgestelde artikel</w:t>
      </w:r>
      <w:r>
        <w:rPr>
          <w:rFonts w:eastAsia="Times New Roman"/>
          <w:lang w:eastAsia="nl-NL"/>
        </w:rPr>
        <w:t xml:space="preserve"> III </w:t>
      </w:r>
      <w:r w:rsidRPr="006D7F1C">
        <w:rPr>
          <w:rFonts w:eastAsia="Times New Roman"/>
          <w:lang w:eastAsia="nl-NL"/>
        </w:rPr>
        <w:t>opgenomen dat bij de overeenkomstige toepassing van artikel 10.1 Wet IB 2001 de beperkte toepassing van de tabelcorrectiefactor voor het jaar 2026 ook geldt voor de afbouw van de IACK die is opgenomen in artikel XXXV, onderdeel c, BP 2024. Voor de volledigheid wordt nogmaals opgemerkt dat artikel</w:t>
      </w:r>
      <w:r>
        <w:rPr>
          <w:rFonts w:eastAsia="Times New Roman"/>
          <w:lang w:eastAsia="nl-NL"/>
        </w:rPr>
        <w:t xml:space="preserve"> II </w:t>
      </w:r>
      <w:r w:rsidRPr="006D7F1C">
        <w:rPr>
          <w:rFonts w:eastAsia="Times New Roman"/>
          <w:lang w:eastAsia="nl-NL"/>
        </w:rPr>
        <w:t>voor het overige geen doorwerking heeft naar indexatievoorschriften in verscheidene wetten die de artikelen 10.1 of 10.2 Wet IB 2001 van overeenkomstige toepassing verklaren.</w:t>
      </w:r>
    </w:p>
    <w:p w:rsidRPr="006D7F1C" w:rsidR="001411FC" w:rsidP="00777A0C" w:rsidRDefault="001411FC" w14:paraId="32C0E954" w14:textId="71EBA726">
      <w:pPr>
        <w:pStyle w:val="Huisstijl-Standaard"/>
        <w:spacing w:line="360" w:lineRule="auto"/>
      </w:pPr>
      <w:r w:rsidRPr="00BE68A0">
        <w:rPr>
          <w:iCs/>
        </w:rPr>
        <w:t xml:space="preserve">Ingevolge de in artikel </w:t>
      </w:r>
      <w:r>
        <w:rPr>
          <w:iCs/>
        </w:rPr>
        <w:t>XLIX</w:t>
      </w:r>
      <w:r w:rsidRPr="00BE68A0">
        <w:rPr>
          <w:iCs/>
        </w:rPr>
        <w:t xml:space="preserve"> van laatstgenoemd wetsvoorstel opgenomen samenloopbepaling worden, wanneer beide wetsvoorstellen in 2025 tot wet worden verheven en die wetten beide in werking treden per 1 januari 2026, de beperkingen van de tabelcorrectiefactor </w:t>
      </w:r>
      <w:r>
        <w:rPr>
          <w:iCs/>
        </w:rPr>
        <w:t xml:space="preserve">ook hier </w:t>
      </w:r>
      <w:r w:rsidRPr="00BE68A0">
        <w:rPr>
          <w:iCs/>
        </w:rPr>
        <w:t>samengenomen om zo tot één toe te passen tabelcorrectiefactor te komen.</w:t>
      </w:r>
    </w:p>
    <w:p w:rsidR="006D7F1C" w:rsidP="006216A4" w:rsidRDefault="006D7F1C" w14:paraId="3CCC196C" w14:textId="77777777">
      <w:pPr>
        <w:pStyle w:val="Huisstijl-Standaard"/>
        <w:spacing w:line="360" w:lineRule="auto"/>
        <w:rPr>
          <w:iCs/>
        </w:rPr>
      </w:pPr>
    </w:p>
    <w:p w:rsidRPr="00777A0C" w:rsidR="006D7F1C" w:rsidP="006216A4" w:rsidRDefault="006D7F1C" w14:paraId="0F481863" w14:textId="15574829">
      <w:pPr>
        <w:pStyle w:val="Huisstijl-Standaard"/>
        <w:spacing w:line="360" w:lineRule="auto"/>
        <w:rPr>
          <w:i/>
        </w:rPr>
      </w:pPr>
      <w:r w:rsidRPr="00777A0C">
        <w:rPr>
          <w:i/>
        </w:rPr>
        <w:t>Artikel IV (</w:t>
      </w:r>
      <w:r w:rsidRPr="00777A0C" w:rsidR="00D30343">
        <w:rPr>
          <w:i/>
        </w:rPr>
        <w:t>artikel 8.11 van de Wet inkomstenbelasting 2001 en artikel 22a van de Wet op de loonbelasting 1964)</w:t>
      </w:r>
    </w:p>
    <w:p w:rsidR="00D30343" w:rsidRDefault="00D30343" w14:paraId="0BB95B42" w14:textId="51FAE546">
      <w:pPr>
        <w:spacing w:line="360" w:lineRule="auto"/>
        <w:rPr>
          <w:rFonts w:eastAsia="Times New Roman"/>
          <w:lang w:eastAsia="nl-NL"/>
        </w:rPr>
      </w:pPr>
      <w:r>
        <w:rPr>
          <w:rFonts w:eastAsia="Times New Roman"/>
          <w:lang w:eastAsia="nl-NL"/>
        </w:rPr>
        <w:t xml:space="preserve">In het wetsvoorstel Belastingplan 2026 zijn </w:t>
      </w:r>
      <w:r w:rsidRPr="00D30343">
        <w:rPr>
          <w:rFonts w:eastAsia="Times New Roman"/>
          <w:lang w:eastAsia="nl-NL"/>
        </w:rPr>
        <w:t>wijzigingen</w:t>
      </w:r>
      <w:r>
        <w:rPr>
          <w:rFonts w:eastAsia="Times New Roman"/>
          <w:lang w:eastAsia="nl-NL"/>
        </w:rPr>
        <w:t xml:space="preserve"> voorgesteld</w:t>
      </w:r>
      <w:r w:rsidRPr="00D30343">
        <w:rPr>
          <w:rFonts w:eastAsia="Times New Roman"/>
          <w:lang w:eastAsia="nl-NL"/>
        </w:rPr>
        <w:t xml:space="preserve"> van artikel 8.11 Wet IB 2001 en artikel 22a Wet LB 1964</w:t>
      </w:r>
      <w:r>
        <w:rPr>
          <w:rFonts w:eastAsia="Times New Roman"/>
          <w:lang w:eastAsia="nl-NL"/>
        </w:rPr>
        <w:t>.</w:t>
      </w:r>
      <w:r w:rsidRPr="00D30343">
        <w:rPr>
          <w:rFonts w:eastAsia="Times New Roman"/>
          <w:lang w:eastAsia="nl-NL"/>
        </w:rPr>
        <w:t xml:space="preserve"> </w:t>
      </w:r>
      <w:r>
        <w:rPr>
          <w:rFonts w:eastAsia="Times New Roman"/>
          <w:lang w:eastAsia="nl-NL"/>
        </w:rPr>
        <w:t>Zoals in</w:t>
      </w:r>
      <w:r w:rsidRPr="00D30343">
        <w:rPr>
          <w:rFonts w:eastAsia="Times New Roman"/>
          <w:lang w:eastAsia="nl-NL"/>
        </w:rPr>
        <w:t xml:space="preserve"> het algemeen deel van de memorie</w:t>
      </w:r>
      <w:r>
        <w:rPr>
          <w:rFonts w:eastAsia="Times New Roman"/>
          <w:lang w:eastAsia="nl-NL"/>
        </w:rPr>
        <w:t xml:space="preserve"> van toelichting bij het wetsvoorstel Belastingplan 2026 is toegelicht</w:t>
      </w:r>
      <w:r w:rsidRPr="00D30343">
        <w:rPr>
          <w:rFonts w:eastAsia="Times New Roman"/>
          <w:lang w:eastAsia="nl-NL"/>
        </w:rPr>
        <w:t>,</w:t>
      </w:r>
      <w:r>
        <w:rPr>
          <w:rFonts w:eastAsia="Times New Roman"/>
          <w:lang w:eastAsia="nl-NL"/>
        </w:rPr>
        <w:t xml:space="preserve"> wordt beoogd</w:t>
      </w:r>
      <w:r w:rsidRPr="00D30343">
        <w:rPr>
          <w:rFonts w:eastAsia="Times New Roman"/>
          <w:lang w:eastAsia="nl-NL"/>
        </w:rPr>
        <w:t xml:space="preserve"> dat het maximale bedrag van de arbeidskorting, na toepassing van de inflatiecorrectie van artikel 10.1 Wet IB 2001 per 1 januari 2026, met ingang van 1 januari 2026 bij het tweede knikpunt wordt verhoogd met €</w:t>
      </w:r>
      <w:r>
        <w:rPr>
          <w:rFonts w:eastAsia="Times New Roman"/>
          <w:lang w:eastAsia="nl-NL"/>
        </w:rPr>
        <w:t> </w:t>
      </w:r>
      <w:r w:rsidRPr="00D30343">
        <w:rPr>
          <w:rFonts w:eastAsia="Times New Roman"/>
          <w:lang w:eastAsia="nl-NL"/>
        </w:rPr>
        <w:t>25 en bij het derde knikpunt wordt verhoogd met €</w:t>
      </w:r>
      <w:r w:rsidR="00EE4809">
        <w:rPr>
          <w:rFonts w:eastAsia="Times New Roman"/>
          <w:lang w:eastAsia="nl-NL"/>
        </w:rPr>
        <w:t> </w:t>
      </w:r>
      <w:r w:rsidRPr="00D30343">
        <w:rPr>
          <w:rFonts w:eastAsia="Times New Roman"/>
          <w:lang w:eastAsia="nl-NL"/>
        </w:rPr>
        <w:t xml:space="preserve">27. Om dat te realiseren is in het voorgestelde artikel </w:t>
      </w:r>
      <w:r>
        <w:rPr>
          <w:rFonts w:eastAsia="Times New Roman"/>
          <w:lang w:eastAsia="nl-NL"/>
        </w:rPr>
        <w:t xml:space="preserve">IV </w:t>
      </w:r>
      <w:r w:rsidRPr="00D30343">
        <w:rPr>
          <w:rFonts w:eastAsia="Times New Roman"/>
          <w:lang w:eastAsia="nl-NL"/>
        </w:rPr>
        <w:t>de wijze van de indexatie aanvullend geregeld.</w:t>
      </w:r>
    </w:p>
    <w:p w:rsidRPr="00BE68A0" w:rsidR="001411FC" w:rsidP="001411FC" w:rsidRDefault="001411FC" w14:paraId="1FB15779" w14:textId="5FB9E244">
      <w:pPr>
        <w:pStyle w:val="Huisstijl-Standaard"/>
        <w:spacing w:line="360" w:lineRule="auto"/>
        <w:rPr>
          <w:iCs/>
        </w:rPr>
      </w:pPr>
      <w:r w:rsidRPr="00BE68A0">
        <w:rPr>
          <w:iCs/>
        </w:rPr>
        <w:t xml:space="preserve">Ingevolge de in artikel </w:t>
      </w:r>
      <w:r>
        <w:rPr>
          <w:iCs/>
        </w:rPr>
        <w:t>XLIX</w:t>
      </w:r>
      <w:r w:rsidRPr="00BE68A0">
        <w:rPr>
          <w:iCs/>
        </w:rPr>
        <w:t xml:space="preserve"> van laatstgenoemd wetsvoorstel opgenomen samenloopbepaling worden, wanneer beide wetsvoorstellen in 2025 tot wet worden verheven en die wetten beide in werking treden per 1 januari 2026, de beperkingen van de tabelcorrectiefactor </w:t>
      </w:r>
      <w:r>
        <w:rPr>
          <w:iCs/>
        </w:rPr>
        <w:t xml:space="preserve">ook hier </w:t>
      </w:r>
      <w:r w:rsidRPr="00BE68A0">
        <w:rPr>
          <w:iCs/>
        </w:rPr>
        <w:t>samengenomen om zo tot één toe te passen tabelcorrectiefactor te komen.</w:t>
      </w:r>
    </w:p>
    <w:p w:rsidR="00D30343" w:rsidP="006216A4" w:rsidRDefault="00D30343" w14:paraId="291F4291" w14:textId="77777777">
      <w:pPr>
        <w:pStyle w:val="Huisstijl-Standaard"/>
        <w:spacing w:line="360" w:lineRule="auto"/>
        <w:rPr>
          <w:iCs/>
        </w:rPr>
      </w:pPr>
    </w:p>
    <w:p w:rsidRPr="00BE68A0" w:rsidR="00AD5962" w:rsidP="006216A4" w:rsidRDefault="00AD5962" w14:paraId="0772155F" w14:textId="507DA336">
      <w:pPr>
        <w:pStyle w:val="Huisstijl-Standaard"/>
        <w:spacing w:line="360" w:lineRule="auto"/>
        <w:rPr>
          <w:i/>
        </w:rPr>
      </w:pPr>
      <w:r w:rsidRPr="00BE68A0">
        <w:rPr>
          <w:i/>
        </w:rPr>
        <w:t xml:space="preserve">Artikel </w:t>
      </w:r>
      <w:r w:rsidR="00D30343">
        <w:rPr>
          <w:i/>
        </w:rPr>
        <w:t>V</w:t>
      </w:r>
      <w:r w:rsidRPr="00BE68A0">
        <w:rPr>
          <w:i/>
        </w:rPr>
        <w:t xml:space="preserve"> (inwerkingtreding)</w:t>
      </w:r>
    </w:p>
    <w:p w:rsidR="00AD5962" w:rsidP="00A10EF2" w:rsidRDefault="00AD5962" w14:paraId="100CF909" w14:textId="0B74604F">
      <w:pPr>
        <w:pStyle w:val="Huisstijl-Standaard"/>
        <w:spacing w:line="360" w:lineRule="auto"/>
      </w:pPr>
      <w:r w:rsidRPr="00BE68A0">
        <w:t xml:space="preserve">Dit artikel regelt de inwerkingtreding. </w:t>
      </w:r>
      <w:r w:rsidRPr="00BE68A0" w:rsidR="000A7F94">
        <w:t>Hier</w:t>
      </w:r>
      <w:r w:rsidRPr="00BE68A0" w:rsidR="00AE6D2C">
        <w:t>bij wordt expliciet geregeld</w:t>
      </w:r>
      <w:r w:rsidRPr="00BE68A0" w:rsidR="000A7F94">
        <w:t xml:space="preserve"> dat </w:t>
      </w:r>
      <w:r w:rsidRPr="00BE68A0" w:rsidR="002E6AB6">
        <w:t>artikel I</w:t>
      </w:r>
      <w:r w:rsidRPr="00BE68A0" w:rsidR="009203F6">
        <w:t xml:space="preserve"> toepassing</w:t>
      </w:r>
      <w:r w:rsidRPr="00BE68A0" w:rsidDel="009203F6" w:rsidR="009203F6">
        <w:t xml:space="preserve"> </w:t>
      </w:r>
      <w:r w:rsidRPr="00BE68A0" w:rsidR="002E6AB6">
        <w:t xml:space="preserve">vindt voordat artikel XXI, onderdeel B, </w:t>
      </w:r>
      <w:r w:rsidRPr="00BE68A0" w:rsidR="006F2A9D">
        <w:t>BP</w:t>
      </w:r>
      <w:r w:rsidRPr="00BE68A0" w:rsidR="002E6AB6">
        <w:t xml:space="preserve"> 2025 </w:t>
      </w:r>
      <w:r w:rsidRPr="00BE68A0" w:rsidR="00AE6D2C">
        <w:t xml:space="preserve">wordt </w:t>
      </w:r>
      <w:r w:rsidRPr="00BE68A0" w:rsidR="002E6AB6">
        <w:t>toe</w:t>
      </w:r>
      <w:r w:rsidRPr="00BE68A0" w:rsidR="00AE6D2C">
        <w:t>ge</w:t>
      </w:r>
      <w:r w:rsidRPr="00BE68A0" w:rsidR="002E6AB6">
        <w:t>past.</w:t>
      </w:r>
      <w:r w:rsidRPr="00BE68A0" w:rsidR="00E902A4">
        <w:t xml:space="preserve"> Dat wil zeggen dat de aanpassing </w:t>
      </w:r>
      <w:r w:rsidRPr="00BE68A0" w:rsidR="00906D8F">
        <w:t xml:space="preserve">met betrekking tot </w:t>
      </w:r>
      <w:r w:rsidRPr="00BE68A0" w:rsidR="00B9791C">
        <w:t>het behoud van het verlaagde btw-tarief op cultuur, media en sport</w:t>
      </w:r>
      <w:r w:rsidRPr="00BE68A0" w:rsidR="00906D8F">
        <w:t xml:space="preserve"> </w:t>
      </w:r>
      <w:r w:rsidRPr="00BE68A0" w:rsidR="00E902A4">
        <w:t>in d</w:t>
      </w:r>
      <w:r w:rsidRPr="00BE68A0" w:rsidR="009203F6">
        <w:t>it</w:t>
      </w:r>
      <w:r w:rsidRPr="00BE68A0" w:rsidR="00E902A4">
        <w:t xml:space="preserve"> wet</w:t>
      </w:r>
      <w:r w:rsidRPr="00BE68A0" w:rsidR="009203F6">
        <w:t>svoorstel</w:t>
      </w:r>
      <w:r w:rsidRPr="00BE68A0" w:rsidR="004340E0">
        <w:t xml:space="preserve"> </w:t>
      </w:r>
      <w:r w:rsidRPr="00BE68A0" w:rsidR="00E902A4">
        <w:t xml:space="preserve">toepassing vindt voordat de </w:t>
      </w:r>
      <w:r w:rsidRPr="00BE68A0" w:rsidR="0040710F">
        <w:t xml:space="preserve">bijbehorende </w:t>
      </w:r>
      <w:r w:rsidRPr="00BE68A0" w:rsidR="00E902A4">
        <w:t xml:space="preserve">maatregel </w:t>
      </w:r>
      <w:r w:rsidRPr="00BE68A0" w:rsidR="0040710F">
        <w:t xml:space="preserve">die is </w:t>
      </w:r>
      <w:r w:rsidRPr="00BE68A0" w:rsidR="00E902A4">
        <w:t xml:space="preserve">opgenomen </w:t>
      </w:r>
      <w:r w:rsidRPr="00BE68A0" w:rsidR="007E113B">
        <w:t xml:space="preserve">in het BP 2025 </w:t>
      </w:r>
      <w:r w:rsidRPr="00BE68A0" w:rsidR="00E902A4">
        <w:t>van kracht wordt.</w:t>
      </w:r>
    </w:p>
    <w:p w:rsidRPr="00BE68A0" w:rsidR="000F7745" w:rsidP="00A10EF2" w:rsidRDefault="000F7745" w14:paraId="0CB7998B" w14:textId="77777777">
      <w:pPr>
        <w:pStyle w:val="Huisstijl-Standaard"/>
        <w:spacing w:line="360" w:lineRule="auto"/>
      </w:pPr>
    </w:p>
    <w:p w:rsidRPr="00AD5962" w:rsidR="00AD5962" w:rsidP="00A10EF2" w:rsidRDefault="00AD5962" w14:paraId="400A7840" w14:textId="78059121">
      <w:pPr>
        <w:pStyle w:val="Huisstijl-Standaard"/>
        <w:spacing w:line="360" w:lineRule="auto"/>
      </w:pPr>
      <w:r w:rsidRPr="00BE68A0">
        <w:t>De Staatssecretaris van Financiën,</w:t>
      </w:r>
      <w:r>
        <w:t xml:space="preserve">  </w:t>
      </w:r>
    </w:p>
    <w:p w:rsidRPr="00AD5962" w:rsidR="00AD5962" w:rsidP="00A10EF2" w:rsidRDefault="00AD5962" w14:paraId="51CDB832" w14:textId="77777777">
      <w:pPr>
        <w:pStyle w:val="Huisstijl-Standaard"/>
        <w:spacing w:line="360" w:lineRule="auto"/>
      </w:pPr>
    </w:p>
    <w:sectPr w:rsidRPr="00AD5962" w:rsidR="00AD596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6671E" w14:textId="77777777" w:rsidR="00827031" w:rsidRDefault="00827031" w:rsidP="001E7E77">
      <w:r>
        <w:separator/>
      </w:r>
    </w:p>
  </w:endnote>
  <w:endnote w:type="continuationSeparator" w:id="0">
    <w:p w14:paraId="62F4CED8" w14:textId="77777777" w:rsidR="00827031" w:rsidRDefault="00827031" w:rsidP="001E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C167" w14:textId="77777777" w:rsidR="00BC24C7" w:rsidRDefault="00BC24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16542"/>
      <w:docPartObj>
        <w:docPartGallery w:val="Page Numbers (Bottom of Page)"/>
        <w:docPartUnique/>
      </w:docPartObj>
    </w:sdtPr>
    <w:sdtEndPr/>
    <w:sdtContent>
      <w:p w14:paraId="55BE168F" w14:textId="43843048" w:rsidR="00CF71AE" w:rsidRDefault="00CF71AE">
        <w:pPr>
          <w:pStyle w:val="Voettekst"/>
          <w:jc w:val="right"/>
        </w:pPr>
        <w:r>
          <w:fldChar w:fldCharType="begin"/>
        </w:r>
        <w:r>
          <w:instrText>PAGE   \* MERGEFORMAT</w:instrText>
        </w:r>
        <w:r>
          <w:fldChar w:fldCharType="separate"/>
        </w:r>
        <w:r>
          <w:t>2</w:t>
        </w:r>
        <w:r>
          <w:fldChar w:fldCharType="end"/>
        </w:r>
      </w:p>
    </w:sdtContent>
  </w:sdt>
  <w:p w14:paraId="307566F3" w14:textId="77777777" w:rsidR="00406471" w:rsidRDefault="004064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272B" w14:textId="77777777" w:rsidR="00BC24C7" w:rsidRDefault="00BC24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D74DD" w14:textId="77777777" w:rsidR="00827031" w:rsidRDefault="00827031" w:rsidP="001E7E77">
      <w:r>
        <w:separator/>
      </w:r>
    </w:p>
  </w:footnote>
  <w:footnote w:type="continuationSeparator" w:id="0">
    <w:p w14:paraId="389A0CC6" w14:textId="77777777" w:rsidR="00827031" w:rsidRDefault="00827031" w:rsidP="001E7E77">
      <w:r>
        <w:continuationSeparator/>
      </w:r>
    </w:p>
  </w:footnote>
  <w:footnote w:id="1">
    <w:p w14:paraId="59A35B96" w14:textId="044209A3" w:rsidR="00E9164F" w:rsidRPr="00D062AB" w:rsidRDefault="00E9164F">
      <w:pPr>
        <w:pStyle w:val="Voetnoottekst"/>
        <w:rPr>
          <w:sz w:val="13"/>
          <w:szCs w:val="13"/>
        </w:rPr>
      </w:pPr>
      <w:r w:rsidRPr="00D062AB">
        <w:rPr>
          <w:rStyle w:val="Voetnootmarkering"/>
          <w:sz w:val="13"/>
          <w:szCs w:val="13"/>
        </w:rPr>
        <w:footnoteRef/>
      </w:r>
      <w:r w:rsidRPr="00D062AB">
        <w:rPr>
          <w:sz w:val="13"/>
          <w:szCs w:val="13"/>
        </w:rPr>
        <w:t xml:space="preserve"> Kamerstukken II</w:t>
      </w:r>
      <w:r w:rsidR="003B6208" w:rsidRPr="00D062AB">
        <w:rPr>
          <w:sz w:val="13"/>
          <w:szCs w:val="13"/>
        </w:rPr>
        <w:t xml:space="preserve"> </w:t>
      </w:r>
      <w:r w:rsidRPr="00D062AB">
        <w:rPr>
          <w:sz w:val="13"/>
          <w:szCs w:val="13"/>
        </w:rPr>
        <w:t xml:space="preserve">2023/24, 36471, nr. 37, bijlage </w:t>
      </w:r>
      <w:r w:rsidR="00AE2548" w:rsidRPr="00D062AB">
        <w:rPr>
          <w:sz w:val="13"/>
          <w:szCs w:val="13"/>
        </w:rPr>
        <w:t>“</w:t>
      </w:r>
      <w:r w:rsidRPr="00D062AB">
        <w:rPr>
          <w:sz w:val="13"/>
          <w:szCs w:val="13"/>
        </w:rPr>
        <w:t>Hoofdlijnenakkoord HOOP, LEF EN TROTS</w:t>
      </w:r>
      <w:r w:rsidR="00AE2548" w:rsidRPr="00D062AB">
        <w:rPr>
          <w:sz w:val="13"/>
          <w:szCs w:val="13"/>
        </w:rPr>
        <w:t>”</w:t>
      </w:r>
      <w:r w:rsidRPr="00D062AB">
        <w:rPr>
          <w:sz w:val="13"/>
          <w:szCs w:val="13"/>
        </w:rPr>
        <w:t>.</w:t>
      </w:r>
    </w:p>
  </w:footnote>
  <w:footnote w:id="2">
    <w:p w14:paraId="7E9E73DA" w14:textId="1F48F282" w:rsidR="00312955" w:rsidRPr="00D062AB" w:rsidRDefault="00312955">
      <w:pPr>
        <w:pStyle w:val="Voetnoottekst"/>
        <w:rPr>
          <w:sz w:val="13"/>
          <w:szCs w:val="13"/>
        </w:rPr>
      </w:pPr>
      <w:r w:rsidRPr="00D062AB">
        <w:rPr>
          <w:sz w:val="13"/>
          <w:szCs w:val="13"/>
          <w:vertAlign w:val="superscript"/>
        </w:rPr>
        <w:footnoteRef/>
      </w:r>
      <w:r w:rsidRPr="00D062AB">
        <w:rPr>
          <w:sz w:val="13"/>
          <w:szCs w:val="13"/>
        </w:rPr>
        <w:t xml:space="preserve"> </w:t>
      </w:r>
      <w:r w:rsidR="00B87430" w:rsidRPr="00D062AB">
        <w:rPr>
          <w:sz w:val="13"/>
          <w:szCs w:val="13"/>
        </w:rPr>
        <w:t>Besluit van de Staatssecretaris van Financiën van 13 december 2024, over het gedeeltelijk uitstel overgangsregeling in verband met de afschaffing bepaalde tabelposten verlaagd tarief omzetbelasting (</w:t>
      </w:r>
      <w:r w:rsidRPr="00D062AB">
        <w:rPr>
          <w:sz w:val="13"/>
          <w:szCs w:val="13"/>
        </w:rPr>
        <w:t>Stcrt. 2024, 40471</w:t>
      </w:r>
      <w:r w:rsidR="00B87430" w:rsidRPr="00D062AB">
        <w:rPr>
          <w:sz w:val="13"/>
          <w:szCs w:val="13"/>
        </w:rPr>
        <w:t>)</w:t>
      </w:r>
      <w:r w:rsidR="00674461" w:rsidRPr="00D062AB">
        <w:rPr>
          <w:sz w:val="13"/>
          <w:szCs w:val="13"/>
        </w:rPr>
        <w:t xml:space="preserve"> en</w:t>
      </w:r>
      <w:r w:rsidR="00B87430" w:rsidRPr="00D062AB">
        <w:rPr>
          <w:sz w:val="13"/>
          <w:szCs w:val="13"/>
        </w:rPr>
        <w:t xml:space="preserve"> het besluit van de Staatssecretaris van Financiën van 1 mei 2025 inzake</w:t>
      </w:r>
      <w:r w:rsidR="00674461" w:rsidRPr="00D062AB">
        <w:rPr>
          <w:sz w:val="13"/>
          <w:szCs w:val="13"/>
        </w:rPr>
        <w:t xml:space="preserve"> </w:t>
      </w:r>
      <w:r w:rsidR="00B87430" w:rsidRPr="00D062AB">
        <w:rPr>
          <w:sz w:val="13"/>
          <w:szCs w:val="13"/>
        </w:rPr>
        <w:t>de wijziging van het Beleidsbesluit gedeeltelijk uitstel overgangsregeling in verband met de afschaffing bepaalde tabelposten verlaagd tarief omzetbelasting van 13 december 2024, nr. 2024-</w:t>
      </w:r>
      <w:r w:rsidR="00B87430" w:rsidRPr="0092720B">
        <w:rPr>
          <w:sz w:val="13"/>
          <w:szCs w:val="13"/>
        </w:rPr>
        <w:t>33245 (Stcrt. 2024,</w:t>
      </w:r>
      <w:r w:rsidR="00882F62" w:rsidRPr="0092720B">
        <w:rPr>
          <w:sz w:val="13"/>
          <w:szCs w:val="13"/>
        </w:rPr>
        <w:t xml:space="preserve"> </w:t>
      </w:r>
      <w:r w:rsidR="00B87430" w:rsidRPr="0092720B">
        <w:rPr>
          <w:sz w:val="13"/>
          <w:szCs w:val="13"/>
        </w:rPr>
        <w:t>40471) (</w:t>
      </w:r>
      <w:r w:rsidR="00674461" w:rsidRPr="0092720B">
        <w:rPr>
          <w:sz w:val="13"/>
          <w:szCs w:val="13"/>
        </w:rPr>
        <w:t>Stcrt</w:t>
      </w:r>
      <w:r w:rsidR="00674461" w:rsidRPr="00D062AB">
        <w:rPr>
          <w:sz w:val="13"/>
          <w:szCs w:val="13"/>
        </w:rPr>
        <w:t>.</w:t>
      </w:r>
      <w:r w:rsidR="00B87430" w:rsidRPr="00D062AB">
        <w:rPr>
          <w:sz w:val="13"/>
          <w:szCs w:val="13"/>
        </w:rPr>
        <w:t> </w:t>
      </w:r>
      <w:r w:rsidR="00674461" w:rsidRPr="00D062AB">
        <w:rPr>
          <w:sz w:val="13"/>
          <w:szCs w:val="13"/>
        </w:rPr>
        <w:t>2025,</w:t>
      </w:r>
      <w:r w:rsidR="00B87430" w:rsidRPr="00D062AB">
        <w:rPr>
          <w:sz w:val="13"/>
          <w:szCs w:val="13"/>
        </w:rPr>
        <w:t> </w:t>
      </w:r>
      <w:r w:rsidR="00674461" w:rsidRPr="00D062AB">
        <w:rPr>
          <w:sz w:val="13"/>
          <w:szCs w:val="13"/>
        </w:rPr>
        <w:t>15954</w:t>
      </w:r>
      <w:r w:rsidR="00B87430" w:rsidRPr="00D062AB">
        <w:rPr>
          <w:sz w:val="13"/>
          <w:szCs w:val="13"/>
        </w:rPr>
        <w:t>).</w:t>
      </w:r>
      <w:r w:rsidRPr="00D062AB">
        <w:rPr>
          <w:sz w:val="13"/>
          <w:szCs w:val="13"/>
        </w:rPr>
        <w:t xml:space="preserve"> </w:t>
      </w:r>
    </w:p>
  </w:footnote>
  <w:footnote w:id="3">
    <w:p w14:paraId="117368D9" w14:textId="74785B33" w:rsidR="00E9164F" w:rsidRPr="00D062AB" w:rsidRDefault="00E9164F">
      <w:pPr>
        <w:pStyle w:val="Voetnoottekst"/>
        <w:rPr>
          <w:sz w:val="13"/>
          <w:szCs w:val="13"/>
        </w:rPr>
      </w:pPr>
      <w:r w:rsidRPr="00D062AB">
        <w:rPr>
          <w:rStyle w:val="Voetnootmarkering"/>
          <w:sz w:val="13"/>
          <w:szCs w:val="13"/>
        </w:rPr>
        <w:footnoteRef/>
      </w:r>
      <w:r w:rsidRPr="00D062AB">
        <w:rPr>
          <w:sz w:val="13"/>
          <w:szCs w:val="13"/>
        </w:rPr>
        <w:t xml:space="preserve"> Kamerstukken II</w:t>
      </w:r>
      <w:r w:rsidR="003B6208" w:rsidRPr="00D062AB">
        <w:rPr>
          <w:sz w:val="13"/>
          <w:szCs w:val="13"/>
        </w:rPr>
        <w:t xml:space="preserve"> </w:t>
      </w:r>
      <w:r w:rsidRPr="00D062AB">
        <w:rPr>
          <w:sz w:val="13"/>
          <w:szCs w:val="13"/>
        </w:rPr>
        <w:t>2024/25, 36602</w:t>
      </w:r>
      <w:r w:rsidR="00C95DBD" w:rsidRPr="00D062AB">
        <w:rPr>
          <w:sz w:val="13"/>
          <w:szCs w:val="13"/>
        </w:rPr>
        <w:t>,</w:t>
      </w:r>
      <w:r w:rsidRPr="00D062AB">
        <w:rPr>
          <w:sz w:val="13"/>
          <w:szCs w:val="13"/>
        </w:rPr>
        <w:t xml:space="preserve"> nr. 140.</w:t>
      </w:r>
    </w:p>
  </w:footnote>
  <w:footnote w:id="4">
    <w:p w14:paraId="2485C3B6" w14:textId="484F9B14" w:rsidR="00E9164F" w:rsidRPr="00D062AB" w:rsidRDefault="00E9164F">
      <w:pPr>
        <w:pStyle w:val="Voetnoottekst"/>
        <w:rPr>
          <w:sz w:val="13"/>
          <w:szCs w:val="13"/>
        </w:rPr>
      </w:pPr>
      <w:r w:rsidRPr="00D062AB">
        <w:rPr>
          <w:rStyle w:val="Voetnootmarkering"/>
          <w:sz w:val="13"/>
          <w:szCs w:val="13"/>
        </w:rPr>
        <w:footnoteRef/>
      </w:r>
      <w:r w:rsidRPr="00D062AB">
        <w:rPr>
          <w:sz w:val="13"/>
          <w:szCs w:val="13"/>
        </w:rPr>
        <w:t xml:space="preserve"> </w:t>
      </w:r>
      <w:r w:rsidR="003B6208" w:rsidRPr="00D062AB">
        <w:rPr>
          <w:sz w:val="13"/>
          <w:szCs w:val="13"/>
        </w:rPr>
        <w:t>Kamerstukken II 2024/25, 36725</w:t>
      </w:r>
      <w:r w:rsidR="00C95DBD" w:rsidRPr="00D062AB">
        <w:rPr>
          <w:sz w:val="13"/>
          <w:szCs w:val="13"/>
        </w:rPr>
        <w:t>,</w:t>
      </w:r>
      <w:r w:rsidR="003B6208" w:rsidRPr="00D062AB">
        <w:rPr>
          <w:sz w:val="13"/>
          <w:szCs w:val="13"/>
        </w:rPr>
        <w:t xml:space="preserve"> nr. 1. </w:t>
      </w:r>
    </w:p>
  </w:footnote>
  <w:footnote w:id="5">
    <w:p w14:paraId="65E9F793" w14:textId="30FD294E" w:rsidR="003B6208" w:rsidRPr="003B6208" w:rsidRDefault="003B6208">
      <w:pPr>
        <w:pStyle w:val="Voetnoottekst"/>
        <w:rPr>
          <w:sz w:val="16"/>
          <w:szCs w:val="16"/>
        </w:rPr>
      </w:pPr>
      <w:r w:rsidRPr="00D062AB">
        <w:rPr>
          <w:rStyle w:val="Voetnootmarkering"/>
          <w:sz w:val="13"/>
          <w:szCs w:val="13"/>
        </w:rPr>
        <w:footnoteRef/>
      </w:r>
      <w:r w:rsidRPr="00D062AB">
        <w:rPr>
          <w:sz w:val="13"/>
          <w:szCs w:val="13"/>
        </w:rPr>
        <w:t xml:space="preserve"> Zie de artikelsgewijze toelichting bij </w:t>
      </w:r>
      <w:r w:rsidR="00CD0697" w:rsidRPr="00D062AB">
        <w:rPr>
          <w:sz w:val="13"/>
          <w:szCs w:val="13"/>
        </w:rPr>
        <w:t xml:space="preserve">artikel I van het wetsvoorstel dat ziet op </w:t>
      </w:r>
      <w:r w:rsidRPr="00D062AB">
        <w:rPr>
          <w:sz w:val="13"/>
          <w:szCs w:val="13"/>
        </w:rPr>
        <w:t>artikel XXI, onderdeel B</w:t>
      </w:r>
      <w:r w:rsidR="00AE2548" w:rsidRPr="00D062AB">
        <w:rPr>
          <w:sz w:val="13"/>
          <w:szCs w:val="13"/>
        </w:rPr>
        <w:t>,</w:t>
      </w:r>
      <w:r w:rsidRPr="00D062AB">
        <w:rPr>
          <w:sz w:val="13"/>
          <w:szCs w:val="13"/>
        </w:rPr>
        <w:t xml:space="preserve"> </w:t>
      </w:r>
      <w:r w:rsidR="002146BB">
        <w:rPr>
          <w:sz w:val="13"/>
          <w:szCs w:val="13"/>
        </w:rPr>
        <w:t>BP</w:t>
      </w:r>
      <w:r w:rsidRPr="00D062AB">
        <w:rPr>
          <w:sz w:val="13"/>
          <w:szCs w:val="13"/>
        </w:rPr>
        <w:t xml:space="preserve"> 2025.</w:t>
      </w:r>
    </w:p>
  </w:footnote>
  <w:footnote w:id="6">
    <w:p w14:paraId="27D53C83" w14:textId="77777777" w:rsidR="00F00477" w:rsidRPr="008064FB" w:rsidRDefault="00F00477" w:rsidP="00F00477">
      <w:pPr>
        <w:pStyle w:val="Voetnoottekst"/>
        <w:rPr>
          <w:sz w:val="13"/>
          <w:szCs w:val="13"/>
        </w:rPr>
      </w:pPr>
      <w:r w:rsidRPr="008064FB">
        <w:rPr>
          <w:rStyle w:val="Voetnootmarkering"/>
          <w:sz w:val="13"/>
          <w:szCs w:val="13"/>
        </w:rPr>
        <w:footnoteRef/>
      </w:r>
      <w:r w:rsidRPr="008064FB">
        <w:rPr>
          <w:sz w:val="13"/>
          <w:szCs w:val="13"/>
        </w:rPr>
        <w:t xml:space="preserve"> Tabelcorrectiefactor als alleen rekening wordt gehouden met de benodigde dekking voor het behoud van het verlaagde btw-tarief.</w:t>
      </w:r>
    </w:p>
  </w:footnote>
  <w:footnote w:id="7">
    <w:p w14:paraId="3A7F3EAA" w14:textId="77777777" w:rsidR="00F00477" w:rsidRPr="00FC4B91" w:rsidRDefault="00F00477" w:rsidP="00F00477">
      <w:pPr>
        <w:pStyle w:val="Voetnoottekst"/>
        <w:rPr>
          <w:sz w:val="16"/>
          <w:szCs w:val="16"/>
        </w:rPr>
      </w:pPr>
      <w:r w:rsidRPr="008064FB">
        <w:rPr>
          <w:rStyle w:val="Voetnootmarkering"/>
          <w:sz w:val="13"/>
          <w:szCs w:val="13"/>
        </w:rPr>
        <w:footnoteRef/>
      </w:r>
      <w:r w:rsidRPr="008064FB">
        <w:rPr>
          <w:sz w:val="13"/>
          <w:szCs w:val="13"/>
        </w:rPr>
        <w:t xml:space="preserve"> Voor belastingplichtigen die zijn geboren vóór 1946 en derhalve vallen onder de in artikel 2.10a Wet IB 2001 en artikel 20b Wet LB 1964 opgenomen tarieftabellen wordt de eerste schijfgrens van die tabellen op grond van artikel 10.1, tweede lid, Wet IB 2001 en artikel 20a, tweede lid, Wet LB 1964 geïndexeerd met de uitkomst van de formule: 1 + (75% x (tabelcorrectiefactor – 1)). De gevolgen van de beperkte toepassing van de tabelcorrectiefactor voor deze artikelen worden nader toegelicht in de artikelsgewijze toelichting.</w:t>
      </w:r>
    </w:p>
  </w:footnote>
  <w:footnote w:id="8">
    <w:p w14:paraId="2349D958" w14:textId="7EEB1FB0" w:rsidR="00C51B2B" w:rsidRPr="00A23D8F" w:rsidRDefault="00C51B2B" w:rsidP="00C51B2B">
      <w:pPr>
        <w:pStyle w:val="Voetnoottekst"/>
        <w:rPr>
          <w:sz w:val="13"/>
          <w:szCs w:val="13"/>
        </w:rPr>
      </w:pPr>
      <w:r w:rsidRPr="000F52C1">
        <w:rPr>
          <w:rStyle w:val="Voetnootmarkering"/>
          <w:sz w:val="13"/>
          <w:szCs w:val="13"/>
        </w:rPr>
        <w:footnoteRef/>
      </w:r>
      <w:r w:rsidRPr="000F52C1">
        <w:rPr>
          <w:sz w:val="13"/>
          <w:szCs w:val="13"/>
        </w:rPr>
        <w:t xml:space="preserve"> Het </w:t>
      </w:r>
      <w:r w:rsidRPr="000F52C1">
        <w:rPr>
          <w:iCs/>
          <w:sz w:val="13"/>
          <w:szCs w:val="13"/>
        </w:rPr>
        <w:t xml:space="preserve">bij koninklijke boodschap van </w:t>
      </w:r>
      <w:r w:rsidR="00D30343">
        <w:rPr>
          <w:iCs/>
          <w:sz w:val="13"/>
          <w:szCs w:val="13"/>
        </w:rPr>
        <w:t>16 september 2025</w:t>
      </w:r>
      <w:r w:rsidRPr="00BE68A0">
        <w:rPr>
          <w:iCs/>
          <w:sz w:val="13"/>
          <w:szCs w:val="13"/>
        </w:rPr>
        <w:t xml:space="preserve"> i</w:t>
      </w:r>
      <w:r w:rsidRPr="000F52C1">
        <w:rPr>
          <w:iCs/>
          <w:sz w:val="13"/>
          <w:szCs w:val="13"/>
        </w:rPr>
        <w:t xml:space="preserve">ngediende voorstel van wet </w:t>
      </w:r>
      <w:r w:rsidRPr="000F52C1">
        <w:rPr>
          <w:rFonts w:eastAsia="Times New Roman"/>
          <w:bCs/>
          <w:sz w:val="13"/>
          <w:szCs w:val="13"/>
          <w:lang w:eastAsia="nl-NL"/>
        </w:rPr>
        <w:t>tot wijziging van enkele belastingwetten en enige andere wetten</w:t>
      </w:r>
      <w:r w:rsidRPr="000F52C1">
        <w:rPr>
          <w:iCs/>
          <w:sz w:val="13"/>
          <w:szCs w:val="13"/>
        </w:rPr>
        <w:t xml:space="preserve"> (</w:t>
      </w:r>
      <w:r w:rsidRPr="000E2D4B">
        <w:rPr>
          <w:iCs/>
          <w:sz w:val="13"/>
          <w:szCs w:val="13"/>
        </w:rPr>
        <w:t>Belastingplan 2026) (Kamerstukken PM).</w:t>
      </w:r>
    </w:p>
  </w:footnote>
  <w:footnote w:id="9">
    <w:p w14:paraId="48BECC2A" w14:textId="2D91E128" w:rsidR="004A35D8" w:rsidRPr="00B90885" w:rsidRDefault="004A35D8" w:rsidP="004A35D8">
      <w:pPr>
        <w:pStyle w:val="Voetnoottekst"/>
        <w:rPr>
          <w:sz w:val="13"/>
          <w:szCs w:val="13"/>
        </w:rPr>
      </w:pPr>
      <w:r w:rsidRPr="00B90885">
        <w:rPr>
          <w:rStyle w:val="Voetnootmarkering"/>
          <w:sz w:val="13"/>
          <w:szCs w:val="13"/>
        </w:rPr>
        <w:footnoteRef/>
      </w:r>
      <w:r w:rsidRPr="00B90885">
        <w:rPr>
          <w:sz w:val="13"/>
          <w:szCs w:val="13"/>
        </w:rPr>
        <w:t xml:space="preserve"> + = saldoverbeterend / lastenverzwarend. - = </w:t>
      </w:r>
      <w:proofErr w:type="spellStart"/>
      <w:r w:rsidRPr="00B90885">
        <w:rPr>
          <w:sz w:val="13"/>
          <w:szCs w:val="13"/>
        </w:rPr>
        <w:t>saldoverslechterend</w:t>
      </w:r>
      <w:proofErr w:type="spellEnd"/>
      <w:r w:rsidRPr="00B90885">
        <w:rPr>
          <w:sz w:val="13"/>
          <w:szCs w:val="13"/>
        </w:rPr>
        <w:t xml:space="preserve"> / </w:t>
      </w:r>
      <w:proofErr w:type="spellStart"/>
      <w:r w:rsidRPr="00B90885">
        <w:rPr>
          <w:sz w:val="13"/>
          <w:szCs w:val="13"/>
        </w:rPr>
        <w:t>lastenverlichtend</w:t>
      </w:r>
      <w:proofErr w:type="spellEnd"/>
      <w:r w:rsidRPr="00B90885">
        <w:rPr>
          <w:sz w:val="13"/>
          <w:szCs w:val="13"/>
        </w:rPr>
        <w:t xml:space="preserve">. </w:t>
      </w:r>
    </w:p>
  </w:footnote>
  <w:footnote w:id="10">
    <w:p w14:paraId="08371A4C" w14:textId="11B4BCB6" w:rsidR="00B6750E" w:rsidRPr="005A020A" w:rsidRDefault="00B6750E" w:rsidP="00B6750E">
      <w:pPr>
        <w:pStyle w:val="Voetnoottekst"/>
        <w:rPr>
          <w:sz w:val="13"/>
          <w:szCs w:val="13"/>
        </w:rPr>
      </w:pPr>
      <w:r w:rsidRPr="005A020A">
        <w:rPr>
          <w:rStyle w:val="Voetnootmarkering"/>
          <w:sz w:val="13"/>
          <w:szCs w:val="13"/>
        </w:rPr>
        <w:footnoteRef/>
      </w:r>
      <w:r w:rsidRPr="005A020A">
        <w:rPr>
          <w:sz w:val="13"/>
          <w:szCs w:val="13"/>
        </w:rPr>
        <w:t xml:space="preserve"> Zie ook: Kamerstukken II 2021/22, 32140, nr. 119, bijlage 5: Beleidsruimte</w:t>
      </w:r>
      <w:r w:rsidR="0091704B" w:rsidRPr="005A020A">
        <w:rPr>
          <w:sz w:val="13"/>
          <w:szCs w:val="13"/>
        </w:rPr>
        <w:t xml:space="preserve"> </w:t>
      </w:r>
      <w:r w:rsidRPr="005A020A">
        <w:rPr>
          <w:sz w:val="13"/>
          <w:szCs w:val="13"/>
        </w:rPr>
        <w:t>btw-tarievenrichtlijn.</w:t>
      </w:r>
      <w:r>
        <w:t xml:space="preserve"> </w:t>
      </w:r>
    </w:p>
  </w:footnote>
  <w:footnote w:id="11">
    <w:p w14:paraId="10AD5827" w14:textId="447C5190" w:rsidR="007D2FCE" w:rsidRPr="007D2FCE" w:rsidRDefault="007D2FCE">
      <w:pPr>
        <w:pStyle w:val="Voetnoottekst"/>
        <w:rPr>
          <w:sz w:val="13"/>
          <w:szCs w:val="13"/>
        </w:rPr>
      </w:pPr>
      <w:r w:rsidRPr="007D2FCE">
        <w:rPr>
          <w:rStyle w:val="Voetnootmarkering"/>
          <w:sz w:val="13"/>
          <w:szCs w:val="13"/>
        </w:rPr>
        <w:footnoteRef/>
      </w:r>
      <w:r w:rsidRPr="007D2FCE">
        <w:rPr>
          <w:sz w:val="13"/>
          <w:szCs w:val="13"/>
        </w:rPr>
        <w:t xml:space="preserve"> Kamerstukken II 2022/23, 32140, nr. 151.</w:t>
      </w:r>
    </w:p>
  </w:footnote>
  <w:footnote w:id="12">
    <w:p w14:paraId="3E37DCC4" w14:textId="603C5867" w:rsidR="00882F62" w:rsidRPr="005A020A" w:rsidRDefault="00882F62">
      <w:pPr>
        <w:pStyle w:val="Voetnoottekst"/>
        <w:rPr>
          <w:sz w:val="13"/>
          <w:szCs w:val="13"/>
        </w:rPr>
      </w:pPr>
      <w:r w:rsidRPr="005A020A">
        <w:rPr>
          <w:rStyle w:val="Voetnootmarkering"/>
          <w:sz w:val="13"/>
          <w:szCs w:val="13"/>
        </w:rPr>
        <w:footnoteRef/>
      </w:r>
      <w:r w:rsidRPr="005A020A">
        <w:rPr>
          <w:sz w:val="13"/>
          <w:szCs w:val="13"/>
        </w:rPr>
        <w:t xml:space="preserve"> Besluit van de Staatssecretaris van Financiën van 13 december 2024, over het gedeeltelijk uitstel overgangsregeling in verband met de afschaffing bepaalde tabelposten verlaagd tarief omzetbelasting (Stcrt. 2024, 40471) en het besluit van de Staatssecretaris van Financiën van 1 mei 2025 inzake de wijziging van het Beleidsbesluit gedeeltelijk uitstel overgangsregeling in verband met de afschaffing bepaalde tabelposten verlaagd tarief omzetbelasting van 13 december 2024, nr. 2024-33245 (Stcrt. 2024, 40471) (Stcrt. 2025, 15954).</w:t>
      </w:r>
    </w:p>
  </w:footnote>
  <w:footnote w:id="13">
    <w:p w14:paraId="0EC8AF2B" w14:textId="093F5589" w:rsidR="006216A4" w:rsidRPr="00BE0392" w:rsidRDefault="006216A4">
      <w:pPr>
        <w:pStyle w:val="Voetnoottekst"/>
        <w:rPr>
          <w:sz w:val="13"/>
          <w:szCs w:val="13"/>
          <w:lang w:val="de-DE"/>
        </w:rPr>
      </w:pPr>
      <w:r w:rsidRPr="00BE0392">
        <w:rPr>
          <w:rStyle w:val="Voetnootmarkering"/>
          <w:sz w:val="13"/>
          <w:szCs w:val="13"/>
        </w:rPr>
        <w:footnoteRef/>
      </w:r>
      <w:r w:rsidRPr="00BE0392">
        <w:rPr>
          <w:sz w:val="13"/>
          <w:szCs w:val="13"/>
          <w:lang w:val="de-DE"/>
        </w:rPr>
        <w:t xml:space="preserve"> HR </w:t>
      </w:r>
      <w:r w:rsidR="002B359A" w:rsidRPr="00BE0392">
        <w:rPr>
          <w:sz w:val="13"/>
          <w:szCs w:val="13"/>
          <w:lang w:val="de-DE"/>
        </w:rPr>
        <w:t xml:space="preserve">11 </w:t>
      </w:r>
      <w:proofErr w:type="spellStart"/>
      <w:r w:rsidR="002B359A" w:rsidRPr="00BE0392">
        <w:rPr>
          <w:sz w:val="13"/>
          <w:szCs w:val="13"/>
          <w:lang w:val="de-DE"/>
        </w:rPr>
        <w:t>juli</w:t>
      </w:r>
      <w:proofErr w:type="spellEnd"/>
      <w:r w:rsidR="002B359A" w:rsidRPr="00BE0392">
        <w:rPr>
          <w:sz w:val="13"/>
          <w:szCs w:val="13"/>
          <w:lang w:val="de-DE"/>
        </w:rPr>
        <w:t xml:space="preserve"> </w:t>
      </w:r>
      <w:r w:rsidRPr="00BE0392">
        <w:rPr>
          <w:sz w:val="13"/>
          <w:szCs w:val="13"/>
          <w:lang w:val="de-DE"/>
        </w:rPr>
        <w:t>2014, ECLI:NL:HR:2014:1623.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F5E2" w14:textId="77777777" w:rsidR="00BC24C7" w:rsidRDefault="00BC24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C030" w14:textId="77777777" w:rsidR="00BC24C7" w:rsidRDefault="00BC24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57B5" w14:textId="77777777" w:rsidR="00BC24C7" w:rsidRDefault="00BC24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48F"/>
    <w:multiLevelType w:val="hybridMultilevel"/>
    <w:tmpl w:val="3564A1F6"/>
    <w:lvl w:ilvl="0" w:tplc="855C8C82">
      <w:start w:val="10"/>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943AB2"/>
    <w:multiLevelType w:val="hybridMultilevel"/>
    <w:tmpl w:val="EA7A0144"/>
    <w:lvl w:ilvl="0" w:tplc="FEF6CFC8">
      <w:start w:val="1"/>
      <w:numFmt w:val="decimal"/>
      <w:lvlText w:val="%1."/>
      <w:lvlJc w:val="left"/>
      <w:pPr>
        <w:ind w:left="1020" w:hanging="360"/>
      </w:pPr>
    </w:lvl>
    <w:lvl w:ilvl="1" w:tplc="BEF2DD1A">
      <w:start w:val="1"/>
      <w:numFmt w:val="decimal"/>
      <w:lvlText w:val="%2."/>
      <w:lvlJc w:val="left"/>
      <w:pPr>
        <w:ind w:left="1020" w:hanging="360"/>
      </w:pPr>
    </w:lvl>
    <w:lvl w:ilvl="2" w:tplc="F2347662">
      <w:start w:val="1"/>
      <w:numFmt w:val="decimal"/>
      <w:lvlText w:val="%3."/>
      <w:lvlJc w:val="left"/>
      <w:pPr>
        <w:ind w:left="1020" w:hanging="360"/>
      </w:pPr>
    </w:lvl>
    <w:lvl w:ilvl="3" w:tplc="E88C0508">
      <w:start w:val="1"/>
      <w:numFmt w:val="decimal"/>
      <w:lvlText w:val="%4."/>
      <w:lvlJc w:val="left"/>
      <w:pPr>
        <w:ind w:left="1020" w:hanging="360"/>
      </w:pPr>
    </w:lvl>
    <w:lvl w:ilvl="4" w:tplc="5A12DF6A">
      <w:start w:val="1"/>
      <w:numFmt w:val="decimal"/>
      <w:lvlText w:val="%5."/>
      <w:lvlJc w:val="left"/>
      <w:pPr>
        <w:ind w:left="1020" w:hanging="360"/>
      </w:pPr>
    </w:lvl>
    <w:lvl w:ilvl="5" w:tplc="6E88DC2E">
      <w:start w:val="1"/>
      <w:numFmt w:val="decimal"/>
      <w:lvlText w:val="%6."/>
      <w:lvlJc w:val="left"/>
      <w:pPr>
        <w:ind w:left="1020" w:hanging="360"/>
      </w:pPr>
    </w:lvl>
    <w:lvl w:ilvl="6" w:tplc="53D0DDA6">
      <w:start w:val="1"/>
      <w:numFmt w:val="decimal"/>
      <w:lvlText w:val="%7."/>
      <w:lvlJc w:val="left"/>
      <w:pPr>
        <w:ind w:left="1020" w:hanging="360"/>
      </w:pPr>
    </w:lvl>
    <w:lvl w:ilvl="7" w:tplc="A5BCABE6">
      <w:start w:val="1"/>
      <w:numFmt w:val="decimal"/>
      <w:lvlText w:val="%8."/>
      <w:lvlJc w:val="left"/>
      <w:pPr>
        <w:ind w:left="1020" w:hanging="360"/>
      </w:pPr>
    </w:lvl>
    <w:lvl w:ilvl="8" w:tplc="334898D8">
      <w:start w:val="1"/>
      <w:numFmt w:val="decimal"/>
      <w:lvlText w:val="%9."/>
      <w:lvlJc w:val="left"/>
      <w:pPr>
        <w:ind w:left="1020" w:hanging="360"/>
      </w:pPr>
    </w:lvl>
  </w:abstractNum>
  <w:abstractNum w:abstractNumId="2" w15:restartNumberingAfterBreak="0">
    <w:nsid w:val="05DB520F"/>
    <w:multiLevelType w:val="hybridMultilevel"/>
    <w:tmpl w:val="AFC0E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9C1DE0"/>
    <w:multiLevelType w:val="hybridMultilevel"/>
    <w:tmpl w:val="B03C9C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DD4313"/>
    <w:multiLevelType w:val="hybridMultilevel"/>
    <w:tmpl w:val="FA0AE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173004"/>
    <w:multiLevelType w:val="hybridMultilevel"/>
    <w:tmpl w:val="E22C63DA"/>
    <w:lvl w:ilvl="0" w:tplc="305812A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711BA3"/>
    <w:multiLevelType w:val="hybridMultilevel"/>
    <w:tmpl w:val="07CEC5A4"/>
    <w:lvl w:ilvl="0" w:tplc="FEB869D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AE33B7"/>
    <w:multiLevelType w:val="hybridMultilevel"/>
    <w:tmpl w:val="57CEF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650CA4"/>
    <w:multiLevelType w:val="hybridMultilevel"/>
    <w:tmpl w:val="ECBA21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22C774B"/>
    <w:multiLevelType w:val="hybridMultilevel"/>
    <w:tmpl w:val="9348AC7A"/>
    <w:lvl w:ilvl="0" w:tplc="DAB85D1C">
      <w:start w:val="1"/>
      <w:numFmt w:val="decimal"/>
      <w:pStyle w:val="Kop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72010C6"/>
    <w:multiLevelType w:val="hybridMultilevel"/>
    <w:tmpl w:val="64D83954"/>
    <w:lvl w:ilvl="0" w:tplc="98F0C33C">
      <w:start w:val="1"/>
      <w:numFmt w:val="lowerLetter"/>
      <w:lvlText w:val="%1."/>
      <w:lvlJc w:val="left"/>
      <w:pPr>
        <w:ind w:left="1020" w:hanging="360"/>
      </w:pPr>
    </w:lvl>
    <w:lvl w:ilvl="1" w:tplc="469E8556">
      <w:start w:val="1"/>
      <w:numFmt w:val="lowerLetter"/>
      <w:lvlText w:val="%2."/>
      <w:lvlJc w:val="left"/>
      <w:pPr>
        <w:ind w:left="1020" w:hanging="360"/>
      </w:pPr>
    </w:lvl>
    <w:lvl w:ilvl="2" w:tplc="BBEE2000">
      <w:start w:val="1"/>
      <w:numFmt w:val="lowerLetter"/>
      <w:lvlText w:val="%3."/>
      <w:lvlJc w:val="left"/>
      <w:pPr>
        <w:ind w:left="1020" w:hanging="360"/>
      </w:pPr>
    </w:lvl>
    <w:lvl w:ilvl="3" w:tplc="2B329488">
      <w:start w:val="1"/>
      <w:numFmt w:val="lowerLetter"/>
      <w:lvlText w:val="%4."/>
      <w:lvlJc w:val="left"/>
      <w:pPr>
        <w:ind w:left="1020" w:hanging="360"/>
      </w:pPr>
    </w:lvl>
    <w:lvl w:ilvl="4" w:tplc="B9C2DF98">
      <w:start w:val="1"/>
      <w:numFmt w:val="lowerLetter"/>
      <w:lvlText w:val="%5."/>
      <w:lvlJc w:val="left"/>
      <w:pPr>
        <w:ind w:left="1020" w:hanging="360"/>
      </w:pPr>
    </w:lvl>
    <w:lvl w:ilvl="5" w:tplc="69D48BAE">
      <w:start w:val="1"/>
      <w:numFmt w:val="lowerLetter"/>
      <w:lvlText w:val="%6."/>
      <w:lvlJc w:val="left"/>
      <w:pPr>
        <w:ind w:left="1020" w:hanging="360"/>
      </w:pPr>
    </w:lvl>
    <w:lvl w:ilvl="6" w:tplc="02002E5C">
      <w:start w:val="1"/>
      <w:numFmt w:val="lowerLetter"/>
      <w:lvlText w:val="%7."/>
      <w:lvlJc w:val="left"/>
      <w:pPr>
        <w:ind w:left="1020" w:hanging="360"/>
      </w:pPr>
    </w:lvl>
    <w:lvl w:ilvl="7" w:tplc="08FAE3D8">
      <w:start w:val="1"/>
      <w:numFmt w:val="lowerLetter"/>
      <w:lvlText w:val="%8."/>
      <w:lvlJc w:val="left"/>
      <w:pPr>
        <w:ind w:left="1020" w:hanging="360"/>
      </w:pPr>
    </w:lvl>
    <w:lvl w:ilvl="8" w:tplc="65BC7E36">
      <w:start w:val="1"/>
      <w:numFmt w:val="lowerLetter"/>
      <w:lvlText w:val="%9."/>
      <w:lvlJc w:val="left"/>
      <w:pPr>
        <w:ind w:left="1020" w:hanging="360"/>
      </w:pPr>
    </w:lvl>
  </w:abstractNum>
  <w:abstractNum w:abstractNumId="11" w15:restartNumberingAfterBreak="0">
    <w:nsid w:val="421731B6"/>
    <w:multiLevelType w:val="hybridMultilevel"/>
    <w:tmpl w:val="0E0AD7F2"/>
    <w:lvl w:ilvl="0" w:tplc="3670E6B4">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B51D72"/>
    <w:multiLevelType w:val="hybridMultilevel"/>
    <w:tmpl w:val="B5480D6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7EA1549"/>
    <w:multiLevelType w:val="hybridMultilevel"/>
    <w:tmpl w:val="8B76C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F8463A"/>
    <w:multiLevelType w:val="hybridMultilevel"/>
    <w:tmpl w:val="D76601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82A455E"/>
    <w:multiLevelType w:val="hybridMultilevel"/>
    <w:tmpl w:val="B84E17E6"/>
    <w:lvl w:ilvl="0" w:tplc="855C8C82">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BA123A"/>
    <w:multiLevelType w:val="hybridMultilevel"/>
    <w:tmpl w:val="E7E2471E"/>
    <w:lvl w:ilvl="0" w:tplc="C2E0BA0E">
      <w:start w:val="1"/>
      <w:numFmt w:val="decimal"/>
      <w:lvlText w:val="%1."/>
      <w:lvlJc w:val="left"/>
      <w:pPr>
        <w:ind w:left="1020" w:hanging="360"/>
      </w:pPr>
    </w:lvl>
    <w:lvl w:ilvl="1" w:tplc="37E8440A">
      <w:start w:val="1"/>
      <w:numFmt w:val="decimal"/>
      <w:lvlText w:val="%2."/>
      <w:lvlJc w:val="left"/>
      <w:pPr>
        <w:ind w:left="1020" w:hanging="360"/>
      </w:pPr>
    </w:lvl>
    <w:lvl w:ilvl="2" w:tplc="A6C099F8">
      <w:start w:val="1"/>
      <w:numFmt w:val="decimal"/>
      <w:lvlText w:val="%3."/>
      <w:lvlJc w:val="left"/>
      <w:pPr>
        <w:ind w:left="1020" w:hanging="360"/>
      </w:pPr>
    </w:lvl>
    <w:lvl w:ilvl="3" w:tplc="44C22BD6">
      <w:start w:val="1"/>
      <w:numFmt w:val="decimal"/>
      <w:lvlText w:val="%4."/>
      <w:lvlJc w:val="left"/>
      <w:pPr>
        <w:ind w:left="1020" w:hanging="360"/>
      </w:pPr>
    </w:lvl>
    <w:lvl w:ilvl="4" w:tplc="3496DCF4">
      <w:start w:val="1"/>
      <w:numFmt w:val="decimal"/>
      <w:lvlText w:val="%5."/>
      <w:lvlJc w:val="left"/>
      <w:pPr>
        <w:ind w:left="1020" w:hanging="360"/>
      </w:pPr>
    </w:lvl>
    <w:lvl w:ilvl="5" w:tplc="1ABE45EC">
      <w:start w:val="1"/>
      <w:numFmt w:val="decimal"/>
      <w:lvlText w:val="%6."/>
      <w:lvlJc w:val="left"/>
      <w:pPr>
        <w:ind w:left="1020" w:hanging="360"/>
      </w:pPr>
    </w:lvl>
    <w:lvl w:ilvl="6" w:tplc="E4F08638">
      <w:start w:val="1"/>
      <w:numFmt w:val="decimal"/>
      <w:lvlText w:val="%7."/>
      <w:lvlJc w:val="left"/>
      <w:pPr>
        <w:ind w:left="1020" w:hanging="360"/>
      </w:pPr>
    </w:lvl>
    <w:lvl w:ilvl="7" w:tplc="B8227642">
      <w:start w:val="1"/>
      <w:numFmt w:val="decimal"/>
      <w:lvlText w:val="%8."/>
      <w:lvlJc w:val="left"/>
      <w:pPr>
        <w:ind w:left="1020" w:hanging="360"/>
      </w:pPr>
    </w:lvl>
    <w:lvl w:ilvl="8" w:tplc="57168178">
      <w:start w:val="1"/>
      <w:numFmt w:val="decimal"/>
      <w:lvlText w:val="%9."/>
      <w:lvlJc w:val="left"/>
      <w:pPr>
        <w:ind w:left="1020" w:hanging="360"/>
      </w:pPr>
    </w:lvl>
  </w:abstractNum>
  <w:abstractNum w:abstractNumId="17" w15:restartNumberingAfterBreak="0">
    <w:nsid w:val="560F4EA7"/>
    <w:multiLevelType w:val="hybridMultilevel"/>
    <w:tmpl w:val="2B20C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699549B"/>
    <w:multiLevelType w:val="hybridMultilevel"/>
    <w:tmpl w:val="520619B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8E5676E"/>
    <w:multiLevelType w:val="hybridMultilevel"/>
    <w:tmpl w:val="6BEC95F6"/>
    <w:lvl w:ilvl="0" w:tplc="AC362740">
      <w:start w:val="1"/>
      <w:numFmt w:val="decimal"/>
      <w:lvlText w:val="(%1)"/>
      <w:lvlJc w:val="left"/>
      <w:pPr>
        <w:ind w:left="1080" w:hanging="360"/>
      </w:pPr>
    </w:lvl>
    <w:lvl w:ilvl="1" w:tplc="2C6810D4">
      <w:start w:val="1"/>
      <w:numFmt w:val="decimal"/>
      <w:lvlText w:val="(%2)"/>
      <w:lvlJc w:val="left"/>
      <w:pPr>
        <w:ind w:left="1080" w:hanging="360"/>
      </w:pPr>
    </w:lvl>
    <w:lvl w:ilvl="2" w:tplc="1152C328">
      <w:start w:val="1"/>
      <w:numFmt w:val="decimal"/>
      <w:lvlText w:val="(%3)"/>
      <w:lvlJc w:val="left"/>
      <w:pPr>
        <w:ind w:left="1080" w:hanging="360"/>
      </w:pPr>
    </w:lvl>
    <w:lvl w:ilvl="3" w:tplc="70BEA260">
      <w:start w:val="1"/>
      <w:numFmt w:val="decimal"/>
      <w:lvlText w:val="(%4)"/>
      <w:lvlJc w:val="left"/>
      <w:pPr>
        <w:ind w:left="1080" w:hanging="360"/>
      </w:pPr>
    </w:lvl>
    <w:lvl w:ilvl="4" w:tplc="C11E1428">
      <w:start w:val="1"/>
      <w:numFmt w:val="decimal"/>
      <w:lvlText w:val="(%5)"/>
      <w:lvlJc w:val="left"/>
      <w:pPr>
        <w:ind w:left="1080" w:hanging="360"/>
      </w:pPr>
    </w:lvl>
    <w:lvl w:ilvl="5" w:tplc="89782716">
      <w:start w:val="1"/>
      <w:numFmt w:val="decimal"/>
      <w:lvlText w:val="(%6)"/>
      <w:lvlJc w:val="left"/>
      <w:pPr>
        <w:ind w:left="1080" w:hanging="360"/>
      </w:pPr>
    </w:lvl>
    <w:lvl w:ilvl="6" w:tplc="C09A68B6">
      <w:start w:val="1"/>
      <w:numFmt w:val="decimal"/>
      <w:lvlText w:val="(%7)"/>
      <w:lvlJc w:val="left"/>
      <w:pPr>
        <w:ind w:left="1080" w:hanging="360"/>
      </w:pPr>
    </w:lvl>
    <w:lvl w:ilvl="7" w:tplc="77D82AF4">
      <w:start w:val="1"/>
      <w:numFmt w:val="decimal"/>
      <w:lvlText w:val="(%8)"/>
      <w:lvlJc w:val="left"/>
      <w:pPr>
        <w:ind w:left="1080" w:hanging="360"/>
      </w:pPr>
    </w:lvl>
    <w:lvl w:ilvl="8" w:tplc="5018FEB0">
      <w:start w:val="1"/>
      <w:numFmt w:val="decimal"/>
      <w:lvlText w:val="(%9)"/>
      <w:lvlJc w:val="left"/>
      <w:pPr>
        <w:ind w:left="1080" w:hanging="360"/>
      </w:pPr>
    </w:lvl>
  </w:abstractNum>
  <w:abstractNum w:abstractNumId="20" w15:restartNumberingAfterBreak="0">
    <w:nsid w:val="7B75141E"/>
    <w:multiLevelType w:val="hybridMultilevel"/>
    <w:tmpl w:val="9EE2E5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C0E6F8B"/>
    <w:multiLevelType w:val="hybridMultilevel"/>
    <w:tmpl w:val="F4AAE776"/>
    <w:lvl w:ilvl="0" w:tplc="676C2EF0">
      <w:start w:val="1"/>
      <w:numFmt w:val="decimal"/>
      <w:pStyle w:val="Kop3"/>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81915852">
    <w:abstractNumId w:val="6"/>
  </w:num>
  <w:num w:numId="2" w16cid:durableId="289022944">
    <w:abstractNumId w:val="21"/>
  </w:num>
  <w:num w:numId="3" w16cid:durableId="868105504">
    <w:abstractNumId w:val="9"/>
  </w:num>
  <w:num w:numId="4" w16cid:durableId="865489118">
    <w:abstractNumId w:val="7"/>
  </w:num>
  <w:num w:numId="5" w16cid:durableId="2130463594">
    <w:abstractNumId w:val="14"/>
  </w:num>
  <w:num w:numId="6" w16cid:durableId="407121553">
    <w:abstractNumId w:val="15"/>
  </w:num>
  <w:num w:numId="7" w16cid:durableId="1273785168">
    <w:abstractNumId w:val="13"/>
  </w:num>
  <w:num w:numId="8" w16cid:durableId="1654138557">
    <w:abstractNumId w:val="5"/>
  </w:num>
  <w:num w:numId="9" w16cid:durableId="1719935739">
    <w:abstractNumId w:val="8"/>
  </w:num>
  <w:num w:numId="10" w16cid:durableId="872883908">
    <w:abstractNumId w:val="11"/>
  </w:num>
  <w:num w:numId="11" w16cid:durableId="1215577925">
    <w:abstractNumId w:val="4"/>
  </w:num>
  <w:num w:numId="12" w16cid:durableId="1526559039">
    <w:abstractNumId w:val="17"/>
  </w:num>
  <w:num w:numId="13" w16cid:durableId="1175532076">
    <w:abstractNumId w:val="20"/>
  </w:num>
  <w:num w:numId="14" w16cid:durableId="1087074544">
    <w:abstractNumId w:val="2"/>
  </w:num>
  <w:num w:numId="15" w16cid:durableId="109013392">
    <w:abstractNumId w:val="3"/>
  </w:num>
  <w:num w:numId="16" w16cid:durableId="516844271">
    <w:abstractNumId w:val="0"/>
  </w:num>
  <w:num w:numId="17" w16cid:durableId="461655677">
    <w:abstractNumId w:val="16"/>
  </w:num>
  <w:num w:numId="18" w16cid:durableId="908616698">
    <w:abstractNumId w:val="19"/>
  </w:num>
  <w:num w:numId="19" w16cid:durableId="606699254">
    <w:abstractNumId w:val="10"/>
  </w:num>
  <w:num w:numId="20" w16cid:durableId="320013922">
    <w:abstractNumId w:val="1"/>
  </w:num>
  <w:num w:numId="21" w16cid:durableId="2136361989">
    <w:abstractNumId w:val="18"/>
  </w:num>
  <w:num w:numId="22" w16cid:durableId="1926957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8A"/>
    <w:rsid w:val="00012933"/>
    <w:rsid w:val="00014536"/>
    <w:rsid w:val="00020AF9"/>
    <w:rsid w:val="00023319"/>
    <w:rsid w:val="00024698"/>
    <w:rsid w:val="00027E47"/>
    <w:rsid w:val="00041414"/>
    <w:rsid w:val="000446BA"/>
    <w:rsid w:val="00045A3C"/>
    <w:rsid w:val="0004655B"/>
    <w:rsid w:val="00046684"/>
    <w:rsid w:val="00046A27"/>
    <w:rsid w:val="00046F2F"/>
    <w:rsid w:val="00054621"/>
    <w:rsid w:val="00054D57"/>
    <w:rsid w:val="00057E80"/>
    <w:rsid w:val="0006370A"/>
    <w:rsid w:val="00065176"/>
    <w:rsid w:val="0007126E"/>
    <w:rsid w:val="000735DE"/>
    <w:rsid w:val="00073867"/>
    <w:rsid w:val="000747D6"/>
    <w:rsid w:val="000751E8"/>
    <w:rsid w:val="000772ED"/>
    <w:rsid w:val="00092161"/>
    <w:rsid w:val="00093C8F"/>
    <w:rsid w:val="000A0C3F"/>
    <w:rsid w:val="000A11BB"/>
    <w:rsid w:val="000A1944"/>
    <w:rsid w:val="000A7F94"/>
    <w:rsid w:val="000B2BD4"/>
    <w:rsid w:val="000B343D"/>
    <w:rsid w:val="000B5B27"/>
    <w:rsid w:val="000C2352"/>
    <w:rsid w:val="000C2687"/>
    <w:rsid w:val="000D1357"/>
    <w:rsid w:val="000D7B43"/>
    <w:rsid w:val="000E1278"/>
    <w:rsid w:val="000E2D4B"/>
    <w:rsid w:val="000E3E27"/>
    <w:rsid w:val="000F602B"/>
    <w:rsid w:val="000F6AD2"/>
    <w:rsid w:val="000F7745"/>
    <w:rsid w:val="00105945"/>
    <w:rsid w:val="001062A6"/>
    <w:rsid w:val="00113C89"/>
    <w:rsid w:val="001202F4"/>
    <w:rsid w:val="00121812"/>
    <w:rsid w:val="0012196A"/>
    <w:rsid w:val="00121E88"/>
    <w:rsid w:val="001257D5"/>
    <w:rsid w:val="001259BC"/>
    <w:rsid w:val="00127DB1"/>
    <w:rsid w:val="0013063A"/>
    <w:rsid w:val="00131BFF"/>
    <w:rsid w:val="001320B4"/>
    <w:rsid w:val="001411FC"/>
    <w:rsid w:val="00142FE5"/>
    <w:rsid w:val="001531DE"/>
    <w:rsid w:val="00154C94"/>
    <w:rsid w:val="00155D9C"/>
    <w:rsid w:val="00165FA9"/>
    <w:rsid w:val="00167539"/>
    <w:rsid w:val="001677C2"/>
    <w:rsid w:val="001719FF"/>
    <w:rsid w:val="00173FE1"/>
    <w:rsid w:val="00175C1A"/>
    <w:rsid w:val="00175F99"/>
    <w:rsid w:val="00176D01"/>
    <w:rsid w:val="00177D4A"/>
    <w:rsid w:val="001803C9"/>
    <w:rsid w:val="00183B9F"/>
    <w:rsid w:val="00184C4A"/>
    <w:rsid w:val="00186211"/>
    <w:rsid w:val="00186996"/>
    <w:rsid w:val="00191028"/>
    <w:rsid w:val="00191226"/>
    <w:rsid w:val="0019539D"/>
    <w:rsid w:val="00195EE8"/>
    <w:rsid w:val="001A07EE"/>
    <w:rsid w:val="001A1079"/>
    <w:rsid w:val="001A16EA"/>
    <w:rsid w:val="001A2F85"/>
    <w:rsid w:val="001B2C21"/>
    <w:rsid w:val="001B43D5"/>
    <w:rsid w:val="001C0A1B"/>
    <w:rsid w:val="001D0E7C"/>
    <w:rsid w:val="001D11BD"/>
    <w:rsid w:val="001D223D"/>
    <w:rsid w:val="001D3BBD"/>
    <w:rsid w:val="001D5D30"/>
    <w:rsid w:val="001D7E00"/>
    <w:rsid w:val="001E7E77"/>
    <w:rsid w:val="001F1A79"/>
    <w:rsid w:val="00204F95"/>
    <w:rsid w:val="00212260"/>
    <w:rsid w:val="002146BB"/>
    <w:rsid w:val="00221C49"/>
    <w:rsid w:val="00222647"/>
    <w:rsid w:val="00225D89"/>
    <w:rsid w:val="002263E9"/>
    <w:rsid w:val="00227FC3"/>
    <w:rsid w:val="002363AE"/>
    <w:rsid w:val="00243DFE"/>
    <w:rsid w:val="00245631"/>
    <w:rsid w:val="00247436"/>
    <w:rsid w:val="00251D54"/>
    <w:rsid w:val="00253610"/>
    <w:rsid w:val="0025444E"/>
    <w:rsid w:val="00254D56"/>
    <w:rsid w:val="00266FF1"/>
    <w:rsid w:val="00267BC6"/>
    <w:rsid w:val="00271877"/>
    <w:rsid w:val="0027452B"/>
    <w:rsid w:val="00274D3C"/>
    <w:rsid w:val="00276D40"/>
    <w:rsid w:val="0028048D"/>
    <w:rsid w:val="00281B1F"/>
    <w:rsid w:val="00281CFC"/>
    <w:rsid w:val="00287197"/>
    <w:rsid w:val="0028744F"/>
    <w:rsid w:val="002879DE"/>
    <w:rsid w:val="00292A28"/>
    <w:rsid w:val="00293594"/>
    <w:rsid w:val="00293D60"/>
    <w:rsid w:val="00294942"/>
    <w:rsid w:val="002950EE"/>
    <w:rsid w:val="002A2734"/>
    <w:rsid w:val="002A303C"/>
    <w:rsid w:val="002A35A2"/>
    <w:rsid w:val="002A4173"/>
    <w:rsid w:val="002A58B1"/>
    <w:rsid w:val="002A6DF4"/>
    <w:rsid w:val="002A75B9"/>
    <w:rsid w:val="002A764B"/>
    <w:rsid w:val="002B217F"/>
    <w:rsid w:val="002B359A"/>
    <w:rsid w:val="002B4112"/>
    <w:rsid w:val="002B4F3E"/>
    <w:rsid w:val="002C00A7"/>
    <w:rsid w:val="002C065E"/>
    <w:rsid w:val="002C77DA"/>
    <w:rsid w:val="002D3364"/>
    <w:rsid w:val="002D77A4"/>
    <w:rsid w:val="002E0D7D"/>
    <w:rsid w:val="002E1515"/>
    <w:rsid w:val="002E5EB6"/>
    <w:rsid w:val="002E6AB6"/>
    <w:rsid w:val="002F0CA7"/>
    <w:rsid w:val="002F28DC"/>
    <w:rsid w:val="002F3B82"/>
    <w:rsid w:val="002F4911"/>
    <w:rsid w:val="002F6694"/>
    <w:rsid w:val="00301257"/>
    <w:rsid w:val="00301BA9"/>
    <w:rsid w:val="00303BBD"/>
    <w:rsid w:val="0030574B"/>
    <w:rsid w:val="00306DD5"/>
    <w:rsid w:val="003073F2"/>
    <w:rsid w:val="003103B1"/>
    <w:rsid w:val="00311E8B"/>
    <w:rsid w:val="00312955"/>
    <w:rsid w:val="00317618"/>
    <w:rsid w:val="003276A3"/>
    <w:rsid w:val="00331405"/>
    <w:rsid w:val="00342800"/>
    <w:rsid w:val="00350D02"/>
    <w:rsid w:val="00351309"/>
    <w:rsid w:val="003556C1"/>
    <w:rsid w:val="003609A9"/>
    <w:rsid w:val="00361639"/>
    <w:rsid w:val="00365FED"/>
    <w:rsid w:val="003706F8"/>
    <w:rsid w:val="00371CC1"/>
    <w:rsid w:val="00375D29"/>
    <w:rsid w:val="00377334"/>
    <w:rsid w:val="00387A1E"/>
    <w:rsid w:val="003908C0"/>
    <w:rsid w:val="00395029"/>
    <w:rsid w:val="003A236A"/>
    <w:rsid w:val="003A6CF3"/>
    <w:rsid w:val="003A6D0B"/>
    <w:rsid w:val="003B00AB"/>
    <w:rsid w:val="003B11B7"/>
    <w:rsid w:val="003B1F22"/>
    <w:rsid w:val="003B20E6"/>
    <w:rsid w:val="003B60C4"/>
    <w:rsid w:val="003B6208"/>
    <w:rsid w:val="003B6F2B"/>
    <w:rsid w:val="003C4425"/>
    <w:rsid w:val="003C6395"/>
    <w:rsid w:val="003C7DA8"/>
    <w:rsid w:val="003D4075"/>
    <w:rsid w:val="003D70B4"/>
    <w:rsid w:val="003E7F5C"/>
    <w:rsid w:val="003F3233"/>
    <w:rsid w:val="003F7999"/>
    <w:rsid w:val="003F7CCB"/>
    <w:rsid w:val="004009E4"/>
    <w:rsid w:val="00405F66"/>
    <w:rsid w:val="00406471"/>
    <w:rsid w:val="0040710F"/>
    <w:rsid w:val="00407848"/>
    <w:rsid w:val="00407EE1"/>
    <w:rsid w:val="00407F29"/>
    <w:rsid w:val="00411656"/>
    <w:rsid w:val="00413914"/>
    <w:rsid w:val="00414CAC"/>
    <w:rsid w:val="004157B4"/>
    <w:rsid w:val="00422347"/>
    <w:rsid w:val="00422F2D"/>
    <w:rsid w:val="0042517C"/>
    <w:rsid w:val="00432770"/>
    <w:rsid w:val="004340E0"/>
    <w:rsid w:val="0044056B"/>
    <w:rsid w:val="0044167C"/>
    <w:rsid w:val="00443BAD"/>
    <w:rsid w:val="00445E1F"/>
    <w:rsid w:val="00450AE1"/>
    <w:rsid w:val="00465389"/>
    <w:rsid w:val="0047014A"/>
    <w:rsid w:val="0047245E"/>
    <w:rsid w:val="004732D1"/>
    <w:rsid w:val="004811B7"/>
    <w:rsid w:val="00482815"/>
    <w:rsid w:val="00482B6F"/>
    <w:rsid w:val="004874C4"/>
    <w:rsid w:val="00492FC9"/>
    <w:rsid w:val="00495FB1"/>
    <w:rsid w:val="004A24A0"/>
    <w:rsid w:val="004A35D8"/>
    <w:rsid w:val="004A3B92"/>
    <w:rsid w:val="004A4CF7"/>
    <w:rsid w:val="004A50A6"/>
    <w:rsid w:val="004A5486"/>
    <w:rsid w:val="004B22CE"/>
    <w:rsid w:val="004B3DC3"/>
    <w:rsid w:val="004B5251"/>
    <w:rsid w:val="004B7B96"/>
    <w:rsid w:val="004C0023"/>
    <w:rsid w:val="004C01BB"/>
    <w:rsid w:val="004C68CC"/>
    <w:rsid w:val="004C7B9B"/>
    <w:rsid w:val="004D0592"/>
    <w:rsid w:val="004D0F30"/>
    <w:rsid w:val="004D3E62"/>
    <w:rsid w:val="004D45EF"/>
    <w:rsid w:val="004D5DF7"/>
    <w:rsid w:val="004E1862"/>
    <w:rsid w:val="004E2AB8"/>
    <w:rsid w:val="004E35D1"/>
    <w:rsid w:val="004E4142"/>
    <w:rsid w:val="004E5A7F"/>
    <w:rsid w:val="004E7FA7"/>
    <w:rsid w:val="004F043D"/>
    <w:rsid w:val="004F0CB2"/>
    <w:rsid w:val="004F47B7"/>
    <w:rsid w:val="004F5AFD"/>
    <w:rsid w:val="00500F2D"/>
    <w:rsid w:val="00504C9A"/>
    <w:rsid w:val="0050528B"/>
    <w:rsid w:val="0050783C"/>
    <w:rsid w:val="00511789"/>
    <w:rsid w:val="00512B81"/>
    <w:rsid w:val="0051612C"/>
    <w:rsid w:val="00521D07"/>
    <w:rsid w:val="00522BB4"/>
    <w:rsid w:val="005261CD"/>
    <w:rsid w:val="0053494C"/>
    <w:rsid w:val="0054171F"/>
    <w:rsid w:val="00543884"/>
    <w:rsid w:val="00551E03"/>
    <w:rsid w:val="00552FF7"/>
    <w:rsid w:val="005609F9"/>
    <w:rsid w:val="005619E4"/>
    <w:rsid w:val="00571C04"/>
    <w:rsid w:val="00571D84"/>
    <w:rsid w:val="00574754"/>
    <w:rsid w:val="00575A5B"/>
    <w:rsid w:val="00575DAA"/>
    <w:rsid w:val="00581A35"/>
    <w:rsid w:val="005827F4"/>
    <w:rsid w:val="005843D9"/>
    <w:rsid w:val="0059375C"/>
    <w:rsid w:val="005A020A"/>
    <w:rsid w:val="005A16DD"/>
    <w:rsid w:val="005A1881"/>
    <w:rsid w:val="005A5125"/>
    <w:rsid w:val="005B05E2"/>
    <w:rsid w:val="005B39D6"/>
    <w:rsid w:val="005B3A35"/>
    <w:rsid w:val="005B4F6A"/>
    <w:rsid w:val="005C403E"/>
    <w:rsid w:val="005C51C3"/>
    <w:rsid w:val="005D7504"/>
    <w:rsid w:val="005E0CC1"/>
    <w:rsid w:val="005E72E3"/>
    <w:rsid w:val="005F1CAF"/>
    <w:rsid w:val="005F22DB"/>
    <w:rsid w:val="005F5F2D"/>
    <w:rsid w:val="005F6739"/>
    <w:rsid w:val="00606080"/>
    <w:rsid w:val="0061049F"/>
    <w:rsid w:val="006179FC"/>
    <w:rsid w:val="006205DB"/>
    <w:rsid w:val="006216A4"/>
    <w:rsid w:val="00621DC2"/>
    <w:rsid w:val="006329C1"/>
    <w:rsid w:val="006335F4"/>
    <w:rsid w:val="0063470F"/>
    <w:rsid w:val="006379F2"/>
    <w:rsid w:val="00641AD0"/>
    <w:rsid w:val="00643978"/>
    <w:rsid w:val="00644CE3"/>
    <w:rsid w:val="00657625"/>
    <w:rsid w:val="006645D1"/>
    <w:rsid w:val="006704C5"/>
    <w:rsid w:val="00674461"/>
    <w:rsid w:val="00683D61"/>
    <w:rsid w:val="00686BE8"/>
    <w:rsid w:val="0068755C"/>
    <w:rsid w:val="00691DFB"/>
    <w:rsid w:val="00696DCC"/>
    <w:rsid w:val="006B038B"/>
    <w:rsid w:val="006B4D39"/>
    <w:rsid w:val="006C203F"/>
    <w:rsid w:val="006C5EDC"/>
    <w:rsid w:val="006C7D38"/>
    <w:rsid w:val="006D03FE"/>
    <w:rsid w:val="006D2815"/>
    <w:rsid w:val="006D7B94"/>
    <w:rsid w:val="006D7F1C"/>
    <w:rsid w:val="006E0882"/>
    <w:rsid w:val="006E09F6"/>
    <w:rsid w:val="006E185E"/>
    <w:rsid w:val="006E75F5"/>
    <w:rsid w:val="006F2A9D"/>
    <w:rsid w:val="006F7AC6"/>
    <w:rsid w:val="0070023E"/>
    <w:rsid w:val="007023FE"/>
    <w:rsid w:val="00702C6A"/>
    <w:rsid w:val="00706F91"/>
    <w:rsid w:val="00712E03"/>
    <w:rsid w:val="007131B7"/>
    <w:rsid w:val="00714856"/>
    <w:rsid w:val="0072068D"/>
    <w:rsid w:val="0072201C"/>
    <w:rsid w:val="007223BE"/>
    <w:rsid w:val="0072242E"/>
    <w:rsid w:val="007251AC"/>
    <w:rsid w:val="00727025"/>
    <w:rsid w:val="00727373"/>
    <w:rsid w:val="00731A23"/>
    <w:rsid w:val="007341B6"/>
    <w:rsid w:val="00735A8F"/>
    <w:rsid w:val="007404A0"/>
    <w:rsid w:val="00740B76"/>
    <w:rsid w:val="007451E1"/>
    <w:rsid w:val="00750464"/>
    <w:rsid w:val="007505D7"/>
    <w:rsid w:val="00751D54"/>
    <w:rsid w:val="007543C3"/>
    <w:rsid w:val="00761F0A"/>
    <w:rsid w:val="007626AC"/>
    <w:rsid w:val="00765DDB"/>
    <w:rsid w:val="00765EB4"/>
    <w:rsid w:val="00767A94"/>
    <w:rsid w:val="00770644"/>
    <w:rsid w:val="007719E7"/>
    <w:rsid w:val="00774F15"/>
    <w:rsid w:val="00777A0C"/>
    <w:rsid w:val="00781F2B"/>
    <w:rsid w:val="00785DCB"/>
    <w:rsid w:val="00794FF3"/>
    <w:rsid w:val="007A558B"/>
    <w:rsid w:val="007A7E47"/>
    <w:rsid w:val="007A7F8C"/>
    <w:rsid w:val="007B7FC0"/>
    <w:rsid w:val="007D1286"/>
    <w:rsid w:val="007D2FCE"/>
    <w:rsid w:val="007D2FF0"/>
    <w:rsid w:val="007D43B4"/>
    <w:rsid w:val="007D5EA2"/>
    <w:rsid w:val="007D6B0C"/>
    <w:rsid w:val="007D753D"/>
    <w:rsid w:val="007E0E3F"/>
    <w:rsid w:val="007E113B"/>
    <w:rsid w:val="007E2E51"/>
    <w:rsid w:val="007E44E7"/>
    <w:rsid w:val="007E4850"/>
    <w:rsid w:val="007E52B2"/>
    <w:rsid w:val="007E57C2"/>
    <w:rsid w:val="007E6237"/>
    <w:rsid w:val="007E7437"/>
    <w:rsid w:val="007F71C3"/>
    <w:rsid w:val="008014AD"/>
    <w:rsid w:val="008055D2"/>
    <w:rsid w:val="00806304"/>
    <w:rsid w:val="008064FB"/>
    <w:rsid w:val="008065D4"/>
    <w:rsid w:val="00810FDB"/>
    <w:rsid w:val="008127B4"/>
    <w:rsid w:val="0081530C"/>
    <w:rsid w:val="008215C9"/>
    <w:rsid w:val="00825769"/>
    <w:rsid w:val="008264A5"/>
    <w:rsid w:val="00827031"/>
    <w:rsid w:val="0082769C"/>
    <w:rsid w:val="00835E0D"/>
    <w:rsid w:val="00840607"/>
    <w:rsid w:val="00854814"/>
    <w:rsid w:val="00856316"/>
    <w:rsid w:val="00856F07"/>
    <w:rsid w:val="00857275"/>
    <w:rsid w:val="0086224F"/>
    <w:rsid w:val="008639C2"/>
    <w:rsid w:val="00867E88"/>
    <w:rsid w:val="00871673"/>
    <w:rsid w:val="00873286"/>
    <w:rsid w:val="00874926"/>
    <w:rsid w:val="00874DA4"/>
    <w:rsid w:val="0087650A"/>
    <w:rsid w:val="00876E8D"/>
    <w:rsid w:val="00882136"/>
    <w:rsid w:val="00882F62"/>
    <w:rsid w:val="00885D32"/>
    <w:rsid w:val="0088686D"/>
    <w:rsid w:val="008906A4"/>
    <w:rsid w:val="00896C8A"/>
    <w:rsid w:val="00896D77"/>
    <w:rsid w:val="008A04D4"/>
    <w:rsid w:val="008A6752"/>
    <w:rsid w:val="008B0D95"/>
    <w:rsid w:val="008B442B"/>
    <w:rsid w:val="008B5115"/>
    <w:rsid w:val="008C1577"/>
    <w:rsid w:val="008C6F65"/>
    <w:rsid w:val="008D13BC"/>
    <w:rsid w:val="008D256A"/>
    <w:rsid w:val="008D65DD"/>
    <w:rsid w:val="008D755C"/>
    <w:rsid w:val="008D7777"/>
    <w:rsid w:val="008D79F9"/>
    <w:rsid w:val="008E037C"/>
    <w:rsid w:val="008E2ED7"/>
    <w:rsid w:val="008E44F4"/>
    <w:rsid w:val="008E5D4F"/>
    <w:rsid w:val="008F0542"/>
    <w:rsid w:val="008F11A0"/>
    <w:rsid w:val="008F4DB0"/>
    <w:rsid w:val="008F69E0"/>
    <w:rsid w:val="009006A6"/>
    <w:rsid w:val="00904346"/>
    <w:rsid w:val="00906D8F"/>
    <w:rsid w:val="009076A8"/>
    <w:rsid w:val="009116B7"/>
    <w:rsid w:val="009128F8"/>
    <w:rsid w:val="00914842"/>
    <w:rsid w:val="0091704B"/>
    <w:rsid w:val="009203F6"/>
    <w:rsid w:val="00921D00"/>
    <w:rsid w:val="00922B8C"/>
    <w:rsid w:val="0092720B"/>
    <w:rsid w:val="009330FF"/>
    <w:rsid w:val="0093341E"/>
    <w:rsid w:val="00935F56"/>
    <w:rsid w:val="009365A4"/>
    <w:rsid w:val="00941EAC"/>
    <w:rsid w:val="00942E3D"/>
    <w:rsid w:val="00946FF3"/>
    <w:rsid w:val="00950BAC"/>
    <w:rsid w:val="0095200E"/>
    <w:rsid w:val="00953087"/>
    <w:rsid w:val="00954445"/>
    <w:rsid w:val="009548B2"/>
    <w:rsid w:val="00966D59"/>
    <w:rsid w:val="0097027B"/>
    <w:rsid w:val="00974193"/>
    <w:rsid w:val="009741B9"/>
    <w:rsid w:val="009746E1"/>
    <w:rsid w:val="00980966"/>
    <w:rsid w:val="00981C22"/>
    <w:rsid w:val="0098459A"/>
    <w:rsid w:val="0098771D"/>
    <w:rsid w:val="00991A65"/>
    <w:rsid w:val="009921A7"/>
    <w:rsid w:val="00993EA6"/>
    <w:rsid w:val="0099494D"/>
    <w:rsid w:val="009A1F4F"/>
    <w:rsid w:val="009A2648"/>
    <w:rsid w:val="009A38DF"/>
    <w:rsid w:val="009A5780"/>
    <w:rsid w:val="009A7191"/>
    <w:rsid w:val="009C09BF"/>
    <w:rsid w:val="009C1DD6"/>
    <w:rsid w:val="009C3700"/>
    <w:rsid w:val="009C67F4"/>
    <w:rsid w:val="009C7EFE"/>
    <w:rsid w:val="009D1C8F"/>
    <w:rsid w:val="009D2F0E"/>
    <w:rsid w:val="009D700F"/>
    <w:rsid w:val="009E28A7"/>
    <w:rsid w:val="009E3644"/>
    <w:rsid w:val="009E41D5"/>
    <w:rsid w:val="009E6AA3"/>
    <w:rsid w:val="009F5AA5"/>
    <w:rsid w:val="00A05BCF"/>
    <w:rsid w:val="00A104DA"/>
    <w:rsid w:val="00A10EF2"/>
    <w:rsid w:val="00A20401"/>
    <w:rsid w:val="00A205A2"/>
    <w:rsid w:val="00A20CC2"/>
    <w:rsid w:val="00A33610"/>
    <w:rsid w:val="00A3379A"/>
    <w:rsid w:val="00A40ED9"/>
    <w:rsid w:val="00A452A3"/>
    <w:rsid w:val="00A4555B"/>
    <w:rsid w:val="00A4584D"/>
    <w:rsid w:val="00A465A2"/>
    <w:rsid w:val="00A5350C"/>
    <w:rsid w:val="00A53BD0"/>
    <w:rsid w:val="00A56E5F"/>
    <w:rsid w:val="00A57AFC"/>
    <w:rsid w:val="00A6110D"/>
    <w:rsid w:val="00A63C8E"/>
    <w:rsid w:val="00A64E88"/>
    <w:rsid w:val="00A65763"/>
    <w:rsid w:val="00A65B15"/>
    <w:rsid w:val="00A65B48"/>
    <w:rsid w:val="00A65F52"/>
    <w:rsid w:val="00A673C1"/>
    <w:rsid w:val="00A704A0"/>
    <w:rsid w:val="00A71C46"/>
    <w:rsid w:val="00A7698D"/>
    <w:rsid w:val="00A82996"/>
    <w:rsid w:val="00A829D0"/>
    <w:rsid w:val="00A82AAC"/>
    <w:rsid w:val="00A84587"/>
    <w:rsid w:val="00A85B03"/>
    <w:rsid w:val="00A87704"/>
    <w:rsid w:val="00A87723"/>
    <w:rsid w:val="00A9278E"/>
    <w:rsid w:val="00A9381D"/>
    <w:rsid w:val="00A94EEB"/>
    <w:rsid w:val="00A97931"/>
    <w:rsid w:val="00AA1B9D"/>
    <w:rsid w:val="00AA3005"/>
    <w:rsid w:val="00AB0E9D"/>
    <w:rsid w:val="00AC4B94"/>
    <w:rsid w:val="00AC6D49"/>
    <w:rsid w:val="00AD0753"/>
    <w:rsid w:val="00AD5962"/>
    <w:rsid w:val="00AD7065"/>
    <w:rsid w:val="00AD79A3"/>
    <w:rsid w:val="00AE04A7"/>
    <w:rsid w:val="00AE07F6"/>
    <w:rsid w:val="00AE2548"/>
    <w:rsid w:val="00AE33C6"/>
    <w:rsid w:val="00AE4A00"/>
    <w:rsid w:val="00AE63CF"/>
    <w:rsid w:val="00AE6D2C"/>
    <w:rsid w:val="00AF04FF"/>
    <w:rsid w:val="00AF1B69"/>
    <w:rsid w:val="00B00EB4"/>
    <w:rsid w:val="00B02B6B"/>
    <w:rsid w:val="00B04571"/>
    <w:rsid w:val="00B06E2C"/>
    <w:rsid w:val="00B07B02"/>
    <w:rsid w:val="00B10615"/>
    <w:rsid w:val="00B11D12"/>
    <w:rsid w:val="00B12E0C"/>
    <w:rsid w:val="00B164FD"/>
    <w:rsid w:val="00B22BC5"/>
    <w:rsid w:val="00B31BE2"/>
    <w:rsid w:val="00B31F08"/>
    <w:rsid w:val="00B33D0F"/>
    <w:rsid w:val="00B355BA"/>
    <w:rsid w:val="00B5048B"/>
    <w:rsid w:val="00B55160"/>
    <w:rsid w:val="00B55E2A"/>
    <w:rsid w:val="00B5627B"/>
    <w:rsid w:val="00B6750E"/>
    <w:rsid w:val="00B7104C"/>
    <w:rsid w:val="00B754C4"/>
    <w:rsid w:val="00B85621"/>
    <w:rsid w:val="00B87430"/>
    <w:rsid w:val="00B90885"/>
    <w:rsid w:val="00B92B79"/>
    <w:rsid w:val="00B9391E"/>
    <w:rsid w:val="00B9791C"/>
    <w:rsid w:val="00BA383A"/>
    <w:rsid w:val="00BA3B7F"/>
    <w:rsid w:val="00BA4BB0"/>
    <w:rsid w:val="00BA5F34"/>
    <w:rsid w:val="00BB1FB5"/>
    <w:rsid w:val="00BB210B"/>
    <w:rsid w:val="00BB569F"/>
    <w:rsid w:val="00BB5E1B"/>
    <w:rsid w:val="00BC06DD"/>
    <w:rsid w:val="00BC1081"/>
    <w:rsid w:val="00BC2352"/>
    <w:rsid w:val="00BC24C7"/>
    <w:rsid w:val="00BC69FD"/>
    <w:rsid w:val="00BE0392"/>
    <w:rsid w:val="00BE1A86"/>
    <w:rsid w:val="00BE5AB1"/>
    <w:rsid w:val="00BE68A0"/>
    <w:rsid w:val="00BE7A90"/>
    <w:rsid w:val="00BF4D52"/>
    <w:rsid w:val="00C013FD"/>
    <w:rsid w:val="00C01407"/>
    <w:rsid w:val="00C14D40"/>
    <w:rsid w:val="00C152C9"/>
    <w:rsid w:val="00C15DAC"/>
    <w:rsid w:val="00C17B5C"/>
    <w:rsid w:val="00C27F84"/>
    <w:rsid w:val="00C30972"/>
    <w:rsid w:val="00C33E3C"/>
    <w:rsid w:val="00C36964"/>
    <w:rsid w:val="00C41324"/>
    <w:rsid w:val="00C4240C"/>
    <w:rsid w:val="00C50AEA"/>
    <w:rsid w:val="00C50FED"/>
    <w:rsid w:val="00C51B2B"/>
    <w:rsid w:val="00C529FC"/>
    <w:rsid w:val="00C547C6"/>
    <w:rsid w:val="00C55C62"/>
    <w:rsid w:val="00C60CF4"/>
    <w:rsid w:val="00C6440C"/>
    <w:rsid w:val="00C64B69"/>
    <w:rsid w:val="00C716DD"/>
    <w:rsid w:val="00C7552B"/>
    <w:rsid w:val="00C80E76"/>
    <w:rsid w:val="00C80FF4"/>
    <w:rsid w:val="00C8279A"/>
    <w:rsid w:val="00C856C3"/>
    <w:rsid w:val="00C85D2C"/>
    <w:rsid w:val="00C868A2"/>
    <w:rsid w:val="00C87CBF"/>
    <w:rsid w:val="00C90773"/>
    <w:rsid w:val="00C90BD6"/>
    <w:rsid w:val="00C92C01"/>
    <w:rsid w:val="00C93069"/>
    <w:rsid w:val="00C95DBD"/>
    <w:rsid w:val="00CA3203"/>
    <w:rsid w:val="00CA44A7"/>
    <w:rsid w:val="00CA689D"/>
    <w:rsid w:val="00CB476C"/>
    <w:rsid w:val="00CB495E"/>
    <w:rsid w:val="00CC0CF2"/>
    <w:rsid w:val="00CC11B2"/>
    <w:rsid w:val="00CC188F"/>
    <w:rsid w:val="00CC239A"/>
    <w:rsid w:val="00CC37A3"/>
    <w:rsid w:val="00CC3906"/>
    <w:rsid w:val="00CC6268"/>
    <w:rsid w:val="00CD0697"/>
    <w:rsid w:val="00CD6365"/>
    <w:rsid w:val="00CD7411"/>
    <w:rsid w:val="00CE1583"/>
    <w:rsid w:val="00CE218F"/>
    <w:rsid w:val="00CE311C"/>
    <w:rsid w:val="00CE40EF"/>
    <w:rsid w:val="00CE6810"/>
    <w:rsid w:val="00CF0D2A"/>
    <w:rsid w:val="00CF1660"/>
    <w:rsid w:val="00CF19EE"/>
    <w:rsid w:val="00CF6629"/>
    <w:rsid w:val="00CF68EC"/>
    <w:rsid w:val="00CF71AE"/>
    <w:rsid w:val="00D01432"/>
    <w:rsid w:val="00D014F0"/>
    <w:rsid w:val="00D01DFC"/>
    <w:rsid w:val="00D062AB"/>
    <w:rsid w:val="00D077CB"/>
    <w:rsid w:val="00D21B33"/>
    <w:rsid w:val="00D23246"/>
    <w:rsid w:val="00D2591D"/>
    <w:rsid w:val="00D30343"/>
    <w:rsid w:val="00D33E5B"/>
    <w:rsid w:val="00D35ACA"/>
    <w:rsid w:val="00D41E4A"/>
    <w:rsid w:val="00D430D5"/>
    <w:rsid w:val="00D454A0"/>
    <w:rsid w:val="00D457A3"/>
    <w:rsid w:val="00D54903"/>
    <w:rsid w:val="00D57136"/>
    <w:rsid w:val="00D602A8"/>
    <w:rsid w:val="00D70185"/>
    <w:rsid w:val="00D71491"/>
    <w:rsid w:val="00D71725"/>
    <w:rsid w:val="00D71997"/>
    <w:rsid w:val="00D758E1"/>
    <w:rsid w:val="00D83C95"/>
    <w:rsid w:val="00D84DB4"/>
    <w:rsid w:val="00D85E14"/>
    <w:rsid w:val="00D9047D"/>
    <w:rsid w:val="00D95969"/>
    <w:rsid w:val="00D96364"/>
    <w:rsid w:val="00DA19A1"/>
    <w:rsid w:val="00DA5B1C"/>
    <w:rsid w:val="00DA7CDD"/>
    <w:rsid w:val="00DB0DF6"/>
    <w:rsid w:val="00DB18BC"/>
    <w:rsid w:val="00DB2917"/>
    <w:rsid w:val="00DB5E4C"/>
    <w:rsid w:val="00DC11F2"/>
    <w:rsid w:val="00DC2495"/>
    <w:rsid w:val="00DC609A"/>
    <w:rsid w:val="00DD3227"/>
    <w:rsid w:val="00DD3EE8"/>
    <w:rsid w:val="00DD63ED"/>
    <w:rsid w:val="00DE0C95"/>
    <w:rsid w:val="00DE10C6"/>
    <w:rsid w:val="00DE6675"/>
    <w:rsid w:val="00DE7483"/>
    <w:rsid w:val="00DE748C"/>
    <w:rsid w:val="00DE7570"/>
    <w:rsid w:val="00E00055"/>
    <w:rsid w:val="00E00154"/>
    <w:rsid w:val="00E00828"/>
    <w:rsid w:val="00E10C7B"/>
    <w:rsid w:val="00E12688"/>
    <w:rsid w:val="00E144A8"/>
    <w:rsid w:val="00E24994"/>
    <w:rsid w:val="00E27183"/>
    <w:rsid w:val="00E35003"/>
    <w:rsid w:val="00E400C4"/>
    <w:rsid w:val="00E42261"/>
    <w:rsid w:val="00E462FF"/>
    <w:rsid w:val="00E53C02"/>
    <w:rsid w:val="00E570E9"/>
    <w:rsid w:val="00E60F73"/>
    <w:rsid w:val="00E610EB"/>
    <w:rsid w:val="00E63356"/>
    <w:rsid w:val="00E65F88"/>
    <w:rsid w:val="00E67C7B"/>
    <w:rsid w:val="00E7383A"/>
    <w:rsid w:val="00E77F82"/>
    <w:rsid w:val="00E902A4"/>
    <w:rsid w:val="00E90E1A"/>
    <w:rsid w:val="00E9164F"/>
    <w:rsid w:val="00E9394D"/>
    <w:rsid w:val="00E94CB1"/>
    <w:rsid w:val="00EB2247"/>
    <w:rsid w:val="00EB237D"/>
    <w:rsid w:val="00EB7F9C"/>
    <w:rsid w:val="00EC5124"/>
    <w:rsid w:val="00ED15FD"/>
    <w:rsid w:val="00EE36D4"/>
    <w:rsid w:val="00EE3965"/>
    <w:rsid w:val="00EE4809"/>
    <w:rsid w:val="00EE6EBB"/>
    <w:rsid w:val="00EE6F05"/>
    <w:rsid w:val="00EF09A4"/>
    <w:rsid w:val="00EF342E"/>
    <w:rsid w:val="00EF6556"/>
    <w:rsid w:val="00F0043D"/>
    <w:rsid w:val="00F00477"/>
    <w:rsid w:val="00F005EB"/>
    <w:rsid w:val="00F015CD"/>
    <w:rsid w:val="00F022D9"/>
    <w:rsid w:val="00F0442A"/>
    <w:rsid w:val="00F05F28"/>
    <w:rsid w:val="00F12EE7"/>
    <w:rsid w:val="00F14F8D"/>
    <w:rsid w:val="00F16BCC"/>
    <w:rsid w:val="00F16F00"/>
    <w:rsid w:val="00F2492A"/>
    <w:rsid w:val="00F24B96"/>
    <w:rsid w:val="00F26874"/>
    <w:rsid w:val="00F4026D"/>
    <w:rsid w:val="00F4272B"/>
    <w:rsid w:val="00F47072"/>
    <w:rsid w:val="00F4716C"/>
    <w:rsid w:val="00F513E7"/>
    <w:rsid w:val="00F52114"/>
    <w:rsid w:val="00F57BCA"/>
    <w:rsid w:val="00F6219E"/>
    <w:rsid w:val="00F63E76"/>
    <w:rsid w:val="00F706AB"/>
    <w:rsid w:val="00F71F96"/>
    <w:rsid w:val="00F75041"/>
    <w:rsid w:val="00F8159F"/>
    <w:rsid w:val="00F81F9C"/>
    <w:rsid w:val="00F8598F"/>
    <w:rsid w:val="00F93976"/>
    <w:rsid w:val="00F94678"/>
    <w:rsid w:val="00FA2394"/>
    <w:rsid w:val="00FA662E"/>
    <w:rsid w:val="00FB5C0A"/>
    <w:rsid w:val="00FB6FE4"/>
    <w:rsid w:val="00FC04E7"/>
    <w:rsid w:val="00FC2111"/>
    <w:rsid w:val="00FC4B91"/>
    <w:rsid w:val="00FC6819"/>
    <w:rsid w:val="00FD1DA7"/>
    <w:rsid w:val="00FD631B"/>
    <w:rsid w:val="00FD6408"/>
    <w:rsid w:val="00FD7BEA"/>
    <w:rsid w:val="00FF5B6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83E"/>
  <w15:chartTrackingRefBased/>
  <w15:docId w15:val="{172A31E1-9D97-4E4E-BCA4-6E455FEA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2FF0"/>
    <w:rPr>
      <w:rFonts w:ascii="Verdana" w:hAnsi="Verdana"/>
      <w:sz w:val="18"/>
    </w:rPr>
  </w:style>
  <w:style w:type="paragraph" w:styleId="Kop1">
    <w:name w:val="heading 1"/>
    <w:aliases w:val="Kop 1 BP24"/>
    <w:basedOn w:val="Standaard"/>
    <w:next w:val="Standaard"/>
    <w:link w:val="Kop1Char"/>
    <w:uiPriority w:val="9"/>
    <w:qFormat/>
    <w:rsid w:val="00413914"/>
    <w:pPr>
      <w:keepNext/>
      <w:keepLines/>
      <w:spacing w:before="240" w:line="360" w:lineRule="auto"/>
      <w:outlineLvl w:val="0"/>
    </w:pPr>
    <w:rPr>
      <w:rFonts w:eastAsiaTheme="majorEastAsia" w:cstheme="majorBidi"/>
      <w:b/>
      <w:sz w:val="32"/>
      <w:szCs w:val="32"/>
    </w:rPr>
  </w:style>
  <w:style w:type="paragraph" w:styleId="Kop2">
    <w:name w:val="heading 2"/>
    <w:aliases w:val="Kop 2 BP24"/>
    <w:basedOn w:val="Standaard"/>
    <w:next w:val="Standaard"/>
    <w:link w:val="Kop2Char"/>
    <w:uiPriority w:val="9"/>
    <w:unhideWhenUsed/>
    <w:qFormat/>
    <w:rsid w:val="001D223D"/>
    <w:pPr>
      <w:keepNext/>
      <w:keepLines/>
      <w:numPr>
        <w:numId w:val="3"/>
      </w:numPr>
      <w:spacing w:before="40" w:line="360" w:lineRule="auto"/>
      <w:ind w:left="360"/>
      <w:outlineLvl w:val="1"/>
    </w:pPr>
    <w:rPr>
      <w:rFonts w:eastAsiaTheme="majorEastAsia" w:cstheme="majorBidi"/>
      <w:b/>
      <w:szCs w:val="26"/>
    </w:rPr>
  </w:style>
  <w:style w:type="paragraph" w:styleId="Kop3">
    <w:name w:val="heading 3"/>
    <w:aliases w:val="Kop 3 BP24"/>
    <w:basedOn w:val="Standaard"/>
    <w:next w:val="Standaard"/>
    <w:link w:val="Kop3Char"/>
    <w:uiPriority w:val="9"/>
    <w:unhideWhenUsed/>
    <w:qFormat/>
    <w:rsid w:val="000A1944"/>
    <w:pPr>
      <w:keepNext/>
      <w:keepLines/>
      <w:numPr>
        <w:numId w:val="2"/>
      </w:numPr>
      <w:spacing w:before="40" w:line="360" w:lineRule="auto"/>
      <w:ind w:left="360"/>
      <w:outlineLvl w:val="2"/>
    </w:pPr>
    <w:rPr>
      <w:rFonts w:eastAsiaTheme="majorEastAsia" w:cstheme="majorBid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0A1944"/>
    <w:pPr>
      <w:ind w:left="720"/>
      <w:contextualSpacing/>
    </w:pPr>
  </w:style>
  <w:style w:type="character" w:customStyle="1" w:styleId="Kop1Char">
    <w:name w:val="Kop 1 Char"/>
    <w:aliases w:val="Kop 1 BP24 Char"/>
    <w:basedOn w:val="Standaardalinea-lettertype"/>
    <w:link w:val="Kop1"/>
    <w:uiPriority w:val="9"/>
    <w:rsid w:val="00413914"/>
    <w:rPr>
      <w:rFonts w:ascii="Verdana" w:eastAsiaTheme="majorEastAsia" w:hAnsi="Verdana" w:cstheme="majorBidi"/>
      <w:b/>
      <w:sz w:val="32"/>
      <w:szCs w:val="32"/>
    </w:rPr>
  </w:style>
  <w:style w:type="character" w:customStyle="1" w:styleId="Kop2Char">
    <w:name w:val="Kop 2 Char"/>
    <w:aliases w:val="Kop 2 BP24 Char"/>
    <w:basedOn w:val="Standaardalinea-lettertype"/>
    <w:link w:val="Kop2"/>
    <w:uiPriority w:val="9"/>
    <w:rsid w:val="001D223D"/>
    <w:rPr>
      <w:rFonts w:ascii="Verdana" w:eastAsiaTheme="majorEastAsia" w:hAnsi="Verdana" w:cstheme="majorBidi"/>
      <w:b/>
      <w:sz w:val="18"/>
      <w:szCs w:val="26"/>
    </w:rPr>
  </w:style>
  <w:style w:type="character" w:customStyle="1" w:styleId="Kop3Char">
    <w:name w:val="Kop 3 Char"/>
    <w:aliases w:val="Kop 3 BP24 Char"/>
    <w:basedOn w:val="Standaardalinea-lettertype"/>
    <w:link w:val="Kop3"/>
    <w:uiPriority w:val="9"/>
    <w:rsid w:val="000A1944"/>
    <w:rPr>
      <w:rFonts w:ascii="Verdana" w:eastAsiaTheme="majorEastAsia" w:hAnsi="Verdana" w:cstheme="majorBidi"/>
      <w:sz w:val="18"/>
      <w:szCs w:val="24"/>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C529FC"/>
    <w:rPr>
      <w:rFonts w:ascii="Verdana" w:hAnsi="Verdana"/>
    </w:rPr>
  </w:style>
  <w:style w:type="table" w:styleId="Tabelraster">
    <w:name w:val="Table Grid"/>
    <w:basedOn w:val="Standaardtabel"/>
    <w:uiPriority w:val="39"/>
    <w:rsid w:val="001E7E7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1E7E77"/>
    <w:rPr>
      <w:rFonts w:cstheme="minorBidi"/>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1E7E77"/>
    <w:rPr>
      <w:rFonts w:ascii="Verdana" w:hAnsi="Verdana" w:cstheme="minorBidi"/>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1E7E77"/>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1E7E77"/>
    <w:pPr>
      <w:spacing w:after="160" w:line="240" w:lineRule="exact"/>
    </w:pPr>
    <w:rPr>
      <w:rFonts w:ascii="Times New Roman" w:hAnsi="Times New Roman"/>
      <w:vertAlign w:val="superscript"/>
    </w:rPr>
  </w:style>
  <w:style w:type="table" w:styleId="Rastertabel4-Accent1">
    <w:name w:val="Grid Table 4 Accent 1"/>
    <w:basedOn w:val="Standaardtabel"/>
    <w:uiPriority w:val="49"/>
    <w:rsid w:val="001E7E7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vaninhoudsopgave">
    <w:name w:val="TOC Heading"/>
    <w:basedOn w:val="Kop1"/>
    <w:next w:val="Standaard"/>
    <w:uiPriority w:val="39"/>
    <w:unhideWhenUsed/>
    <w:qFormat/>
    <w:rsid w:val="00212260"/>
    <w:pPr>
      <w:spacing w:line="259" w:lineRule="auto"/>
      <w:outlineLvl w:val="9"/>
    </w:pPr>
    <w:rPr>
      <w:rFonts w:asciiTheme="majorHAnsi" w:hAnsiTheme="majorHAnsi"/>
      <w:b w:val="0"/>
      <w:color w:val="2F5496" w:themeColor="accent1" w:themeShade="BF"/>
      <w:lang w:eastAsia="nl-NL"/>
    </w:rPr>
  </w:style>
  <w:style w:type="paragraph" w:styleId="Inhopg1">
    <w:name w:val="toc 1"/>
    <w:basedOn w:val="Standaard"/>
    <w:next w:val="Standaard"/>
    <w:autoRedefine/>
    <w:uiPriority w:val="39"/>
    <w:unhideWhenUsed/>
    <w:rsid w:val="00ED15FD"/>
    <w:pPr>
      <w:tabs>
        <w:tab w:val="right" w:leader="dot" w:pos="9062"/>
      </w:tabs>
      <w:spacing w:after="100"/>
    </w:pPr>
  </w:style>
  <w:style w:type="paragraph" w:styleId="Inhopg2">
    <w:name w:val="toc 2"/>
    <w:basedOn w:val="Standaard"/>
    <w:next w:val="Standaard"/>
    <w:autoRedefine/>
    <w:uiPriority w:val="39"/>
    <w:unhideWhenUsed/>
    <w:rsid w:val="006205DB"/>
    <w:pPr>
      <w:tabs>
        <w:tab w:val="left" w:pos="720"/>
        <w:tab w:val="right" w:leader="dot" w:pos="9062"/>
      </w:tabs>
      <w:spacing w:after="100" w:line="360" w:lineRule="auto"/>
      <w:ind w:left="200"/>
    </w:pPr>
  </w:style>
  <w:style w:type="character" w:styleId="Hyperlink">
    <w:name w:val="Hyperlink"/>
    <w:basedOn w:val="Standaardalinea-lettertype"/>
    <w:uiPriority w:val="99"/>
    <w:unhideWhenUsed/>
    <w:rsid w:val="00212260"/>
    <w:rPr>
      <w:color w:val="0563C1" w:themeColor="hyperlink"/>
      <w:u w:val="single"/>
    </w:rPr>
  </w:style>
  <w:style w:type="paragraph" w:styleId="Inhopg3">
    <w:name w:val="toc 3"/>
    <w:basedOn w:val="Standaard"/>
    <w:next w:val="Standaard"/>
    <w:autoRedefine/>
    <w:uiPriority w:val="39"/>
    <w:unhideWhenUsed/>
    <w:rsid w:val="00183B9F"/>
    <w:pPr>
      <w:tabs>
        <w:tab w:val="left" w:pos="880"/>
        <w:tab w:val="right" w:leader="dot" w:pos="9062"/>
      </w:tabs>
      <w:spacing w:after="100" w:line="360" w:lineRule="auto"/>
      <w:ind w:left="360"/>
    </w:pPr>
  </w:style>
  <w:style w:type="character" w:styleId="Nadruk">
    <w:name w:val="Emphasis"/>
    <w:basedOn w:val="Standaardalinea-lettertype"/>
    <w:uiPriority w:val="20"/>
    <w:qFormat/>
    <w:rsid w:val="001F1A79"/>
    <w:rPr>
      <w:i/>
      <w:iCs/>
    </w:rPr>
  </w:style>
  <w:style w:type="paragraph" w:styleId="Revisie">
    <w:name w:val="Revision"/>
    <w:hidden/>
    <w:uiPriority w:val="99"/>
    <w:semiHidden/>
    <w:rsid w:val="005B3A35"/>
    <w:rPr>
      <w:rFonts w:ascii="Verdana" w:hAnsi="Verdana"/>
      <w:sz w:val="18"/>
    </w:rPr>
  </w:style>
  <w:style w:type="character" w:styleId="Verwijzingopmerking">
    <w:name w:val="annotation reference"/>
    <w:basedOn w:val="Standaardalinea-lettertype"/>
    <w:uiPriority w:val="99"/>
    <w:semiHidden/>
    <w:unhideWhenUsed/>
    <w:rsid w:val="00F015CD"/>
    <w:rPr>
      <w:sz w:val="16"/>
      <w:szCs w:val="16"/>
    </w:rPr>
  </w:style>
  <w:style w:type="paragraph" w:styleId="Tekstopmerking">
    <w:name w:val="annotation text"/>
    <w:basedOn w:val="Standaard"/>
    <w:link w:val="TekstopmerkingChar"/>
    <w:uiPriority w:val="99"/>
    <w:unhideWhenUsed/>
    <w:rsid w:val="00F015CD"/>
    <w:rPr>
      <w:sz w:val="20"/>
    </w:rPr>
  </w:style>
  <w:style w:type="character" w:customStyle="1" w:styleId="TekstopmerkingChar">
    <w:name w:val="Tekst opmerking Char"/>
    <w:basedOn w:val="Standaardalinea-lettertype"/>
    <w:link w:val="Tekstopmerking"/>
    <w:uiPriority w:val="99"/>
    <w:rsid w:val="00F015CD"/>
    <w:rPr>
      <w:rFonts w:ascii="Verdana" w:hAnsi="Verdana"/>
    </w:rPr>
  </w:style>
  <w:style w:type="paragraph" w:styleId="Geenafstand">
    <w:name w:val="No Spacing"/>
    <w:uiPriority w:val="1"/>
    <w:qFormat/>
    <w:rsid w:val="00EE36D4"/>
    <w:rPr>
      <w:rFonts w:ascii="Verdana" w:hAnsi="Verdana"/>
      <w:sz w:val="18"/>
    </w:rPr>
  </w:style>
  <w:style w:type="paragraph" w:styleId="Koptekst">
    <w:name w:val="header"/>
    <w:basedOn w:val="Standaard"/>
    <w:link w:val="KoptekstChar"/>
    <w:uiPriority w:val="99"/>
    <w:unhideWhenUsed/>
    <w:rsid w:val="00406471"/>
    <w:pPr>
      <w:tabs>
        <w:tab w:val="center" w:pos="4536"/>
        <w:tab w:val="right" w:pos="9072"/>
      </w:tabs>
    </w:pPr>
  </w:style>
  <w:style w:type="character" w:customStyle="1" w:styleId="KoptekstChar">
    <w:name w:val="Koptekst Char"/>
    <w:basedOn w:val="Standaardalinea-lettertype"/>
    <w:link w:val="Koptekst"/>
    <w:uiPriority w:val="99"/>
    <w:rsid w:val="00406471"/>
    <w:rPr>
      <w:rFonts w:ascii="Verdana" w:hAnsi="Verdana"/>
      <w:sz w:val="18"/>
    </w:rPr>
  </w:style>
  <w:style w:type="paragraph" w:styleId="Voettekst">
    <w:name w:val="footer"/>
    <w:basedOn w:val="Standaard"/>
    <w:link w:val="VoettekstChar"/>
    <w:uiPriority w:val="99"/>
    <w:unhideWhenUsed/>
    <w:rsid w:val="00406471"/>
    <w:pPr>
      <w:tabs>
        <w:tab w:val="center" w:pos="4536"/>
        <w:tab w:val="right" w:pos="9072"/>
      </w:tabs>
    </w:pPr>
  </w:style>
  <w:style w:type="character" w:customStyle="1" w:styleId="VoettekstChar">
    <w:name w:val="Voettekst Char"/>
    <w:basedOn w:val="Standaardalinea-lettertype"/>
    <w:link w:val="Voettekst"/>
    <w:uiPriority w:val="99"/>
    <w:rsid w:val="00406471"/>
    <w:rPr>
      <w:rFonts w:ascii="Verdana" w:hAnsi="Verdana"/>
      <w:sz w:val="18"/>
    </w:rPr>
  </w:style>
  <w:style w:type="paragraph" w:customStyle="1" w:styleId="Huisstijl-Standaard">
    <w:name w:val="Huisstijl-Standaard"/>
    <w:basedOn w:val="Standaard"/>
    <w:link w:val="Huisstijl-StandaardChar"/>
    <w:qFormat/>
    <w:rsid w:val="0093341E"/>
    <w:pPr>
      <w:autoSpaceDE w:val="0"/>
      <w:autoSpaceDN w:val="0"/>
      <w:adjustRightInd w:val="0"/>
      <w:spacing w:line="240" w:lineRule="atLeast"/>
    </w:pPr>
    <w:rPr>
      <w:rFonts w:eastAsia="Times New Roman"/>
      <w:szCs w:val="24"/>
      <w:lang w:eastAsia="nl-NL"/>
    </w:rPr>
  </w:style>
  <w:style w:type="character" w:customStyle="1" w:styleId="Huisstijl-StandaardChar">
    <w:name w:val="Huisstijl-Standaard Char"/>
    <w:basedOn w:val="Standaardalinea-lettertype"/>
    <w:link w:val="Huisstijl-Standaard"/>
    <w:rsid w:val="0093341E"/>
    <w:rPr>
      <w:rFonts w:ascii="Verdana" w:eastAsia="Times New Roman" w:hAnsi="Verdana"/>
      <w:sz w:val="18"/>
      <w:szCs w:val="24"/>
      <w:lang w:eastAsia="nl-NL"/>
    </w:rPr>
  </w:style>
  <w:style w:type="paragraph" w:styleId="Onderwerpvanopmerking">
    <w:name w:val="annotation subject"/>
    <w:basedOn w:val="Tekstopmerking"/>
    <w:next w:val="Tekstopmerking"/>
    <w:link w:val="OnderwerpvanopmerkingChar"/>
    <w:uiPriority w:val="99"/>
    <w:semiHidden/>
    <w:unhideWhenUsed/>
    <w:rsid w:val="00287197"/>
    <w:rPr>
      <w:b/>
      <w:bCs/>
    </w:rPr>
  </w:style>
  <w:style w:type="character" w:customStyle="1" w:styleId="OnderwerpvanopmerkingChar">
    <w:name w:val="Onderwerp van opmerking Char"/>
    <w:basedOn w:val="TekstopmerkingChar"/>
    <w:link w:val="Onderwerpvanopmerking"/>
    <w:uiPriority w:val="99"/>
    <w:semiHidden/>
    <w:rsid w:val="00287197"/>
    <w:rPr>
      <w:rFonts w:ascii="Verdana" w:hAnsi="Verdana"/>
      <w:b/>
      <w:bCs/>
    </w:rPr>
  </w:style>
  <w:style w:type="table" w:customStyle="1" w:styleId="Rastertabel4-Accent51">
    <w:name w:val="Rastertabel 4 - Accent 51"/>
    <w:basedOn w:val="Standaardtabel"/>
    <w:next w:val="Rastertabel4-Accent5"/>
    <w:uiPriority w:val="49"/>
    <w:rsid w:val="000E3E27"/>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astertabel4-Accent5">
    <w:name w:val="Grid Table 4 Accent 5"/>
    <w:basedOn w:val="Standaardtabel"/>
    <w:uiPriority w:val="49"/>
    <w:rsid w:val="000E3E2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Plattetekst">
    <w:name w:val="Body Text"/>
    <w:basedOn w:val="Standaard"/>
    <w:link w:val="PlattetekstChar"/>
    <w:uiPriority w:val="99"/>
    <w:semiHidden/>
    <w:unhideWhenUsed/>
    <w:rsid w:val="002D3364"/>
    <w:pPr>
      <w:spacing w:after="120"/>
    </w:pPr>
  </w:style>
  <w:style w:type="character" w:customStyle="1" w:styleId="PlattetekstChar">
    <w:name w:val="Platte tekst Char"/>
    <w:basedOn w:val="Standaardalinea-lettertype"/>
    <w:link w:val="Plattetekst"/>
    <w:uiPriority w:val="99"/>
    <w:semiHidden/>
    <w:rsid w:val="002D3364"/>
    <w:rPr>
      <w:rFonts w:ascii="Verdana" w:hAnsi="Verdana"/>
      <w:sz w:val="18"/>
    </w:rPr>
  </w:style>
  <w:style w:type="table" w:customStyle="1" w:styleId="Rastertabel4-Accent52">
    <w:name w:val="Rastertabel 4 - Accent 52"/>
    <w:basedOn w:val="Standaardtabel"/>
    <w:next w:val="Rastertabel4-Accent5"/>
    <w:uiPriority w:val="49"/>
    <w:rsid w:val="00F81F9C"/>
    <w:rPr>
      <w:rFonts w:ascii="Verdana" w:hAnsi="Verdana"/>
      <w:kern w:val="2"/>
      <w:sz w:val="18"/>
      <w:szCs w:val="22"/>
      <w:lang w:val="en-US"/>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raster1">
    <w:name w:val="Tabelraster1"/>
    <w:basedOn w:val="Standaardtabel"/>
    <w:next w:val="Tabelraster"/>
    <w:uiPriority w:val="39"/>
    <w:rsid w:val="009C67F4"/>
    <w:rPr>
      <w:rFonts w:ascii="Verdana" w:eastAsia="Yu Mincho" w:hAnsi="Verdana"/>
      <w:sz w:val="18"/>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kel">
    <w:name w:val="Artikel"/>
    <w:basedOn w:val="Standaard"/>
    <w:next w:val="Standaard"/>
    <w:rsid w:val="000F6AD2"/>
    <w:pPr>
      <w:spacing w:line="360" w:lineRule="auto"/>
      <w:ind w:firstLine="709"/>
    </w:pPr>
    <w:rPr>
      <w:rFonts w:eastAsia="Times New Roman"/>
      <w:b/>
      <w:lang w:eastAsia="nl-NL"/>
    </w:rPr>
  </w:style>
  <w:style w:type="table" w:styleId="Rastertabel4">
    <w:name w:val="Grid Table 4"/>
    <w:basedOn w:val="Standaardtabel"/>
    <w:uiPriority w:val="49"/>
    <w:rsid w:val="008127B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jschrift">
    <w:name w:val="caption"/>
    <w:basedOn w:val="Standaard"/>
    <w:next w:val="Standaard"/>
    <w:uiPriority w:val="35"/>
    <w:unhideWhenUsed/>
    <w:qFormat/>
    <w:rsid w:val="00871673"/>
    <w:pPr>
      <w:spacing w:after="200"/>
    </w:pPr>
    <w:rPr>
      <w:i/>
      <w:iCs/>
      <w:color w:val="44546A"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3837">
      <w:bodyDiv w:val="1"/>
      <w:marLeft w:val="0"/>
      <w:marRight w:val="0"/>
      <w:marTop w:val="0"/>
      <w:marBottom w:val="0"/>
      <w:divBdr>
        <w:top w:val="none" w:sz="0" w:space="0" w:color="auto"/>
        <w:left w:val="none" w:sz="0" w:space="0" w:color="auto"/>
        <w:bottom w:val="none" w:sz="0" w:space="0" w:color="auto"/>
        <w:right w:val="none" w:sz="0" w:space="0" w:color="auto"/>
      </w:divBdr>
    </w:div>
    <w:div w:id="163009567">
      <w:bodyDiv w:val="1"/>
      <w:marLeft w:val="0"/>
      <w:marRight w:val="0"/>
      <w:marTop w:val="0"/>
      <w:marBottom w:val="0"/>
      <w:divBdr>
        <w:top w:val="none" w:sz="0" w:space="0" w:color="auto"/>
        <w:left w:val="none" w:sz="0" w:space="0" w:color="auto"/>
        <w:bottom w:val="none" w:sz="0" w:space="0" w:color="auto"/>
        <w:right w:val="none" w:sz="0" w:space="0" w:color="auto"/>
      </w:divBdr>
    </w:div>
    <w:div w:id="244188987">
      <w:bodyDiv w:val="1"/>
      <w:marLeft w:val="0"/>
      <w:marRight w:val="0"/>
      <w:marTop w:val="0"/>
      <w:marBottom w:val="0"/>
      <w:divBdr>
        <w:top w:val="none" w:sz="0" w:space="0" w:color="auto"/>
        <w:left w:val="none" w:sz="0" w:space="0" w:color="auto"/>
        <w:bottom w:val="none" w:sz="0" w:space="0" w:color="auto"/>
        <w:right w:val="none" w:sz="0" w:space="0" w:color="auto"/>
      </w:divBdr>
    </w:div>
    <w:div w:id="315499785">
      <w:bodyDiv w:val="1"/>
      <w:marLeft w:val="0"/>
      <w:marRight w:val="0"/>
      <w:marTop w:val="0"/>
      <w:marBottom w:val="0"/>
      <w:divBdr>
        <w:top w:val="none" w:sz="0" w:space="0" w:color="auto"/>
        <w:left w:val="none" w:sz="0" w:space="0" w:color="auto"/>
        <w:bottom w:val="none" w:sz="0" w:space="0" w:color="auto"/>
        <w:right w:val="none" w:sz="0" w:space="0" w:color="auto"/>
      </w:divBdr>
    </w:div>
    <w:div w:id="409930045">
      <w:bodyDiv w:val="1"/>
      <w:marLeft w:val="0"/>
      <w:marRight w:val="0"/>
      <w:marTop w:val="0"/>
      <w:marBottom w:val="0"/>
      <w:divBdr>
        <w:top w:val="none" w:sz="0" w:space="0" w:color="auto"/>
        <w:left w:val="none" w:sz="0" w:space="0" w:color="auto"/>
        <w:bottom w:val="none" w:sz="0" w:space="0" w:color="auto"/>
        <w:right w:val="none" w:sz="0" w:space="0" w:color="auto"/>
      </w:divBdr>
    </w:div>
    <w:div w:id="605115627">
      <w:bodyDiv w:val="1"/>
      <w:marLeft w:val="0"/>
      <w:marRight w:val="0"/>
      <w:marTop w:val="0"/>
      <w:marBottom w:val="0"/>
      <w:divBdr>
        <w:top w:val="none" w:sz="0" w:space="0" w:color="auto"/>
        <w:left w:val="none" w:sz="0" w:space="0" w:color="auto"/>
        <w:bottom w:val="none" w:sz="0" w:space="0" w:color="auto"/>
        <w:right w:val="none" w:sz="0" w:space="0" w:color="auto"/>
      </w:divBdr>
    </w:div>
    <w:div w:id="809322240">
      <w:bodyDiv w:val="1"/>
      <w:marLeft w:val="0"/>
      <w:marRight w:val="0"/>
      <w:marTop w:val="0"/>
      <w:marBottom w:val="0"/>
      <w:divBdr>
        <w:top w:val="none" w:sz="0" w:space="0" w:color="auto"/>
        <w:left w:val="none" w:sz="0" w:space="0" w:color="auto"/>
        <w:bottom w:val="none" w:sz="0" w:space="0" w:color="auto"/>
        <w:right w:val="none" w:sz="0" w:space="0" w:color="auto"/>
      </w:divBdr>
    </w:div>
    <w:div w:id="870269108">
      <w:bodyDiv w:val="1"/>
      <w:marLeft w:val="0"/>
      <w:marRight w:val="0"/>
      <w:marTop w:val="0"/>
      <w:marBottom w:val="0"/>
      <w:divBdr>
        <w:top w:val="none" w:sz="0" w:space="0" w:color="auto"/>
        <w:left w:val="none" w:sz="0" w:space="0" w:color="auto"/>
        <w:bottom w:val="none" w:sz="0" w:space="0" w:color="auto"/>
        <w:right w:val="none" w:sz="0" w:space="0" w:color="auto"/>
      </w:divBdr>
    </w:div>
    <w:div w:id="874076632">
      <w:bodyDiv w:val="1"/>
      <w:marLeft w:val="0"/>
      <w:marRight w:val="0"/>
      <w:marTop w:val="0"/>
      <w:marBottom w:val="0"/>
      <w:divBdr>
        <w:top w:val="none" w:sz="0" w:space="0" w:color="auto"/>
        <w:left w:val="none" w:sz="0" w:space="0" w:color="auto"/>
        <w:bottom w:val="none" w:sz="0" w:space="0" w:color="auto"/>
        <w:right w:val="none" w:sz="0" w:space="0" w:color="auto"/>
      </w:divBdr>
    </w:div>
    <w:div w:id="1173645101">
      <w:bodyDiv w:val="1"/>
      <w:marLeft w:val="0"/>
      <w:marRight w:val="0"/>
      <w:marTop w:val="0"/>
      <w:marBottom w:val="0"/>
      <w:divBdr>
        <w:top w:val="none" w:sz="0" w:space="0" w:color="auto"/>
        <w:left w:val="none" w:sz="0" w:space="0" w:color="auto"/>
        <w:bottom w:val="none" w:sz="0" w:space="0" w:color="auto"/>
        <w:right w:val="none" w:sz="0" w:space="0" w:color="auto"/>
      </w:divBdr>
    </w:div>
    <w:div w:id="1242258079">
      <w:bodyDiv w:val="1"/>
      <w:marLeft w:val="0"/>
      <w:marRight w:val="0"/>
      <w:marTop w:val="0"/>
      <w:marBottom w:val="0"/>
      <w:divBdr>
        <w:top w:val="none" w:sz="0" w:space="0" w:color="auto"/>
        <w:left w:val="none" w:sz="0" w:space="0" w:color="auto"/>
        <w:bottom w:val="none" w:sz="0" w:space="0" w:color="auto"/>
        <w:right w:val="none" w:sz="0" w:space="0" w:color="auto"/>
      </w:divBdr>
    </w:div>
    <w:div w:id="1258320925">
      <w:bodyDiv w:val="1"/>
      <w:marLeft w:val="0"/>
      <w:marRight w:val="0"/>
      <w:marTop w:val="0"/>
      <w:marBottom w:val="0"/>
      <w:divBdr>
        <w:top w:val="none" w:sz="0" w:space="0" w:color="auto"/>
        <w:left w:val="none" w:sz="0" w:space="0" w:color="auto"/>
        <w:bottom w:val="none" w:sz="0" w:space="0" w:color="auto"/>
        <w:right w:val="none" w:sz="0" w:space="0" w:color="auto"/>
      </w:divBdr>
    </w:div>
    <w:div w:id="1299067647">
      <w:bodyDiv w:val="1"/>
      <w:marLeft w:val="0"/>
      <w:marRight w:val="0"/>
      <w:marTop w:val="0"/>
      <w:marBottom w:val="0"/>
      <w:divBdr>
        <w:top w:val="none" w:sz="0" w:space="0" w:color="auto"/>
        <w:left w:val="none" w:sz="0" w:space="0" w:color="auto"/>
        <w:bottom w:val="none" w:sz="0" w:space="0" w:color="auto"/>
        <w:right w:val="none" w:sz="0" w:space="0" w:color="auto"/>
      </w:divBdr>
    </w:div>
    <w:div w:id="1562250122">
      <w:bodyDiv w:val="1"/>
      <w:marLeft w:val="0"/>
      <w:marRight w:val="0"/>
      <w:marTop w:val="0"/>
      <w:marBottom w:val="0"/>
      <w:divBdr>
        <w:top w:val="none" w:sz="0" w:space="0" w:color="auto"/>
        <w:left w:val="none" w:sz="0" w:space="0" w:color="auto"/>
        <w:bottom w:val="none" w:sz="0" w:space="0" w:color="auto"/>
        <w:right w:val="none" w:sz="0" w:space="0" w:color="auto"/>
      </w:divBdr>
    </w:div>
    <w:div w:id="1660301961">
      <w:bodyDiv w:val="1"/>
      <w:marLeft w:val="0"/>
      <w:marRight w:val="0"/>
      <w:marTop w:val="0"/>
      <w:marBottom w:val="0"/>
      <w:divBdr>
        <w:top w:val="none" w:sz="0" w:space="0" w:color="auto"/>
        <w:left w:val="none" w:sz="0" w:space="0" w:color="auto"/>
        <w:bottom w:val="none" w:sz="0" w:space="0" w:color="auto"/>
        <w:right w:val="none" w:sz="0" w:space="0" w:color="auto"/>
      </w:divBdr>
    </w:div>
    <w:div w:id="1921866330">
      <w:bodyDiv w:val="1"/>
      <w:marLeft w:val="0"/>
      <w:marRight w:val="0"/>
      <w:marTop w:val="0"/>
      <w:marBottom w:val="0"/>
      <w:divBdr>
        <w:top w:val="none" w:sz="0" w:space="0" w:color="auto"/>
        <w:left w:val="none" w:sz="0" w:space="0" w:color="auto"/>
        <w:bottom w:val="none" w:sz="0" w:space="0" w:color="auto"/>
        <w:right w:val="none" w:sz="0" w:space="0" w:color="auto"/>
      </w:divBdr>
    </w:div>
    <w:div w:id="214384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3816</ap:Words>
  <ap:Characters>20990</ap:Characters>
  <ap:DocSecurity>4</ap:DocSecurity>
  <ap:Lines>174</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2025-08-22T14:07:00.0000000Z</lastPrinted>
  <dcterms:created xsi:type="dcterms:W3CDTF">2025-09-16T10:32:00.0000000Z</dcterms:created>
  <dcterms:modified xsi:type="dcterms:W3CDTF">2025-09-16T10:32:00.0000000Z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2024-10-30T13:14:19Z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47e9e511-52ee-4c67-9d05-4f688c4ace6e</vt:lpwstr>
  </property>
  <property fmtid="{D5CDD505-2E9C-101B-9397-08002B2CF9AE}" pid="8" name="MSIP_Label_f4b587cc-5349-4506-9b19-2242ab88a0ee_ContentBits">
    <vt:lpwstr>0</vt:lpwstr>
  </property>
</Properties>
</file>