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57C" w:rsidP="0098757C" w:rsidRDefault="0098757C" w14:paraId="4999E4F8" w14:textId="091492EC">
      <w:pPr>
        <w:rPr>
          <w:color w:val="4472C4" w:themeColor="accent1"/>
        </w:rPr>
      </w:pPr>
      <w:r w:rsidRPr="0098757C">
        <w:rPr>
          <w:color w:val="4472C4" w:themeColor="accent1"/>
        </w:rPr>
        <w:t>Toetsingskader fiscale regelingen: Korting bpm voor bijzondere personenauto’s en motorfietsen</w:t>
      </w:r>
    </w:p>
    <w:p w:rsidRPr="00A54208" w:rsidR="00A54208" w:rsidP="0098757C" w:rsidRDefault="00A54208" w14:paraId="4FC68E40" w14:textId="76CA8490">
      <w:pPr>
        <w:rPr>
          <w:b/>
          <w:bCs/>
          <w:color w:val="000000" w:themeColor="text1"/>
        </w:rPr>
      </w:pPr>
      <w:r w:rsidRPr="00A54208">
        <w:rPr>
          <w:b/>
          <w:bCs/>
          <w:color w:val="000000" w:themeColor="text1"/>
        </w:rPr>
        <w:t>Maatregel</w:t>
      </w:r>
    </w:p>
    <w:p w:rsidRPr="0098757C" w:rsidR="00A54208" w:rsidP="0098757C" w:rsidRDefault="00A54208" w14:paraId="72E6CCF5" w14:textId="5FE74B03">
      <w:pPr>
        <w:rPr>
          <w:color w:val="4472C4" w:themeColor="accent1"/>
        </w:rPr>
      </w:pPr>
      <w:r>
        <w:t>Met terugwerkende kracht zullen alle emissievrije bijzondere personenauto’s en motorfietsen per 1 januari 2025 alleen een vaste</w:t>
      </w:r>
      <w:r w:rsidR="00481BB2">
        <w:t xml:space="preserve"> </w:t>
      </w:r>
      <w:r>
        <w:t>voet verschuldigd zijn. Voor bijzondere personenauto’s zal deze gelijk lopen met de vaste</w:t>
      </w:r>
      <w:r w:rsidR="00481BB2">
        <w:t xml:space="preserve"> </w:t>
      </w:r>
      <w:r>
        <w:t>voet van € 667 voor personenauto’s en particuliere bestelauto’s. Voor motorfietsen wordt een aparte vaste voet van € 200 geïntroduceerd</w:t>
      </w:r>
      <w:r w:rsidR="00481BB2">
        <w:t xml:space="preserve"> (prijzen 2025)</w:t>
      </w:r>
      <w:r>
        <w:t>.</w:t>
      </w:r>
    </w:p>
    <w:p w:rsidR="0098757C" w:rsidP="0098757C" w:rsidRDefault="0098757C" w14:paraId="2FF1E173" w14:textId="77777777">
      <w:pPr>
        <w:rPr>
          <w:b/>
          <w:bCs/>
        </w:rPr>
      </w:pPr>
      <w:r w:rsidRPr="0098757C">
        <w:rPr>
          <w:b/>
          <w:bCs/>
        </w:rPr>
        <w:t>1. Is sprake van een heldere probleemstelling?</w:t>
      </w:r>
    </w:p>
    <w:p w:rsidRPr="0098757C" w:rsidR="0098757C" w:rsidP="0098757C" w:rsidRDefault="0098757C" w14:paraId="3213974F" w14:textId="00E8E0BE">
      <w:r w:rsidRPr="0098757C">
        <w:t xml:space="preserve">Emissievrije motorrijtuigen genoten een vrijstelling in de bpm tot 2025. </w:t>
      </w:r>
      <w:r w:rsidR="00187FF4">
        <w:t>Emissievrije p</w:t>
      </w:r>
      <w:r w:rsidRPr="0098757C">
        <w:t xml:space="preserve">ersonenauto’s </w:t>
      </w:r>
      <w:r w:rsidR="00187FF4">
        <w:t>betalen per 2025 slechts een vaste</w:t>
      </w:r>
      <w:r w:rsidR="00481BB2">
        <w:t xml:space="preserve"> </w:t>
      </w:r>
      <w:r w:rsidR="00187FF4">
        <w:t xml:space="preserve">voet omdat de bpm </w:t>
      </w:r>
      <w:r w:rsidR="00481BB2">
        <w:t>als</w:t>
      </w:r>
      <w:r w:rsidR="00187FF4">
        <w:t xml:space="preserve"> grondslag</w:t>
      </w:r>
      <w:r w:rsidR="00481BB2">
        <w:t xml:space="preserve"> de</w:t>
      </w:r>
      <w:r w:rsidR="00187FF4">
        <w:t xml:space="preserve"> CO2-uitstoot heeft.</w:t>
      </w:r>
      <w:r w:rsidRPr="0098757C">
        <w:t xml:space="preserve"> Voor bijzondere personenauto’s en motorfietsen is de bpm op basis van</w:t>
      </w:r>
      <w:r w:rsidR="00A54208">
        <w:t xml:space="preserve"> de</w:t>
      </w:r>
      <w:r w:rsidRPr="0098757C">
        <w:t xml:space="preserve"> catalogusprijs. Zonder invoering van een </w:t>
      </w:r>
      <w:r w:rsidR="00481BB2">
        <w:t xml:space="preserve">aparte vaste voet voor </w:t>
      </w:r>
      <w:r w:rsidRPr="0098757C">
        <w:t>emissievrije bijzondere personenauto’s en motorfietsen</w:t>
      </w:r>
      <w:r w:rsidR="00481BB2">
        <w:t xml:space="preserve"> zouden deze voertuigen</w:t>
      </w:r>
      <w:r w:rsidRPr="0098757C">
        <w:t xml:space="preserve"> </w:t>
      </w:r>
      <w:r w:rsidR="00187FF4">
        <w:t xml:space="preserve">fors </w:t>
      </w:r>
      <w:r w:rsidRPr="0098757C">
        <w:t xml:space="preserve">meer bpm betalen dan reguliere emissievrije personenauto’s. </w:t>
      </w:r>
      <w:r w:rsidR="00315738">
        <w:t xml:space="preserve">Dit zorgt voor een ongelijke fiscale behandeling van personenauto’s en bijzondere personenauto’s en motorfietsen. </w:t>
      </w:r>
      <w:r w:rsidR="00BA2800">
        <w:t>Daarbij worden de betreffende emissievrije voertuigen relatief onaantrekkelijker dan hun fossiele tegenhanger, wat de transitie naar emissievrij rijden tegen gaat.</w:t>
      </w:r>
      <w:r w:rsidRPr="0098757C">
        <w:t xml:space="preserve"> </w:t>
      </w:r>
    </w:p>
    <w:p w:rsidR="0098757C" w:rsidP="0098757C" w:rsidRDefault="0098757C" w14:paraId="6D62CD12" w14:textId="77777777">
      <w:pPr>
        <w:rPr>
          <w:b/>
          <w:bCs/>
        </w:rPr>
      </w:pPr>
      <w:r w:rsidRPr="0098757C">
        <w:rPr>
          <w:b/>
          <w:bCs/>
        </w:rPr>
        <w:t>2. Is er noodzaak tot overheidsingrijpen?</w:t>
      </w:r>
    </w:p>
    <w:p w:rsidRPr="0098757C" w:rsidR="0098757C" w:rsidP="0098757C" w:rsidRDefault="0098757C" w14:paraId="3A236426" w14:textId="3727F025">
      <w:r w:rsidRPr="0098757C">
        <w:t xml:space="preserve">Het probleem bestaat uit een ongelijke fiscale behandeling van personenauto’s aan de ene kant en motorfietsen en bijzondere personenauto’s aan de andere kant. Een </w:t>
      </w:r>
      <w:r w:rsidR="00543544">
        <w:t>ingr</w:t>
      </w:r>
      <w:r w:rsidR="00991A3F">
        <w:t>eep</w:t>
      </w:r>
      <w:r w:rsidR="00543544">
        <w:t xml:space="preserve"> van de overheid</w:t>
      </w:r>
      <w:r w:rsidRPr="0098757C">
        <w:t xml:space="preserve"> ligt daarom voor de hand. </w:t>
      </w:r>
    </w:p>
    <w:p w:rsidR="0098757C" w:rsidP="0098757C" w:rsidRDefault="0098757C" w14:paraId="02696B80" w14:textId="4CEC04F6">
      <w:pPr>
        <w:rPr>
          <w:b/>
          <w:bCs/>
        </w:rPr>
      </w:pPr>
      <w:r w:rsidRPr="0098757C">
        <w:rPr>
          <w:b/>
          <w:bCs/>
        </w:rPr>
        <w:t>3. Is het te bereiken doel helder en eenduidig geformuleerd?</w:t>
      </w:r>
    </w:p>
    <w:p w:rsidRPr="001B15B2" w:rsidR="001B15B2" w:rsidP="0098757C" w:rsidRDefault="001B15B2" w14:paraId="7ADA1C1D" w14:textId="28BFB452">
      <w:r w:rsidRPr="001B15B2">
        <w:t xml:space="preserve"> </w:t>
      </w:r>
      <w:r w:rsidR="00474C41">
        <w:t xml:space="preserve">Om emissievrij rijden te bevorderen is het van belang dat </w:t>
      </w:r>
      <w:r w:rsidRPr="001B15B2">
        <w:t>emissievrije motorfietsen en bijzondere personenauto</w:t>
      </w:r>
      <w:r w:rsidR="00474C41">
        <w:t>’</w:t>
      </w:r>
      <w:r w:rsidRPr="001B15B2">
        <w:t>s</w:t>
      </w:r>
      <w:r w:rsidR="00474C41">
        <w:t xml:space="preserve"> niet m</w:t>
      </w:r>
      <w:r w:rsidR="00113C7E">
        <w:t>éé</w:t>
      </w:r>
      <w:r w:rsidR="00474C41">
        <w:t xml:space="preserve">r bpm hoeven te betalen dan hun fossiele tegenhangers. Dit wordt bereikt door ze </w:t>
      </w:r>
      <w:r w:rsidRPr="001B15B2">
        <w:t xml:space="preserve"> </w:t>
      </w:r>
      <w:r w:rsidR="00481BB2">
        <w:t xml:space="preserve">fiscaal gelijkwaardig behandelen met </w:t>
      </w:r>
      <w:r w:rsidRPr="001B15B2">
        <w:t>de reguliere emissievrije personenauto</w:t>
      </w:r>
      <w:r w:rsidR="00474C41">
        <w:t>’</w:t>
      </w:r>
      <w:r w:rsidRPr="001B15B2">
        <w:t>s</w:t>
      </w:r>
      <w:r w:rsidR="00474C41">
        <w:t xml:space="preserve">. </w:t>
      </w:r>
    </w:p>
    <w:p w:rsidRPr="001B15B2" w:rsidR="0098757C" w:rsidP="0098757C" w:rsidRDefault="0098757C" w14:paraId="46EA7FE1" w14:textId="77777777">
      <w:pPr>
        <w:rPr>
          <w:b/>
          <w:bCs/>
        </w:rPr>
      </w:pPr>
      <w:r w:rsidRPr="001B15B2">
        <w:rPr>
          <w:b/>
          <w:bCs/>
        </w:rPr>
        <w:t>4. Instrumentkeuze</w:t>
      </w:r>
    </w:p>
    <w:p w:rsidRPr="001B15B2" w:rsidR="0098757C" w:rsidP="0098757C" w:rsidRDefault="0098757C" w14:paraId="2D38C1B2" w14:textId="77777777">
      <w:pPr>
        <w:rPr>
          <w:b/>
          <w:bCs/>
        </w:rPr>
      </w:pPr>
      <w:r w:rsidRPr="001B15B2">
        <w:rPr>
          <w:b/>
          <w:bCs/>
        </w:rPr>
        <w:t>4a. Kan worden aangetoond waarom financiële interventie de voorkeur verdient boven</w:t>
      </w:r>
    </w:p>
    <w:p w:rsidRPr="001B15B2" w:rsidR="0098757C" w:rsidP="0098757C" w:rsidRDefault="0098757C" w14:paraId="756B83CE" w14:textId="77777777">
      <w:pPr>
        <w:rPr>
          <w:b/>
          <w:bCs/>
        </w:rPr>
      </w:pPr>
      <w:r w:rsidRPr="001B15B2">
        <w:rPr>
          <w:b/>
          <w:bCs/>
        </w:rPr>
        <w:t>niet-financiële instrumenten?</w:t>
      </w:r>
    </w:p>
    <w:p w:rsidR="0098757C" w:rsidP="0098757C" w:rsidRDefault="001B15B2" w14:paraId="5E38EE6C" w14:textId="05538F68">
      <w:r>
        <w:t>Het probleem is fiscaal van aard, een fiscale aanpak is daarom een logische keuze.</w:t>
      </w:r>
    </w:p>
    <w:p w:rsidRPr="001B15B2" w:rsidR="0098757C" w:rsidP="0098757C" w:rsidRDefault="0098757C" w14:paraId="491F7C60" w14:textId="2466C06E">
      <w:pPr>
        <w:rPr>
          <w:b/>
          <w:bCs/>
        </w:rPr>
      </w:pPr>
      <w:r w:rsidRPr="001B15B2">
        <w:rPr>
          <w:b/>
          <w:bCs/>
        </w:rPr>
        <w:t>4b. Kan worden aangetoond waarom een subsidie de voorkeur verdient boven een</w:t>
      </w:r>
    </w:p>
    <w:p w:rsidR="0098757C" w:rsidP="0098757C" w:rsidRDefault="0098757C" w14:paraId="57F3523B" w14:textId="77777777">
      <w:pPr>
        <w:rPr>
          <w:b/>
          <w:bCs/>
        </w:rPr>
      </w:pPr>
      <w:r w:rsidRPr="001B15B2">
        <w:rPr>
          <w:b/>
          <w:bCs/>
        </w:rPr>
        <w:t>heffing?</w:t>
      </w:r>
    </w:p>
    <w:p w:rsidRPr="001B15B2" w:rsidR="00AF6E9C" w:rsidP="0098757C" w:rsidRDefault="00AF6E9C" w14:paraId="3CAED640" w14:textId="230B1FA3">
      <w:pPr>
        <w:rPr>
          <w:b/>
          <w:bCs/>
        </w:rPr>
      </w:pPr>
      <w:r>
        <w:t>Gegeven dat de bpm een belasting is, en deze maatregel hierbij aansluiting geeft, verdient een subsidie niet de voorkeur.</w:t>
      </w:r>
    </w:p>
    <w:p w:rsidRPr="001B15B2" w:rsidR="0098757C" w:rsidP="0098757C" w:rsidRDefault="0098757C" w14:paraId="180825BC" w14:textId="77777777">
      <w:pPr>
        <w:rPr>
          <w:b/>
          <w:bCs/>
        </w:rPr>
      </w:pPr>
      <w:r w:rsidRPr="001B15B2">
        <w:rPr>
          <w:b/>
          <w:bCs/>
        </w:rPr>
        <w:t>4c. Kan worden aangetoond waarom een fiscale subsidie de voorkeur verdient boven</w:t>
      </w:r>
    </w:p>
    <w:p w:rsidRPr="001B15B2" w:rsidR="0098757C" w:rsidP="0098757C" w:rsidRDefault="0098757C" w14:paraId="0B9C66A8" w14:textId="77777777">
      <w:pPr>
        <w:rPr>
          <w:b/>
          <w:bCs/>
        </w:rPr>
      </w:pPr>
      <w:r w:rsidRPr="001B15B2">
        <w:rPr>
          <w:b/>
          <w:bCs/>
        </w:rPr>
        <w:t>een directe subsidie?</w:t>
      </w:r>
    </w:p>
    <w:p w:rsidR="001B15B2" w:rsidP="001B15B2" w:rsidRDefault="00AF6E9C" w14:paraId="5822985C" w14:textId="31ADCA7E">
      <w:r>
        <w:t>Voor de directe subsidie zou v</w:t>
      </w:r>
      <w:r w:rsidR="001B15B2">
        <w:t xml:space="preserve">an tevoren een inschatting moeten worden gemaakt van het aantal nieuw verkochte voertuigen die onder de regeling vallen, hetgeen altijd onzekerheid met zich meebrengt. </w:t>
      </w:r>
      <w:r w:rsidR="00481BB2">
        <w:t>Verder is het lastig om in te schatten wat het budget zou moeten zijn van een directe subsidie, aangezien hoogte van de subsidie afhankelijk zou zijn van de catalogusprijs, die ook onzekerheid met zich meebrengt.</w:t>
      </w:r>
    </w:p>
    <w:p w:rsidR="0098757C" w:rsidP="0098757C" w:rsidRDefault="0098757C" w14:paraId="2DC9D072" w14:textId="77777777">
      <w:pPr>
        <w:rPr>
          <w:b/>
          <w:bCs/>
        </w:rPr>
      </w:pPr>
      <w:r w:rsidRPr="001B15B2">
        <w:rPr>
          <w:b/>
          <w:bCs/>
        </w:rPr>
        <w:lastRenderedPageBreak/>
        <w:t>5. Is de maatregel doeltreffend?</w:t>
      </w:r>
    </w:p>
    <w:p w:rsidRPr="001B15B2" w:rsidR="001B15B2" w:rsidP="0098757C" w:rsidRDefault="001B15B2" w14:paraId="2F322FE0" w14:textId="7ADCF6E0">
      <w:r w:rsidRPr="001B15B2">
        <w:t xml:space="preserve">De maatregel is doeltreffend. Met een fiscale </w:t>
      </w:r>
      <w:r w:rsidR="00481BB2">
        <w:t>vaste voet</w:t>
      </w:r>
      <w:r w:rsidRPr="001B15B2">
        <w:t xml:space="preserve"> betalen emissievrije bijzondere personenauto’s precies hetzelfde als reguliere emissievrije personenauto’s. Voor motorfietsen is een lagere vaste voet gerechtvaardigd, omdat (fossiele) motorfietsen gemiddeld minder bpm betalen dan personenauto’s. </w:t>
      </w:r>
    </w:p>
    <w:p w:rsidR="0098757C" w:rsidP="0098757C" w:rsidRDefault="0098757C" w14:paraId="222A856A" w14:textId="77777777">
      <w:pPr>
        <w:rPr>
          <w:b/>
          <w:bCs/>
        </w:rPr>
      </w:pPr>
      <w:r w:rsidRPr="001B15B2">
        <w:rPr>
          <w:b/>
          <w:bCs/>
        </w:rPr>
        <w:t>6. Is de maatregel doelmatig?</w:t>
      </w:r>
    </w:p>
    <w:p w:rsidRPr="001B15B2" w:rsidR="001B15B2" w:rsidP="0098757C" w:rsidRDefault="001B15B2" w14:paraId="28D058F0" w14:textId="2BC386E3">
      <w:r w:rsidRPr="001B15B2">
        <w:t>De maatregel is doelmatig. Hoewel de kosten per voertuig hoog zijn is het aantal voertuigen dat onder de korting valt beperkt.</w:t>
      </w:r>
      <w:r w:rsidR="00211FCD">
        <w:t xml:space="preserve"> </w:t>
      </w:r>
      <w:r w:rsidR="00474C41">
        <w:t xml:space="preserve">Daardoor is het budgettaire belang van de regeling beperkt. </w:t>
      </w:r>
      <w:r w:rsidR="00211FCD">
        <w:t>Daarnaast worden er geen grote gedragsreacties verwacht door de maatregel.</w:t>
      </w:r>
      <w:r w:rsidRPr="001B15B2">
        <w:t xml:space="preserve"> De verwachte budgettaire gevolgen zijn daarom</w:t>
      </w:r>
      <w:r w:rsidR="00474C41">
        <w:t xml:space="preserve"> ook</w:t>
      </w:r>
      <w:r w:rsidRPr="001B15B2">
        <w:t xml:space="preserve"> beperkt. </w:t>
      </w:r>
    </w:p>
    <w:p w:rsidR="0098757C" w:rsidP="0098757C" w:rsidRDefault="0098757C" w14:paraId="2A1B82E2" w14:textId="77777777">
      <w:pPr>
        <w:rPr>
          <w:b/>
          <w:bCs/>
        </w:rPr>
      </w:pPr>
      <w:r w:rsidRPr="00211FCD">
        <w:rPr>
          <w:b/>
          <w:bCs/>
        </w:rPr>
        <w:t>7. Is evaluatie van de maatregel voldoende gewaarborgd?</w:t>
      </w:r>
    </w:p>
    <w:p w:rsidRPr="00211FCD" w:rsidR="00211FCD" w:rsidP="0098757C" w:rsidRDefault="00211FCD" w14:paraId="4DEAD690" w14:textId="30430A15">
      <w:r w:rsidRPr="00211FCD">
        <w:t>De fiscale stimuleringsmaatregelen voor emissievrij rijden worden in 2028 geëvalueerd. Daarin zal ook deze maatregel bekeken worden.</w:t>
      </w:r>
    </w:p>
    <w:p w:rsidRPr="00211FCD" w:rsidR="0098757C" w:rsidP="0098757C" w:rsidRDefault="0098757C" w14:paraId="7A8F2130" w14:textId="77777777">
      <w:pPr>
        <w:rPr>
          <w:b/>
          <w:bCs/>
        </w:rPr>
      </w:pPr>
      <w:r w:rsidRPr="00211FCD">
        <w:rPr>
          <w:b/>
          <w:bCs/>
        </w:rPr>
        <w:t>8. Is een horizonbepaling aan de orde?</w:t>
      </w:r>
    </w:p>
    <w:p w:rsidR="009B581A" w:rsidP="0098757C" w:rsidRDefault="00B43A77" w14:paraId="6FAA07A3" w14:textId="22951B91">
      <w:r>
        <w:t xml:space="preserve">Ja een horizonbepaling is aan de orde. </w:t>
      </w:r>
      <w:r w:rsidR="00211FCD">
        <w:t xml:space="preserve">De omvang van de emissievrije nieuwverkoop bij motorfietsen en bijzondere personenauto’s is momenteel beperkt. Het emissievrije aandeel neemt bij het personenautopark naar verwachting sterk toe de komende jaren. Als deze trend zich ook voordoet bij motorfietsen en bijzondere personenauto’s dan kan het budgettaire beslag van de regeling sterk stijgen de komende jaren. Daarom kent de maatregel een horizonbepaling en loopt de korting automatisch af in 2031. Tijdens de evaluatie in 2028 zal worden gekeken of het eventueel wenselijk is de maatregel te verlengen. </w:t>
      </w:r>
    </w:p>
    <w:sectPr w:rsidR="009B581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AF0B" w14:textId="77777777" w:rsidR="00183287" w:rsidRDefault="00183287" w:rsidP="00481BB2">
      <w:pPr>
        <w:spacing w:after="0" w:line="240" w:lineRule="auto"/>
      </w:pPr>
      <w:r>
        <w:separator/>
      </w:r>
    </w:p>
  </w:endnote>
  <w:endnote w:type="continuationSeparator" w:id="0">
    <w:p w14:paraId="18485BC6" w14:textId="77777777" w:rsidR="00183287" w:rsidRDefault="00183287" w:rsidP="0048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C394" w14:textId="77777777" w:rsidR="00183287" w:rsidRDefault="00183287" w:rsidP="00481BB2">
      <w:pPr>
        <w:spacing w:after="0" w:line="240" w:lineRule="auto"/>
      </w:pPr>
      <w:r>
        <w:separator/>
      </w:r>
    </w:p>
  </w:footnote>
  <w:footnote w:type="continuationSeparator" w:id="0">
    <w:p w14:paraId="3D561AA5" w14:textId="77777777" w:rsidR="00183287" w:rsidRDefault="00183287" w:rsidP="00481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7C"/>
    <w:rsid w:val="00003E19"/>
    <w:rsid w:val="000D27E1"/>
    <w:rsid w:val="00113C7E"/>
    <w:rsid w:val="001218BA"/>
    <w:rsid w:val="00183287"/>
    <w:rsid w:val="00187FF4"/>
    <w:rsid w:val="001B15B2"/>
    <w:rsid w:val="00211FCD"/>
    <w:rsid w:val="00315738"/>
    <w:rsid w:val="00474C41"/>
    <w:rsid w:val="00481BB2"/>
    <w:rsid w:val="00543544"/>
    <w:rsid w:val="007079A7"/>
    <w:rsid w:val="00747CB8"/>
    <w:rsid w:val="008534DC"/>
    <w:rsid w:val="0098757C"/>
    <w:rsid w:val="00991A3F"/>
    <w:rsid w:val="009B581A"/>
    <w:rsid w:val="009C5976"/>
    <w:rsid w:val="00A54208"/>
    <w:rsid w:val="00A63141"/>
    <w:rsid w:val="00AF6E9C"/>
    <w:rsid w:val="00B307B6"/>
    <w:rsid w:val="00B43A77"/>
    <w:rsid w:val="00BA2800"/>
    <w:rsid w:val="00C771C2"/>
    <w:rsid w:val="00EA3E7D"/>
    <w:rsid w:val="00FF2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5290"/>
  <w15:chartTrackingRefBased/>
  <w15:docId w15:val="{AF796AC6-270A-4E29-A0AE-38EAFAFF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7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75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75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75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75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5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5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5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5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75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75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75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75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75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5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5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57C"/>
    <w:rPr>
      <w:rFonts w:eastAsiaTheme="majorEastAsia" w:cstheme="majorBidi"/>
      <w:color w:val="272727" w:themeColor="text1" w:themeTint="D8"/>
    </w:rPr>
  </w:style>
  <w:style w:type="paragraph" w:styleId="Titel">
    <w:name w:val="Title"/>
    <w:basedOn w:val="Standaard"/>
    <w:next w:val="Standaard"/>
    <w:link w:val="TitelChar"/>
    <w:uiPriority w:val="10"/>
    <w:qFormat/>
    <w:rsid w:val="00987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5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5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5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5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57C"/>
    <w:rPr>
      <w:i/>
      <w:iCs/>
      <w:color w:val="404040" w:themeColor="text1" w:themeTint="BF"/>
    </w:rPr>
  </w:style>
  <w:style w:type="paragraph" w:styleId="Lijstalinea">
    <w:name w:val="List Paragraph"/>
    <w:basedOn w:val="Standaard"/>
    <w:uiPriority w:val="34"/>
    <w:qFormat/>
    <w:rsid w:val="0098757C"/>
    <w:pPr>
      <w:ind w:left="720"/>
      <w:contextualSpacing/>
    </w:pPr>
  </w:style>
  <w:style w:type="character" w:styleId="Intensievebenadrukking">
    <w:name w:val="Intense Emphasis"/>
    <w:basedOn w:val="Standaardalinea-lettertype"/>
    <w:uiPriority w:val="21"/>
    <w:qFormat/>
    <w:rsid w:val="0098757C"/>
    <w:rPr>
      <w:i/>
      <w:iCs/>
      <w:color w:val="2F5496" w:themeColor="accent1" w:themeShade="BF"/>
    </w:rPr>
  </w:style>
  <w:style w:type="paragraph" w:styleId="Duidelijkcitaat">
    <w:name w:val="Intense Quote"/>
    <w:basedOn w:val="Standaard"/>
    <w:next w:val="Standaard"/>
    <w:link w:val="DuidelijkcitaatChar"/>
    <w:uiPriority w:val="30"/>
    <w:qFormat/>
    <w:rsid w:val="00987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757C"/>
    <w:rPr>
      <w:i/>
      <w:iCs/>
      <w:color w:val="2F5496" w:themeColor="accent1" w:themeShade="BF"/>
    </w:rPr>
  </w:style>
  <w:style w:type="character" w:styleId="Intensieveverwijzing">
    <w:name w:val="Intense Reference"/>
    <w:basedOn w:val="Standaardalinea-lettertype"/>
    <w:uiPriority w:val="32"/>
    <w:qFormat/>
    <w:rsid w:val="0098757C"/>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211FCD"/>
    <w:rPr>
      <w:sz w:val="16"/>
      <w:szCs w:val="16"/>
    </w:rPr>
  </w:style>
  <w:style w:type="paragraph" w:styleId="Tekstopmerking">
    <w:name w:val="annotation text"/>
    <w:basedOn w:val="Standaard"/>
    <w:link w:val="TekstopmerkingChar"/>
    <w:uiPriority w:val="99"/>
    <w:unhideWhenUsed/>
    <w:rsid w:val="00211FCD"/>
    <w:pPr>
      <w:spacing w:line="240" w:lineRule="auto"/>
    </w:pPr>
    <w:rPr>
      <w:sz w:val="20"/>
      <w:szCs w:val="20"/>
    </w:rPr>
  </w:style>
  <w:style w:type="character" w:customStyle="1" w:styleId="TekstopmerkingChar">
    <w:name w:val="Tekst opmerking Char"/>
    <w:basedOn w:val="Standaardalinea-lettertype"/>
    <w:link w:val="Tekstopmerking"/>
    <w:uiPriority w:val="99"/>
    <w:rsid w:val="00211FCD"/>
    <w:rPr>
      <w:sz w:val="20"/>
      <w:szCs w:val="20"/>
    </w:rPr>
  </w:style>
  <w:style w:type="paragraph" w:styleId="Onderwerpvanopmerking">
    <w:name w:val="annotation subject"/>
    <w:basedOn w:val="Tekstopmerking"/>
    <w:next w:val="Tekstopmerking"/>
    <w:link w:val="OnderwerpvanopmerkingChar"/>
    <w:uiPriority w:val="99"/>
    <w:semiHidden/>
    <w:unhideWhenUsed/>
    <w:rsid w:val="00211FCD"/>
    <w:rPr>
      <w:b/>
      <w:bCs/>
    </w:rPr>
  </w:style>
  <w:style w:type="character" w:customStyle="1" w:styleId="OnderwerpvanopmerkingChar">
    <w:name w:val="Onderwerp van opmerking Char"/>
    <w:basedOn w:val="TekstopmerkingChar"/>
    <w:link w:val="Onderwerpvanopmerking"/>
    <w:uiPriority w:val="99"/>
    <w:semiHidden/>
    <w:rsid w:val="00211FCD"/>
    <w:rPr>
      <w:b/>
      <w:bCs/>
      <w:sz w:val="20"/>
      <w:szCs w:val="20"/>
    </w:rPr>
  </w:style>
  <w:style w:type="paragraph" w:styleId="Revisie">
    <w:name w:val="Revision"/>
    <w:hidden/>
    <w:uiPriority w:val="99"/>
    <w:semiHidden/>
    <w:rsid w:val="00991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666</ap:Words>
  <ap:Characters>3665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2025-09-10T08:41:00.0000000Z</dcterms:created>
  <dcterms:modified xsi:type="dcterms:W3CDTF">2025-09-10T08:41:00.0000000Z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2025-09-05T13:18:14Z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a406f601-a43a-42e3-b732-2304fb09de4c</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