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2DFE" w:rsidR="00BE6555" w:rsidP="00BE6555" w:rsidRDefault="00115A98" w14:paraId="216D9BC1" w14:textId="2D8A092C">
      <w:pPr>
        <w:pStyle w:val="Titel"/>
        <w:rPr>
          <w:sz w:val="52"/>
          <w:szCs w:val="52"/>
        </w:rPr>
      </w:pPr>
      <w:r>
        <w:rPr>
          <w:sz w:val="52"/>
          <w:szCs w:val="52"/>
        </w:rPr>
        <w:t xml:space="preserve">Achtergrondnotitie: </w:t>
      </w:r>
      <w:r w:rsidRPr="00DB2DFE" w:rsidR="00BE6555">
        <w:rPr>
          <w:sz w:val="52"/>
          <w:szCs w:val="52"/>
        </w:rPr>
        <w:t xml:space="preserve">Analyse </w:t>
      </w:r>
      <w:r w:rsidRPr="00DB2DFE" w:rsidR="0077602C">
        <w:rPr>
          <w:sz w:val="52"/>
          <w:szCs w:val="52"/>
        </w:rPr>
        <w:t>omvang</w:t>
      </w:r>
      <w:r w:rsidRPr="00DB2DFE" w:rsidR="00BE6555">
        <w:rPr>
          <w:sz w:val="52"/>
          <w:szCs w:val="52"/>
        </w:rPr>
        <w:t xml:space="preserve"> autonome vergroening</w:t>
      </w:r>
      <w:r>
        <w:rPr>
          <w:sz w:val="52"/>
          <w:szCs w:val="52"/>
        </w:rPr>
        <w:t xml:space="preserve"> 2026-2028</w:t>
      </w:r>
    </w:p>
    <w:p w:rsidR="00BE6555" w:rsidP="00BE6555" w:rsidRDefault="00115A98" w14:paraId="74958701" w14:textId="7755C4CD">
      <w:pPr>
        <w:pStyle w:val="Ondertitel"/>
        <w:rPr>
          <w:sz w:val="24"/>
          <w:szCs w:val="24"/>
        </w:rPr>
      </w:pPr>
      <w:r>
        <w:rPr>
          <w:sz w:val="24"/>
          <w:szCs w:val="24"/>
        </w:rPr>
        <w:t>A</w:t>
      </w:r>
      <w:r w:rsidRPr="00115A98">
        <w:rPr>
          <w:sz w:val="24"/>
          <w:szCs w:val="24"/>
        </w:rPr>
        <w:t>anpassing CO</w:t>
      </w:r>
      <w:r w:rsidRPr="00115A98">
        <w:rPr>
          <w:sz w:val="24"/>
          <w:szCs w:val="24"/>
          <w:vertAlign w:val="subscript"/>
        </w:rPr>
        <w:t>2</w:t>
      </w:r>
      <w:r w:rsidRPr="00115A98">
        <w:rPr>
          <w:sz w:val="24"/>
          <w:szCs w:val="24"/>
        </w:rPr>
        <w:t>-schijfgrenzen en tarieven in de bpm-tabel voor personenauto’s</w:t>
      </w:r>
      <w:r w:rsidRPr="00DB2DFE" w:rsidR="00BE6555">
        <w:rPr>
          <w:sz w:val="24"/>
          <w:szCs w:val="24"/>
        </w:rPr>
        <w:t>.</w:t>
      </w:r>
    </w:p>
    <w:p w:rsidRPr="00115A98" w:rsidR="00115A98" w:rsidP="00115A98" w:rsidRDefault="00115A98" w14:paraId="36DF408B" w14:textId="3867DC5B">
      <w:pPr>
        <w:rPr>
          <w:rStyle w:val="Subtielebenadrukking"/>
        </w:rPr>
      </w:pPr>
      <w:r w:rsidRPr="00115A98">
        <w:rPr>
          <w:rStyle w:val="Subtielebenadrukking"/>
        </w:rPr>
        <w:t>16 september 2025</w:t>
      </w:r>
    </w:p>
    <w:p w:rsidRPr="00DB2DFE" w:rsidR="00BE6555" w:rsidP="00BE6555" w:rsidRDefault="00BE6555" w14:paraId="1C176041" w14:textId="77777777">
      <w:pPr>
        <w:pStyle w:val="Kop1"/>
        <w:rPr>
          <w:sz w:val="36"/>
          <w:szCs w:val="36"/>
        </w:rPr>
      </w:pPr>
      <w:r w:rsidRPr="00DB2DFE">
        <w:rPr>
          <w:sz w:val="36"/>
          <w:szCs w:val="36"/>
        </w:rPr>
        <w:t>Inleiding</w:t>
      </w:r>
    </w:p>
    <w:p w:rsidR="007A351A" w:rsidP="00A73D64" w:rsidRDefault="007A351A" w14:paraId="35451CD1" w14:textId="70FED6B7">
      <w:pPr>
        <w:pStyle w:val="Kop2"/>
      </w:pPr>
      <w:r>
        <w:t>Aanleiding</w:t>
      </w:r>
    </w:p>
    <w:p w:rsidR="00115A98" w:rsidP="0053226E" w:rsidRDefault="00115A98" w14:paraId="5341E518" w14:textId="64839DE3">
      <w:pPr>
        <w:rPr>
          <w:sz w:val="22"/>
          <w:szCs w:val="22"/>
        </w:rPr>
      </w:pPr>
      <w:r w:rsidRPr="00115A98">
        <w:rPr>
          <w:sz w:val="22"/>
          <w:szCs w:val="22"/>
        </w:rPr>
        <w:t>Sinds 201</w:t>
      </w:r>
      <w:r w:rsidR="002A2DC1">
        <w:rPr>
          <w:sz w:val="22"/>
          <w:szCs w:val="22"/>
        </w:rPr>
        <w:t>0</w:t>
      </w:r>
      <w:r w:rsidRPr="00115A98">
        <w:rPr>
          <w:sz w:val="22"/>
          <w:szCs w:val="22"/>
        </w:rPr>
        <w:t xml:space="preserve"> is de belasting van personenauto’s en motorrijwielen (bpm) voor personenauto’s gebaseerd op de CO2-uitstoot. Nieuw geproduceerde personenauto’s stoten in de loop der jaren steeds minder CO2 uit, onder meer als gevolg van aanscherpingen </w:t>
      </w:r>
      <w:r w:rsidR="007A351A">
        <w:rPr>
          <w:sz w:val="22"/>
          <w:szCs w:val="22"/>
        </w:rPr>
        <w:t>die volgen uit verordeningen van de Europese Commissie</w:t>
      </w:r>
      <w:r w:rsidRPr="00115A98">
        <w:rPr>
          <w:sz w:val="22"/>
          <w:szCs w:val="22"/>
        </w:rPr>
        <w:t>. Vanwege deze ‘autonome vergroening’ worden de CO2-schijfgrenzen en tarieven in de bpm jaarlijks aangescherpt. Daarmee is beoogd om een te voorziene erosie van de belastinggrondslag bij fossiele personenauto’s te voorkomen.</w:t>
      </w:r>
      <w:r>
        <w:rPr>
          <w:rStyle w:val="Voetnootmarkering"/>
          <w:sz w:val="22"/>
          <w:szCs w:val="22"/>
        </w:rPr>
        <w:footnoteReference w:id="1"/>
      </w:r>
      <w:r w:rsidRPr="00115A98">
        <w:rPr>
          <w:sz w:val="22"/>
          <w:szCs w:val="22"/>
        </w:rPr>
        <w:t xml:space="preserve">  Dit is wettelijk geregeld tot en met 2025. </w:t>
      </w:r>
      <w:r w:rsidR="007A351A">
        <w:rPr>
          <w:sz w:val="22"/>
          <w:szCs w:val="22"/>
        </w:rPr>
        <w:t>In</w:t>
      </w:r>
      <w:r>
        <w:rPr>
          <w:sz w:val="22"/>
          <w:szCs w:val="22"/>
        </w:rPr>
        <w:t xml:space="preserve"> deze achtergrondnotitie wordt </w:t>
      </w:r>
      <w:r w:rsidR="007A351A">
        <w:rPr>
          <w:sz w:val="22"/>
          <w:szCs w:val="22"/>
        </w:rPr>
        <w:t xml:space="preserve">een inschatting gemaakt van </w:t>
      </w:r>
      <w:r>
        <w:rPr>
          <w:sz w:val="22"/>
          <w:szCs w:val="22"/>
        </w:rPr>
        <w:t xml:space="preserve">de omvang van de autonome vergroening </w:t>
      </w:r>
      <w:r w:rsidRPr="00115A98">
        <w:rPr>
          <w:sz w:val="22"/>
          <w:szCs w:val="22"/>
        </w:rPr>
        <w:t>voor de periode 2026-2028</w:t>
      </w:r>
      <w:r w:rsidR="004E0DCD">
        <w:rPr>
          <w:sz w:val="22"/>
          <w:szCs w:val="22"/>
        </w:rPr>
        <w:t>, zodat dit ook wettelijk geregeld kan worden voor die jaren.</w:t>
      </w:r>
    </w:p>
    <w:p w:rsidR="007A351A" w:rsidP="00A73D64" w:rsidRDefault="007A351A" w14:paraId="4EB8F306" w14:textId="3BF7951A">
      <w:pPr>
        <w:pStyle w:val="Kop2"/>
      </w:pPr>
      <w:r>
        <w:t>Achtergrond</w:t>
      </w:r>
    </w:p>
    <w:p w:rsidRPr="00DB2DFE" w:rsidR="0053226E" w:rsidP="0053226E" w:rsidRDefault="002A2DC1" w14:paraId="2FB99D53" w14:textId="0E1098EE">
      <w:pPr>
        <w:rPr>
          <w:sz w:val="22"/>
          <w:szCs w:val="22"/>
        </w:rPr>
      </w:pPr>
      <w:r>
        <w:rPr>
          <w:sz w:val="22"/>
          <w:szCs w:val="22"/>
        </w:rPr>
        <w:t>Tot 2010 was de grondslag voor de bpm voor personenauto’s de netto catalogusprijs. In de periode 2010-2012 w</w:t>
      </w:r>
      <w:r w:rsidR="00A84683">
        <w:rPr>
          <w:sz w:val="22"/>
          <w:szCs w:val="22"/>
        </w:rPr>
        <w:t>as</w:t>
      </w:r>
      <w:r>
        <w:rPr>
          <w:sz w:val="22"/>
          <w:szCs w:val="22"/>
        </w:rPr>
        <w:t xml:space="preserve"> de bpm gebaseerd op de CO</w:t>
      </w:r>
      <w:r w:rsidRPr="007E2FE5">
        <w:rPr>
          <w:sz w:val="22"/>
          <w:szCs w:val="22"/>
          <w:vertAlign w:val="subscript"/>
        </w:rPr>
        <w:t>2</w:t>
      </w:r>
      <w:r>
        <w:rPr>
          <w:sz w:val="22"/>
          <w:szCs w:val="22"/>
        </w:rPr>
        <w:t xml:space="preserve">-uitstoot en de netto catalogusprijs. </w:t>
      </w:r>
      <w:r w:rsidRPr="00115A98" w:rsidR="007A351A">
        <w:rPr>
          <w:sz w:val="22"/>
          <w:szCs w:val="22"/>
        </w:rPr>
        <w:t>Sinds 201</w:t>
      </w:r>
      <w:r w:rsidR="004E0DCD">
        <w:rPr>
          <w:sz w:val="22"/>
          <w:szCs w:val="22"/>
        </w:rPr>
        <w:t>3</w:t>
      </w:r>
      <w:r w:rsidRPr="00115A98" w:rsidR="007A351A">
        <w:rPr>
          <w:sz w:val="22"/>
          <w:szCs w:val="22"/>
        </w:rPr>
        <w:t xml:space="preserve"> is de </w:t>
      </w:r>
      <w:r w:rsidR="007A351A">
        <w:rPr>
          <w:sz w:val="22"/>
          <w:szCs w:val="22"/>
        </w:rPr>
        <w:t xml:space="preserve">bpm </w:t>
      </w:r>
      <w:r w:rsidRPr="00115A98" w:rsidR="007A351A">
        <w:rPr>
          <w:sz w:val="22"/>
          <w:szCs w:val="22"/>
        </w:rPr>
        <w:t>voor personenauto’s volledig gebaseerd op de CO</w:t>
      </w:r>
      <w:r w:rsidRPr="007E2FE5" w:rsidR="007A351A">
        <w:rPr>
          <w:sz w:val="22"/>
          <w:szCs w:val="22"/>
          <w:vertAlign w:val="subscript"/>
        </w:rPr>
        <w:t>2</w:t>
      </w:r>
      <w:r w:rsidRPr="00115A98" w:rsidR="007A351A">
        <w:rPr>
          <w:sz w:val="22"/>
          <w:szCs w:val="22"/>
        </w:rPr>
        <w:t xml:space="preserve">-uitstoot. </w:t>
      </w:r>
      <w:r w:rsidR="004E0DCD">
        <w:rPr>
          <w:sz w:val="22"/>
          <w:szCs w:val="22"/>
        </w:rPr>
        <w:t>De</w:t>
      </w:r>
      <w:r w:rsidRPr="00DB2DFE" w:rsidR="0053226E">
        <w:rPr>
          <w:sz w:val="22"/>
          <w:szCs w:val="22"/>
        </w:rPr>
        <w:t xml:space="preserve"> omschakeling van de </w:t>
      </w:r>
      <w:r w:rsidR="007E2FE5">
        <w:rPr>
          <w:sz w:val="22"/>
          <w:szCs w:val="22"/>
        </w:rPr>
        <w:t>bpm</w:t>
      </w:r>
      <w:r w:rsidRPr="00DB2DFE" w:rsidR="0053226E">
        <w:rPr>
          <w:sz w:val="22"/>
          <w:szCs w:val="22"/>
        </w:rPr>
        <w:t xml:space="preserve"> </w:t>
      </w:r>
      <w:r w:rsidR="00554DB4">
        <w:rPr>
          <w:sz w:val="22"/>
          <w:szCs w:val="22"/>
        </w:rPr>
        <w:t xml:space="preserve">voor personenauto’s </w:t>
      </w:r>
      <w:r w:rsidR="00220DCF">
        <w:rPr>
          <w:sz w:val="22"/>
          <w:szCs w:val="22"/>
        </w:rPr>
        <w:t xml:space="preserve">op basis van </w:t>
      </w:r>
      <w:r w:rsidR="007E2FE5">
        <w:rPr>
          <w:sz w:val="22"/>
          <w:szCs w:val="22"/>
        </w:rPr>
        <w:t xml:space="preserve">de netto </w:t>
      </w:r>
      <w:r w:rsidR="00220DCF">
        <w:rPr>
          <w:sz w:val="22"/>
          <w:szCs w:val="22"/>
        </w:rPr>
        <w:t xml:space="preserve">catalogusprijs </w:t>
      </w:r>
      <w:r w:rsidRPr="00DB2DFE" w:rsidR="0053226E">
        <w:rPr>
          <w:sz w:val="22"/>
          <w:szCs w:val="22"/>
        </w:rPr>
        <w:t xml:space="preserve">naar de progressieve </w:t>
      </w:r>
      <w:r w:rsidR="007E2FE5">
        <w:rPr>
          <w:sz w:val="22"/>
          <w:szCs w:val="22"/>
        </w:rPr>
        <w:t>bpm</w:t>
      </w:r>
      <w:r w:rsidRPr="00DB2DFE" w:rsidR="0053226E">
        <w:rPr>
          <w:sz w:val="22"/>
          <w:szCs w:val="22"/>
        </w:rPr>
        <w:t xml:space="preserve"> op basis van CO₂-uitstoot </w:t>
      </w:r>
      <w:r w:rsidR="004E0DCD">
        <w:rPr>
          <w:sz w:val="22"/>
          <w:szCs w:val="22"/>
        </w:rPr>
        <w:t xml:space="preserve">is opgenomen in het Belastingplan 2009. </w:t>
      </w:r>
      <w:r w:rsidR="00554DB4">
        <w:rPr>
          <w:sz w:val="22"/>
          <w:szCs w:val="22"/>
        </w:rPr>
        <w:t>Daarbij is opgenomen dat de maatvoering van de bpm wordt aangepast om te corrigeren voor de vermindering van de CO</w:t>
      </w:r>
      <w:r w:rsidRPr="00554DB4" w:rsidR="00554DB4">
        <w:rPr>
          <w:sz w:val="22"/>
          <w:szCs w:val="22"/>
          <w:vertAlign w:val="subscript"/>
        </w:rPr>
        <w:t>2</w:t>
      </w:r>
      <w:r w:rsidR="00554DB4">
        <w:rPr>
          <w:sz w:val="22"/>
          <w:szCs w:val="22"/>
        </w:rPr>
        <w:t>-uitstoot</w:t>
      </w:r>
      <w:r w:rsidR="00E16AEA">
        <w:rPr>
          <w:sz w:val="22"/>
          <w:szCs w:val="22"/>
        </w:rPr>
        <w:t xml:space="preserve"> zodat de omschakeling</w:t>
      </w:r>
      <w:r w:rsidRPr="00DB2DFE" w:rsidR="0053226E">
        <w:rPr>
          <w:sz w:val="22"/>
          <w:szCs w:val="22"/>
        </w:rPr>
        <w:t xml:space="preserve"> lastenneutraal </w:t>
      </w:r>
      <w:r w:rsidR="00E16AEA">
        <w:rPr>
          <w:sz w:val="22"/>
          <w:szCs w:val="22"/>
        </w:rPr>
        <w:t xml:space="preserve">is </w:t>
      </w:r>
      <w:r w:rsidRPr="00DB2DFE" w:rsidR="0053226E">
        <w:rPr>
          <w:sz w:val="22"/>
          <w:szCs w:val="22"/>
        </w:rPr>
        <w:t xml:space="preserve">voor de Rijksbegroting. </w:t>
      </w:r>
    </w:p>
    <w:p w:rsidRPr="00DB2DFE" w:rsidR="0053226E" w:rsidP="0053226E" w:rsidRDefault="002A2DC1" w14:paraId="7C04257E" w14:textId="3EC43C14">
      <w:pPr>
        <w:rPr>
          <w:sz w:val="22"/>
          <w:szCs w:val="22"/>
        </w:rPr>
      </w:pPr>
      <w:r>
        <w:rPr>
          <w:sz w:val="22"/>
          <w:szCs w:val="22"/>
        </w:rPr>
        <w:t xml:space="preserve">Er kunnen verschillende </w:t>
      </w:r>
      <w:r w:rsidRPr="00DB2DFE" w:rsidR="0053226E">
        <w:rPr>
          <w:sz w:val="22"/>
          <w:szCs w:val="22"/>
        </w:rPr>
        <w:t>effecten optreden</w:t>
      </w:r>
      <w:r>
        <w:rPr>
          <w:sz w:val="22"/>
          <w:szCs w:val="22"/>
        </w:rPr>
        <w:t xml:space="preserve"> die de CO</w:t>
      </w:r>
      <w:r w:rsidRPr="002A2DC1">
        <w:rPr>
          <w:sz w:val="22"/>
          <w:szCs w:val="22"/>
          <w:vertAlign w:val="subscript"/>
        </w:rPr>
        <w:t>2</w:t>
      </w:r>
      <w:r>
        <w:rPr>
          <w:sz w:val="22"/>
          <w:szCs w:val="22"/>
        </w:rPr>
        <w:t>-uitstoot en daarmee de bpm-opbrengst beïnvloeden</w:t>
      </w:r>
      <w:r w:rsidRPr="00DB2DFE" w:rsidR="0053226E">
        <w:rPr>
          <w:sz w:val="22"/>
          <w:szCs w:val="22"/>
        </w:rPr>
        <w:t>:</w:t>
      </w:r>
    </w:p>
    <w:p w:rsidRPr="00DB2DFE" w:rsidR="0053226E" w:rsidP="00BE6555" w:rsidRDefault="0053226E" w14:paraId="4EB9348D" w14:textId="4471384D">
      <w:pPr>
        <w:pStyle w:val="Lijstalinea"/>
        <w:numPr>
          <w:ilvl w:val="0"/>
          <w:numId w:val="8"/>
        </w:numPr>
        <w:rPr>
          <w:sz w:val="22"/>
          <w:szCs w:val="22"/>
        </w:rPr>
      </w:pPr>
      <w:r w:rsidRPr="00DB2DFE">
        <w:rPr>
          <w:sz w:val="22"/>
          <w:szCs w:val="22"/>
        </w:rPr>
        <w:t xml:space="preserve">De brandstofefficiëntie van </w:t>
      </w:r>
      <w:r w:rsidRPr="00DB2DFE" w:rsidR="003157B3">
        <w:rPr>
          <w:sz w:val="22"/>
          <w:szCs w:val="22"/>
        </w:rPr>
        <w:t xml:space="preserve">bestaande </w:t>
      </w:r>
      <w:r w:rsidRPr="00DB2DFE">
        <w:rPr>
          <w:sz w:val="22"/>
          <w:szCs w:val="22"/>
        </w:rPr>
        <w:t>auto</w:t>
      </w:r>
      <w:r w:rsidRPr="00DB2DFE" w:rsidR="003157B3">
        <w:rPr>
          <w:sz w:val="22"/>
          <w:szCs w:val="22"/>
        </w:rPr>
        <w:t>modellen</w:t>
      </w:r>
      <w:r w:rsidRPr="00DB2DFE">
        <w:rPr>
          <w:sz w:val="22"/>
          <w:szCs w:val="22"/>
        </w:rPr>
        <w:t xml:space="preserve"> gaat omhoog waardoor de algehele CO₂-uitstoot van aangeschafte </w:t>
      </w:r>
      <w:r w:rsidR="00A66943">
        <w:rPr>
          <w:sz w:val="22"/>
          <w:szCs w:val="22"/>
        </w:rPr>
        <w:t>personenauto</w:t>
      </w:r>
      <w:r w:rsidRPr="00DB2DFE">
        <w:rPr>
          <w:sz w:val="22"/>
          <w:szCs w:val="22"/>
        </w:rPr>
        <w:t xml:space="preserve">’s daalt. Hierdoor zullen de opbrengsten uit de </w:t>
      </w:r>
      <w:r w:rsidR="00010142">
        <w:rPr>
          <w:sz w:val="22"/>
          <w:szCs w:val="22"/>
        </w:rPr>
        <w:t>bpm</w:t>
      </w:r>
      <w:r w:rsidRPr="00DB2DFE">
        <w:rPr>
          <w:sz w:val="22"/>
          <w:szCs w:val="22"/>
        </w:rPr>
        <w:t xml:space="preserve"> teruglopen.</w:t>
      </w:r>
    </w:p>
    <w:p w:rsidRPr="00DB2DFE" w:rsidR="0053226E" w:rsidP="00BE6555" w:rsidRDefault="003157B3" w14:paraId="44B52027" w14:textId="337D5DFC">
      <w:pPr>
        <w:pStyle w:val="Lijstalinea"/>
        <w:numPr>
          <w:ilvl w:val="0"/>
          <w:numId w:val="8"/>
        </w:numPr>
        <w:rPr>
          <w:sz w:val="22"/>
          <w:szCs w:val="22"/>
        </w:rPr>
      </w:pPr>
      <w:r w:rsidRPr="00DB2DFE">
        <w:rPr>
          <w:sz w:val="22"/>
          <w:szCs w:val="22"/>
        </w:rPr>
        <w:t>Er kunnen nieuwe modellen ontwikkeld worden waardoor ook de keuzeruimte van degene</w:t>
      </w:r>
      <w:r w:rsidR="00BD0E85">
        <w:rPr>
          <w:sz w:val="22"/>
          <w:szCs w:val="22"/>
        </w:rPr>
        <w:t>n</w:t>
      </w:r>
      <w:r w:rsidRPr="00DB2DFE">
        <w:rPr>
          <w:sz w:val="22"/>
          <w:szCs w:val="22"/>
        </w:rPr>
        <w:t xml:space="preserve"> die een </w:t>
      </w:r>
      <w:r w:rsidR="00A66943">
        <w:rPr>
          <w:sz w:val="22"/>
          <w:szCs w:val="22"/>
        </w:rPr>
        <w:t>personenauto</w:t>
      </w:r>
      <w:r w:rsidRPr="00DB2DFE">
        <w:rPr>
          <w:sz w:val="22"/>
          <w:szCs w:val="22"/>
        </w:rPr>
        <w:t xml:space="preserve"> aanschaffen niet hetzelfde blijft. Per saldo is niet direct duidelijk wat hiervan het effect op de </w:t>
      </w:r>
      <w:r w:rsidR="00010142">
        <w:rPr>
          <w:sz w:val="22"/>
          <w:szCs w:val="22"/>
        </w:rPr>
        <w:t>bpm</w:t>
      </w:r>
      <w:r w:rsidRPr="00DB2DFE">
        <w:rPr>
          <w:sz w:val="22"/>
          <w:szCs w:val="22"/>
        </w:rPr>
        <w:t>-opbrengst is.</w:t>
      </w:r>
      <w:r w:rsidRPr="00DB2DFE" w:rsidR="0053226E">
        <w:rPr>
          <w:sz w:val="22"/>
          <w:szCs w:val="22"/>
        </w:rPr>
        <w:t xml:space="preserve">  </w:t>
      </w:r>
    </w:p>
    <w:p w:rsidRPr="00DB2DFE" w:rsidR="003157B3" w:rsidP="003157B3" w:rsidRDefault="003157B3" w14:paraId="137E10F8" w14:textId="0EEF650C">
      <w:pPr>
        <w:pStyle w:val="Lijstalinea"/>
        <w:numPr>
          <w:ilvl w:val="0"/>
          <w:numId w:val="8"/>
        </w:numPr>
        <w:rPr>
          <w:sz w:val="22"/>
          <w:szCs w:val="22"/>
        </w:rPr>
      </w:pPr>
      <w:r w:rsidRPr="00DB2DFE">
        <w:rPr>
          <w:sz w:val="22"/>
          <w:szCs w:val="22"/>
        </w:rPr>
        <w:lastRenderedPageBreak/>
        <w:t xml:space="preserve">Door het progressieve tarief op de CO₂-uitstoot van </w:t>
      </w:r>
      <w:r w:rsidR="00A66943">
        <w:rPr>
          <w:sz w:val="22"/>
          <w:szCs w:val="22"/>
        </w:rPr>
        <w:t>personenauto</w:t>
      </w:r>
      <w:r w:rsidRPr="00DB2DFE">
        <w:rPr>
          <w:sz w:val="22"/>
          <w:szCs w:val="22"/>
        </w:rPr>
        <w:t xml:space="preserve">’s zal bij de aanschaf van een </w:t>
      </w:r>
      <w:r w:rsidR="00A66943">
        <w:rPr>
          <w:sz w:val="22"/>
          <w:szCs w:val="22"/>
        </w:rPr>
        <w:t>personenauto</w:t>
      </w:r>
      <w:r w:rsidRPr="00DB2DFE">
        <w:rPr>
          <w:sz w:val="22"/>
          <w:szCs w:val="22"/>
        </w:rPr>
        <w:t xml:space="preserve"> de prikkel aanwezig zijn om CO₂-efficiëntere </w:t>
      </w:r>
      <w:r w:rsidR="00A66943">
        <w:rPr>
          <w:sz w:val="22"/>
          <w:szCs w:val="22"/>
        </w:rPr>
        <w:t>personenauto</w:t>
      </w:r>
      <w:r w:rsidRPr="00DB2DFE">
        <w:rPr>
          <w:sz w:val="22"/>
          <w:szCs w:val="22"/>
        </w:rPr>
        <w:t xml:space="preserve">’s te kiezen. Dit </w:t>
      </w:r>
      <w:r w:rsidR="00877EF0">
        <w:rPr>
          <w:sz w:val="22"/>
          <w:szCs w:val="22"/>
        </w:rPr>
        <w:t>gedragseffect</w:t>
      </w:r>
      <w:r w:rsidRPr="00DB2DFE">
        <w:rPr>
          <w:sz w:val="22"/>
          <w:szCs w:val="22"/>
        </w:rPr>
        <w:t xml:space="preserve"> </w:t>
      </w:r>
      <w:r w:rsidR="00111297">
        <w:rPr>
          <w:sz w:val="22"/>
          <w:szCs w:val="22"/>
        </w:rPr>
        <w:t>zal</w:t>
      </w:r>
      <w:r w:rsidRPr="00DB2DFE">
        <w:rPr>
          <w:sz w:val="22"/>
          <w:szCs w:val="22"/>
        </w:rPr>
        <w:t xml:space="preserve"> de </w:t>
      </w:r>
      <w:r w:rsidR="00010142">
        <w:rPr>
          <w:sz w:val="22"/>
          <w:szCs w:val="22"/>
        </w:rPr>
        <w:t>bpm</w:t>
      </w:r>
      <w:r w:rsidRPr="00DB2DFE">
        <w:rPr>
          <w:sz w:val="22"/>
          <w:szCs w:val="22"/>
        </w:rPr>
        <w:t xml:space="preserve">-opbrengst </w:t>
      </w:r>
      <w:r w:rsidR="00111297">
        <w:rPr>
          <w:sz w:val="22"/>
          <w:szCs w:val="22"/>
        </w:rPr>
        <w:t>laten</w:t>
      </w:r>
      <w:r w:rsidRPr="00DB2DFE">
        <w:rPr>
          <w:sz w:val="22"/>
          <w:szCs w:val="22"/>
        </w:rPr>
        <w:t xml:space="preserve"> dalen.</w:t>
      </w:r>
    </w:p>
    <w:p w:rsidR="00AE598D" w:rsidP="00BE6555" w:rsidRDefault="002A2DC1" w14:paraId="1B06EC6F" w14:textId="7FD4666D">
      <w:pPr>
        <w:rPr>
          <w:sz w:val="22"/>
          <w:szCs w:val="22"/>
        </w:rPr>
      </w:pPr>
      <w:r>
        <w:rPr>
          <w:sz w:val="22"/>
          <w:szCs w:val="22"/>
        </w:rPr>
        <w:t>Gegeven deze verschillende effecten zijn er verschillende definities te geven van w</w:t>
      </w:r>
      <w:r w:rsidRPr="00DB2DFE">
        <w:rPr>
          <w:sz w:val="22"/>
          <w:szCs w:val="22"/>
        </w:rPr>
        <w:t xml:space="preserve">at lastenneutraal </w:t>
      </w:r>
      <w:r>
        <w:rPr>
          <w:sz w:val="22"/>
          <w:szCs w:val="22"/>
        </w:rPr>
        <w:t xml:space="preserve">in dit geval </w:t>
      </w:r>
      <w:r w:rsidRPr="00DB2DFE">
        <w:rPr>
          <w:sz w:val="22"/>
          <w:szCs w:val="22"/>
        </w:rPr>
        <w:t>beteken</w:t>
      </w:r>
      <w:r>
        <w:rPr>
          <w:sz w:val="22"/>
          <w:szCs w:val="22"/>
        </w:rPr>
        <w:t>t</w:t>
      </w:r>
      <w:r w:rsidRPr="00DB2DFE">
        <w:rPr>
          <w:sz w:val="22"/>
          <w:szCs w:val="22"/>
        </w:rPr>
        <w:t>.</w:t>
      </w:r>
      <w:r w:rsidRPr="00DB2DFE">
        <w:rPr>
          <w:rStyle w:val="Voetnootmarkering"/>
          <w:sz w:val="22"/>
          <w:szCs w:val="22"/>
        </w:rPr>
        <w:footnoteReference w:id="2"/>
      </w:r>
      <w:r>
        <w:rPr>
          <w:sz w:val="22"/>
          <w:szCs w:val="22"/>
        </w:rPr>
        <w:t xml:space="preserve"> </w:t>
      </w:r>
      <w:r w:rsidRPr="00DB2DFE" w:rsidR="003157B3">
        <w:rPr>
          <w:sz w:val="22"/>
          <w:szCs w:val="22"/>
        </w:rPr>
        <w:t xml:space="preserve">Bij de ombouw van de </w:t>
      </w:r>
      <w:r w:rsidR="00010142">
        <w:rPr>
          <w:sz w:val="22"/>
          <w:szCs w:val="22"/>
        </w:rPr>
        <w:t>bpm</w:t>
      </w:r>
      <w:r w:rsidRPr="00DB2DFE" w:rsidR="003157B3">
        <w:rPr>
          <w:sz w:val="22"/>
          <w:szCs w:val="22"/>
        </w:rPr>
        <w:t xml:space="preserve"> is destijds </w:t>
      </w:r>
      <w:r w:rsidRPr="00DB2DFE" w:rsidR="00BD74E1">
        <w:rPr>
          <w:sz w:val="22"/>
          <w:szCs w:val="22"/>
        </w:rPr>
        <w:t xml:space="preserve">besloten dat </w:t>
      </w:r>
      <w:r w:rsidR="0072290D">
        <w:rPr>
          <w:sz w:val="22"/>
          <w:szCs w:val="22"/>
        </w:rPr>
        <w:t xml:space="preserve">sprake moet zijn van </w:t>
      </w:r>
      <w:r w:rsidRPr="00115A98" w:rsidR="00151112">
        <w:rPr>
          <w:i/>
          <w:iCs/>
          <w:sz w:val="22"/>
          <w:szCs w:val="22"/>
        </w:rPr>
        <w:t>ex ante</w:t>
      </w:r>
      <w:r w:rsidR="00151112">
        <w:rPr>
          <w:sz w:val="22"/>
          <w:szCs w:val="22"/>
        </w:rPr>
        <w:t xml:space="preserve"> </w:t>
      </w:r>
      <w:r w:rsidR="0072290D">
        <w:rPr>
          <w:sz w:val="22"/>
          <w:szCs w:val="22"/>
        </w:rPr>
        <w:t>lastenneutraliteit</w:t>
      </w:r>
      <w:r w:rsidRPr="00DB2DFE" w:rsidR="00BD74E1">
        <w:rPr>
          <w:sz w:val="22"/>
          <w:szCs w:val="22"/>
        </w:rPr>
        <w:t xml:space="preserve">. </w:t>
      </w:r>
      <w:r w:rsidR="00111297">
        <w:rPr>
          <w:sz w:val="22"/>
          <w:szCs w:val="22"/>
        </w:rPr>
        <w:t>Dat betekent dat</w:t>
      </w:r>
      <w:r w:rsidRPr="00DB2DFE" w:rsidR="00BD74E1">
        <w:rPr>
          <w:sz w:val="22"/>
          <w:szCs w:val="22"/>
        </w:rPr>
        <w:t xml:space="preserve"> de CO₂-reductie die komt door</w:t>
      </w:r>
      <w:r w:rsidR="00877EF0">
        <w:rPr>
          <w:sz w:val="22"/>
          <w:szCs w:val="22"/>
        </w:rPr>
        <w:t xml:space="preserve"> het </w:t>
      </w:r>
      <w:r w:rsidR="0020635F">
        <w:rPr>
          <w:sz w:val="22"/>
          <w:szCs w:val="22"/>
        </w:rPr>
        <w:t xml:space="preserve">beoogde </w:t>
      </w:r>
      <w:r w:rsidR="00877EF0">
        <w:rPr>
          <w:sz w:val="22"/>
          <w:szCs w:val="22"/>
        </w:rPr>
        <w:t xml:space="preserve">gedragseffect </w:t>
      </w:r>
      <w:r w:rsidR="00BD0E85">
        <w:rPr>
          <w:sz w:val="22"/>
          <w:szCs w:val="22"/>
        </w:rPr>
        <w:t>van</w:t>
      </w:r>
      <w:r w:rsidR="00A66943">
        <w:rPr>
          <w:sz w:val="22"/>
          <w:szCs w:val="22"/>
        </w:rPr>
        <w:t xml:space="preserve"> </w:t>
      </w:r>
      <w:r w:rsidR="00111297">
        <w:rPr>
          <w:sz w:val="22"/>
          <w:szCs w:val="22"/>
        </w:rPr>
        <w:t xml:space="preserve">consumenten die zuinigere </w:t>
      </w:r>
      <w:r w:rsidR="0059523B">
        <w:rPr>
          <w:sz w:val="22"/>
          <w:szCs w:val="22"/>
        </w:rPr>
        <w:t>personenauto</w:t>
      </w:r>
      <w:r>
        <w:rPr>
          <w:sz w:val="22"/>
          <w:szCs w:val="22"/>
        </w:rPr>
        <w:t>’</w:t>
      </w:r>
      <w:r w:rsidR="00111297">
        <w:rPr>
          <w:sz w:val="22"/>
          <w:szCs w:val="22"/>
        </w:rPr>
        <w:t>s ko</w:t>
      </w:r>
      <w:r w:rsidR="00946564">
        <w:rPr>
          <w:sz w:val="22"/>
          <w:szCs w:val="22"/>
        </w:rPr>
        <w:t>p</w:t>
      </w:r>
      <w:r w:rsidR="00111297">
        <w:rPr>
          <w:sz w:val="22"/>
          <w:szCs w:val="22"/>
        </w:rPr>
        <w:t>en</w:t>
      </w:r>
      <w:r>
        <w:rPr>
          <w:sz w:val="22"/>
          <w:szCs w:val="22"/>
        </w:rPr>
        <w:t>,</w:t>
      </w:r>
      <w:r w:rsidR="00111297">
        <w:rPr>
          <w:sz w:val="22"/>
          <w:szCs w:val="22"/>
        </w:rPr>
        <w:t xml:space="preserve"> </w:t>
      </w:r>
      <w:r w:rsidRPr="00DB2DFE" w:rsidR="00BD74E1">
        <w:rPr>
          <w:sz w:val="22"/>
          <w:szCs w:val="22"/>
        </w:rPr>
        <w:t xml:space="preserve">niet </w:t>
      </w:r>
      <w:r w:rsidR="00F755C2">
        <w:rPr>
          <w:sz w:val="22"/>
          <w:szCs w:val="22"/>
        </w:rPr>
        <w:t>meegenomen wordt</w:t>
      </w:r>
      <w:r w:rsidR="0020635F">
        <w:rPr>
          <w:sz w:val="22"/>
          <w:szCs w:val="22"/>
        </w:rPr>
        <w:t>, zodat goed gedrag niet bestraft wordt</w:t>
      </w:r>
      <w:r w:rsidRPr="00DB2DFE" w:rsidR="00BD74E1">
        <w:rPr>
          <w:sz w:val="22"/>
          <w:szCs w:val="22"/>
        </w:rPr>
        <w:t xml:space="preserve">. </w:t>
      </w:r>
      <w:r w:rsidR="00877EF0">
        <w:rPr>
          <w:sz w:val="22"/>
          <w:szCs w:val="22"/>
        </w:rPr>
        <w:t>Maar a</w:t>
      </w:r>
      <w:r w:rsidRPr="00DB2DFE" w:rsidR="00BD74E1">
        <w:rPr>
          <w:sz w:val="22"/>
          <w:szCs w:val="22"/>
        </w:rPr>
        <w:t>lle CO₂-uitstootreductie die niet komt door zulke gedragseffecten</w:t>
      </w:r>
      <w:r>
        <w:rPr>
          <w:sz w:val="22"/>
          <w:szCs w:val="22"/>
        </w:rPr>
        <w:t xml:space="preserve"> – de </w:t>
      </w:r>
      <w:r w:rsidRPr="00DB2DFE" w:rsidR="00BD74E1">
        <w:rPr>
          <w:sz w:val="22"/>
          <w:szCs w:val="22"/>
        </w:rPr>
        <w:t>zogeheten ‘autonome vergroening’</w:t>
      </w:r>
      <w:r>
        <w:rPr>
          <w:sz w:val="22"/>
          <w:szCs w:val="22"/>
        </w:rPr>
        <w:t xml:space="preserve"> – </w:t>
      </w:r>
      <w:r w:rsidRPr="00DB2DFE" w:rsidR="0020635F">
        <w:rPr>
          <w:sz w:val="22"/>
          <w:szCs w:val="22"/>
        </w:rPr>
        <w:t>moet wel gecompenseerd worden</w:t>
      </w:r>
      <w:r w:rsidRPr="00DB2DFE" w:rsidR="00BD74E1">
        <w:rPr>
          <w:sz w:val="22"/>
          <w:szCs w:val="22"/>
        </w:rPr>
        <w:t xml:space="preserve">. </w:t>
      </w:r>
    </w:p>
    <w:p w:rsidR="00AA4227" w:rsidP="00A73D64" w:rsidRDefault="00AA4227" w14:paraId="2D66590C" w14:textId="2E3B1E61">
      <w:pPr>
        <w:pStyle w:val="Kop2"/>
      </w:pPr>
      <w:r>
        <w:t>Doel</w:t>
      </w:r>
    </w:p>
    <w:p w:rsidR="000857B1" w:rsidP="00BE6555" w:rsidRDefault="00BD74E1" w14:paraId="564A38D1" w14:textId="27DC10BF">
      <w:pPr>
        <w:rPr>
          <w:sz w:val="22"/>
          <w:szCs w:val="22"/>
        </w:rPr>
      </w:pPr>
      <w:r w:rsidRPr="00DB2DFE">
        <w:rPr>
          <w:sz w:val="22"/>
          <w:szCs w:val="22"/>
        </w:rPr>
        <w:t>De laatste correctie voor autonome vergroening vond</w:t>
      </w:r>
      <w:r w:rsidR="00877EF0">
        <w:rPr>
          <w:sz w:val="22"/>
          <w:szCs w:val="22"/>
        </w:rPr>
        <w:t xml:space="preserve"> </w:t>
      </w:r>
      <w:r w:rsidRPr="00DB2DFE">
        <w:rPr>
          <w:sz w:val="22"/>
          <w:szCs w:val="22"/>
        </w:rPr>
        <w:t>plaats in 2021</w:t>
      </w:r>
      <w:r w:rsidR="00946564">
        <w:rPr>
          <w:sz w:val="22"/>
          <w:szCs w:val="22"/>
        </w:rPr>
        <w:t xml:space="preserve"> </w:t>
      </w:r>
      <w:r w:rsidR="00122B12">
        <w:rPr>
          <w:sz w:val="22"/>
          <w:szCs w:val="22"/>
        </w:rPr>
        <w:t xml:space="preserve">in het Belastingplan 2022 </w:t>
      </w:r>
      <w:r w:rsidR="00111297">
        <w:rPr>
          <w:sz w:val="22"/>
          <w:szCs w:val="22"/>
        </w:rPr>
        <w:t xml:space="preserve">en bedroeg </w:t>
      </w:r>
      <w:r w:rsidR="0072290D">
        <w:rPr>
          <w:sz w:val="22"/>
          <w:szCs w:val="22"/>
        </w:rPr>
        <w:t>2,3</w:t>
      </w:r>
      <w:r w:rsidR="00111297">
        <w:rPr>
          <w:sz w:val="22"/>
          <w:szCs w:val="22"/>
        </w:rPr>
        <w:t>% per jaar</w:t>
      </w:r>
      <w:r w:rsidR="0072290D">
        <w:rPr>
          <w:sz w:val="22"/>
          <w:szCs w:val="22"/>
        </w:rPr>
        <w:t>.</w:t>
      </w:r>
      <w:r w:rsidRPr="00122B12" w:rsidR="00122B12">
        <w:rPr>
          <w:rStyle w:val="Voetnootmarkering"/>
          <w:sz w:val="22"/>
          <w:szCs w:val="22"/>
        </w:rPr>
        <w:t xml:space="preserve"> </w:t>
      </w:r>
      <w:r w:rsidR="00AA4227">
        <w:rPr>
          <w:sz w:val="22"/>
          <w:szCs w:val="22"/>
        </w:rPr>
        <w:t xml:space="preserve">Het doel van de analyse in deze achtergrondnotitie is om te komen tot een nieuwe inschatting van de autonome vergroening, die opgenomen kan worden in het Belastingplan 2026. Hierbij maken we een inschatting voor de jaren 2026-2028. </w:t>
      </w:r>
    </w:p>
    <w:p w:rsidR="00BD74E1" w:rsidP="00BE6555" w:rsidRDefault="00AE598D" w14:paraId="622A2425" w14:textId="4A987841">
      <w:pPr>
        <w:rPr>
          <w:sz w:val="22"/>
          <w:szCs w:val="22"/>
        </w:rPr>
      </w:pPr>
      <w:r w:rsidRPr="00AE598D">
        <w:rPr>
          <w:sz w:val="22"/>
          <w:szCs w:val="22"/>
        </w:rPr>
        <w:t xml:space="preserve">De uitstoot van alle </w:t>
      </w:r>
      <w:proofErr w:type="spellStart"/>
      <w:r w:rsidRPr="00AE598D">
        <w:rPr>
          <w:sz w:val="22"/>
          <w:szCs w:val="22"/>
        </w:rPr>
        <w:t>nieuwverkochte</w:t>
      </w:r>
      <w:proofErr w:type="spellEnd"/>
      <w:r w:rsidRPr="00AE598D">
        <w:rPr>
          <w:sz w:val="22"/>
          <w:szCs w:val="22"/>
        </w:rPr>
        <w:t xml:space="preserve"> personenauto’s (de totale mix in de EU) moet in 2025 respectievelijk 2030 gemiddeld 15% en 37,5% lager zijn dan in 2021. Dat volgt uit een verordening van de Europese Commissie.</w:t>
      </w:r>
      <w:r>
        <w:rPr>
          <w:rStyle w:val="Voetnootmarkering"/>
          <w:sz w:val="22"/>
          <w:szCs w:val="22"/>
        </w:rPr>
        <w:footnoteReference w:id="3"/>
      </w:r>
      <w:r w:rsidRPr="00AE598D">
        <w:rPr>
          <w:sz w:val="22"/>
          <w:szCs w:val="22"/>
        </w:rPr>
        <w:t xml:space="preserve"> </w:t>
      </w:r>
      <w:r w:rsidR="00704E7A">
        <w:rPr>
          <w:sz w:val="22"/>
          <w:szCs w:val="22"/>
        </w:rPr>
        <w:t xml:space="preserve">In 2028 </w:t>
      </w:r>
      <w:r w:rsidR="00946564">
        <w:rPr>
          <w:sz w:val="22"/>
          <w:szCs w:val="22"/>
        </w:rPr>
        <w:t>zal</w:t>
      </w:r>
      <w:r w:rsidR="00704E7A">
        <w:rPr>
          <w:sz w:val="22"/>
          <w:szCs w:val="22"/>
        </w:rPr>
        <w:t xml:space="preserve"> nieuwe data beschikbaar </w:t>
      </w:r>
      <w:r w:rsidR="00946564">
        <w:rPr>
          <w:sz w:val="22"/>
          <w:szCs w:val="22"/>
        </w:rPr>
        <w:t>zijn</w:t>
      </w:r>
      <w:r w:rsidR="00BD0E85">
        <w:rPr>
          <w:sz w:val="22"/>
          <w:szCs w:val="22"/>
        </w:rPr>
        <w:t>, ook</w:t>
      </w:r>
      <w:r w:rsidR="00946564">
        <w:rPr>
          <w:sz w:val="22"/>
          <w:szCs w:val="22"/>
        </w:rPr>
        <w:t xml:space="preserve"> </w:t>
      </w:r>
      <w:r w:rsidR="00704E7A">
        <w:rPr>
          <w:sz w:val="22"/>
          <w:szCs w:val="22"/>
        </w:rPr>
        <w:t xml:space="preserve">voor 2025, </w:t>
      </w:r>
      <w:r w:rsidR="00AA4227">
        <w:rPr>
          <w:sz w:val="22"/>
          <w:szCs w:val="22"/>
        </w:rPr>
        <w:t>een</w:t>
      </w:r>
      <w:r w:rsidR="00704E7A">
        <w:rPr>
          <w:sz w:val="22"/>
          <w:szCs w:val="22"/>
        </w:rPr>
        <w:t xml:space="preserve"> jaar waarvoor </w:t>
      </w:r>
      <w:r w:rsidR="00BD0E85">
        <w:rPr>
          <w:sz w:val="22"/>
          <w:szCs w:val="22"/>
        </w:rPr>
        <w:t>(</w:t>
      </w:r>
      <w:r w:rsidR="00704E7A">
        <w:rPr>
          <w:sz w:val="22"/>
          <w:szCs w:val="22"/>
        </w:rPr>
        <w:t>wederom</w:t>
      </w:r>
      <w:r w:rsidR="00BD0E85">
        <w:rPr>
          <w:sz w:val="22"/>
          <w:szCs w:val="22"/>
        </w:rPr>
        <w:t>)</w:t>
      </w:r>
      <w:r w:rsidR="00704E7A">
        <w:rPr>
          <w:sz w:val="22"/>
          <w:szCs w:val="22"/>
        </w:rPr>
        <w:t xml:space="preserve"> een EU-norm geldt t</w:t>
      </w:r>
      <w:r>
        <w:rPr>
          <w:sz w:val="22"/>
          <w:szCs w:val="22"/>
        </w:rPr>
        <w:t>en aanzien van</w:t>
      </w:r>
      <w:r w:rsidR="00704E7A">
        <w:rPr>
          <w:sz w:val="22"/>
          <w:szCs w:val="22"/>
        </w:rPr>
        <w:t xml:space="preserve"> de </w:t>
      </w:r>
      <w:r w:rsidRPr="00DB2DFE" w:rsidR="00704E7A">
        <w:rPr>
          <w:sz w:val="22"/>
          <w:szCs w:val="22"/>
        </w:rPr>
        <w:t>CO₂-uitstoot</w:t>
      </w:r>
      <w:r w:rsidR="0073375C">
        <w:rPr>
          <w:sz w:val="22"/>
          <w:szCs w:val="22"/>
        </w:rPr>
        <w:t xml:space="preserve"> voor </w:t>
      </w:r>
      <w:proofErr w:type="spellStart"/>
      <w:r w:rsidR="0073375C">
        <w:rPr>
          <w:sz w:val="22"/>
          <w:szCs w:val="22"/>
        </w:rPr>
        <w:t>nieuwverkochte</w:t>
      </w:r>
      <w:proofErr w:type="spellEnd"/>
      <w:r w:rsidR="0073375C">
        <w:rPr>
          <w:sz w:val="22"/>
          <w:szCs w:val="22"/>
        </w:rPr>
        <w:t xml:space="preserve"> personenauto’s</w:t>
      </w:r>
      <w:r w:rsidR="00704E7A">
        <w:rPr>
          <w:sz w:val="22"/>
          <w:szCs w:val="22"/>
        </w:rPr>
        <w:t xml:space="preserve">. </w:t>
      </w:r>
      <w:r w:rsidR="00AA4227">
        <w:rPr>
          <w:sz w:val="22"/>
          <w:szCs w:val="22"/>
        </w:rPr>
        <w:t>Aan</w:t>
      </w:r>
      <w:r w:rsidR="00704E7A">
        <w:rPr>
          <w:sz w:val="22"/>
          <w:szCs w:val="22"/>
        </w:rPr>
        <w:t xml:space="preserve"> de hand van d</w:t>
      </w:r>
      <w:r w:rsidR="0073375C">
        <w:rPr>
          <w:sz w:val="22"/>
          <w:szCs w:val="22"/>
        </w:rPr>
        <w:t>ie</w:t>
      </w:r>
      <w:r w:rsidR="00704E7A">
        <w:rPr>
          <w:sz w:val="22"/>
          <w:szCs w:val="22"/>
        </w:rPr>
        <w:t xml:space="preserve"> nieuwe data </w:t>
      </w:r>
      <w:r w:rsidR="00AA4227">
        <w:rPr>
          <w:sz w:val="22"/>
          <w:szCs w:val="22"/>
        </w:rPr>
        <w:t xml:space="preserve">kan </w:t>
      </w:r>
      <w:r w:rsidR="00704E7A">
        <w:rPr>
          <w:sz w:val="22"/>
          <w:szCs w:val="22"/>
        </w:rPr>
        <w:t xml:space="preserve">de autonome vergroening </w:t>
      </w:r>
      <w:r w:rsidR="00AA4227">
        <w:rPr>
          <w:sz w:val="22"/>
          <w:szCs w:val="22"/>
        </w:rPr>
        <w:t xml:space="preserve">ingeschat worden </w:t>
      </w:r>
      <w:r w:rsidR="00BD0E85">
        <w:rPr>
          <w:sz w:val="22"/>
          <w:szCs w:val="22"/>
        </w:rPr>
        <w:t>voor na 2028</w:t>
      </w:r>
      <w:r w:rsidR="00704E7A">
        <w:rPr>
          <w:sz w:val="22"/>
          <w:szCs w:val="22"/>
        </w:rPr>
        <w:t>. Dit om de bpm</w:t>
      </w:r>
      <w:r w:rsidR="00946564">
        <w:rPr>
          <w:sz w:val="22"/>
          <w:szCs w:val="22"/>
        </w:rPr>
        <w:t>-</w:t>
      </w:r>
      <w:r w:rsidR="00704E7A">
        <w:rPr>
          <w:sz w:val="22"/>
          <w:szCs w:val="22"/>
        </w:rPr>
        <w:t xml:space="preserve">correctie voor autonome vergroening zo dicht bij als mogelijk bij de geobserveerde </w:t>
      </w:r>
      <w:r w:rsidR="00FF7150">
        <w:rPr>
          <w:sz w:val="22"/>
          <w:szCs w:val="22"/>
        </w:rPr>
        <w:t xml:space="preserve">autonome </w:t>
      </w:r>
      <w:r w:rsidR="00704E7A">
        <w:rPr>
          <w:sz w:val="22"/>
          <w:szCs w:val="22"/>
        </w:rPr>
        <w:t xml:space="preserve">vergroening te houden. </w:t>
      </w:r>
    </w:p>
    <w:p w:rsidRPr="00DB2DFE" w:rsidR="00BD74E1" w:rsidP="00BD74E1" w:rsidRDefault="000857B1" w14:paraId="73AFF893" w14:textId="3723F18B">
      <w:pPr>
        <w:pStyle w:val="Kop1"/>
        <w:rPr>
          <w:sz w:val="36"/>
          <w:szCs w:val="36"/>
        </w:rPr>
      </w:pPr>
      <w:r>
        <w:rPr>
          <w:sz w:val="36"/>
          <w:szCs w:val="36"/>
        </w:rPr>
        <w:t>Data voor de b</w:t>
      </w:r>
      <w:r w:rsidRPr="00DB2DFE" w:rsidR="00EF4578">
        <w:rPr>
          <w:sz w:val="36"/>
          <w:szCs w:val="36"/>
        </w:rPr>
        <w:t>erekening</w:t>
      </w:r>
      <w:r w:rsidRPr="00DB2DFE" w:rsidR="008F3F83">
        <w:rPr>
          <w:sz w:val="36"/>
          <w:szCs w:val="36"/>
        </w:rPr>
        <w:t xml:space="preserve"> </w:t>
      </w:r>
      <w:r w:rsidR="00D245C0">
        <w:rPr>
          <w:sz w:val="36"/>
          <w:szCs w:val="36"/>
        </w:rPr>
        <w:t xml:space="preserve">van de </w:t>
      </w:r>
      <w:r w:rsidRPr="00DB2DFE" w:rsidR="008F3F83">
        <w:rPr>
          <w:sz w:val="36"/>
          <w:szCs w:val="36"/>
        </w:rPr>
        <w:t>a</w:t>
      </w:r>
      <w:r w:rsidRPr="00DB2DFE" w:rsidR="00BD74E1">
        <w:rPr>
          <w:sz w:val="36"/>
          <w:szCs w:val="36"/>
        </w:rPr>
        <w:t xml:space="preserve">utonome </w:t>
      </w:r>
      <w:r w:rsidRPr="00DB2DFE" w:rsidR="008F3F83">
        <w:rPr>
          <w:sz w:val="36"/>
          <w:szCs w:val="36"/>
        </w:rPr>
        <w:t>v</w:t>
      </w:r>
      <w:r w:rsidRPr="00DB2DFE" w:rsidR="00BD74E1">
        <w:rPr>
          <w:sz w:val="36"/>
          <w:szCs w:val="36"/>
        </w:rPr>
        <w:t xml:space="preserve">ergroening </w:t>
      </w:r>
    </w:p>
    <w:p w:rsidR="00BD74E1" w:rsidP="00BE6555" w:rsidRDefault="00EB5752" w14:paraId="04438BFD" w14:textId="1B84FBF7">
      <w:pPr>
        <w:rPr>
          <w:sz w:val="22"/>
          <w:szCs w:val="22"/>
        </w:rPr>
      </w:pPr>
      <w:r>
        <w:rPr>
          <w:sz w:val="22"/>
          <w:szCs w:val="22"/>
        </w:rPr>
        <w:t>De laatste correctie voor autonome vergroening</w:t>
      </w:r>
      <w:r w:rsidR="00302DDA">
        <w:rPr>
          <w:sz w:val="22"/>
          <w:szCs w:val="22"/>
        </w:rPr>
        <w:t xml:space="preserve"> bij personenauto’s</w:t>
      </w:r>
      <w:r>
        <w:rPr>
          <w:sz w:val="22"/>
          <w:szCs w:val="22"/>
        </w:rPr>
        <w:t xml:space="preserve"> is gemaakt aan de hand van een </w:t>
      </w:r>
      <w:r w:rsidRPr="00DB2DFE" w:rsidR="008F3F83">
        <w:rPr>
          <w:sz w:val="22"/>
          <w:szCs w:val="22"/>
        </w:rPr>
        <w:t>TNO</w:t>
      </w:r>
      <w:r>
        <w:rPr>
          <w:sz w:val="22"/>
          <w:szCs w:val="22"/>
        </w:rPr>
        <w:t>-onderzoek uit</w:t>
      </w:r>
      <w:r w:rsidRPr="00DB2DFE" w:rsidR="008F3F83">
        <w:rPr>
          <w:sz w:val="22"/>
          <w:szCs w:val="22"/>
        </w:rPr>
        <w:t xml:space="preserve"> 20</w:t>
      </w:r>
      <w:r w:rsidR="0072290D">
        <w:rPr>
          <w:sz w:val="22"/>
          <w:szCs w:val="22"/>
        </w:rPr>
        <w:t>21</w:t>
      </w:r>
      <w:r w:rsidRPr="00DB2DFE" w:rsidR="008F3F83">
        <w:rPr>
          <w:sz w:val="22"/>
          <w:szCs w:val="22"/>
        </w:rPr>
        <w:t>.</w:t>
      </w:r>
      <w:r w:rsidR="0072290D">
        <w:rPr>
          <w:rStyle w:val="Voetnootmarkering"/>
          <w:sz w:val="22"/>
          <w:szCs w:val="22"/>
        </w:rPr>
        <w:footnoteReference w:id="4"/>
      </w:r>
      <w:r w:rsidRPr="00DB2DFE" w:rsidR="008F3F83">
        <w:rPr>
          <w:sz w:val="22"/>
          <w:szCs w:val="22"/>
        </w:rPr>
        <w:t xml:space="preserve"> </w:t>
      </w:r>
      <w:r w:rsidRPr="00AB422C" w:rsidR="00AB422C">
        <w:rPr>
          <w:sz w:val="22"/>
          <w:szCs w:val="22"/>
        </w:rPr>
        <w:t xml:space="preserve">We maken </w:t>
      </w:r>
      <w:r w:rsidR="000857B1">
        <w:rPr>
          <w:sz w:val="22"/>
          <w:szCs w:val="22"/>
        </w:rPr>
        <w:t xml:space="preserve">voor deze nieuwe analyse </w:t>
      </w:r>
      <w:r w:rsidRPr="00AB422C" w:rsidR="00AB422C">
        <w:rPr>
          <w:sz w:val="22"/>
          <w:szCs w:val="22"/>
        </w:rPr>
        <w:t>gebruik van dezelfde da</w:t>
      </w:r>
      <w:r w:rsidR="00AB422C">
        <w:rPr>
          <w:sz w:val="22"/>
          <w:szCs w:val="22"/>
        </w:rPr>
        <w:t>t</w:t>
      </w:r>
      <w:r w:rsidR="00A12928">
        <w:rPr>
          <w:sz w:val="22"/>
          <w:szCs w:val="22"/>
        </w:rPr>
        <w:t>a</w:t>
      </w:r>
      <w:r w:rsidR="00AB422C">
        <w:rPr>
          <w:sz w:val="22"/>
          <w:szCs w:val="22"/>
        </w:rPr>
        <w:t xml:space="preserve"> </w:t>
      </w:r>
      <w:r w:rsidR="000857B1">
        <w:rPr>
          <w:sz w:val="22"/>
          <w:szCs w:val="22"/>
        </w:rPr>
        <w:t xml:space="preserve">als in dat onderzoek </w:t>
      </w:r>
      <w:r w:rsidRPr="00AB422C" w:rsidR="00AB422C">
        <w:rPr>
          <w:sz w:val="22"/>
          <w:szCs w:val="22"/>
        </w:rPr>
        <w:t xml:space="preserve">met toevoeging van recente jaren. </w:t>
      </w:r>
      <w:r w:rsidR="000857B1">
        <w:rPr>
          <w:sz w:val="22"/>
          <w:szCs w:val="22"/>
        </w:rPr>
        <w:t>We</w:t>
      </w:r>
      <w:r w:rsidR="00302DDA">
        <w:rPr>
          <w:sz w:val="22"/>
          <w:szCs w:val="22"/>
        </w:rPr>
        <w:t xml:space="preserve"> </w:t>
      </w:r>
      <w:r w:rsidR="000857B1">
        <w:rPr>
          <w:sz w:val="22"/>
          <w:szCs w:val="22"/>
        </w:rPr>
        <w:t>kijken</w:t>
      </w:r>
      <w:r w:rsidR="00302DDA">
        <w:rPr>
          <w:sz w:val="22"/>
          <w:szCs w:val="22"/>
        </w:rPr>
        <w:t xml:space="preserve"> deze keer ook </w:t>
      </w:r>
      <w:r w:rsidRPr="00DB2DFE" w:rsidR="00302DDA">
        <w:rPr>
          <w:sz w:val="22"/>
          <w:szCs w:val="22"/>
        </w:rPr>
        <w:t>naar beste</w:t>
      </w:r>
      <w:r w:rsidR="00302DDA">
        <w:rPr>
          <w:sz w:val="22"/>
          <w:szCs w:val="22"/>
        </w:rPr>
        <w:t xml:space="preserve">lauto’s. Sinds </w:t>
      </w:r>
      <w:r w:rsidRPr="00DB2DFE" w:rsidR="00302DDA">
        <w:rPr>
          <w:sz w:val="22"/>
          <w:szCs w:val="22"/>
        </w:rPr>
        <w:t xml:space="preserve">2025 </w:t>
      </w:r>
      <w:r w:rsidR="00302DDA">
        <w:rPr>
          <w:sz w:val="22"/>
          <w:szCs w:val="22"/>
        </w:rPr>
        <w:t xml:space="preserve">geldt daarvoor </w:t>
      </w:r>
      <w:r w:rsidRPr="00DB2DFE" w:rsidR="00302DDA">
        <w:rPr>
          <w:sz w:val="22"/>
          <w:szCs w:val="22"/>
        </w:rPr>
        <w:t xml:space="preserve">ook </w:t>
      </w:r>
      <w:r w:rsidR="00302DDA">
        <w:rPr>
          <w:sz w:val="22"/>
          <w:szCs w:val="22"/>
        </w:rPr>
        <w:t>een</w:t>
      </w:r>
      <w:r w:rsidRPr="00DB2DFE" w:rsidR="00302DDA">
        <w:rPr>
          <w:sz w:val="22"/>
          <w:szCs w:val="22"/>
        </w:rPr>
        <w:t xml:space="preserve"> </w:t>
      </w:r>
      <w:r w:rsidR="00302DDA">
        <w:rPr>
          <w:sz w:val="22"/>
          <w:szCs w:val="22"/>
        </w:rPr>
        <w:t>bpm</w:t>
      </w:r>
      <w:r w:rsidRPr="00DB2DFE" w:rsidR="00302DDA">
        <w:rPr>
          <w:sz w:val="22"/>
          <w:szCs w:val="22"/>
        </w:rPr>
        <w:t xml:space="preserve">-tarief </w:t>
      </w:r>
      <w:r w:rsidR="00302DDA">
        <w:rPr>
          <w:sz w:val="22"/>
          <w:szCs w:val="22"/>
        </w:rPr>
        <w:t>op basis van de CO</w:t>
      </w:r>
      <w:r w:rsidRPr="000265A7" w:rsidR="00302DDA">
        <w:rPr>
          <w:sz w:val="22"/>
          <w:szCs w:val="22"/>
          <w:vertAlign w:val="subscript"/>
        </w:rPr>
        <w:t>2</w:t>
      </w:r>
      <w:r w:rsidR="00302DDA">
        <w:rPr>
          <w:sz w:val="22"/>
          <w:szCs w:val="22"/>
        </w:rPr>
        <w:t>-uitstoot</w:t>
      </w:r>
      <w:r w:rsidRPr="00DB2DFE" w:rsidR="00302DDA">
        <w:rPr>
          <w:sz w:val="22"/>
          <w:szCs w:val="22"/>
        </w:rPr>
        <w:t>.</w:t>
      </w:r>
    </w:p>
    <w:p w:rsidR="000857B1" w:rsidP="000857B1" w:rsidRDefault="000857B1" w14:paraId="6A2BDAC1" w14:textId="2ADB6464">
      <w:pPr>
        <w:pStyle w:val="Kop2"/>
      </w:pPr>
      <w:r>
        <w:t>EEA-data</w:t>
      </w:r>
    </w:p>
    <w:p w:rsidR="00A134EB" w:rsidP="00A134EB" w:rsidRDefault="008F3F83" w14:paraId="6D80931B" w14:textId="126A53EB">
      <w:pPr>
        <w:rPr>
          <w:sz w:val="22"/>
          <w:szCs w:val="22"/>
        </w:rPr>
      </w:pPr>
      <w:r w:rsidRPr="00DB2DFE">
        <w:rPr>
          <w:sz w:val="22"/>
          <w:szCs w:val="22"/>
        </w:rPr>
        <w:t xml:space="preserve">Voor het inschatten van de autonome vergroening maken we gebruik van de data over aangeschafte </w:t>
      </w:r>
      <w:r w:rsidR="00A66943">
        <w:rPr>
          <w:sz w:val="22"/>
          <w:szCs w:val="22"/>
        </w:rPr>
        <w:t>personenauto</w:t>
      </w:r>
      <w:r w:rsidRPr="00DB2DFE">
        <w:rPr>
          <w:sz w:val="22"/>
          <w:szCs w:val="22"/>
        </w:rPr>
        <w:t xml:space="preserve">’s van de European Energy Agency (EEA). </w:t>
      </w:r>
      <w:r w:rsidRPr="00AB422C" w:rsidR="00AB422C">
        <w:rPr>
          <w:sz w:val="22"/>
          <w:szCs w:val="22"/>
        </w:rPr>
        <w:t xml:space="preserve">Daarmee kijken we naar de trend in Europa. De trend in Nederland wordt beïnvloed door de fiscale stimuleringsmaatregelen voor (zeer) zuinige personenauto’s. De trend in Europa is veel stabieler en sluit beter aan bij de veranderingen in de aanbodzijde, en geeft daarom een beter inzicht in ontwikkelingen in de autonome vergroening in het verleden. </w:t>
      </w:r>
      <w:r w:rsidRPr="00DB2DFE" w:rsidR="00A134EB">
        <w:rPr>
          <w:sz w:val="22"/>
          <w:szCs w:val="22"/>
        </w:rPr>
        <w:t xml:space="preserve"> </w:t>
      </w:r>
      <w:r w:rsidR="00263369">
        <w:rPr>
          <w:sz w:val="22"/>
          <w:szCs w:val="22"/>
        </w:rPr>
        <w:t>In</w:t>
      </w:r>
      <w:r w:rsidR="00AB422C">
        <w:rPr>
          <w:sz w:val="22"/>
          <w:szCs w:val="22"/>
        </w:rPr>
        <w:t xml:space="preserve"> </w:t>
      </w:r>
      <w:r w:rsidRPr="00DB2DFE" w:rsidR="00EF4578">
        <w:rPr>
          <w:sz w:val="22"/>
          <w:szCs w:val="22"/>
        </w:rPr>
        <w:t xml:space="preserve">de EEA-data </w:t>
      </w:r>
      <w:r w:rsidR="00263369">
        <w:rPr>
          <w:sz w:val="22"/>
          <w:szCs w:val="22"/>
        </w:rPr>
        <w:t xml:space="preserve">zit onder andere </w:t>
      </w:r>
      <w:r w:rsidRPr="00DB2DFE" w:rsidR="00726BA0">
        <w:rPr>
          <w:sz w:val="22"/>
          <w:szCs w:val="22"/>
        </w:rPr>
        <w:t xml:space="preserve">het </w:t>
      </w:r>
      <w:r w:rsidRPr="00DB2DFE" w:rsidR="00AB422C">
        <w:rPr>
          <w:sz w:val="22"/>
          <w:szCs w:val="22"/>
        </w:rPr>
        <w:t xml:space="preserve">jaar, land, </w:t>
      </w:r>
      <w:r w:rsidRPr="00DB2DFE" w:rsidR="00726BA0">
        <w:rPr>
          <w:sz w:val="22"/>
          <w:szCs w:val="22"/>
        </w:rPr>
        <w:t xml:space="preserve">merk, </w:t>
      </w:r>
      <w:r w:rsidRPr="00DB2DFE" w:rsidR="00726BA0">
        <w:rPr>
          <w:sz w:val="22"/>
          <w:szCs w:val="22"/>
        </w:rPr>
        <w:lastRenderedPageBreak/>
        <w:t xml:space="preserve">model, </w:t>
      </w:r>
      <w:r w:rsidRPr="00DB2DFE" w:rsidR="00EF4578">
        <w:rPr>
          <w:sz w:val="22"/>
          <w:szCs w:val="22"/>
        </w:rPr>
        <w:t>de CO₂-uitstoot</w:t>
      </w:r>
      <w:r w:rsidR="00263369">
        <w:rPr>
          <w:sz w:val="22"/>
          <w:szCs w:val="22"/>
        </w:rPr>
        <w:t xml:space="preserve"> en</w:t>
      </w:r>
      <w:r w:rsidRPr="00DB2DFE" w:rsidR="00726BA0">
        <w:rPr>
          <w:sz w:val="22"/>
          <w:szCs w:val="22"/>
        </w:rPr>
        <w:t xml:space="preserve"> gewicht</w:t>
      </w:r>
      <w:r w:rsidRPr="00DB2DFE" w:rsidR="00EF4578">
        <w:rPr>
          <w:sz w:val="22"/>
          <w:szCs w:val="22"/>
        </w:rPr>
        <w:t xml:space="preserve"> van aangeschafte </w:t>
      </w:r>
      <w:r w:rsidR="00263369">
        <w:rPr>
          <w:sz w:val="22"/>
          <w:szCs w:val="22"/>
        </w:rPr>
        <w:t xml:space="preserve">nieuwe </w:t>
      </w:r>
      <w:r w:rsidR="00A66943">
        <w:rPr>
          <w:sz w:val="22"/>
          <w:szCs w:val="22"/>
        </w:rPr>
        <w:t>personenauto</w:t>
      </w:r>
      <w:r w:rsidRPr="00DB2DFE" w:rsidR="00EF4578">
        <w:rPr>
          <w:sz w:val="22"/>
          <w:szCs w:val="22"/>
        </w:rPr>
        <w:t>’s in de EU</w:t>
      </w:r>
      <w:r w:rsidR="00263369">
        <w:rPr>
          <w:sz w:val="22"/>
          <w:szCs w:val="22"/>
        </w:rPr>
        <w:t>. Deze data is beschikbaar</w:t>
      </w:r>
      <w:r w:rsidRPr="00DB2DFE" w:rsidR="00EF4578">
        <w:rPr>
          <w:sz w:val="22"/>
          <w:szCs w:val="22"/>
        </w:rPr>
        <w:t xml:space="preserve"> </w:t>
      </w:r>
      <w:r w:rsidR="00AB422C">
        <w:rPr>
          <w:sz w:val="22"/>
          <w:szCs w:val="22"/>
        </w:rPr>
        <w:t xml:space="preserve">voor de periode </w:t>
      </w:r>
      <w:r w:rsidRPr="00DB2DFE" w:rsidR="00EF4578">
        <w:rPr>
          <w:sz w:val="22"/>
          <w:szCs w:val="22"/>
        </w:rPr>
        <w:t>2010</w:t>
      </w:r>
      <w:r w:rsidR="00263369">
        <w:rPr>
          <w:sz w:val="22"/>
          <w:szCs w:val="22"/>
        </w:rPr>
        <w:t xml:space="preserve"> tot en met </w:t>
      </w:r>
      <w:r w:rsidRPr="00DB2DFE" w:rsidR="00EF4578">
        <w:rPr>
          <w:sz w:val="22"/>
          <w:szCs w:val="22"/>
        </w:rPr>
        <w:t xml:space="preserve">2023. </w:t>
      </w:r>
      <w:r w:rsidR="00302DDA">
        <w:rPr>
          <w:sz w:val="22"/>
          <w:szCs w:val="22"/>
        </w:rPr>
        <w:t>Voor bestelauto’s is deze data beschikbaar voor de periode 2019 tot en met 2023.</w:t>
      </w:r>
    </w:p>
    <w:p w:rsidRPr="00DB2DFE" w:rsidR="00302DDA" w:rsidP="00A73D64" w:rsidRDefault="00CB51A5" w14:paraId="4F4C097D" w14:textId="272891A2">
      <w:pPr>
        <w:pStyle w:val="Kop2"/>
      </w:pPr>
      <w:r>
        <w:t>Gemiddelde ontwikkeling CO2-uitstoot personenauto’s</w:t>
      </w:r>
    </w:p>
    <w:p w:rsidR="00725A65" w:rsidP="00A73D64" w:rsidRDefault="004A6135" w14:paraId="75506830" w14:textId="14221CA4">
      <w:pPr>
        <w:spacing w:after="0"/>
        <w:rPr>
          <w:sz w:val="22"/>
          <w:szCs w:val="22"/>
        </w:rPr>
      </w:pPr>
      <w:r>
        <w:rPr>
          <w:sz w:val="22"/>
          <w:szCs w:val="22"/>
        </w:rPr>
        <w:t>Voor</w:t>
      </w:r>
      <w:r w:rsidRPr="00DB2DFE" w:rsidR="00A134EB">
        <w:rPr>
          <w:sz w:val="22"/>
          <w:szCs w:val="22"/>
        </w:rPr>
        <w:t xml:space="preserve"> de inschatting </w:t>
      </w:r>
      <w:r>
        <w:rPr>
          <w:sz w:val="22"/>
          <w:szCs w:val="22"/>
        </w:rPr>
        <w:t xml:space="preserve">van de autonome vergroening </w:t>
      </w:r>
      <w:r w:rsidRPr="00DB2DFE" w:rsidR="00A134EB">
        <w:rPr>
          <w:sz w:val="22"/>
          <w:szCs w:val="22"/>
        </w:rPr>
        <w:t>kijken we hoe de</w:t>
      </w:r>
      <w:r w:rsidRPr="00DB2DFE" w:rsidR="008F3F83">
        <w:rPr>
          <w:sz w:val="22"/>
          <w:szCs w:val="22"/>
        </w:rPr>
        <w:t xml:space="preserve"> </w:t>
      </w:r>
      <w:r w:rsidRPr="00DB2DFE" w:rsidR="00A134EB">
        <w:rPr>
          <w:sz w:val="22"/>
          <w:szCs w:val="22"/>
        </w:rPr>
        <w:t>CO₂-uitstoot</w:t>
      </w:r>
      <w:r w:rsidRPr="00DB2DFE" w:rsidR="00EF4578">
        <w:rPr>
          <w:sz w:val="22"/>
          <w:szCs w:val="22"/>
        </w:rPr>
        <w:t xml:space="preserve"> uitgedrukt in gram per kilometer</w:t>
      </w:r>
      <w:r w:rsidRPr="00DB2DFE" w:rsidR="00A134EB">
        <w:rPr>
          <w:sz w:val="22"/>
          <w:szCs w:val="22"/>
        </w:rPr>
        <w:t xml:space="preserve"> zich jaar-op-jaar ontwikkeld</w:t>
      </w:r>
      <w:r w:rsidR="00302DDA">
        <w:rPr>
          <w:sz w:val="22"/>
          <w:szCs w:val="22"/>
        </w:rPr>
        <w:t xml:space="preserve"> heeft</w:t>
      </w:r>
      <w:r w:rsidR="00D8049E">
        <w:rPr>
          <w:sz w:val="22"/>
          <w:szCs w:val="22"/>
        </w:rPr>
        <w:t xml:space="preserve">. </w:t>
      </w:r>
      <w:r w:rsidR="00CB51A5">
        <w:rPr>
          <w:sz w:val="22"/>
          <w:szCs w:val="22"/>
        </w:rPr>
        <w:t>H</w:t>
      </w:r>
      <w:r w:rsidRPr="00DB2DFE" w:rsidR="00EF4578">
        <w:rPr>
          <w:sz w:val="22"/>
          <w:szCs w:val="22"/>
        </w:rPr>
        <w:t xml:space="preserve">iervoor </w:t>
      </w:r>
      <w:r w:rsidR="00CB51A5">
        <w:rPr>
          <w:sz w:val="22"/>
          <w:szCs w:val="22"/>
        </w:rPr>
        <w:t xml:space="preserve">zijn </w:t>
      </w:r>
      <w:r w:rsidRPr="00DB2DFE" w:rsidR="00EF4578">
        <w:rPr>
          <w:sz w:val="22"/>
          <w:szCs w:val="22"/>
        </w:rPr>
        <w:t xml:space="preserve">twee </w:t>
      </w:r>
      <w:r>
        <w:rPr>
          <w:sz w:val="22"/>
          <w:szCs w:val="22"/>
        </w:rPr>
        <w:t>meetmethoden</w:t>
      </w:r>
      <w:r w:rsidRPr="00DB2DFE" w:rsidR="00EF4578">
        <w:rPr>
          <w:sz w:val="22"/>
          <w:szCs w:val="22"/>
        </w:rPr>
        <w:t xml:space="preserve">: </w:t>
      </w:r>
      <w:r w:rsidRPr="00DB2DFE" w:rsidR="00CB51A5">
        <w:rPr>
          <w:sz w:val="22"/>
          <w:szCs w:val="22"/>
        </w:rPr>
        <w:t xml:space="preserve">de </w:t>
      </w:r>
      <w:r w:rsidRPr="00DB2DFE" w:rsidR="00CB51A5">
        <w:rPr>
          <w:i/>
          <w:iCs/>
          <w:sz w:val="22"/>
          <w:szCs w:val="22"/>
        </w:rPr>
        <w:t xml:space="preserve">New European </w:t>
      </w:r>
      <w:proofErr w:type="spellStart"/>
      <w:r w:rsidRPr="00DB2DFE" w:rsidR="00CB51A5">
        <w:rPr>
          <w:i/>
          <w:iCs/>
          <w:sz w:val="22"/>
          <w:szCs w:val="22"/>
        </w:rPr>
        <w:t>Driving</w:t>
      </w:r>
      <w:proofErr w:type="spellEnd"/>
      <w:r w:rsidRPr="00DB2DFE" w:rsidR="00CB51A5">
        <w:rPr>
          <w:i/>
          <w:iCs/>
          <w:sz w:val="22"/>
          <w:szCs w:val="22"/>
        </w:rPr>
        <w:t xml:space="preserve"> </w:t>
      </w:r>
      <w:proofErr w:type="spellStart"/>
      <w:r w:rsidRPr="00DB2DFE" w:rsidR="00CB51A5">
        <w:rPr>
          <w:i/>
          <w:iCs/>
          <w:sz w:val="22"/>
          <w:szCs w:val="22"/>
        </w:rPr>
        <w:t>Cycle</w:t>
      </w:r>
      <w:proofErr w:type="spellEnd"/>
      <w:r w:rsidRPr="00DB2DFE" w:rsidR="00CB51A5">
        <w:rPr>
          <w:sz w:val="22"/>
          <w:szCs w:val="22"/>
        </w:rPr>
        <w:t xml:space="preserve"> (NEDC)</w:t>
      </w:r>
      <w:r w:rsidR="00CB51A5">
        <w:rPr>
          <w:sz w:val="22"/>
          <w:szCs w:val="22"/>
        </w:rPr>
        <w:t xml:space="preserve"> en </w:t>
      </w:r>
      <w:r w:rsidRPr="00DB2DFE" w:rsidR="00A134EB">
        <w:rPr>
          <w:sz w:val="22"/>
          <w:szCs w:val="22"/>
        </w:rPr>
        <w:t xml:space="preserve">de </w:t>
      </w:r>
      <w:r w:rsidRPr="00DB2DFE" w:rsidR="00A134EB">
        <w:rPr>
          <w:i/>
          <w:iCs/>
          <w:sz w:val="22"/>
          <w:szCs w:val="22"/>
        </w:rPr>
        <w:t xml:space="preserve">Worldwide </w:t>
      </w:r>
      <w:proofErr w:type="spellStart"/>
      <w:r w:rsidRPr="00DB2DFE" w:rsidR="00A134EB">
        <w:rPr>
          <w:i/>
          <w:iCs/>
          <w:sz w:val="22"/>
          <w:szCs w:val="22"/>
        </w:rPr>
        <w:t>Harmonised</w:t>
      </w:r>
      <w:proofErr w:type="spellEnd"/>
      <w:r w:rsidRPr="00DB2DFE" w:rsidR="00A134EB">
        <w:rPr>
          <w:i/>
          <w:iCs/>
          <w:sz w:val="22"/>
          <w:szCs w:val="22"/>
        </w:rPr>
        <w:t xml:space="preserve"> Light Vehicle Test Procedure</w:t>
      </w:r>
      <w:r w:rsidRPr="00DB2DFE" w:rsidR="00A134EB">
        <w:rPr>
          <w:sz w:val="22"/>
          <w:szCs w:val="22"/>
        </w:rPr>
        <w:t xml:space="preserve"> (WLTP).</w:t>
      </w:r>
      <w:r w:rsidRPr="00DB2DFE" w:rsidR="00EF4578">
        <w:rPr>
          <w:sz w:val="22"/>
          <w:szCs w:val="22"/>
        </w:rPr>
        <w:t xml:space="preserve"> Vanaf 1 september 2019 is het verplicht in de EU om de WLTP-</w:t>
      </w:r>
      <w:r>
        <w:rPr>
          <w:sz w:val="22"/>
          <w:szCs w:val="22"/>
        </w:rPr>
        <w:t>meetmethode</w:t>
      </w:r>
      <w:r w:rsidRPr="00DB2DFE" w:rsidR="00EF4578">
        <w:rPr>
          <w:sz w:val="22"/>
          <w:szCs w:val="22"/>
        </w:rPr>
        <w:t xml:space="preserve"> te gebruiken. Vanaf 1 januari 2017 gold de mogelijkheid om te kiezen tussen de twee </w:t>
      </w:r>
      <w:r>
        <w:rPr>
          <w:sz w:val="22"/>
          <w:szCs w:val="22"/>
        </w:rPr>
        <w:t>meetmethoden</w:t>
      </w:r>
      <w:r w:rsidRPr="00DB2DFE" w:rsidR="00EF4578">
        <w:rPr>
          <w:sz w:val="22"/>
          <w:szCs w:val="22"/>
        </w:rPr>
        <w:t>. TNO</w:t>
      </w:r>
      <w:r w:rsidR="00AB422C">
        <w:rPr>
          <w:sz w:val="22"/>
          <w:szCs w:val="22"/>
        </w:rPr>
        <w:t xml:space="preserve"> heeft</w:t>
      </w:r>
      <w:r w:rsidR="0073375C">
        <w:rPr>
          <w:sz w:val="22"/>
          <w:szCs w:val="22"/>
        </w:rPr>
        <w:t xml:space="preserve"> </w:t>
      </w:r>
      <w:r w:rsidR="00AB422C">
        <w:rPr>
          <w:sz w:val="22"/>
          <w:szCs w:val="22"/>
        </w:rPr>
        <w:t>eerder</w:t>
      </w:r>
      <w:r w:rsidRPr="00DB2DFE" w:rsidR="00EF4578">
        <w:rPr>
          <w:sz w:val="22"/>
          <w:szCs w:val="22"/>
        </w:rPr>
        <w:t xml:space="preserve"> een </w:t>
      </w:r>
      <w:r>
        <w:rPr>
          <w:sz w:val="22"/>
          <w:szCs w:val="22"/>
        </w:rPr>
        <w:t xml:space="preserve">econometrisch </w:t>
      </w:r>
      <w:r w:rsidRPr="00DB2DFE" w:rsidR="00EF4578">
        <w:rPr>
          <w:sz w:val="22"/>
          <w:szCs w:val="22"/>
        </w:rPr>
        <w:t xml:space="preserve">model gemaakt om de </w:t>
      </w:r>
      <w:r>
        <w:rPr>
          <w:sz w:val="22"/>
          <w:szCs w:val="22"/>
        </w:rPr>
        <w:t>NEDC-</w:t>
      </w:r>
      <w:r w:rsidRPr="00DB2DFE" w:rsidR="00EF4578">
        <w:rPr>
          <w:sz w:val="22"/>
          <w:szCs w:val="22"/>
        </w:rPr>
        <w:t>CO₂-</w:t>
      </w:r>
      <w:r>
        <w:rPr>
          <w:sz w:val="22"/>
          <w:szCs w:val="22"/>
        </w:rPr>
        <w:t xml:space="preserve">uitstoot </w:t>
      </w:r>
      <w:r w:rsidRPr="00DB2DFE" w:rsidR="00EF4578">
        <w:rPr>
          <w:sz w:val="22"/>
          <w:szCs w:val="22"/>
        </w:rPr>
        <w:t xml:space="preserve">te relateren aan de </w:t>
      </w:r>
      <w:r>
        <w:rPr>
          <w:sz w:val="22"/>
          <w:szCs w:val="22"/>
        </w:rPr>
        <w:t>WLTP-</w:t>
      </w:r>
      <w:r w:rsidRPr="00DB2DFE" w:rsidR="00EF4578">
        <w:rPr>
          <w:sz w:val="22"/>
          <w:szCs w:val="22"/>
        </w:rPr>
        <w:t>CO₂-uitstoot.</w:t>
      </w:r>
      <w:r w:rsidRPr="00DB2DFE" w:rsidR="00EF4578">
        <w:rPr>
          <w:rStyle w:val="Voetnootmarkering"/>
          <w:sz w:val="22"/>
          <w:szCs w:val="22"/>
        </w:rPr>
        <w:footnoteReference w:id="5"/>
      </w:r>
      <w:r w:rsidRPr="00DB2DFE" w:rsidR="00EF4578">
        <w:rPr>
          <w:sz w:val="22"/>
          <w:szCs w:val="22"/>
        </w:rPr>
        <w:t xml:space="preserve"> Op basis van </w:t>
      </w:r>
      <w:r>
        <w:rPr>
          <w:sz w:val="22"/>
          <w:szCs w:val="22"/>
        </w:rPr>
        <w:t>het daar ingeschatte verband tussen de NEDC-</w:t>
      </w:r>
      <w:r w:rsidRPr="00DB2DFE">
        <w:rPr>
          <w:sz w:val="22"/>
          <w:szCs w:val="22"/>
        </w:rPr>
        <w:t>CO₂-</w:t>
      </w:r>
      <w:r>
        <w:rPr>
          <w:sz w:val="22"/>
          <w:szCs w:val="22"/>
        </w:rPr>
        <w:t>uitstoot en de WLTP-</w:t>
      </w:r>
      <w:r w:rsidRPr="00DB2DFE">
        <w:rPr>
          <w:sz w:val="22"/>
          <w:szCs w:val="22"/>
        </w:rPr>
        <w:t>CO₂-</w:t>
      </w:r>
      <w:r>
        <w:rPr>
          <w:sz w:val="22"/>
          <w:szCs w:val="22"/>
        </w:rPr>
        <w:t>uitstoot zetten we de NEDC-</w:t>
      </w:r>
      <w:r w:rsidRPr="00DB2DFE" w:rsidR="00EF4578">
        <w:rPr>
          <w:sz w:val="22"/>
          <w:szCs w:val="22"/>
        </w:rPr>
        <w:t xml:space="preserve">CO₂-uitstoot </w:t>
      </w:r>
      <w:r>
        <w:rPr>
          <w:sz w:val="22"/>
          <w:szCs w:val="22"/>
        </w:rPr>
        <w:t>om in een WLTP-</w:t>
      </w:r>
      <w:r w:rsidRPr="00DB2DFE">
        <w:rPr>
          <w:sz w:val="22"/>
          <w:szCs w:val="22"/>
        </w:rPr>
        <w:t>CO₂-</w:t>
      </w:r>
      <w:r>
        <w:rPr>
          <w:sz w:val="22"/>
          <w:szCs w:val="22"/>
        </w:rPr>
        <w:t>uitstoot zodat we vanaf 2010 een continue reeks met (berekende) WLTP-</w:t>
      </w:r>
      <w:r w:rsidRPr="00DB2DFE">
        <w:rPr>
          <w:sz w:val="22"/>
          <w:szCs w:val="22"/>
        </w:rPr>
        <w:t>CO₂-</w:t>
      </w:r>
      <w:r>
        <w:rPr>
          <w:sz w:val="22"/>
          <w:szCs w:val="22"/>
        </w:rPr>
        <w:t>uitstoot hebben</w:t>
      </w:r>
      <w:r w:rsidRPr="00DB2DFE" w:rsidR="00EF4578">
        <w:rPr>
          <w:sz w:val="22"/>
          <w:szCs w:val="22"/>
        </w:rPr>
        <w:t xml:space="preserve">. </w:t>
      </w:r>
      <w:r>
        <w:rPr>
          <w:sz w:val="22"/>
          <w:szCs w:val="22"/>
        </w:rPr>
        <w:t xml:space="preserve">In figuur 1 is </w:t>
      </w:r>
      <w:r w:rsidRPr="00DB2DFE" w:rsidR="009823FB">
        <w:rPr>
          <w:sz w:val="22"/>
          <w:szCs w:val="22"/>
        </w:rPr>
        <w:t xml:space="preserve">weergegeven hoe </w:t>
      </w:r>
      <w:r>
        <w:rPr>
          <w:sz w:val="22"/>
          <w:szCs w:val="22"/>
        </w:rPr>
        <w:t>de CO2-uitstoot van personenauto’s zich in de periode 2010-2023 gemiddeld ontwikkeld heeft</w:t>
      </w:r>
      <w:r w:rsidRPr="00DB2DFE" w:rsidR="009823FB">
        <w:rPr>
          <w:sz w:val="22"/>
          <w:szCs w:val="22"/>
        </w:rPr>
        <w:t>.</w:t>
      </w:r>
      <w:r w:rsidR="00A73D64">
        <w:rPr>
          <w:sz w:val="22"/>
          <w:szCs w:val="22"/>
        </w:rPr>
        <w:t xml:space="preserve"> In figuur 2 (zie bijlage) is o</w:t>
      </w:r>
      <w:r w:rsidRPr="00A73D64" w:rsidR="00A73D64">
        <w:rPr>
          <w:sz w:val="22"/>
          <w:szCs w:val="22"/>
        </w:rPr>
        <w:t xml:space="preserve">ntwikkeling </w:t>
      </w:r>
      <w:r w:rsidR="00A73D64">
        <w:rPr>
          <w:sz w:val="22"/>
          <w:szCs w:val="22"/>
        </w:rPr>
        <w:t xml:space="preserve">van de </w:t>
      </w:r>
      <w:r w:rsidRPr="00A73D64" w:rsidR="00A73D64">
        <w:rPr>
          <w:sz w:val="22"/>
          <w:szCs w:val="22"/>
        </w:rPr>
        <w:t>CO2-uitstoot per type brandstof</w:t>
      </w:r>
      <w:r w:rsidR="00A73D64">
        <w:rPr>
          <w:sz w:val="22"/>
          <w:szCs w:val="22"/>
        </w:rPr>
        <w:t xml:space="preserve"> weergegeven.</w:t>
      </w:r>
    </w:p>
    <w:p w:rsidR="00A73D64" w:rsidP="00A73D64" w:rsidRDefault="00A73D64" w14:paraId="7F183AB7" w14:textId="77777777">
      <w:pPr>
        <w:spacing w:after="0"/>
        <w:rPr>
          <w:i/>
          <w:iCs/>
          <w:sz w:val="22"/>
          <w:szCs w:val="22"/>
        </w:rPr>
      </w:pPr>
    </w:p>
    <w:p w:rsidRPr="00DB2DFE" w:rsidR="00725A65" w:rsidP="00A134EB" w:rsidRDefault="00CB51A5" w14:paraId="5D3F2CBB" w14:textId="6B70F725">
      <w:pPr>
        <w:rPr>
          <w:sz w:val="22"/>
          <w:szCs w:val="22"/>
        </w:rPr>
      </w:pPr>
      <w:r w:rsidRPr="00DB2DFE">
        <w:rPr>
          <w:noProof/>
          <w:sz w:val="22"/>
          <w:szCs w:val="22"/>
        </w:rPr>
        <w:drawing>
          <wp:anchor distT="0" distB="0" distL="114300" distR="114300" simplePos="0" relativeHeight="251658240" behindDoc="0" locked="0" layoutInCell="1" allowOverlap="1" wp14:editId="0B86299F" wp14:anchorId="01BF2861">
            <wp:simplePos x="0" y="0"/>
            <wp:positionH relativeFrom="margin">
              <wp:posOffset>528955</wp:posOffset>
            </wp:positionH>
            <wp:positionV relativeFrom="paragraph">
              <wp:posOffset>440055</wp:posOffset>
            </wp:positionV>
            <wp:extent cx="4362450" cy="3661410"/>
            <wp:effectExtent l="0" t="0" r="0" b="0"/>
            <wp:wrapTopAndBottom/>
            <wp:docPr id="752837679" name="Afbeelding 3" descr="Afbeelding met tekst, lijn, diagram,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837679" name="Afbeelding 3" descr="Afbeelding met tekst, lijn, diagram, Perceel&#10;&#10;Door AI gegenereerde inhoud is mogelijk onjuist."/>
                    <pic:cNvPicPr/>
                  </pic:nvPicPr>
                  <pic:blipFill>
                    <a:blip r:embed="rId8">
                      <a:extLst>
                        <a:ext uri="{28A0092B-C50C-407E-A947-70E740481C1C}">
                          <a14:useLocalDpi xmlns:a14="http://schemas.microsoft.com/office/drawing/2010/main" val="0"/>
                        </a:ext>
                      </a:extLst>
                    </a:blip>
                    <a:stretch>
                      <a:fillRect/>
                    </a:stretch>
                  </pic:blipFill>
                  <pic:spPr>
                    <a:xfrm>
                      <a:off x="0" y="0"/>
                      <a:ext cx="4362450" cy="3661410"/>
                    </a:xfrm>
                    <a:prstGeom prst="rect">
                      <a:avLst/>
                    </a:prstGeom>
                  </pic:spPr>
                </pic:pic>
              </a:graphicData>
            </a:graphic>
            <wp14:sizeRelH relativeFrom="margin">
              <wp14:pctWidth>0</wp14:pctWidth>
            </wp14:sizeRelH>
            <wp14:sizeRelV relativeFrom="margin">
              <wp14:pctHeight>0</wp14:pctHeight>
            </wp14:sizeRelV>
          </wp:anchor>
        </w:drawing>
      </w:r>
      <w:r w:rsidR="00725A65">
        <w:rPr>
          <w:noProof/>
          <w:sz w:val="22"/>
          <w:szCs w:val="22"/>
        </w:rPr>
        <mc:AlternateContent>
          <mc:Choice Requires="wps">
            <w:drawing>
              <wp:anchor distT="0" distB="0" distL="114300" distR="114300" simplePos="0" relativeHeight="251659264" behindDoc="0" locked="0" layoutInCell="1" allowOverlap="1" wp14:editId="142F269C" wp14:anchorId="345B5F4D">
                <wp:simplePos x="0" y="0"/>
                <wp:positionH relativeFrom="column">
                  <wp:posOffset>862330</wp:posOffset>
                </wp:positionH>
                <wp:positionV relativeFrom="paragraph">
                  <wp:posOffset>234315</wp:posOffset>
                </wp:positionV>
                <wp:extent cx="3105150" cy="209550"/>
                <wp:effectExtent l="0" t="0" r="19050" b="19050"/>
                <wp:wrapNone/>
                <wp:docPr id="126373773" name="Rechthoek 1"/>
                <wp:cNvGraphicFramePr/>
                <a:graphic xmlns:a="http://schemas.openxmlformats.org/drawingml/2006/main">
                  <a:graphicData uri="http://schemas.microsoft.com/office/word/2010/wordprocessingShape">
                    <wps:wsp>
                      <wps:cNvSpPr/>
                      <wps:spPr>
                        <a:xfrm>
                          <a:off x="0" y="0"/>
                          <a:ext cx="3105150" cy="2095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hoek 1" style="position:absolute;margin-left:67.9pt;margin-top:18.45pt;width:244.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" w14:anchorId="7C4419C6"/>
            </w:pict>
          </mc:Fallback>
        </mc:AlternateContent>
      </w:r>
      <w:r w:rsidR="00725A65">
        <w:rPr>
          <w:i/>
          <w:iCs/>
          <w:sz w:val="22"/>
          <w:szCs w:val="22"/>
        </w:rPr>
        <w:t>Figuur 1: Gemiddelde CO</w:t>
      </w:r>
      <w:r w:rsidRPr="00115A98" w:rsidR="00725A65">
        <w:rPr>
          <w:i/>
          <w:iCs/>
          <w:sz w:val="22"/>
          <w:szCs w:val="22"/>
          <w:vertAlign w:val="subscript"/>
        </w:rPr>
        <w:t>2</w:t>
      </w:r>
      <w:r w:rsidR="00725A65">
        <w:rPr>
          <w:i/>
          <w:iCs/>
          <w:sz w:val="22"/>
          <w:szCs w:val="22"/>
        </w:rPr>
        <w:t>-uitstoot van personenauto’s</w:t>
      </w:r>
    </w:p>
    <w:p w:rsidRPr="00DB2DFE" w:rsidR="00CB51A5" w:rsidP="00A73D64" w:rsidRDefault="00CB51A5" w14:paraId="2BD78E9C" w14:textId="77777777">
      <w:pPr>
        <w:pStyle w:val="Kop1"/>
      </w:pPr>
      <w:r w:rsidRPr="00DB2DFE">
        <w:lastRenderedPageBreak/>
        <w:t xml:space="preserve">Methodiek berekening </w:t>
      </w:r>
      <w:r>
        <w:t xml:space="preserve">van de </w:t>
      </w:r>
      <w:r w:rsidRPr="00DB2DFE">
        <w:t xml:space="preserve">autonome vergroening </w:t>
      </w:r>
    </w:p>
    <w:p w:rsidR="000857B1" w:rsidP="000857B1" w:rsidRDefault="000857B1" w14:paraId="7444E841" w14:textId="7BB170E1">
      <w:pPr>
        <w:rPr>
          <w:sz w:val="22"/>
          <w:szCs w:val="22"/>
        </w:rPr>
      </w:pPr>
      <w:r>
        <w:rPr>
          <w:sz w:val="22"/>
          <w:szCs w:val="22"/>
        </w:rPr>
        <w:t xml:space="preserve">De laatste correctie voor autonome vergroening bij personenauto’s is, zoals eerder gezegd, gemaakt aan de hand van een </w:t>
      </w:r>
      <w:r w:rsidRPr="00DB2DFE">
        <w:rPr>
          <w:sz w:val="22"/>
          <w:szCs w:val="22"/>
        </w:rPr>
        <w:t>TNO</w:t>
      </w:r>
      <w:r>
        <w:rPr>
          <w:sz w:val="22"/>
          <w:szCs w:val="22"/>
        </w:rPr>
        <w:t>-onderzoek uit</w:t>
      </w:r>
      <w:r w:rsidRPr="00DB2DFE">
        <w:rPr>
          <w:sz w:val="22"/>
          <w:szCs w:val="22"/>
        </w:rPr>
        <w:t xml:space="preserve"> 20</w:t>
      </w:r>
      <w:r>
        <w:rPr>
          <w:sz w:val="22"/>
          <w:szCs w:val="22"/>
        </w:rPr>
        <w:t>21</w:t>
      </w:r>
      <w:r w:rsidRPr="00DB2DFE">
        <w:rPr>
          <w:sz w:val="22"/>
          <w:szCs w:val="22"/>
        </w:rPr>
        <w:t>.</w:t>
      </w:r>
      <w:r>
        <w:rPr>
          <w:rStyle w:val="Voetnootmarkering"/>
          <w:sz w:val="22"/>
          <w:szCs w:val="22"/>
        </w:rPr>
        <w:footnoteReference w:id="6"/>
      </w:r>
      <w:r w:rsidRPr="00DB2DFE">
        <w:rPr>
          <w:sz w:val="22"/>
          <w:szCs w:val="22"/>
        </w:rPr>
        <w:t xml:space="preserve"> </w:t>
      </w:r>
      <w:r>
        <w:rPr>
          <w:sz w:val="22"/>
          <w:szCs w:val="22"/>
        </w:rPr>
        <w:t>D</w:t>
      </w:r>
      <w:r w:rsidRPr="00DB2DFE">
        <w:rPr>
          <w:sz w:val="22"/>
          <w:szCs w:val="22"/>
        </w:rPr>
        <w:t>e</w:t>
      </w:r>
      <w:r>
        <w:rPr>
          <w:sz w:val="22"/>
          <w:szCs w:val="22"/>
        </w:rPr>
        <w:t xml:space="preserve"> huidige</w:t>
      </w:r>
      <w:r w:rsidRPr="00DB2DFE">
        <w:rPr>
          <w:sz w:val="22"/>
          <w:szCs w:val="22"/>
        </w:rPr>
        <w:t xml:space="preserve"> analyse wordt grotendeels </w:t>
      </w:r>
      <w:r>
        <w:rPr>
          <w:sz w:val="22"/>
          <w:szCs w:val="22"/>
        </w:rPr>
        <w:t>op dezelfde wijze uitgevoerd</w:t>
      </w:r>
      <w:r w:rsidRPr="00DB2DFE">
        <w:rPr>
          <w:sz w:val="22"/>
          <w:szCs w:val="22"/>
        </w:rPr>
        <w:t xml:space="preserve">. </w:t>
      </w:r>
      <w:r w:rsidRPr="00AB422C">
        <w:rPr>
          <w:sz w:val="22"/>
          <w:szCs w:val="22"/>
        </w:rPr>
        <w:t xml:space="preserve">Uit </w:t>
      </w:r>
      <w:r w:rsidR="00A84683">
        <w:rPr>
          <w:sz w:val="22"/>
          <w:szCs w:val="22"/>
        </w:rPr>
        <w:t>de</w:t>
      </w:r>
      <w:r w:rsidRPr="00AB422C">
        <w:rPr>
          <w:sz w:val="22"/>
          <w:szCs w:val="22"/>
        </w:rPr>
        <w:t xml:space="preserve"> analyse volgt </w:t>
      </w:r>
      <w:r>
        <w:rPr>
          <w:sz w:val="22"/>
          <w:szCs w:val="22"/>
        </w:rPr>
        <w:t xml:space="preserve">wel </w:t>
      </w:r>
      <w:r w:rsidRPr="00AB422C">
        <w:rPr>
          <w:sz w:val="22"/>
          <w:szCs w:val="22"/>
        </w:rPr>
        <w:t xml:space="preserve">dat een ander </w:t>
      </w:r>
      <w:r>
        <w:rPr>
          <w:sz w:val="22"/>
          <w:szCs w:val="22"/>
        </w:rPr>
        <w:t xml:space="preserve">econometrisch </w:t>
      </w:r>
      <w:r w:rsidRPr="00AB422C">
        <w:rPr>
          <w:sz w:val="22"/>
          <w:szCs w:val="22"/>
        </w:rPr>
        <w:t>model nu beter presteert.</w:t>
      </w:r>
    </w:p>
    <w:p w:rsidR="008E66A4" w:rsidP="008E66A4" w:rsidRDefault="00732F1D" w14:paraId="546EF0BC" w14:textId="54401BB5">
      <w:pPr>
        <w:pStyle w:val="Kop2"/>
      </w:pPr>
      <w:r>
        <w:t>A</w:t>
      </w:r>
      <w:r w:rsidR="008E66A4">
        <w:t>utonome vergroening</w:t>
      </w:r>
      <w:r>
        <w:t xml:space="preserve"> en lastenneutraliteit</w:t>
      </w:r>
    </w:p>
    <w:p w:rsidRPr="00DB2DFE" w:rsidR="00EF4578" w:rsidP="00A134EB" w:rsidRDefault="008E66A4" w14:paraId="798D219C" w14:textId="5F70F886">
      <w:pPr>
        <w:rPr>
          <w:sz w:val="22"/>
          <w:szCs w:val="22"/>
        </w:rPr>
      </w:pPr>
      <w:r w:rsidRPr="00DB2DFE">
        <w:rPr>
          <w:sz w:val="22"/>
          <w:szCs w:val="22"/>
        </w:rPr>
        <w:t xml:space="preserve">Bij de ombouw van de </w:t>
      </w:r>
      <w:r>
        <w:rPr>
          <w:sz w:val="22"/>
          <w:szCs w:val="22"/>
        </w:rPr>
        <w:t>bpm</w:t>
      </w:r>
      <w:r w:rsidRPr="00DB2DFE">
        <w:rPr>
          <w:sz w:val="22"/>
          <w:szCs w:val="22"/>
        </w:rPr>
        <w:t xml:space="preserve"> is destijds besloten dat </w:t>
      </w:r>
      <w:r>
        <w:rPr>
          <w:sz w:val="22"/>
          <w:szCs w:val="22"/>
        </w:rPr>
        <w:t xml:space="preserve">sprake moet zijn van </w:t>
      </w:r>
      <w:r w:rsidRPr="00115A98">
        <w:rPr>
          <w:i/>
          <w:iCs/>
          <w:sz w:val="22"/>
          <w:szCs w:val="22"/>
        </w:rPr>
        <w:t>ex ante</w:t>
      </w:r>
      <w:r>
        <w:rPr>
          <w:sz w:val="22"/>
          <w:szCs w:val="22"/>
        </w:rPr>
        <w:t xml:space="preserve"> lastenneutraliteit</w:t>
      </w:r>
      <w:r w:rsidRPr="00DB2DFE">
        <w:rPr>
          <w:sz w:val="22"/>
          <w:szCs w:val="22"/>
        </w:rPr>
        <w:t xml:space="preserve">. </w:t>
      </w:r>
      <w:r>
        <w:rPr>
          <w:sz w:val="22"/>
          <w:szCs w:val="22"/>
        </w:rPr>
        <w:t>Dat betekent dat</w:t>
      </w:r>
      <w:r w:rsidRPr="00DB2DFE">
        <w:rPr>
          <w:sz w:val="22"/>
          <w:szCs w:val="22"/>
        </w:rPr>
        <w:t xml:space="preserve"> de CO₂-reductie die komt door</w:t>
      </w:r>
      <w:r>
        <w:rPr>
          <w:sz w:val="22"/>
          <w:szCs w:val="22"/>
        </w:rPr>
        <w:t xml:space="preserve"> het beoogde gedragseffect van consumenten die zuinigere personenauto’s kopen, </w:t>
      </w:r>
      <w:r w:rsidRPr="00DB2DFE">
        <w:rPr>
          <w:sz w:val="22"/>
          <w:szCs w:val="22"/>
        </w:rPr>
        <w:t xml:space="preserve">niet </w:t>
      </w:r>
      <w:r w:rsidR="00A84683">
        <w:rPr>
          <w:sz w:val="22"/>
          <w:szCs w:val="22"/>
        </w:rPr>
        <w:t>meegenomen</w:t>
      </w:r>
      <w:r w:rsidR="00F755C2">
        <w:rPr>
          <w:sz w:val="22"/>
          <w:szCs w:val="22"/>
        </w:rPr>
        <w:t xml:space="preserve"> wordt</w:t>
      </w:r>
      <w:r>
        <w:rPr>
          <w:sz w:val="22"/>
          <w:szCs w:val="22"/>
        </w:rPr>
        <w:t>, zodat goed gedrag niet bestraft wordt</w:t>
      </w:r>
      <w:r w:rsidRPr="00DB2DFE">
        <w:rPr>
          <w:sz w:val="22"/>
          <w:szCs w:val="22"/>
        </w:rPr>
        <w:t>.</w:t>
      </w:r>
      <w:r>
        <w:rPr>
          <w:sz w:val="22"/>
          <w:szCs w:val="22"/>
        </w:rPr>
        <w:t xml:space="preserve"> </w:t>
      </w:r>
      <w:r w:rsidRPr="00DB2DFE" w:rsidR="00EF4578">
        <w:rPr>
          <w:sz w:val="22"/>
          <w:szCs w:val="22"/>
        </w:rPr>
        <w:t>Om enkel niet-gedrag</w:t>
      </w:r>
      <w:r w:rsidR="00155EDD">
        <w:rPr>
          <w:sz w:val="22"/>
          <w:szCs w:val="22"/>
        </w:rPr>
        <w:t>-</w:t>
      </w:r>
      <w:r w:rsidRPr="00DB2DFE" w:rsidR="00EF4578">
        <w:rPr>
          <w:sz w:val="22"/>
          <w:szCs w:val="22"/>
        </w:rPr>
        <w:t xml:space="preserve">gedreven ontwikkelingen mee te nemen kijken we naar de gemiddelde jaar-op-jaar verandering in de CO₂-uitstoot op basis van de WLTP voor een </w:t>
      </w:r>
      <w:r w:rsidR="00A66943">
        <w:rPr>
          <w:sz w:val="22"/>
          <w:szCs w:val="22"/>
        </w:rPr>
        <w:t>personenauto</w:t>
      </w:r>
      <w:r w:rsidRPr="00DB2DFE" w:rsidR="00EF4578">
        <w:rPr>
          <w:sz w:val="22"/>
          <w:szCs w:val="22"/>
        </w:rPr>
        <w:t xml:space="preserve"> van hetzelfde merk, model, en gewicht.</w:t>
      </w:r>
      <w:r w:rsidRPr="00DB2DFE" w:rsidR="00296851">
        <w:rPr>
          <w:sz w:val="22"/>
          <w:szCs w:val="22"/>
        </w:rPr>
        <w:t xml:space="preserve"> Een model van een bepaald merk kan nog in gewicht verschillen doordat het model anders is uitgevoerd (andere opties). Dit zien we in de data </w:t>
      </w:r>
      <w:r w:rsidR="00302DDA">
        <w:rPr>
          <w:sz w:val="22"/>
          <w:szCs w:val="22"/>
        </w:rPr>
        <w:t xml:space="preserve">ook </w:t>
      </w:r>
      <w:r w:rsidRPr="00DB2DFE" w:rsidR="00296851">
        <w:rPr>
          <w:sz w:val="22"/>
          <w:szCs w:val="22"/>
        </w:rPr>
        <w:t>vaak voorkomen</w:t>
      </w:r>
      <w:r w:rsidRPr="00DB2DFE" w:rsidR="00824368">
        <w:rPr>
          <w:sz w:val="22"/>
          <w:szCs w:val="22"/>
        </w:rPr>
        <w:t>. E</w:t>
      </w:r>
      <w:r w:rsidRPr="00DB2DFE" w:rsidR="00296851">
        <w:rPr>
          <w:sz w:val="22"/>
          <w:szCs w:val="22"/>
        </w:rPr>
        <w:t>ventuele impact daarvan op de CO</w:t>
      </w:r>
      <w:r w:rsidRPr="00115A98" w:rsidR="00296851">
        <w:rPr>
          <w:sz w:val="22"/>
          <w:szCs w:val="22"/>
          <w:vertAlign w:val="subscript"/>
        </w:rPr>
        <w:t>2</w:t>
      </w:r>
      <w:r w:rsidRPr="00DB2DFE" w:rsidR="00296851">
        <w:rPr>
          <w:sz w:val="22"/>
          <w:szCs w:val="22"/>
        </w:rPr>
        <w:t xml:space="preserve">-uitstoot komt </w:t>
      </w:r>
      <w:r w:rsidRPr="00DB2DFE" w:rsidR="00824368">
        <w:rPr>
          <w:sz w:val="22"/>
          <w:szCs w:val="22"/>
        </w:rPr>
        <w:t xml:space="preserve">dan </w:t>
      </w:r>
      <w:r w:rsidRPr="00DB2DFE" w:rsidR="00296851">
        <w:rPr>
          <w:sz w:val="22"/>
          <w:szCs w:val="22"/>
        </w:rPr>
        <w:t>vanwege de voorkeuren van consumenten</w:t>
      </w:r>
      <w:r w:rsidR="00302DDA">
        <w:rPr>
          <w:sz w:val="22"/>
          <w:szCs w:val="22"/>
        </w:rPr>
        <w:t>,</w:t>
      </w:r>
      <w:r w:rsidRPr="00DB2DFE" w:rsidR="00296851">
        <w:rPr>
          <w:sz w:val="22"/>
          <w:szCs w:val="22"/>
        </w:rPr>
        <w:t xml:space="preserve"> is gedrag</w:t>
      </w:r>
      <w:r w:rsidR="00155EDD">
        <w:rPr>
          <w:sz w:val="22"/>
          <w:szCs w:val="22"/>
        </w:rPr>
        <w:t>-</w:t>
      </w:r>
      <w:r w:rsidRPr="00DB2DFE" w:rsidR="00296851">
        <w:rPr>
          <w:sz w:val="22"/>
          <w:szCs w:val="22"/>
        </w:rPr>
        <w:t xml:space="preserve">gedreven en daarmee </w:t>
      </w:r>
      <w:r w:rsidR="00302DDA">
        <w:rPr>
          <w:sz w:val="22"/>
          <w:szCs w:val="22"/>
        </w:rPr>
        <w:t>geen</w:t>
      </w:r>
      <w:r w:rsidRPr="00DB2DFE" w:rsidR="00296851">
        <w:rPr>
          <w:sz w:val="22"/>
          <w:szCs w:val="22"/>
        </w:rPr>
        <w:t xml:space="preserve"> onderdeel van de autonome vergroening</w:t>
      </w:r>
      <w:r w:rsidRPr="00DB2DFE" w:rsidR="00726BA0">
        <w:rPr>
          <w:sz w:val="22"/>
          <w:szCs w:val="22"/>
        </w:rPr>
        <w:t>.</w:t>
      </w:r>
    </w:p>
    <w:p w:rsidR="00A73D64" w:rsidP="00A73D64" w:rsidRDefault="00A73D64" w14:paraId="7F3CCAF5" w14:textId="7EA15C8C">
      <w:pPr>
        <w:pStyle w:val="Kop2"/>
      </w:pPr>
      <w:r>
        <w:t>Econometrische modellen</w:t>
      </w:r>
    </w:p>
    <w:p w:rsidR="0070005C" w:rsidP="00BE6555" w:rsidRDefault="0070005C" w14:paraId="4BA23FCE" w14:textId="4D8EED92">
      <w:pPr>
        <w:rPr>
          <w:sz w:val="22"/>
          <w:szCs w:val="22"/>
        </w:rPr>
      </w:pPr>
      <w:r>
        <w:rPr>
          <w:sz w:val="22"/>
          <w:szCs w:val="22"/>
        </w:rPr>
        <w:t xml:space="preserve">Voor de inschatting van de autonome vergroening maken we gebruik van een econometrisch model. Hiervoor hebben we verschillende modellen bekeken. </w:t>
      </w:r>
    </w:p>
    <w:p w:rsidRPr="00DB2DFE" w:rsidR="00BE6555" w:rsidP="00BE6555" w:rsidRDefault="00824368" w14:paraId="2662EED6" w14:textId="62F427A8">
      <w:pPr>
        <w:rPr>
          <w:sz w:val="22"/>
          <w:szCs w:val="22"/>
        </w:rPr>
      </w:pPr>
      <w:r w:rsidRPr="00DB2DFE">
        <w:rPr>
          <w:sz w:val="22"/>
          <w:szCs w:val="22"/>
        </w:rPr>
        <w:t>De mate waarin autonome vergroening voorkomt kan</w:t>
      </w:r>
      <w:r w:rsidR="00155EDD">
        <w:rPr>
          <w:sz w:val="22"/>
          <w:szCs w:val="22"/>
        </w:rPr>
        <w:t xml:space="preserve"> </w:t>
      </w:r>
      <w:r w:rsidR="00734179">
        <w:rPr>
          <w:sz w:val="22"/>
          <w:szCs w:val="22"/>
        </w:rPr>
        <w:t>berekend</w:t>
      </w:r>
      <w:r w:rsidRPr="00DB2DFE">
        <w:rPr>
          <w:sz w:val="22"/>
          <w:szCs w:val="22"/>
        </w:rPr>
        <w:t xml:space="preserve"> worden met een </w:t>
      </w:r>
      <w:r w:rsidR="00956F2D">
        <w:rPr>
          <w:sz w:val="22"/>
          <w:szCs w:val="22"/>
        </w:rPr>
        <w:t xml:space="preserve">lineaire </w:t>
      </w:r>
      <w:r w:rsidRPr="00DB2DFE">
        <w:rPr>
          <w:sz w:val="22"/>
          <w:szCs w:val="22"/>
        </w:rPr>
        <w:t xml:space="preserve">regressie waarbij de CO₂-uitstoot wordt verklaard door het jaar. </w:t>
      </w:r>
      <w:r w:rsidR="0073375C">
        <w:rPr>
          <w:sz w:val="22"/>
          <w:szCs w:val="22"/>
        </w:rPr>
        <w:t xml:space="preserve">In de vorige analyse </w:t>
      </w:r>
      <w:r w:rsidR="00CB51A5">
        <w:rPr>
          <w:sz w:val="22"/>
          <w:szCs w:val="22"/>
        </w:rPr>
        <w:t xml:space="preserve">van de autonome vergroening </w:t>
      </w:r>
      <w:r w:rsidR="0073375C">
        <w:rPr>
          <w:sz w:val="22"/>
          <w:szCs w:val="22"/>
        </w:rPr>
        <w:t xml:space="preserve">heeft </w:t>
      </w:r>
      <w:r w:rsidRPr="00DB2DFE">
        <w:rPr>
          <w:sz w:val="22"/>
          <w:szCs w:val="22"/>
        </w:rPr>
        <w:t>TNO</w:t>
      </w:r>
      <w:r w:rsidR="0073375C">
        <w:rPr>
          <w:sz w:val="22"/>
          <w:szCs w:val="22"/>
        </w:rPr>
        <w:t xml:space="preserve"> gekozen voor een lineaire regressie</w:t>
      </w:r>
      <w:r w:rsidRPr="00DB2DFE">
        <w:rPr>
          <w:sz w:val="22"/>
          <w:szCs w:val="22"/>
        </w:rPr>
        <w:t>.</w:t>
      </w:r>
      <w:r w:rsidR="00956F2D">
        <w:rPr>
          <w:rStyle w:val="Voetnootmarkering"/>
          <w:sz w:val="22"/>
          <w:szCs w:val="22"/>
        </w:rPr>
        <w:footnoteReference w:id="7"/>
      </w:r>
      <w:r w:rsidRPr="00DB2DFE">
        <w:rPr>
          <w:sz w:val="22"/>
          <w:szCs w:val="22"/>
        </w:rPr>
        <w:t xml:space="preserve"> Om dit precies te maken kunnen we dit in de volgende vergelijking weergeven waarbij </w:t>
      </w:r>
      <m:oMath>
        <m:r>
          <w:rPr>
            <w:rFonts w:ascii="Cambria Math" w:hAnsi="Cambria Math"/>
            <w:sz w:val="22"/>
            <w:szCs w:val="22"/>
          </w:rPr>
          <m:t>i</m:t>
        </m:r>
      </m:oMath>
      <w:r w:rsidRPr="00DB2DFE">
        <w:rPr>
          <w:rFonts w:eastAsiaTheme="minorEastAsia"/>
          <w:sz w:val="22"/>
          <w:szCs w:val="22"/>
        </w:rPr>
        <w:t xml:space="preserve"> staat voor een merk-model-gewicht combinatie en </w:t>
      </w:r>
      <m:oMath>
        <m:r>
          <w:rPr>
            <w:rFonts w:ascii="Cambria Math" w:hAnsi="Cambria Math" w:eastAsiaTheme="minorEastAsia"/>
            <w:sz w:val="22"/>
            <w:szCs w:val="22"/>
          </w:rPr>
          <m:t>t</m:t>
        </m:r>
      </m:oMath>
      <w:r w:rsidRPr="00DB2DFE">
        <w:rPr>
          <w:rFonts w:eastAsiaTheme="minorEastAsia"/>
          <w:sz w:val="22"/>
          <w:szCs w:val="22"/>
        </w:rPr>
        <w:t xml:space="preserve"> staat voor het jaar</w:t>
      </w:r>
      <w:r w:rsidRPr="00DB2DFE">
        <w:rPr>
          <w:sz w:val="22"/>
          <w:szCs w:val="22"/>
        </w:rPr>
        <w:t>:</w:t>
      </w:r>
    </w:p>
    <w:p w:rsidRPr="00DB2DFE" w:rsidR="00824368" w:rsidP="00BE6555" w:rsidRDefault="00824368" w14:paraId="2611B5BD" w14:textId="26827FDB">
      <w:pPr>
        <w:rPr>
          <w:sz w:val="22"/>
          <w:szCs w:val="22"/>
        </w:rPr>
      </w:pPr>
      <m:oMathPara>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O</m:t>
              </m:r>
            </m:e>
            <m:sub>
              <m:r>
                <w:rPr>
                  <w:rFonts w:ascii="Cambria Math" w:hAnsi="Cambria Math"/>
                  <w:sz w:val="22"/>
                  <w:szCs w:val="22"/>
                </w:rPr>
                <m:t>2</m:t>
              </m:r>
            </m:sub>
          </m:sSub>
          <m:f>
            <m:fPr>
              <m:ctrlPr>
                <w:rPr>
                  <w:rFonts w:ascii="Cambria Math" w:hAnsi="Cambria Math"/>
                  <w:i/>
                  <w:sz w:val="22"/>
                  <w:szCs w:val="22"/>
                </w:rPr>
              </m:ctrlPr>
            </m:fPr>
            <m:num>
              <m:r>
                <w:rPr>
                  <w:rFonts w:ascii="Cambria Math" w:hAnsi="Cambria Math"/>
                  <w:sz w:val="22"/>
                  <w:szCs w:val="22"/>
                </w:rPr>
                <m:t>g</m:t>
              </m:r>
            </m:num>
            <m:den>
              <m:r>
                <w:rPr>
                  <w:rFonts w:ascii="Cambria Math" w:hAnsi="Cambria Math"/>
                  <w:sz w:val="22"/>
                  <w:szCs w:val="22"/>
                </w:rPr>
                <m:t>km</m:t>
              </m:r>
            </m:den>
          </m:f>
          <m:d>
            <m:dPr>
              <m:ctrlPr>
                <w:rPr>
                  <w:rFonts w:ascii="Cambria Math" w:hAnsi="Cambria Math"/>
                  <w:i/>
                  <w:sz w:val="22"/>
                  <w:szCs w:val="22"/>
                </w:rPr>
              </m:ctrlPr>
            </m:dPr>
            <m:e>
              <m:r>
                <w:rPr>
                  <w:rFonts w:ascii="Cambria Math" w:hAnsi="Cambria Math"/>
                  <w:sz w:val="22"/>
                  <w:szCs w:val="22"/>
                </w:rPr>
                <m:t>i,t</m:t>
              </m:r>
            </m:e>
          </m:d>
          <m:r>
            <w:rPr>
              <w:rFonts w:ascii="Cambria Math" w:hAnsi="Cambria Math"/>
              <w:sz w:val="22"/>
              <w:szCs w:val="22"/>
            </w:rPr>
            <m:t>=α+β*t+ϵ</m:t>
          </m:r>
          <m:d>
            <m:dPr>
              <m:ctrlPr>
                <w:rPr>
                  <w:rFonts w:ascii="Cambria Math" w:hAnsi="Cambria Math"/>
                  <w:i/>
                  <w:sz w:val="22"/>
                  <w:szCs w:val="22"/>
                </w:rPr>
              </m:ctrlPr>
            </m:dPr>
            <m:e>
              <m:r>
                <w:rPr>
                  <w:rFonts w:ascii="Cambria Math" w:hAnsi="Cambria Math"/>
                  <w:sz w:val="22"/>
                  <w:szCs w:val="22"/>
                </w:rPr>
                <m:t>i,t</m:t>
              </m:r>
            </m:e>
          </m:d>
          <m:r>
            <w:rPr>
              <w:rFonts w:ascii="Cambria Math" w:hAnsi="Cambria Math"/>
              <w:sz w:val="22"/>
              <w:szCs w:val="22"/>
            </w:rPr>
            <m:t xml:space="preserve">                                                                         (1) </m:t>
          </m:r>
        </m:oMath>
      </m:oMathPara>
    </w:p>
    <w:p w:rsidR="0070005C" w:rsidP="00BE6555" w:rsidRDefault="00824368" w14:paraId="353B775E" w14:textId="77777777">
      <w:pPr>
        <w:rPr>
          <w:sz w:val="22"/>
          <w:szCs w:val="22"/>
        </w:rPr>
      </w:pPr>
      <w:r w:rsidRPr="00DB2DFE">
        <w:rPr>
          <w:sz w:val="22"/>
          <w:szCs w:val="22"/>
        </w:rPr>
        <w:t xml:space="preserve">In dit geval geeft </w:t>
      </w:r>
      <m:oMath>
        <m:r>
          <w:rPr>
            <w:rFonts w:ascii="Cambria Math" w:hAnsi="Cambria Math"/>
            <w:sz w:val="22"/>
            <w:szCs w:val="22"/>
          </w:rPr>
          <m:t>β</m:t>
        </m:r>
      </m:oMath>
      <w:r w:rsidRPr="00DB2DFE">
        <w:rPr>
          <w:rFonts w:eastAsiaTheme="minorEastAsia"/>
          <w:sz w:val="22"/>
          <w:szCs w:val="22"/>
        </w:rPr>
        <w:t xml:space="preserve"> de gemiddelde verandering </w:t>
      </w:r>
      <w:r w:rsidRPr="00DB2DFE" w:rsidR="00764341">
        <w:rPr>
          <w:rFonts w:eastAsiaTheme="minorEastAsia"/>
          <w:sz w:val="22"/>
          <w:szCs w:val="22"/>
        </w:rPr>
        <w:t>in</w:t>
      </w:r>
      <w:r w:rsidRPr="00DB2DFE" w:rsidR="00764341">
        <w:rPr>
          <w:sz w:val="22"/>
          <w:szCs w:val="22"/>
        </w:rPr>
        <w:t xml:space="preserve"> CO₂-uitstoot per jaar en is </w:t>
      </w:r>
      <m:oMath>
        <m:r>
          <w:rPr>
            <w:rFonts w:ascii="Cambria Math" w:hAnsi="Cambria Math"/>
            <w:sz w:val="22"/>
            <w:szCs w:val="22"/>
          </w:rPr>
          <m:t>ϵ(i,t)</m:t>
        </m:r>
      </m:oMath>
      <w:r w:rsidRPr="00DB2DFE" w:rsidR="00764341">
        <w:rPr>
          <w:rFonts w:eastAsiaTheme="minorEastAsia"/>
          <w:sz w:val="22"/>
          <w:szCs w:val="22"/>
        </w:rPr>
        <w:t xml:space="preserve"> de schattingsfout</w:t>
      </w:r>
      <w:r w:rsidRPr="00DB2DFE" w:rsidR="00764341">
        <w:rPr>
          <w:sz w:val="22"/>
          <w:szCs w:val="22"/>
        </w:rPr>
        <w:t xml:space="preserve">. Model 1 neemt aan dat het aantal CO₂ g/km ieder jaar met hetzelfde aantal g/km afneemt. </w:t>
      </w:r>
    </w:p>
    <w:p w:rsidRPr="00DB2DFE" w:rsidR="00764341" w:rsidP="00BE6555" w:rsidRDefault="00764341" w14:paraId="136E7840" w14:textId="6FD4E82D">
      <w:pPr>
        <w:rPr>
          <w:sz w:val="22"/>
          <w:szCs w:val="22"/>
        </w:rPr>
      </w:pPr>
      <w:r w:rsidRPr="00DB2DFE">
        <w:rPr>
          <w:sz w:val="22"/>
          <w:szCs w:val="22"/>
        </w:rPr>
        <w:lastRenderedPageBreak/>
        <w:t xml:space="preserve">Het is echter </w:t>
      </w:r>
      <w:r w:rsidR="004E466C">
        <w:rPr>
          <w:sz w:val="22"/>
          <w:szCs w:val="22"/>
        </w:rPr>
        <w:t xml:space="preserve">inmiddels </w:t>
      </w:r>
      <w:r w:rsidRPr="00DB2DFE">
        <w:rPr>
          <w:sz w:val="22"/>
          <w:szCs w:val="22"/>
        </w:rPr>
        <w:t xml:space="preserve">aannemelijk dat </w:t>
      </w:r>
      <w:r w:rsidR="004E466C">
        <w:rPr>
          <w:sz w:val="22"/>
          <w:szCs w:val="22"/>
        </w:rPr>
        <w:t>het lastiger gaat worden</w:t>
      </w:r>
      <w:r w:rsidRPr="00DB2DFE">
        <w:rPr>
          <w:sz w:val="22"/>
          <w:szCs w:val="22"/>
        </w:rPr>
        <w:t xml:space="preserve"> om emissiereductie te bewerkstelligen </w:t>
      </w:r>
      <w:r w:rsidR="004E466C">
        <w:rPr>
          <w:sz w:val="22"/>
          <w:szCs w:val="22"/>
        </w:rPr>
        <w:t xml:space="preserve">bij fossiele personenauto’s en dat de reductie </w:t>
      </w:r>
      <w:r w:rsidR="00734179">
        <w:rPr>
          <w:sz w:val="22"/>
          <w:szCs w:val="22"/>
        </w:rPr>
        <w:t xml:space="preserve">absoluut gezien </w:t>
      </w:r>
      <w:r w:rsidRPr="00DB2DFE">
        <w:rPr>
          <w:sz w:val="22"/>
          <w:szCs w:val="22"/>
        </w:rPr>
        <w:t xml:space="preserve">naar verwachting telkens kleiner wordt. Een model </w:t>
      </w:r>
      <w:r w:rsidRPr="00DB2DFE" w:rsidR="002F5391">
        <w:rPr>
          <w:sz w:val="22"/>
          <w:szCs w:val="22"/>
        </w:rPr>
        <w:t>dat</w:t>
      </w:r>
      <w:r w:rsidRPr="00DB2DFE">
        <w:rPr>
          <w:sz w:val="22"/>
          <w:szCs w:val="22"/>
        </w:rPr>
        <w:t xml:space="preserve"> dit vangt is model 2</w:t>
      </w:r>
      <w:r w:rsidR="00A84683">
        <w:rPr>
          <w:sz w:val="22"/>
          <w:szCs w:val="22"/>
        </w:rPr>
        <w:t>.</w:t>
      </w:r>
      <w:r w:rsidRPr="00DB2DFE" w:rsidR="00BD13E5">
        <w:rPr>
          <w:sz w:val="22"/>
          <w:szCs w:val="22"/>
        </w:rPr>
        <w:t xml:space="preserve"> (</w:t>
      </w:r>
      <m:oMath>
        <m:r>
          <w:rPr>
            <w:rFonts w:ascii="Cambria Math" w:hAnsi="Cambria Math"/>
            <w:sz w:val="22"/>
            <w:szCs w:val="22"/>
          </w:rPr>
          <m:t>η(i,t)</m:t>
        </m:r>
      </m:oMath>
      <w:r w:rsidRPr="00DB2DFE" w:rsidR="00BD13E5">
        <w:rPr>
          <w:rFonts w:eastAsiaTheme="minorEastAsia"/>
          <w:sz w:val="22"/>
          <w:szCs w:val="22"/>
        </w:rPr>
        <w:t xml:space="preserve"> is hier de schattingsfout</w:t>
      </w:r>
      <w:r w:rsidRPr="00DB2DFE" w:rsidR="002F5391">
        <w:rPr>
          <w:rFonts w:eastAsiaTheme="minorEastAsia"/>
          <w:sz w:val="22"/>
          <w:szCs w:val="22"/>
        </w:rPr>
        <w:t>)</w:t>
      </w:r>
      <w:r w:rsidRPr="00DB2DFE">
        <w:rPr>
          <w:sz w:val="22"/>
          <w:szCs w:val="22"/>
        </w:rPr>
        <w:t>:</w:t>
      </w:r>
    </w:p>
    <w:p w:rsidRPr="00DB2DFE" w:rsidR="00764341" w:rsidP="00BE6555" w:rsidRDefault="00586321" w14:paraId="18417A60" w14:textId="31A22D74">
      <w:pPr>
        <w:rPr>
          <w:sz w:val="22"/>
          <w:szCs w:val="22"/>
        </w:rPr>
      </w:pPr>
      <m:oMathPara>
        <m:oMath>
          <m:sSub>
            <m:sSubPr>
              <m:ctrlPr>
                <w:rPr>
                  <w:rFonts w:ascii="Cambria Math" w:hAnsi="Cambria Math"/>
                  <w:i/>
                  <w:sz w:val="22"/>
                  <w:szCs w:val="22"/>
                </w:rPr>
              </m:ctrlPr>
            </m:sSubPr>
            <m:e>
              <m:r>
                <w:rPr>
                  <w:rFonts w:ascii="Cambria Math" w:hAnsi="Cambria Math"/>
                  <w:sz w:val="22"/>
                  <w:szCs w:val="22"/>
                </w:rPr>
                <m:t>CO</m:t>
              </m:r>
            </m:e>
            <m:sub>
              <m:r>
                <w:rPr>
                  <w:rFonts w:ascii="Cambria Math" w:hAnsi="Cambria Math"/>
                  <w:sz w:val="22"/>
                  <w:szCs w:val="22"/>
                </w:rPr>
                <m:t>2</m:t>
              </m:r>
            </m:sub>
          </m:sSub>
          <m:f>
            <m:fPr>
              <m:ctrlPr>
                <w:rPr>
                  <w:rFonts w:ascii="Cambria Math" w:hAnsi="Cambria Math"/>
                  <w:i/>
                  <w:sz w:val="22"/>
                  <w:szCs w:val="22"/>
                </w:rPr>
              </m:ctrlPr>
            </m:fPr>
            <m:num>
              <m:r>
                <w:rPr>
                  <w:rFonts w:ascii="Cambria Math" w:hAnsi="Cambria Math"/>
                  <w:sz w:val="22"/>
                  <w:szCs w:val="22"/>
                </w:rPr>
                <m:t>g</m:t>
              </m:r>
            </m:num>
            <m:den>
              <m:r>
                <w:rPr>
                  <w:rFonts w:ascii="Cambria Math" w:hAnsi="Cambria Math"/>
                  <w:sz w:val="22"/>
                  <w:szCs w:val="22"/>
                </w:rPr>
                <m:t>km</m:t>
              </m:r>
            </m:den>
          </m:f>
          <m:d>
            <m:dPr>
              <m:ctrlPr>
                <w:rPr>
                  <w:rFonts w:ascii="Cambria Math" w:hAnsi="Cambria Math"/>
                  <w:i/>
                  <w:sz w:val="22"/>
                  <w:szCs w:val="22"/>
                </w:rPr>
              </m:ctrlPr>
            </m:dPr>
            <m:e>
              <m:r>
                <w:rPr>
                  <w:rFonts w:ascii="Cambria Math" w:hAnsi="Cambria Math"/>
                  <w:sz w:val="22"/>
                  <w:szCs w:val="22"/>
                </w:rPr>
                <m:t>i,t</m:t>
              </m:r>
            </m:e>
          </m:d>
          <m:r>
            <w:rPr>
              <w:rFonts w:ascii="Cambria Math" w:hAnsi="Cambria Math"/>
              <w:sz w:val="22"/>
              <w:szCs w:val="22"/>
            </w:rPr>
            <m:t>=θ+γ*C</m:t>
          </m:r>
          <m:sSub>
            <m:sSubPr>
              <m:ctrlPr>
                <w:rPr>
                  <w:rFonts w:ascii="Cambria Math" w:hAnsi="Cambria Math"/>
                  <w:i/>
                  <w:sz w:val="22"/>
                  <w:szCs w:val="22"/>
                </w:rPr>
              </m:ctrlPr>
            </m:sSubPr>
            <m:e>
              <m:r>
                <w:rPr>
                  <w:rFonts w:ascii="Cambria Math" w:hAnsi="Cambria Math"/>
                  <w:sz w:val="22"/>
                  <w:szCs w:val="22"/>
                </w:rPr>
                <m:t>O</m:t>
              </m:r>
            </m:e>
            <m:sub>
              <m:r>
                <w:rPr>
                  <w:rFonts w:ascii="Cambria Math" w:hAnsi="Cambria Math"/>
                  <w:sz w:val="22"/>
                  <w:szCs w:val="22"/>
                </w:rPr>
                <m:t>2</m:t>
              </m:r>
            </m:sub>
          </m:sSub>
          <m:f>
            <m:fPr>
              <m:ctrlPr>
                <w:rPr>
                  <w:rFonts w:ascii="Cambria Math" w:hAnsi="Cambria Math"/>
                  <w:i/>
                  <w:sz w:val="22"/>
                  <w:szCs w:val="22"/>
                </w:rPr>
              </m:ctrlPr>
            </m:fPr>
            <m:num>
              <m:r>
                <w:rPr>
                  <w:rFonts w:ascii="Cambria Math" w:hAnsi="Cambria Math"/>
                  <w:sz w:val="22"/>
                  <w:szCs w:val="22"/>
                </w:rPr>
                <m:t>g</m:t>
              </m:r>
            </m:num>
            <m:den>
              <m:r>
                <w:rPr>
                  <w:rFonts w:ascii="Cambria Math" w:hAnsi="Cambria Math"/>
                  <w:sz w:val="22"/>
                  <w:szCs w:val="22"/>
                </w:rPr>
                <m:t>km</m:t>
              </m:r>
            </m:den>
          </m:f>
          <m:d>
            <m:dPr>
              <m:ctrlPr>
                <w:rPr>
                  <w:rFonts w:ascii="Cambria Math" w:hAnsi="Cambria Math"/>
                  <w:i/>
                  <w:sz w:val="22"/>
                  <w:szCs w:val="22"/>
                </w:rPr>
              </m:ctrlPr>
            </m:dPr>
            <m:e>
              <m:r>
                <w:rPr>
                  <w:rFonts w:ascii="Cambria Math" w:hAnsi="Cambria Math"/>
                  <w:sz w:val="22"/>
                  <w:szCs w:val="22"/>
                </w:rPr>
                <m:t>i,t-1</m:t>
              </m:r>
            </m:e>
          </m:d>
          <m:r>
            <w:rPr>
              <w:rFonts w:ascii="Cambria Math" w:hAnsi="Cambria Math"/>
              <w:sz w:val="22"/>
              <w:szCs w:val="22"/>
            </w:rPr>
            <m:t>+η</m:t>
          </m:r>
          <m:d>
            <m:dPr>
              <m:ctrlPr>
                <w:rPr>
                  <w:rFonts w:ascii="Cambria Math" w:hAnsi="Cambria Math"/>
                  <w:i/>
                  <w:sz w:val="22"/>
                  <w:szCs w:val="22"/>
                </w:rPr>
              </m:ctrlPr>
            </m:dPr>
            <m:e>
              <m:r>
                <w:rPr>
                  <w:rFonts w:ascii="Cambria Math" w:hAnsi="Cambria Math"/>
                  <w:sz w:val="22"/>
                  <w:szCs w:val="22"/>
                </w:rPr>
                <m:t>i,t</m:t>
              </m:r>
            </m:e>
          </m:d>
          <m:r>
            <w:rPr>
              <w:rFonts w:ascii="Cambria Math" w:hAnsi="Cambria Math"/>
              <w:sz w:val="22"/>
              <w:szCs w:val="22"/>
            </w:rPr>
            <m:t xml:space="preserve">                                           (2)</m:t>
          </m:r>
        </m:oMath>
      </m:oMathPara>
    </w:p>
    <w:p w:rsidRPr="00DB2DFE" w:rsidR="00BD13E5" w:rsidP="00BE6555" w:rsidRDefault="00BD13E5" w14:paraId="14DF981F" w14:textId="25A657CA">
      <w:pPr>
        <w:rPr>
          <w:sz w:val="22"/>
          <w:szCs w:val="22"/>
        </w:rPr>
      </w:pPr>
      <w:r w:rsidRPr="00DB2DFE">
        <w:rPr>
          <w:sz w:val="22"/>
          <w:szCs w:val="22"/>
        </w:rPr>
        <w:t xml:space="preserve">In model 2 geeft </w:t>
      </w:r>
      <m:oMath>
        <m:r>
          <w:rPr>
            <w:rFonts w:ascii="Cambria Math" w:hAnsi="Cambria Math"/>
            <w:sz w:val="22"/>
            <w:szCs w:val="22"/>
          </w:rPr>
          <m:t>γ</m:t>
        </m:r>
      </m:oMath>
      <w:r w:rsidRPr="00DB2DFE">
        <w:rPr>
          <w:rFonts w:eastAsiaTheme="minorEastAsia"/>
          <w:sz w:val="22"/>
          <w:szCs w:val="22"/>
        </w:rPr>
        <w:t xml:space="preserve"> aan wat het </w:t>
      </w:r>
      <w:r w:rsidRPr="00DB2DFE" w:rsidR="005C6F48">
        <w:rPr>
          <w:rFonts w:eastAsiaTheme="minorEastAsia"/>
          <w:sz w:val="22"/>
          <w:szCs w:val="22"/>
        </w:rPr>
        <w:t xml:space="preserve">verwachte </w:t>
      </w:r>
      <w:r w:rsidRPr="00DB2DFE">
        <w:rPr>
          <w:rFonts w:eastAsiaTheme="minorEastAsia"/>
          <w:sz w:val="22"/>
          <w:szCs w:val="22"/>
        </w:rPr>
        <w:t>percentage</w:t>
      </w:r>
      <w:r w:rsidRPr="00DB2DFE" w:rsidR="005C6F48">
        <w:rPr>
          <w:rFonts w:eastAsiaTheme="minorEastAsia"/>
          <w:sz w:val="22"/>
          <w:szCs w:val="22"/>
        </w:rPr>
        <w:t xml:space="preserve"> verandering is.</w:t>
      </w:r>
      <w:r w:rsidRPr="00CB51A5" w:rsidR="00CB51A5">
        <w:rPr>
          <w:rStyle w:val="Voetnootmarkering"/>
          <w:rFonts w:eastAsiaTheme="minorEastAsia"/>
          <w:sz w:val="22"/>
          <w:szCs w:val="22"/>
        </w:rPr>
        <w:t xml:space="preserve"> </w:t>
      </w:r>
      <w:r w:rsidRPr="00DB2DFE" w:rsidR="00CB51A5">
        <w:rPr>
          <w:rStyle w:val="Voetnootmarkering"/>
          <w:rFonts w:eastAsiaTheme="minorEastAsia"/>
          <w:sz w:val="22"/>
          <w:szCs w:val="22"/>
        </w:rPr>
        <w:footnoteReference w:id="8"/>
      </w:r>
      <w:r w:rsidRPr="00DB2DFE" w:rsidR="005C6F48">
        <w:rPr>
          <w:rFonts w:eastAsiaTheme="minorEastAsia"/>
          <w:sz w:val="22"/>
          <w:szCs w:val="22"/>
        </w:rPr>
        <w:t xml:space="preserve"> Als </w:t>
      </w:r>
      <m:oMath>
        <m:r>
          <w:rPr>
            <w:rFonts w:ascii="Cambria Math" w:hAnsi="Cambria Math" w:eastAsiaTheme="minorEastAsia"/>
            <w:sz w:val="22"/>
            <w:szCs w:val="22"/>
          </w:rPr>
          <m:t>0≤γ&lt;1</m:t>
        </m:r>
      </m:oMath>
      <w:r w:rsidRPr="00DB2DFE" w:rsidR="005C6F48">
        <w:rPr>
          <w:rFonts w:eastAsiaTheme="minorEastAsia"/>
          <w:sz w:val="22"/>
          <w:szCs w:val="22"/>
        </w:rPr>
        <w:t xml:space="preserve"> dan zal het percentage verandering in </w:t>
      </w:r>
      <w:r w:rsidRPr="00DB2DFE" w:rsidR="005C6F48">
        <w:rPr>
          <w:sz w:val="22"/>
          <w:szCs w:val="22"/>
        </w:rPr>
        <w:t xml:space="preserve">CO₂-uitstoot </w:t>
      </w:r>
      <m:oMath>
        <m:r>
          <w:rPr>
            <w:rFonts w:ascii="Cambria Math" w:hAnsi="Cambria Math"/>
            <w:sz w:val="22"/>
            <w:szCs w:val="22"/>
          </w:rPr>
          <m:t>γ</m:t>
        </m:r>
      </m:oMath>
      <w:r w:rsidRPr="00DB2DFE" w:rsidR="005C6F48">
        <w:rPr>
          <w:rFonts w:eastAsiaTheme="minorEastAsia"/>
          <w:sz w:val="22"/>
          <w:szCs w:val="22"/>
        </w:rPr>
        <w:t xml:space="preserve">% zijn van de verandering in </w:t>
      </w:r>
      <w:r w:rsidRPr="00DB2DFE" w:rsidR="005C6F48">
        <w:rPr>
          <w:sz w:val="22"/>
          <w:szCs w:val="22"/>
        </w:rPr>
        <w:t>CO₂-uitstoot het jaar ervoor.</w:t>
      </w:r>
    </w:p>
    <w:p w:rsidRPr="00DB2DFE" w:rsidR="00C66AF3" w:rsidP="00BE6555" w:rsidRDefault="00725A65" w14:paraId="03AE4D29" w14:textId="5300748E">
      <w:pPr>
        <w:rPr>
          <w:sz w:val="22"/>
          <w:szCs w:val="22"/>
        </w:rPr>
      </w:pPr>
      <w:r>
        <w:rPr>
          <w:sz w:val="22"/>
          <w:szCs w:val="22"/>
        </w:rPr>
        <w:t>I</w:t>
      </w:r>
      <w:r w:rsidRPr="00DB2DFE" w:rsidR="00764341">
        <w:rPr>
          <w:sz w:val="22"/>
          <w:szCs w:val="22"/>
        </w:rPr>
        <w:t xml:space="preserve">n figuur </w:t>
      </w:r>
      <w:r>
        <w:rPr>
          <w:sz w:val="22"/>
          <w:szCs w:val="22"/>
        </w:rPr>
        <w:t xml:space="preserve">1 </w:t>
      </w:r>
      <w:r w:rsidR="00652C3D">
        <w:rPr>
          <w:sz w:val="22"/>
          <w:szCs w:val="22"/>
        </w:rPr>
        <w:t xml:space="preserve">is </w:t>
      </w:r>
      <w:r w:rsidR="00576A30">
        <w:rPr>
          <w:sz w:val="22"/>
          <w:szCs w:val="22"/>
        </w:rPr>
        <w:t xml:space="preserve">te zien </w:t>
      </w:r>
      <w:r>
        <w:rPr>
          <w:sz w:val="22"/>
          <w:szCs w:val="22"/>
        </w:rPr>
        <w:t>dat</w:t>
      </w:r>
      <w:r w:rsidRPr="00DB2DFE" w:rsidR="00764341">
        <w:rPr>
          <w:sz w:val="22"/>
          <w:szCs w:val="22"/>
        </w:rPr>
        <w:t xml:space="preserve"> </w:t>
      </w:r>
      <w:r w:rsidR="00CB51A5">
        <w:rPr>
          <w:sz w:val="22"/>
          <w:szCs w:val="22"/>
        </w:rPr>
        <w:t xml:space="preserve">in de gemiddelde CO2-uitstoot in de perioden 2010-2023 eerst daalt, dan </w:t>
      </w:r>
      <w:r w:rsidR="00AD24E7">
        <w:rPr>
          <w:sz w:val="22"/>
          <w:szCs w:val="22"/>
        </w:rPr>
        <w:t xml:space="preserve">een aantal jaren op een </w:t>
      </w:r>
      <w:r w:rsidRPr="00DB2DFE" w:rsidR="00764341">
        <w:rPr>
          <w:sz w:val="22"/>
          <w:szCs w:val="22"/>
        </w:rPr>
        <w:t>plateau</w:t>
      </w:r>
      <w:r w:rsidR="00CB51A5">
        <w:rPr>
          <w:sz w:val="22"/>
          <w:szCs w:val="22"/>
        </w:rPr>
        <w:t xml:space="preserve"> </w:t>
      </w:r>
      <w:r w:rsidR="00AD24E7">
        <w:rPr>
          <w:sz w:val="22"/>
          <w:szCs w:val="22"/>
        </w:rPr>
        <w:t>komt en daarna weer verder daalt</w:t>
      </w:r>
      <w:r w:rsidRPr="00DB2DFE" w:rsidR="00764341">
        <w:rPr>
          <w:sz w:val="22"/>
          <w:szCs w:val="22"/>
        </w:rPr>
        <w:t xml:space="preserve">. </w:t>
      </w:r>
      <w:r w:rsidR="00F21652">
        <w:rPr>
          <w:sz w:val="22"/>
          <w:szCs w:val="22"/>
        </w:rPr>
        <w:t xml:space="preserve">Dit patroon lijkt te maken te hebben met de </w:t>
      </w:r>
      <w:r w:rsidRPr="00DB2DFE" w:rsidR="005C6F48">
        <w:rPr>
          <w:sz w:val="22"/>
          <w:szCs w:val="22"/>
        </w:rPr>
        <w:t>jaren waarin door de E</w:t>
      </w:r>
      <w:r w:rsidR="00F21652">
        <w:rPr>
          <w:sz w:val="22"/>
          <w:szCs w:val="22"/>
        </w:rPr>
        <w:t>uropese Commissie</w:t>
      </w:r>
      <w:r w:rsidRPr="00DB2DFE" w:rsidR="005C6F48">
        <w:rPr>
          <w:sz w:val="22"/>
          <w:szCs w:val="22"/>
        </w:rPr>
        <w:t xml:space="preserve"> </w:t>
      </w:r>
      <w:r w:rsidR="00F21652">
        <w:rPr>
          <w:sz w:val="22"/>
          <w:szCs w:val="22"/>
        </w:rPr>
        <w:t>specifieke</w:t>
      </w:r>
      <w:r w:rsidRPr="00DB2DFE" w:rsidR="005C6F48">
        <w:rPr>
          <w:sz w:val="22"/>
          <w:szCs w:val="22"/>
        </w:rPr>
        <w:t xml:space="preserve"> normen </w:t>
      </w:r>
      <w:r w:rsidR="00F21652">
        <w:rPr>
          <w:sz w:val="22"/>
          <w:szCs w:val="22"/>
        </w:rPr>
        <w:t xml:space="preserve">gesteld zijn voor </w:t>
      </w:r>
      <w:r w:rsidRPr="00DB2DFE" w:rsidR="005C6F48">
        <w:rPr>
          <w:sz w:val="22"/>
          <w:szCs w:val="22"/>
        </w:rPr>
        <w:t>de CO₂-uitstoot</w:t>
      </w:r>
      <w:r w:rsidR="00F21652">
        <w:rPr>
          <w:sz w:val="22"/>
          <w:szCs w:val="22"/>
        </w:rPr>
        <w:t xml:space="preserve"> van </w:t>
      </w:r>
      <w:proofErr w:type="spellStart"/>
      <w:r w:rsidR="00F21652">
        <w:rPr>
          <w:sz w:val="22"/>
          <w:szCs w:val="22"/>
        </w:rPr>
        <w:t>nieuwverkochte</w:t>
      </w:r>
      <w:proofErr w:type="spellEnd"/>
      <w:r w:rsidR="00F21652">
        <w:rPr>
          <w:sz w:val="22"/>
          <w:szCs w:val="22"/>
        </w:rPr>
        <w:t xml:space="preserve"> personenauto’s in de EU</w:t>
      </w:r>
      <w:r w:rsidRPr="00DB2DFE" w:rsidR="005C6F48">
        <w:rPr>
          <w:sz w:val="22"/>
          <w:szCs w:val="22"/>
        </w:rPr>
        <w:t>.</w:t>
      </w:r>
      <w:r w:rsidR="00F21652">
        <w:rPr>
          <w:rStyle w:val="Voetnootmarkering"/>
          <w:sz w:val="22"/>
          <w:szCs w:val="22"/>
        </w:rPr>
        <w:footnoteReference w:id="9"/>
      </w:r>
      <w:r w:rsidRPr="00DB2DFE" w:rsidR="005C6F48">
        <w:rPr>
          <w:sz w:val="22"/>
          <w:szCs w:val="22"/>
        </w:rPr>
        <w:t xml:space="preserve"> </w:t>
      </w:r>
      <w:r w:rsidRPr="00DB2DFE" w:rsidR="00790188">
        <w:rPr>
          <w:sz w:val="22"/>
          <w:szCs w:val="22"/>
        </w:rPr>
        <w:t xml:space="preserve">Het is dus ook goed mogelijk </w:t>
      </w:r>
      <w:r w:rsidR="00734179">
        <w:rPr>
          <w:sz w:val="22"/>
          <w:szCs w:val="22"/>
        </w:rPr>
        <w:t xml:space="preserve">dat </w:t>
      </w:r>
      <w:r w:rsidRPr="00DB2DFE" w:rsidR="00790188">
        <w:rPr>
          <w:sz w:val="22"/>
          <w:szCs w:val="22"/>
        </w:rPr>
        <w:t xml:space="preserve">het percentage verandering </w:t>
      </w:r>
      <w:r w:rsidRPr="00DB2DFE" w:rsidR="00C66AF3">
        <w:rPr>
          <w:sz w:val="22"/>
          <w:szCs w:val="22"/>
        </w:rPr>
        <w:t xml:space="preserve">niet constant is over tijd. Hiervoor corrigeren </w:t>
      </w:r>
      <w:r w:rsidR="00652C3D">
        <w:rPr>
          <w:sz w:val="22"/>
          <w:szCs w:val="22"/>
        </w:rPr>
        <w:t xml:space="preserve">is </w:t>
      </w:r>
      <w:r w:rsidRPr="00DB2DFE" w:rsidR="00C66AF3">
        <w:rPr>
          <w:sz w:val="22"/>
          <w:szCs w:val="22"/>
        </w:rPr>
        <w:t xml:space="preserve">gegeven de korte tijdsreeks (2010-2023) nagenoeg niet mogelijk omdat we slechts tweemaal de impact van een norm hebben (in 2015 en in 2020), waarbij de algemene trend niet hetzelfde lijkt in beide jaren (2015 is </w:t>
      </w:r>
      <w:r w:rsidRPr="00DB2DFE" w:rsidR="00DB2DFE">
        <w:rPr>
          <w:sz w:val="22"/>
          <w:szCs w:val="22"/>
        </w:rPr>
        <w:t xml:space="preserve">een meer </w:t>
      </w:r>
      <w:r w:rsidRPr="00DB2DFE" w:rsidR="00C66AF3">
        <w:rPr>
          <w:sz w:val="22"/>
          <w:szCs w:val="22"/>
        </w:rPr>
        <w:t>geleidelijke</w:t>
      </w:r>
      <w:r w:rsidRPr="00DB2DFE" w:rsidR="00DB2DFE">
        <w:rPr>
          <w:sz w:val="22"/>
          <w:szCs w:val="22"/>
        </w:rPr>
        <w:t xml:space="preserve"> </w:t>
      </w:r>
      <w:r w:rsidRPr="00DB2DFE" w:rsidR="00C66AF3">
        <w:rPr>
          <w:sz w:val="22"/>
          <w:szCs w:val="22"/>
        </w:rPr>
        <w:t xml:space="preserve">afname dan in 2020). </w:t>
      </w:r>
    </w:p>
    <w:p w:rsidR="00A73D64" w:rsidP="00A73D64" w:rsidRDefault="00A73D64" w14:paraId="4912C48A" w14:textId="2AF80649">
      <w:pPr>
        <w:pStyle w:val="Kop3"/>
      </w:pPr>
      <w:r>
        <w:t>Het best passende model</w:t>
      </w:r>
    </w:p>
    <w:p w:rsidRPr="00DB2DFE" w:rsidR="00DB2DFE" w:rsidP="00BE6555" w:rsidRDefault="0070005C" w14:paraId="22E89812" w14:textId="0BFB0CE4">
      <w:pPr>
        <w:rPr>
          <w:sz w:val="22"/>
          <w:szCs w:val="22"/>
        </w:rPr>
      </w:pPr>
      <w:r>
        <w:rPr>
          <w:sz w:val="22"/>
          <w:szCs w:val="22"/>
        </w:rPr>
        <w:t>W</w:t>
      </w:r>
      <w:r w:rsidRPr="00DB2DFE">
        <w:rPr>
          <w:sz w:val="22"/>
          <w:szCs w:val="22"/>
        </w:rPr>
        <w:t>at het ‘</w:t>
      </w:r>
      <w:r>
        <w:rPr>
          <w:sz w:val="22"/>
          <w:szCs w:val="22"/>
        </w:rPr>
        <w:t>beste passende</w:t>
      </w:r>
      <w:r w:rsidRPr="00DB2DFE">
        <w:rPr>
          <w:sz w:val="22"/>
          <w:szCs w:val="22"/>
        </w:rPr>
        <w:t>’ model is</w:t>
      </w:r>
      <w:r>
        <w:rPr>
          <w:sz w:val="22"/>
          <w:szCs w:val="22"/>
        </w:rPr>
        <w:t>, is</w:t>
      </w:r>
      <w:r w:rsidRPr="00DB2DFE">
        <w:rPr>
          <w:sz w:val="22"/>
          <w:szCs w:val="22"/>
        </w:rPr>
        <w:t xml:space="preserve"> altijd </w:t>
      </w:r>
      <w:r>
        <w:rPr>
          <w:sz w:val="22"/>
          <w:szCs w:val="22"/>
        </w:rPr>
        <w:t>voor</w:t>
      </w:r>
      <w:r w:rsidRPr="00DB2DFE">
        <w:rPr>
          <w:sz w:val="22"/>
          <w:szCs w:val="22"/>
        </w:rPr>
        <w:t xml:space="preserve"> </w:t>
      </w:r>
      <w:r>
        <w:rPr>
          <w:sz w:val="22"/>
          <w:szCs w:val="22"/>
        </w:rPr>
        <w:t>discussie vatbaar</w:t>
      </w:r>
      <w:r w:rsidRPr="00DB2DFE">
        <w:rPr>
          <w:sz w:val="22"/>
          <w:szCs w:val="22"/>
        </w:rPr>
        <w:t xml:space="preserve"> (zogenoemde modelonzekerheid). </w:t>
      </w:r>
      <w:r w:rsidRPr="00DB2DFE" w:rsidR="00C66AF3">
        <w:rPr>
          <w:sz w:val="22"/>
          <w:szCs w:val="22"/>
        </w:rPr>
        <w:t xml:space="preserve">Om te bezien welk model in deze het beste </w:t>
      </w:r>
      <w:r w:rsidR="001062C2">
        <w:rPr>
          <w:sz w:val="22"/>
          <w:szCs w:val="22"/>
        </w:rPr>
        <w:t>presteert</w:t>
      </w:r>
      <w:r w:rsidRPr="00DB2DFE" w:rsidR="00DB2DFE">
        <w:rPr>
          <w:sz w:val="22"/>
          <w:szCs w:val="22"/>
        </w:rPr>
        <w:t xml:space="preserve"> doen we iets dat econometrisch zeer gebruikelijk is: pseudo-out-of-sample-</w:t>
      </w:r>
      <w:proofErr w:type="spellStart"/>
      <w:r w:rsidRPr="00DB2DFE" w:rsidR="00DB2DFE">
        <w:rPr>
          <w:sz w:val="22"/>
          <w:szCs w:val="22"/>
        </w:rPr>
        <w:t>forecasting</w:t>
      </w:r>
      <w:proofErr w:type="spellEnd"/>
      <w:r w:rsidRPr="00DB2DFE" w:rsidR="00DB2DFE">
        <w:rPr>
          <w:sz w:val="22"/>
          <w:szCs w:val="22"/>
        </w:rPr>
        <w:t xml:space="preserve"> (POOS-</w:t>
      </w:r>
      <w:proofErr w:type="spellStart"/>
      <w:r w:rsidRPr="00DB2DFE" w:rsidR="00DB2DFE">
        <w:rPr>
          <w:sz w:val="22"/>
          <w:szCs w:val="22"/>
        </w:rPr>
        <w:t>forecasting</w:t>
      </w:r>
      <w:proofErr w:type="spellEnd"/>
      <w:r w:rsidRPr="00DB2DFE" w:rsidR="00DB2DFE">
        <w:rPr>
          <w:sz w:val="22"/>
          <w:szCs w:val="22"/>
        </w:rPr>
        <w:t xml:space="preserve">). Dat wil zeggen, we splitsen de periode die we hebben in een periode waarop we de modellen schatten, de zogenaamde trainingsperiode, en een periode waarover we </w:t>
      </w:r>
      <w:r>
        <w:rPr>
          <w:sz w:val="22"/>
          <w:szCs w:val="22"/>
        </w:rPr>
        <w:t>de modellen</w:t>
      </w:r>
      <w:r w:rsidRPr="00DB2DFE" w:rsidR="00DB2DFE">
        <w:rPr>
          <w:sz w:val="22"/>
          <w:szCs w:val="22"/>
        </w:rPr>
        <w:t xml:space="preserve"> laten voorspellen, de  POOS-periode. Vervolgens vergelijken we hoe dichtbij de voorspellingen van de CO₂-uitstoot voor de POOS-periode liggen t.o.v. de waargenomen CO₂-uitstoot in die periode. </w:t>
      </w:r>
    </w:p>
    <w:p w:rsidRPr="00DB2DFE" w:rsidR="00DB2DFE" w:rsidP="00BE6555" w:rsidRDefault="00DB2DFE" w14:paraId="08A7C3B9" w14:textId="72232A7E">
      <w:pPr>
        <w:rPr>
          <w:sz w:val="22"/>
          <w:szCs w:val="22"/>
        </w:rPr>
      </w:pPr>
      <w:r w:rsidRPr="00DB2DFE">
        <w:rPr>
          <w:sz w:val="22"/>
          <w:szCs w:val="22"/>
        </w:rPr>
        <w:t xml:space="preserve">Voor alle denkbare trainingsperiodes en POOS-periodes blijkt dat model 2 het beste voorspelt. Als we de POOS-periode 2021-2023 maken dan geldt </w:t>
      </w:r>
      <w:r w:rsidR="00734179">
        <w:rPr>
          <w:sz w:val="22"/>
          <w:szCs w:val="22"/>
        </w:rPr>
        <w:t xml:space="preserve">dit </w:t>
      </w:r>
      <w:r w:rsidRPr="00DB2DFE">
        <w:rPr>
          <w:sz w:val="22"/>
          <w:szCs w:val="22"/>
        </w:rPr>
        <w:t>zowel voor voorspellingen 1, 2, en 3 jaar vooruit</w:t>
      </w:r>
      <w:r w:rsidR="00F14C2E">
        <w:rPr>
          <w:sz w:val="22"/>
          <w:szCs w:val="22"/>
        </w:rPr>
        <w:t xml:space="preserve"> (zie figuur 3 </w:t>
      </w:r>
      <w:r w:rsidR="00A73D64">
        <w:rPr>
          <w:sz w:val="22"/>
          <w:szCs w:val="22"/>
        </w:rPr>
        <w:t xml:space="preserve">in de bijlage </w:t>
      </w:r>
      <w:r w:rsidR="00F14C2E">
        <w:rPr>
          <w:sz w:val="22"/>
          <w:szCs w:val="22"/>
        </w:rPr>
        <w:t>voor benzine)</w:t>
      </w:r>
      <w:r w:rsidRPr="00DB2DFE">
        <w:rPr>
          <w:sz w:val="22"/>
          <w:szCs w:val="22"/>
        </w:rPr>
        <w:t xml:space="preserve">. Dit is ook het geval voor de verschillende type brandstoffen. </w:t>
      </w:r>
      <w:r w:rsidR="00704E7A">
        <w:rPr>
          <w:sz w:val="22"/>
          <w:szCs w:val="22"/>
        </w:rPr>
        <w:t xml:space="preserve">Om een beeld te krijgen van de fouten kunnen we ook de mediaan van </w:t>
      </w:r>
      <w:r w:rsidR="00576A30">
        <w:rPr>
          <w:sz w:val="22"/>
          <w:szCs w:val="22"/>
        </w:rPr>
        <w:t>het procentuele verschil</w:t>
      </w:r>
      <w:r w:rsidR="00704E7A">
        <w:rPr>
          <w:sz w:val="22"/>
          <w:szCs w:val="22"/>
        </w:rPr>
        <w:t xml:space="preserve"> tussen de werkelijke waarde en de voorspelde waarde bekijken. Concreet</w:t>
      </w:r>
      <w:r w:rsidR="007072A8">
        <w:rPr>
          <w:sz w:val="22"/>
          <w:szCs w:val="22"/>
        </w:rPr>
        <w:t xml:space="preserve">, de procentuele afwijking voor de voorspellingen van model 2 bij 1-jaar vooruit is 1,5%, bij 2-jaar vooruit 3,0%, en bij 3-jaar vooruit 4,3%. Voor de voorspellingen van model 1 is de procentuele afwijking vele malen groter: namelijk tussen de 15,2% en 16,0%. </w:t>
      </w:r>
      <w:r w:rsidRPr="00DB2DFE">
        <w:rPr>
          <w:sz w:val="22"/>
          <w:szCs w:val="22"/>
        </w:rPr>
        <w:t xml:space="preserve">Omdat </w:t>
      </w:r>
      <w:r w:rsidR="007072A8">
        <w:rPr>
          <w:sz w:val="22"/>
          <w:szCs w:val="22"/>
        </w:rPr>
        <w:t xml:space="preserve">model 2 </w:t>
      </w:r>
      <w:r w:rsidRPr="00DB2DFE">
        <w:rPr>
          <w:sz w:val="22"/>
          <w:szCs w:val="22"/>
        </w:rPr>
        <w:t xml:space="preserve">ook </w:t>
      </w:r>
      <w:r w:rsidR="007072A8">
        <w:rPr>
          <w:sz w:val="22"/>
          <w:szCs w:val="22"/>
        </w:rPr>
        <w:t xml:space="preserve">het best presteert </w:t>
      </w:r>
      <w:r w:rsidRPr="00DB2DFE">
        <w:rPr>
          <w:sz w:val="22"/>
          <w:szCs w:val="22"/>
        </w:rPr>
        <w:t xml:space="preserve">wanneer we trainingsperiodes wijzigen is model 2 </w:t>
      </w:r>
      <w:r w:rsidR="007072A8">
        <w:rPr>
          <w:sz w:val="22"/>
          <w:szCs w:val="22"/>
        </w:rPr>
        <w:t xml:space="preserve">evident </w:t>
      </w:r>
      <w:r w:rsidRPr="00DB2DFE">
        <w:rPr>
          <w:sz w:val="22"/>
          <w:szCs w:val="22"/>
        </w:rPr>
        <w:t xml:space="preserve">het meest robuust. Derhalve, zal model 2 gebruikt worden voor het schatten van de effecten. </w:t>
      </w:r>
    </w:p>
    <w:p w:rsidR="00A73D64" w:rsidP="00A73D64" w:rsidRDefault="00A73D64" w14:paraId="7041661F" w14:textId="0352ACA5">
      <w:pPr>
        <w:pStyle w:val="Kop3"/>
      </w:pPr>
      <w:r>
        <w:t>De optimale tijdsperiode voor de schatting</w:t>
      </w:r>
    </w:p>
    <w:p w:rsidR="00704E7A" w:rsidP="00BE6555" w:rsidRDefault="003858C1" w14:paraId="01DE8B57" w14:textId="40EA1C03">
      <w:pPr>
        <w:rPr>
          <w:sz w:val="22"/>
          <w:szCs w:val="22"/>
        </w:rPr>
      </w:pPr>
      <w:r>
        <w:rPr>
          <w:sz w:val="22"/>
          <w:szCs w:val="22"/>
        </w:rPr>
        <w:t>V</w:t>
      </w:r>
      <w:r w:rsidRPr="00DB2DFE" w:rsidR="00DB2DFE">
        <w:rPr>
          <w:sz w:val="22"/>
          <w:szCs w:val="22"/>
        </w:rPr>
        <w:t xml:space="preserve">oorts </w:t>
      </w:r>
      <w:r>
        <w:rPr>
          <w:sz w:val="22"/>
          <w:szCs w:val="22"/>
        </w:rPr>
        <w:t xml:space="preserve">is </w:t>
      </w:r>
      <w:r w:rsidRPr="00DB2DFE" w:rsidR="00DB2DFE">
        <w:rPr>
          <w:sz w:val="22"/>
          <w:szCs w:val="22"/>
        </w:rPr>
        <w:t>de vraag op welke</w:t>
      </w:r>
      <w:r>
        <w:rPr>
          <w:sz w:val="22"/>
          <w:szCs w:val="22"/>
        </w:rPr>
        <w:t xml:space="preserve"> periode</w:t>
      </w:r>
      <w:r w:rsidRPr="00DB2DFE" w:rsidR="00DB2DFE">
        <w:rPr>
          <w:sz w:val="22"/>
          <w:szCs w:val="22"/>
        </w:rPr>
        <w:t xml:space="preserve"> het optimaal </w:t>
      </w:r>
      <w:r w:rsidR="00734179">
        <w:rPr>
          <w:sz w:val="22"/>
          <w:szCs w:val="22"/>
        </w:rPr>
        <w:t xml:space="preserve">is </w:t>
      </w:r>
      <w:r w:rsidRPr="00DB2DFE" w:rsidR="00DB2DFE">
        <w:rPr>
          <w:sz w:val="22"/>
          <w:szCs w:val="22"/>
        </w:rPr>
        <w:t xml:space="preserve">om dit model te schatten. Weliswaar hebben we data </w:t>
      </w:r>
      <w:r>
        <w:rPr>
          <w:sz w:val="22"/>
          <w:szCs w:val="22"/>
        </w:rPr>
        <w:t>van</w:t>
      </w:r>
      <w:r w:rsidRPr="00DB2DFE" w:rsidR="00DB2DFE">
        <w:rPr>
          <w:sz w:val="22"/>
          <w:szCs w:val="22"/>
        </w:rPr>
        <w:t xml:space="preserve"> 2010 </w:t>
      </w:r>
      <w:r>
        <w:rPr>
          <w:sz w:val="22"/>
          <w:szCs w:val="22"/>
        </w:rPr>
        <w:t>tot en met</w:t>
      </w:r>
      <w:r w:rsidRPr="00DB2DFE" w:rsidR="00DB2DFE">
        <w:rPr>
          <w:sz w:val="22"/>
          <w:szCs w:val="22"/>
        </w:rPr>
        <w:t xml:space="preserve"> 2023, maar zoals gezegd is het is dus ook goed mogelijk</w:t>
      </w:r>
      <w:r w:rsidR="00734179">
        <w:rPr>
          <w:sz w:val="22"/>
          <w:szCs w:val="22"/>
        </w:rPr>
        <w:t xml:space="preserve"> dat</w:t>
      </w:r>
      <w:r w:rsidRPr="00DB2DFE" w:rsidR="00DB2DFE">
        <w:rPr>
          <w:sz w:val="22"/>
          <w:szCs w:val="22"/>
        </w:rPr>
        <w:t xml:space="preserve"> het </w:t>
      </w:r>
      <w:r w:rsidRPr="00DB2DFE" w:rsidR="00DB2DFE">
        <w:rPr>
          <w:sz w:val="22"/>
          <w:szCs w:val="22"/>
        </w:rPr>
        <w:lastRenderedPageBreak/>
        <w:t>percentage verandering in de CO₂-uitstoot niet constant is over tijd. In dat geval is van belang te weten wanneer er een zogenoemde ‘breuk’ in het geschatte model optreedt. In vakjargon spreken we dan ook wel van een iteratieve Chow-break toets</w:t>
      </w:r>
      <w:r w:rsidR="00704E7A">
        <w:rPr>
          <w:sz w:val="22"/>
          <w:szCs w:val="22"/>
        </w:rPr>
        <w:t xml:space="preserve"> (</w:t>
      </w:r>
      <w:proofErr w:type="spellStart"/>
      <w:r w:rsidR="00704E7A">
        <w:rPr>
          <w:sz w:val="22"/>
          <w:szCs w:val="22"/>
        </w:rPr>
        <w:t>inknown</w:t>
      </w:r>
      <w:proofErr w:type="spellEnd"/>
      <w:r w:rsidR="00704E7A">
        <w:rPr>
          <w:sz w:val="22"/>
          <w:szCs w:val="22"/>
        </w:rPr>
        <w:t>-break test)</w:t>
      </w:r>
      <w:r w:rsidRPr="00DB2DFE" w:rsidR="00DB2DFE">
        <w:rPr>
          <w:sz w:val="22"/>
          <w:szCs w:val="22"/>
        </w:rPr>
        <w:t>.</w:t>
      </w:r>
      <w:r w:rsidR="00F14C2E">
        <w:rPr>
          <w:sz w:val="22"/>
          <w:szCs w:val="22"/>
        </w:rPr>
        <w:t xml:space="preserve"> </w:t>
      </w:r>
    </w:p>
    <w:p w:rsidRPr="00DB2DFE" w:rsidR="0077602C" w:rsidP="00BE6555" w:rsidRDefault="00DB2DFE" w14:paraId="319441EB" w14:textId="790F4764">
      <w:pPr>
        <w:rPr>
          <w:sz w:val="22"/>
          <w:szCs w:val="22"/>
        </w:rPr>
      </w:pPr>
      <w:r w:rsidRPr="00DB2DFE">
        <w:rPr>
          <w:sz w:val="22"/>
          <w:szCs w:val="22"/>
        </w:rPr>
        <w:t xml:space="preserve">In </w:t>
      </w:r>
      <w:r w:rsidR="00F14C2E">
        <w:rPr>
          <w:sz w:val="22"/>
          <w:szCs w:val="22"/>
        </w:rPr>
        <w:t>figuur 4 (</w:t>
      </w:r>
      <w:r w:rsidR="00A73D64">
        <w:rPr>
          <w:sz w:val="22"/>
          <w:szCs w:val="22"/>
        </w:rPr>
        <w:t xml:space="preserve">zie </w:t>
      </w:r>
      <w:r w:rsidR="00F14C2E">
        <w:rPr>
          <w:sz w:val="22"/>
          <w:szCs w:val="22"/>
        </w:rPr>
        <w:t xml:space="preserve">bijlage) </w:t>
      </w:r>
      <w:r w:rsidRPr="00DB2DFE">
        <w:rPr>
          <w:sz w:val="22"/>
          <w:szCs w:val="22"/>
        </w:rPr>
        <w:t xml:space="preserve">staan de </w:t>
      </w:r>
      <w:proofErr w:type="spellStart"/>
      <w:r w:rsidRPr="00DB2DFE">
        <w:rPr>
          <w:sz w:val="22"/>
          <w:szCs w:val="22"/>
        </w:rPr>
        <w:t>toetsresultaten</w:t>
      </w:r>
      <w:proofErr w:type="spellEnd"/>
      <w:r w:rsidRPr="00DB2DFE">
        <w:rPr>
          <w:sz w:val="22"/>
          <w:szCs w:val="22"/>
        </w:rPr>
        <w:t xml:space="preserve"> afgebeeld voor benzine</w:t>
      </w:r>
      <w:r>
        <w:rPr>
          <w:sz w:val="22"/>
          <w:szCs w:val="22"/>
        </w:rPr>
        <w:t xml:space="preserve"> ter illustratie</w:t>
      </w:r>
      <w:r w:rsidRPr="00DB2DFE">
        <w:rPr>
          <w:sz w:val="22"/>
          <w:szCs w:val="22"/>
        </w:rPr>
        <w:t>. Uiteraard is hetzelfde gecheckt voor voertuigen met een ander brandstoftype.</w:t>
      </w:r>
      <w:r w:rsidRPr="00A73D64" w:rsidR="00A73D64">
        <w:rPr>
          <w:rStyle w:val="Voetnootmarkering"/>
          <w:sz w:val="22"/>
          <w:szCs w:val="22"/>
        </w:rPr>
        <w:t xml:space="preserve"> </w:t>
      </w:r>
      <w:r w:rsidR="00A73D64">
        <w:rPr>
          <w:rStyle w:val="Voetnootmarkering"/>
          <w:sz w:val="22"/>
          <w:szCs w:val="22"/>
        </w:rPr>
        <w:footnoteReference w:id="10"/>
      </w:r>
      <w:r w:rsidRPr="00DB2DFE">
        <w:rPr>
          <w:sz w:val="22"/>
          <w:szCs w:val="22"/>
        </w:rPr>
        <w:t xml:space="preserve"> </w:t>
      </w:r>
      <w:r w:rsidR="00A73D64">
        <w:rPr>
          <w:sz w:val="22"/>
          <w:szCs w:val="22"/>
        </w:rPr>
        <w:t xml:space="preserve">Ook hier lijkt de resultaten te maken te hebben met de </w:t>
      </w:r>
      <w:r w:rsidRPr="00DB2DFE" w:rsidR="00A73D64">
        <w:rPr>
          <w:sz w:val="22"/>
          <w:szCs w:val="22"/>
        </w:rPr>
        <w:t>jaren waarin door de E</w:t>
      </w:r>
      <w:r w:rsidR="00A73D64">
        <w:rPr>
          <w:sz w:val="22"/>
          <w:szCs w:val="22"/>
        </w:rPr>
        <w:t>uropese Commissie</w:t>
      </w:r>
      <w:r w:rsidRPr="00DB2DFE" w:rsidR="00A73D64">
        <w:rPr>
          <w:sz w:val="22"/>
          <w:szCs w:val="22"/>
        </w:rPr>
        <w:t xml:space="preserve"> </w:t>
      </w:r>
      <w:r w:rsidR="00A73D64">
        <w:rPr>
          <w:sz w:val="22"/>
          <w:szCs w:val="22"/>
        </w:rPr>
        <w:t>specifieke</w:t>
      </w:r>
      <w:r w:rsidRPr="00DB2DFE" w:rsidR="00A73D64">
        <w:rPr>
          <w:sz w:val="22"/>
          <w:szCs w:val="22"/>
        </w:rPr>
        <w:t xml:space="preserve"> normen </w:t>
      </w:r>
      <w:r w:rsidR="00A73D64">
        <w:rPr>
          <w:sz w:val="22"/>
          <w:szCs w:val="22"/>
        </w:rPr>
        <w:t xml:space="preserve">gesteld zijn voor </w:t>
      </w:r>
      <w:r w:rsidRPr="00DB2DFE" w:rsidR="00A73D64">
        <w:rPr>
          <w:sz w:val="22"/>
          <w:szCs w:val="22"/>
        </w:rPr>
        <w:t>de CO₂-uitstoot</w:t>
      </w:r>
      <w:r w:rsidR="00A73D64">
        <w:rPr>
          <w:sz w:val="22"/>
          <w:szCs w:val="22"/>
        </w:rPr>
        <w:t xml:space="preserve"> van </w:t>
      </w:r>
      <w:proofErr w:type="spellStart"/>
      <w:r w:rsidR="00A73D64">
        <w:rPr>
          <w:sz w:val="22"/>
          <w:szCs w:val="22"/>
        </w:rPr>
        <w:t>nieuwverkochte</w:t>
      </w:r>
      <w:proofErr w:type="spellEnd"/>
      <w:r w:rsidR="00A73D64">
        <w:rPr>
          <w:sz w:val="22"/>
          <w:szCs w:val="22"/>
        </w:rPr>
        <w:t xml:space="preserve"> personenauto’s in de EU</w:t>
      </w:r>
      <w:r w:rsidRPr="00DB2DFE" w:rsidR="00A73D64">
        <w:rPr>
          <w:sz w:val="22"/>
          <w:szCs w:val="22"/>
        </w:rPr>
        <w:t>.</w:t>
      </w:r>
      <w:r w:rsidR="005F07E0">
        <w:rPr>
          <w:rStyle w:val="Voetnootmarkering"/>
          <w:sz w:val="22"/>
          <w:szCs w:val="22"/>
        </w:rPr>
        <w:footnoteReference w:id="11"/>
      </w:r>
      <w:r w:rsidRPr="00DB2DFE">
        <w:rPr>
          <w:sz w:val="22"/>
          <w:szCs w:val="22"/>
        </w:rPr>
        <w:t xml:space="preserve"> Concreet wordt duidelijk uit deze toets dat het optimaal is om het model te schatten op basis van de periode 2020-2023.</w:t>
      </w:r>
      <w:r>
        <w:rPr>
          <w:sz w:val="22"/>
          <w:szCs w:val="22"/>
        </w:rPr>
        <w:t xml:space="preserve"> Voor het verder opbreken van deze periode is geen aanleiding op basis van de iteratieve Chow-break toets. </w:t>
      </w:r>
      <w:r w:rsidRPr="00DB2DFE" w:rsidR="0077602C">
        <w:rPr>
          <w:rFonts w:eastAsiaTheme="minorEastAsia"/>
          <w:sz w:val="22"/>
          <w:szCs w:val="22"/>
        </w:rPr>
        <w:t xml:space="preserve">   </w:t>
      </w:r>
    </w:p>
    <w:p w:rsidRPr="00DB2DFE" w:rsidR="00C66AF3" w:rsidP="00A73D64" w:rsidRDefault="00C66AF3" w14:paraId="139042B0" w14:textId="09B4134A">
      <w:pPr>
        <w:pStyle w:val="Kop1"/>
      </w:pPr>
      <w:r w:rsidRPr="00DB2DFE">
        <w:t xml:space="preserve">Resultaten </w:t>
      </w:r>
      <w:r w:rsidR="00302DDA">
        <w:t xml:space="preserve">van de </w:t>
      </w:r>
      <w:r w:rsidRPr="00DB2DFE">
        <w:t xml:space="preserve">berekening </w:t>
      </w:r>
      <w:r w:rsidR="00302DDA">
        <w:t xml:space="preserve">van de </w:t>
      </w:r>
      <w:r w:rsidRPr="00DB2DFE">
        <w:t xml:space="preserve">autonome vergroening </w:t>
      </w:r>
    </w:p>
    <w:p w:rsidR="00DB2DFE" w:rsidP="00C66AF3" w:rsidRDefault="00DB2DFE" w14:paraId="7919FF3E" w14:textId="355A7C02">
      <w:pPr>
        <w:rPr>
          <w:sz w:val="22"/>
          <w:szCs w:val="22"/>
        </w:rPr>
      </w:pPr>
      <w:r>
        <w:rPr>
          <w:sz w:val="22"/>
          <w:szCs w:val="22"/>
        </w:rPr>
        <w:t xml:space="preserve">Wanneer we de hierboven beschreven methode toepassen vinden we de uitkomsten zoals weergegeven in tabel 1. </w:t>
      </w:r>
      <w:r w:rsidR="00C4102E">
        <w:rPr>
          <w:sz w:val="22"/>
          <w:szCs w:val="22"/>
        </w:rPr>
        <w:t xml:space="preserve">Hierbij hebben we </w:t>
      </w:r>
      <w:r w:rsidRPr="00DB2DFE" w:rsidR="00C4102E">
        <w:rPr>
          <w:rFonts w:eastAsiaTheme="minorEastAsia"/>
          <w:sz w:val="22"/>
          <w:szCs w:val="22"/>
        </w:rPr>
        <w:t xml:space="preserve">de autonome vergroening </w:t>
      </w:r>
      <w:r w:rsidR="00C4102E">
        <w:rPr>
          <w:rFonts w:eastAsiaTheme="minorEastAsia"/>
          <w:sz w:val="22"/>
          <w:szCs w:val="22"/>
        </w:rPr>
        <w:t xml:space="preserve">geschat </w:t>
      </w:r>
      <w:r w:rsidRPr="00DB2DFE" w:rsidR="00C4102E">
        <w:rPr>
          <w:rFonts w:eastAsiaTheme="minorEastAsia"/>
          <w:sz w:val="22"/>
          <w:szCs w:val="22"/>
        </w:rPr>
        <w:t>per brandstofsoort (benzine, diesel, PHEV)</w:t>
      </w:r>
      <w:r w:rsidR="00C4102E">
        <w:rPr>
          <w:sz w:val="22"/>
          <w:szCs w:val="22"/>
        </w:rPr>
        <w:t xml:space="preserve">. </w:t>
      </w:r>
      <w:r>
        <w:rPr>
          <w:sz w:val="22"/>
          <w:szCs w:val="22"/>
        </w:rPr>
        <w:t xml:space="preserve">In de tabel wordt het geschatte model (met dakjes) weergegeven. In de kolom </w:t>
      </w:r>
      <w:r w:rsidR="00EC0B06">
        <w:rPr>
          <w:sz w:val="22"/>
          <w:szCs w:val="22"/>
        </w:rPr>
        <w:t>rechts</w:t>
      </w:r>
      <w:r>
        <w:rPr>
          <w:sz w:val="22"/>
          <w:szCs w:val="22"/>
        </w:rPr>
        <w:t xml:space="preserve"> van iedere schatting staat de range waarbij het aannemelijk is dat de werkelijke waarde daarin ligt.</w:t>
      </w:r>
      <w:r w:rsidR="00732F1D">
        <w:rPr>
          <w:sz w:val="22"/>
          <w:szCs w:val="22"/>
        </w:rPr>
        <w:t xml:space="preserve"> </w:t>
      </w:r>
      <w:r w:rsidRPr="00732F1D" w:rsidR="00732F1D">
        <w:rPr>
          <w:sz w:val="22"/>
          <w:szCs w:val="22"/>
        </w:rPr>
        <w:t>Dit is het 95%</w:t>
      </w:r>
      <w:r w:rsidR="00661E63">
        <w:rPr>
          <w:sz w:val="22"/>
          <w:szCs w:val="22"/>
        </w:rPr>
        <w:t>-</w:t>
      </w:r>
      <w:r w:rsidRPr="00732F1D" w:rsidR="00732F1D">
        <w:rPr>
          <w:sz w:val="22"/>
          <w:szCs w:val="22"/>
        </w:rPr>
        <w:t>betrouwbaarheidsinterval.</w:t>
      </w:r>
      <w:r>
        <w:rPr>
          <w:sz w:val="22"/>
          <w:szCs w:val="22"/>
        </w:rPr>
        <w:t xml:space="preserve"> </w:t>
      </w:r>
    </w:p>
    <w:p w:rsidR="004A111B" w:rsidP="00C66AF3" w:rsidRDefault="004A111B" w14:paraId="74F0127E" w14:textId="39025F17">
      <w:pPr>
        <w:rPr>
          <w:i/>
          <w:iCs/>
          <w:sz w:val="22"/>
          <w:szCs w:val="22"/>
        </w:rPr>
      </w:pPr>
      <w:r>
        <w:rPr>
          <w:i/>
          <w:iCs/>
          <w:sz w:val="22"/>
          <w:szCs w:val="22"/>
        </w:rPr>
        <w:t>Tabel 1: Uitkomsten schatting autonome vergroening (model 2)</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1"/>
        <w:gridCol w:w="1549"/>
        <w:gridCol w:w="1861"/>
        <w:gridCol w:w="1689"/>
        <w:gridCol w:w="1852"/>
      </w:tblGrid>
      <w:tr w:rsidRPr="00DB2DFE" w:rsidR="004A111B" w:rsidTr="008819D6" w14:paraId="48529CA5" w14:textId="77777777">
        <w:trPr>
          <w:trHeight w:val="535"/>
        </w:trPr>
        <w:tc>
          <w:tcPr>
            <w:tcW w:w="2127" w:type="dxa"/>
            <w:shd w:val="clear" w:color="auto" w:fill="215E99" w:themeFill="text2" w:themeFillTint="BF"/>
            <w:vAlign w:val="center"/>
          </w:tcPr>
          <w:p w:rsidRPr="00DB2DFE" w:rsidR="004A111B" w:rsidP="008819D6" w:rsidRDefault="004A111B" w14:paraId="6F61F4C2" w14:textId="77777777">
            <w:pPr>
              <w:rPr>
                <w:b/>
                <w:bCs/>
                <w:color w:val="FFFFFF" w:themeColor="background1"/>
                <w:sz w:val="22"/>
                <w:szCs w:val="22"/>
              </w:rPr>
            </w:pPr>
            <w:r>
              <w:rPr>
                <w:b/>
                <w:bCs/>
                <w:color w:val="FFFFFF" w:themeColor="background1"/>
                <w:sz w:val="22"/>
                <w:szCs w:val="22"/>
              </w:rPr>
              <w:t>Personenauto’s</w:t>
            </w:r>
          </w:p>
        </w:tc>
        <w:tc>
          <w:tcPr>
            <w:tcW w:w="1559" w:type="dxa"/>
            <w:shd w:val="clear" w:color="auto" w:fill="215E99" w:themeFill="text2" w:themeFillTint="BF"/>
            <w:vAlign w:val="center"/>
          </w:tcPr>
          <w:p w:rsidRPr="00DB2DFE" w:rsidR="004A111B" w:rsidP="008819D6" w:rsidRDefault="00586321" w14:paraId="1BF7BB7A" w14:textId="77777777">
            <w:pPr>
              <w:rPr>
                <w:b/>
                <w:bCs/>
                <w:color w:val="FFFFFF" w:themeColor="background1"/>
                <w:sz w:val="22"/>
                <w:szCs w:val="22"/>
              </w:rPr>
            </w:pPr>
            <m:oMathPara>
              <m:oMath>
                <m:acc>
                  <m:accPr>
                    <m:ctrlPr>
                      <w:rPr>
                        <w:rFonts w:ascii="Cambria Math" w:hAnsi="Cambria Math"/>
                        <w:b/>
                        <w:bCs/>
                        <w:i/>
                        <w:color w:val="FFFFFF" w:themeColor="background1"/>
                        <w:sz w:val="22"/>
                        <w:szCs w:val="22"/>
                      </w:rPr>
                    </m:ctrlPr>
                  </m:accPr>
                  <m:e>
                    <m:r>
                      <m:rPr>
                        <m:sty m:val="bi"/>
                      </m:rPr>
                      <w:rPr>
                        <w:rFonts w:ascii="Cambria Math" w:hAnsi="Cambria Math"/>
                        <w:color w:val="FFFFFF" w:themeColor="background1"/>
                        <w:sz w:val="22"/>
                        <w:szCs w:val="22"/>
                      </w:rPr>
                      <m:t>θ</m:t>
                    </m:r>
                  </m:e>
                </m:acc>
              </m:oMath>
            </m:oMathPara>
          </w:p>
        </w:tc>
        <w:tc>
          <w:tcPr>
            <w:tcW w:w="1808" w:type="dxa"/>
            <w:shd w:val="clear" w:color="auto" w:fill="215E99" w:themeFill="text2" w:themeFillTint="BF"/>
            <w:vAlign w:val="center"/>
          </w:tcPr>
          <w:p w:rsidRPr="00DB2DFE" w:rsidR="004A111B" w:rsidP="008819D6" w:rsidRDefault="004A111B" w14:paraId="09DFFAAF" w14:textId="77777777">
            <w:pPr>
              <w:rPr>
                <w:b/>
                <w:bCs/>
                <w:color w:val="FFFFFF" w:themeColor="background1"/>
                <w:sz w:val="22"/>
                <w:szCs w:val="22"/>
              </w:rPr>
            </w:pPr>
            <m:oMathPara>
              <m:oMath>
                <m:r>
                  <m:rPr>
                    <m:sty m:val="bi"/>
                  </m:rPr>
                  <w:rPr>
                    <w:rFonts w:ascii="Cambria Math" w:hAnsi="Cambria Math"/>
                    <w:color w:val="FFFFFF" w:themeColor="background1"/>
                    <w:sz w:val="22"/>
                    <w:szCs w:val="22"/>
                  </w:rPr>
                  <m:t>(</m:t>
                </m:r>
                <m:sSubSup>
                  <m:sSubSupPr>
                    <m:ctrlPr>
                      <w:rPr>
                        <w:rFonts w:ascii="Cambria Math" w:hAnsi="Cambria Math"/>
                        <w:b/>
                        <w:bCs/>
                        <w:i/>
                        <w:color w:val="FFFFFF" w:themeColor="background1"/>
                        <w:sz w:val="22"/>
                        <w:szCs w:val="22"/>
                      </w:rPr>
                    </m:ctrlPr>
                  </m:sSubSupPr>
                  <m:e>
                    <m:r>
                      <m:rPr>
                        <m:sty m:val="bi"/>
                      </m:rPr>
                      <w:rPr>
                        <w:rFonts w:ascii="Cambria Math" w:hAnsi="Cambria Math"/>
                        <w:color w:val="FFFFFF" w:themeColor="background1"/>
                        <w:sz w:val="22"/>
                        <w:szCs w:val="22"/>
                      </w:rPr>
                      <m:t>θ</m:t>
                    </m:r>
                  </m:e>
                  <m:sub>
                    <m:r>
                      <m:rPr>
                        <m:sty m:val="bi"/>
                      </m:rPr>
                      <w:rPr>
                        <w:rFonts w:ascii="Cambria Math" w:hAnsi="Cambria Math"/>
                        <w:color w:val="FFFFFF" w:themeColor="background1"/>
                        <w:sz w:val="22"/>
                        <w:szCs w:val="22"/>
                      </w:rPr>
                      <m:t>α=0.05</m:t>
                    </m:r>
                  </m:sub>
                  <m:sup>
                    <m:r>
                      <m:rPr>
                        <m:sty m:val="bi"/>
                      </m:rPr>
                      <w:rPr>
                        <w:rFonts w:ascii="Cambria Math" w:hAnsi="Cambria Math"/>
                        <w:color w:val="FFFFFF" w:themeColor="background1"/>
                        <w:sz w:val="22"/>
                        <w:szCs w:val="22"/>
                      </w:rPr>
                      <m:t>-</m:t>
                    </m:r>
                  </m:sup>
                </m:sSubSup>
                <m:r>
                  <m:rPr>
                    <m:sty m:val="bi"/>
                  </m:rPr>
                  <w:rPr>
                    <w:rFonts w:ascii="Cambria Math" w:hAnsi="Cambria Math"/>
                    <w:color w:val="FFFFFF" w:themeColor="background1"/>
                    <w:sz w:val="22"/>
                    <w:szCs w:val="22"/>
                  </w:rPr>
                  <m:t>,</m:t>
                </m:r>
                <m:sSubSup>
                  <m:sSubSupPr>
                    <m:ctrlPr>
                      <w:rPr>
                        <w:rFonts w:ascii="Cambria Math" w:hAnsi="Cambria Math"/>
                        <w:b/>
                        <w:bCs/>
                        <w:i/>
                        <w:color w:val="FFFFFF" w:themeColor="background1"/>
                        <w:sz w:val="22"/>
                        <w:szCs w:val="22"/>
                      </w:rPr>
                    </m:ctrlPr>
                  </m:sSubSupPr>
                  <m:e>
                    <m:r>
                      <m:rPr>
                        <m:sty m:val="bi"/>
                      </m:rPr>
                      <w:rPr>
                        <w:rFonts w:ascii="Cambria Math" w:hAnsi="Cambria Math"/>
                        <w:color w:val="FFFFFF" w:themeColor="background1"/>
                        <w:sz w:val="22"/>
                        <w:szCs w:val="22"/>
                      </w:rPr>
                      <m:t>θ</m:t>
                    </m:r>
                  </m:e>
                  <m:sub>
                    <m:r>
                      <m:rPr>
                        <m:sty m:val="bi"/>
                      </m:rPr>
                      <w:rPr>
                        <w:rFonts w:ascii="Cambria Math" w:hAnsi="Cambria Math"/>
                        <w:color w:val="FFFFFF" w:themeColor="background1"/>
                        <w:sz w:val="22"/>
                        <w:szCs w:val="22"/>
                      </w:rPr>
                      <m:t>α=0.05</m:t>
                    </m:r>
                  </m:sub>
                  <m:sup>
                    <m:r>
                      <m:rPr>
                        <m:sty m:val="bi"/>
                      </m:rPr>
                      <w:rPr>
                        <w:rFonts w:ascii="Cambria Math" w:hAnsi="Cambria Math"/>
                        <w:color w:val="FFFFFF" w:themeColor="background1"/>
                        <w:sz w:val="22"/>
                        <w:szCs w:val="22"/>
                      </w:rPr>
                      <m:t>+</m:t>
                    </m:r>
                  </m:sup>
                </m:sSubSup>
                <m:r>
                  <m:rPr>
                    <m:sty m:val="bi"/>
                  </m:rPr>
                  <w:rPr>
                    <w:rFonts w:ascii="Cambria Math" w:hAnsi="Cambria Math"/>
                    <w:color w:val="FFFFFF" w:themeColor="background1"/>
                    <w:sz w:val="22"/>
                    <w:szCs w:val="22"/>
                  </w:rPr>
                  <m:t>)</m:t>
                </m:r>
              </m:oMath>
            </m:oMathPara>
          </w:p>
        </w:tc>
        <w:tc>
          <w:tcPr>
            <w:tcW w:w="1701" w:type="dxa"/>
            <w:shd w:val="clear" w:color="auto" w:fill="215E99" w:themeFill="text2" w:themeFillTint="BF"/>
            <w:vAlign w:val="center"/>
          </w:tcPr>
          <w:p w:rsidRPr="00DB2DFE" w:rsidR="004A111B" w:rsidP="008819D6" w:rsidRDefault="00586321" w14:paraId="70A0CA5D" w14:textId="77777777">
            <w:pPr>
              <w:rPr>
                <w:b/>
                <w:bCs/>
                <w:color w:val="FFFFFF" w:themeColor="background1"/>
                <w:sz w:val="22"/>
                <w:szCs w:val="22"/>
              </w:rPr>
            </w:pPr>
            <m:oMathPara>
              <m:oMath>
                <m:acc>
                  <m:accPr>
                    <m:ctrlPr>
                      <w:rPr>
                        <w:rFonts w:ascii="Cambria Math" w:hAnsi="Cambria Math"/>
                        <w:b/>
                        <w:bCs/>
                        <w:i/>
                        <w:color w:val="FFFFFF" w:themeColor="background1"/>
                        <w:sz w:val="22"/>
                        <w:szCs w:val="22"/>
                      </w:rPr>
                    </m:ctrlPr>
                  </m:accPr>
                  <m:e>
                    <m:r>
                      <m:rPr>
                        <m:sty m:val="bi"/>
                      </m:rPr>
                      <w:rPr>
                        <w:rFonts w:ascii="Cambria Math" w:hAnsi="Cambria Math"/>
                        <w:color w:val="FFFFFF" w:themeColor="background1"/>
                        <w:sz w:val="22"/>
                        <w:szCs w:val="22"/>
                      </w:rPr>
                      <m:t>γ</m:t>
                    </m:r>
                  </m:e>
                </m:acc>
              </m:oMath>
            </m:oMathPara>
          </w:p>
        </w:tc>
        <w:tc>
          <w:tcPr>
            <w:tcW w:w="1792" w:type="dxa"/>
            <w:shd w:val="clear" w:color="auto" w:fill="215E99" w:themeFill="text2" w:themeFillTint="BF"/>
            <w:vAlign w:val="center"/>
          </w:tcPr>
          <w:p w:rsidRPr="00DB2DFE" w:rsidR="004A111B" w:rsidP="008819D6" w:rsidRDefault="004A111B" w14:paraId="638033DD" w14:textId="77777777">
            <w:pPr>
              <w:rPr>
                <w:b/>
                <w:bCs/>
                <w:color w:val="FFFFFF" w:themeColor="background1"/>
                <w:sz w:val="22"/>
                <w:szCs w:val="22"/>
              </w:rPr>
            </w:pPr>
            <m:oMathPara>
              <m:oMath>
                <m:r>
                  <m:rPr>
                    <m:sty m:val="bi"/>
                  </m:rPr>
                  <w:rPr>
                    <w:rFonts w:ascii="Cambria Math" w:hAnsi="Cambria Math"/>
                    <w:color w:val="FFFFFF" w:themeColor="background1"/>
                    <w:sz w:val="22"/>
                    <w:szCs w:val="22"/>
                  </w:rPr>
                  <m:t>(</m:t>
                </m:r>
                <m:sSubSup>
                  <m:sSubSupPr>
                    <m:ctrlPr>
                      <w:rPr>
                        <w:rFonts w:ascii="Cambria Math" w:hAnsi="Cambria Math"/>
                        <w:b/>
                        <w:bCs/>
                        <w:i/>
                        <w:color w:val="FFFFFF" w:themeColor="background1"/>
                        <w:sz w:val="22"/>
                        <w:szCs w:val="22"/>
                      </w:rPr>
                    </m:ctrlPr>
                  </m:sSubSupPr>
                  <m:e>
                    <m:r>
                      <m:rPr>
                        <m:sty m:val="bi"/>
                      </m:rPr>
                      <w:rPr>
                        <w:rFonts w:ascii="Cambria Math" w:hAnsi="Cambria Math"/>
                        <w:color w:val="FFFFFF" w:themeColor="background1"/>
                        <w:sz w:val="22"/>
                        <w:szCs w:val="22"/>
                      </w:rPr>
                      <m:t>γ</m:t>
                    </m:r>
                  </m:e>
                  <m:sub>
                    <m:r>
                      <m:rPr>
                        <m:sty m:val="bi"/>
                      </m:rPr>
                      <w:rPr>
                        <w:rFonts w:ascii="Cambria Math" w:hAnsi="Cambria Math"/>
                        <w:color w:val="FFFFFF" w:themeColor="background1"/>
                        <w:sz w:val="22"/>
                        <w:szCs w:val="22"/>
                      </w:rPr>
                      <m:t>α=0.05</m:t>
                    </m:r>
                  </m:sub>
                  <m:sup>
                    <m:r>
                      <m:rPr>
                        <m:sty m:val="bi"/>
                      </m:rPr>
                      <w:rPr>
                        <w:rFonts w:ascii="Cambria Math" w:hAnsi="Cambria Math"/>
                        <w:color w:val="FFFFFF" w:themeColor="background1"/>
                        <w:sz w:val="22"/>
                        <w:szCs w:val="22"/>
                      </w:rPr>
                      <m:t>-</m:t>
                    </m:r>
                  </m:sup>
                </m:sSubSup>
                <m:r>
                  <m:rPr>
                    <m:sty m:val="bi"/>
                  </m:rPr>
                  <w:rPr>
                    <w:rFonts w:ascii="Cambria Math" w:hAnsi="Cambria Math"/>
                    <w:color w:val="FFFFFF" w:themeColor="background1"/>
                    <w:sz w:val="22"/>
                    <w:szCs w:val="22"/>
                  </w:rPr>
                  <m:t>,</m:t>
                </m:r>
                <m:sSubSup>
                  <m:sSubSupPr>
                    <m:ctrlPr>
                      <w:rPr>
                        <w:rFonts w:ascii="Cambria Math" w:hAnsi="Cambria Math"/>
                        <w:b/>
                        <w:bCs/>
                        <w:i/>
                        <w:color w:val="FFFFFF" w:themeColor="background1"/>
                        <w:sz w:val="22"/>
                        <w:szCs w:val="22"/>
                      </w:rPr>
                    </m:ctrlPr>
                  </m:sSubSupPr>
                  <m:e>
                    <m:r>
                      <m:rPr>
                        <m:sty m:val="bi"/>
                      </m:rPr>
                      <w:rPr>
                        <w:rFonts w:ascii="Cambria Math" w:hAnsi="Cambria Math"/>
                        <w:color w:val="FFFFFF" w:themeColor="background1"/>
                        <w:sz w:val="22"/>
                        <w:szCs w:val="22"/>
                      </w:rPr>
                      <m:t>γ</m:t>
                    </m:r>
                  </m:e>
                  <m:sub>
                    <m:r>
                      <m:rPr>
                        <m:sty m:val="bi"/>
                      </m:rPr>
                      <w:rPr>
                        <w:rFonts w:ascii="Cambria Math" w:hAnsi="Cambria Math"/>
                        <w:color w:val="FFFFFF" w:themeColor="background1"/>
                        <w:sz w:val="22"/>
                        <w:szCs w:val="22"/>
                      </w:rPr>
                      <m:t>α=0.05</m:t>
                    </m:r>
                  </m:sub>
                  <m:sup>
                    <m:r>
                      <m:rPr>
                        <m:sty m:val="bi"/>
                      </m:rPr>
                      <w:rPr>
                        <w:rFonts w:ascii="Cambria Math" w:hAnsi="Cambria Math"/>
                        <w:color w:val="FFFFFF" w:themeColor="background1"/>
                        <w:sz w:val="22"/>
                        <w:szCs w:val="22"/>
                      </w:rPr>
                      <m:t>+</m:t>
                    </m:r>
                  </m:sup>
                </m:sSubSup>
                <m:r>
                  <m:rPr>
                    <m:sty m:val="bi"/>
                  </m:rPr>
                  <w:rPr>
                    <w:rFonts w:ascii="Cambria Math" w:hAnsi="Cambria Math"/>
                    <w:color w:val="FFFFFF" w:themeColor="background1"/>
                    <w:sz w:val="22"/>
                    <w:szCs w:val="22"/>
                  </w:rPr>
                  <m:t>)</m:t>
                </m:r>
              </m:oMath>
            </m:oMathPara>
          </w:p>
        </w:tc>
      </w:tr>
      <w:tr w:rsidR="004A111B" w:rsidTr="008819D6" w14:paraId="3CBB2F3A" w14:textId="77777777">
        <w:trPr>
          <w:trHeight w:val="410"/>
        </w:trPr>
        <w:tc>
          <w:tcPr>
            <w:tcW w:w="2127" w:type="dxa"/>
            <w:vAlign w:val="center"/>
          </w:tcPr>
          <w:p w:rsidRPr="00DB2DFE" w:rsidR="004A111B" w:rsidP="008819D6" w:rsidRDefault="004A111B" w14:paraId="24504D58" w14:textId="77777777">
            <w:pPr>
              <w:rPr>
                <w:b/>
                <w:bCs/>
                <w:sz w:val="22"/>
                <w:szCs w:val="22"/>
              </w:rPr>
            </w:pPr>
            <w:r w:rsidRPr="00DB2DFE">
              <w:rPr>
                <w:b/>
                <w:bCs/>
                <w:sz w:val="22"/>
                <w:szCs w:val="22"/>
              </w:rPr>
              <w:t>Benzine</w:t>
            </w:r>
          </w:p>
        </w:tc>
        <w:tc>
          <w:tcPr>
            <w:tcW w:w="1559" w:type="dxa"/>
            <w:vAlign w:val="center"/>
          </w:tcPr>
          <w:p w:rsidR="004A111B" w:rsidP="008819D6" w:rsidRDefault="004A111B" w14:paraId="37B3F5EC" w14:textId="77777777">
            <w:pPr>
              <w:jc w:val="center"/>
              <w:rPr>
                <w:sz w:val="22"/>
                <w:szCs w:val="22"/>
              </w:rPr>
            </w:pPr>
            <w:r>
              <w:rPr>
                <w:sz w:val="22"/>
                <w:szCs w:val="22"/>
              </w:rPr>
              <w:t>7,045</w:t>
            </w:r>
          </w:p>
        </w:tc>
        <w:tc>
          <w:tcPr>
            <w:tcW w:w="1808" w:type="dxa"/>
            <w:vAlign w:val="center"/>
          </w:tcPr>
          <w:p w:rsidR="004A111B" w:rsidP="008819D6" w:rsidRDefault="004A111B" w14:paraId="0DEE271E" w14:textId="77777777">
            <w:pPr>
              <w:jc w:val="center"/>
              <w:rPr>
                <w:sz w:val="22"/>
                <w:szCs w:val="22"/>
              </w:rPr>
            </w:pPr>
            <w:r>
              <w:rPr>
                <w:sz w:val="22"/>
                <w:szCs w:val="22"/>
              </w:rPr>
              <w:t>(4,971 ; 9,119)</w:t>
            </w:r>
          </w:p>
        </w:tc>
        <w:tc>
          <w:tcPr>
            <w:tcW w:w="1701" w:type="dxa"/>
            <w:vAlign w:val="center"/>
          </w:tcPr>
          <w:p w:rsidR="004A111B" w:rsidP="008819D6" w:rsidRDefault="004A111B" w14:paraId="045F6F36" w14:textId="77777777">
            <w:pPr>
              <w:jc w:val="center"/>
              <w:rPr>
                <w:sz w:val="22"/>
                <w:szCs w:val="22"/>
              </w:rPr>
            </w:pPr>
            <w:r>
              <w:rPr>
                <w:sz w:val="22"/>
                <w:szCs w:val="22"/>
              </w:rPr>
              <w:t>0,930</w:t>
            </w:r>
          </w:p>
        </w:tc>
        <w:tc>
          <w:tcPr>
            <w:tcW w:w="1792" w:type="dxa"/>
            <w:vAlign w:val="center"/>
          </w:tcPr>
          <w:p w:rsidR="004A111B" w:rsidP="008819D6" w:rsidRDefault="004A111B" w14:paraId="5C3A1EC4" w14:textId="77777777">
            <w:pPr>
              <w:jc w:val="center"/>
              <w:rPr>
                <w:sz w:val="22"/>
                <w:szCs w:val="22"/>
              </w:rPr>
            </w:pPr>
            <w:r>
              <w:rPr>
                <w:sz w:val="22"/>
                <w:szCs w:val="22"/>
              </w:rPr>
              <w:t>(0,914 ; 0,946)</w:t>
            </w:r>
          </w:p>
        </w:tc>
      </w:tr>
      <w:tr w:rsidR="004A111B" w:rsidTr="008819D6" w14:paraId="64D771E2" w14:textId="77777777">
        <w:trPr>
          <w:trHeight w:val="257"/>
        </w:trPr>
        <w:tc>
          <w:tcPr>
            <w:tcW w:w="2127" w:type="dxa"/>
            <w:shd w:val="clear" w:color="auto" w:fill="D9D9D9" w:themeFill="background1" w:themeFillShade="D9"/>
          </w:tcPr>
          <w:p w:rsidRPr="00DB2DFE" w:rsidR="004A111B" w:rsidP="008819D6" w:rsidRDefault="004A111B" w14:paraId="740F9EBB" w14:textId="13524CB1">
            <w:pPr>
              <w:rPr>
                <w:i/>
                <w:iCs/>
                <w:sz w:val="22"/>
                <w:szCs w:val="22"/>
              </w:rPr>
            </w:pPr>
            <w:r>
              <w:rPr>
                <w:i/>
                <w:iCs/>
                <w:sz w:val="22"/>
                <w:szCs w:val="22"/>
              </w:rPr>
              <w:t>Voorspelling</w:t>
            </w:r>
            <w:r w:rsidR="00661E63">
              <w:rPr>
                <w:i/>
                <w:iCs/>
                <w:sz w:val="22"/>
                <w:szCs w:val="22"/>
              </w:rPr>
              <w:t xml:space="preserve"> voor</w:t>
            </w:r>
          </w:p>
        </w:tc>
        <w:tc>
          <w:tcPr>
            <w:tcW w:w="1559" w:type="dxa"/>
            <w:shd w:val="clear" w:color="auto" w:fill="D9D9D9" w:themeFill="background1" w:themeFillShade="D9"/>
          </w:tcPr>
          <w:p w:rsidRPr="00DB2DFE" w:rsidR="004A111B" w:rsidP="008819D6" w:rsidRDefault="004A111B" w14:paraId="164963E6" w14:textId="77777777">
            <w:pPr>
              <w:jc w:val="center"/>
              <w:rPr>
                <w:i/>
                <w:iCs/>
                <w:sz w:val="22"/>
                <w:szCs w:val="22"/>
              </w:rPr>
            </w:pPr>
            <w:r w:rsidRPr="00DB2DFE">
              <w:rPr>
                <w:i/>
                <w:iCs/>
                <w:sz w:val="22"/>
                <w:szCs w:val="22"/>
              </w:rPr>
              <w:t>2025</w:t>
            </w:r>
          </w:p>
        </w:tc>
        <w:tc>
          <w:tcPr>
            <w:tcW w:w="1808" w:type="dxa"/>
            <w:shd w:val="clear" w:color="auto" w:fill="D9D9D9" w:themeFill="background1" w:themeFillShade="D9"/>
          </w:tcPr>
          <w:p w:rsidRPr="00DB2DFE" w:rsidR="004A111B" w:rsidP="008819D6" w:rsidRDefault="004A111B" w14:paraId="188A1AB1" w14:textId="77777777">
            <w:pPr>
              <w:jc w:val="center"/>
              <w:rPr>
                <w:i/>
                <w:iCs/>
                <w:sz w:val="22"/>
                <w:szCs w:val="22"/>
              </w:rPr>
            </w:pPr>
            <w:r w:rsidRPr="00DB2DFE">
              <w:rPr>
                <w:i/>
                <w:iCs/>
                <w:sz w:val="22"/>
                <w:szCs w:val="22"/>
              </w:rPr>
              <w:t>2026</w:t>
            </w:r>
          </w:p>
        </w:tc>
        <w:tc>
          <w:tcPr>
            <w:tcW w:w="1701" w:type="dxa"/>
            <w:shd w:val="clear" w:color="auto" w:fill="D9D9D9" w:themeFill="background1" w:themeFillShade="D9"/>
          </w:tcPr>
          <w:p w:rsidRPr="00DB2DFE" w:rsidR="004A111B" w:rsidP="008819D6" w:rsidRDefault="004A111B" w14:paraId="052EAB42" w14:textId="77777777">
            <w:pPr>
              <w:jc w:val="center"/>
              <w:rPr>
                <w:i/>
                <w:iCs/>
                <w:sz w:val="22"/>
                <w:szCs w:val="22"/>
              </w:rPr>
            </w:pPr>
            <w:r w:rsidRPr="00DB2DFE">
              <w:rPr>
                <w:i/>
                <w:iCs/>
                <w:sz w:val="22"/>
                <w:szCs w:val="22"/>
              </w:rPr>
              <w:t>2027</w:t>
            </w:r>
          </w:p>
        </w:tc>
        <w:tc>
          <w:tcPr>
            <w:tcW w:w="1792" w:type="dxa"/>
            <w:shd w:val="clear" w:color="auto" w:fill="D9D9D9" w:themeFill="background1" w:themeFillShade="D9"/>
          </w:tcPr>
          <w:p w:rsidRPr="00DB2DFE" w:rsidR="004A111B" w:rsidP="008819D6" w:rsidRDefault="004A111B" w14:paraId="6A6CA3DE" w14:textId="77777777">
            <w:pPr>
              <w:jc w:val="center"/>
              <w:rPr>
                <w:i/>
                <w:iCs/>
                <w:sz w:val="22"/>
                <w:szCs w:val="22"/>
              </w:rPr>
            </w:pPr>
            <w:r w:rsidRPr="00DB2DFE">
              <w:rPr>
                <w:i/>
                <w:iCs/>
                <w:sz w:val="22"/>
                <w:szCs w:val="22"/>
              </w:rPr>
              <w:t>2028</w:t>
            </w:r>
          </w:p>
        </w:tc>
      </w:tr>
      <w:tr w:rsidR="004A111B" w:rsidTr="008819D6" w14:paraId="263FD5E2" w14:textId="77777777">
        <w:trPr>
          <w:trHeight w:val="257"/>
        </w:trPr>
        <w:tc>
          <w:tcPr>
            <w:tcW w:w="2127" w:type="dxa"/>
            <w:shd w:val="clear" w:color="auto" w:fill="D9D9D9" w:themeFill="background1" w:themeFillShade="D9"/>
            <w:vAlign w:val="center"/>
          </w:tcPr>
          <w:p w:rsidR="004A111B" w:rsidP="008819D6" w:rsidRDefault="004A111B" w14:paraId="3838DD11" w14:textId="77777777">
            <w:pPr>
              <w:rPr>
                <w:sz w:val="22"/>
                <w:szCs w:val="22"/>
              </w:rPr>
            </w:pPr>
            <w:r w:rsidRPr="00DB2DFE">
              <w:rPr>
                <w:sz w:val="22"/>
                <w:szCs w:val="22"/>
              </w:rPr>
              <w:t>CO₂-uitstoot</w:t>
            </w:r>
            <w:r>
              <w:rPr>
                <w:sz w:val="22"/>
                <w:szCs w:val="22"/>
              </w:rPr>
              <w:t xml:space="preserve"> (g/km)</w:t>
            </w:r>
          </w:p>
        </w:tc>
        <w:tc>
          <w:tcPr>
            <w:tcW w:w="1559" w:type="dxa"/>
            <w:shd w:val="clear" w:color="auto" w:fill="D9D9D9" w:themeFill="background1" w:themeFillShade="D9"/>
          </w:tcPr>
          <w:p w:rsidR="004A111B" w:rsidP="008819D6" w:rsidRDefault="004A111B" w14:paraId="7885B994" w14:textId="77777777">
            <w:pPr>
              <w:jc w:val="center"/>
              <w:rPr>
                <w:sz w:val="22"/>
                <w:szCs w:val="22"/>
              </w:rPr>
            </w:pPr>
            <w:r>
              <w:rPr>
                <w:sz w:val="22"/>
                <w:szCs w:val="22"/>
              </w:rPr>
              <w:t>128,85</w:t>
            </w:r>
          </w:p>
        </w:tc>
        <w:tc>
          <w:tcPr>
            <w:tcW w:w="1808" w:type="dxa"/>
            <w:shd w:val="clear" w:color="auto" w:fill="D9D9D9" w:themeFill="background1" w:themeFillShade="D9"/>
          </w:tcPr>
          <w:p w:rsidR="004A111B" w:rsidP="008819D6" w:rsidRDefault="004A111B" w14:paraId="3D2D4BE4" w14:textId="77777777">
            <w:pPr>
              <w:jc w:val="center"/>
              <w:rPr>
                <w:sz w:val="22"/>
                <w:szCs w:val="22"/>
              </w:rPr>
            </w:pPr>
            <w:r>
              <w:rPr>
                <w:sz w:val="22"/>
                <w:szCs w:val="22"/>
              </w:rPr>
              <w:t>126,85</w:t>
            </w:r>
          </w:p>
        </w:tc>
        <w:tc>
          <w:tcPr>
            <w:tcW w:w="1701" w:type="dxa"/>
            <w:shd w:val="clear" w:color="auto" w:fill="D9D9D9" w:themeFill="background1" w:themeFillShade="D9"/>
          </w:tcPr>
          <w:p w:rsidR="004A111B" w:rsidP="008819D6" w:rsidRDefault="004A111B" w14:paraId="0DC53DAD" w14:textId="77777777">
            <w:pPr>
              <w:jc w:val="center"/>
              <w:rPr>
                <w:sz w:val="22"/>
                <w:szCs w:val="22"/>
              </w:rPr>
            </w:pPr>
            <w:r>
              <w:rPr>
                <w:sz w:val="22"/>
                <w:szCs w:val="22"/>
              </w:rPr>
              <w:t>125,00</w:t>
            </w:r>
          </w:p>
        </w:tc>
        <w:tc>
          <w:tcPr>
            <w:tcW w:w="1792" w:type="dxa"/>
            <w:shd w:val="clear" w:color="auto" w:fill="D9D9D9" w:themeFill="background1" w:themeFillShade="D9"/>
          </w:tcPr>
          <w:p w:rsidR="004A111B" w:rsidP="008819D6" w:rsidRDefault="004A111B" w14:paraId="62DBD323" w14:textId="77777777">
            <w:pPr>
              <w:jc w:val="center"/>
              <w:rPr>
                <w:sz w:val="22"/>
                <w:szCs w:val="22"/>
              </w:rPr>
            </w:pPr>
            <w:r>
              <w:rPr>
                <w:sz w:val="22"/>
                <w:szCs w:val="22"/>
              </w:rPr>
              <w:t>123,27</w:t>
            </w:r>
          </w:p>
        </w:tc>
      </w:tr>
      <w:tr w:rsidR="004A111B" w:rsidTr="008819D6" w14:paraId="1830853D" w14:textId="77777777">
        <w:trPr>
          <w:trHeight w:val="257"/>
        </w:trPr>
        <w:tc>
          <w:tcPr>
            <w:tcW w:w="2127" w:type="dxa"/>
            <w:shd w:val="clear" w:color="auto" w:fill="D9D9D9" w:themeFill="background1" w:themeFillShade="D9"/>
            <w:vAlign w:val="center"/>
          </w:tcPr>
          <w:p w:rsidR="004A111B" w:rsidP="008819D6" w:rsidRDefault="004A111B" w14:paraId="79FD15B7" w14:textId="77777777">
            <w:pPr>
              <w:rPr>
                <w:sz w:val="22"/>
                <w:szCs w:val="22"/>
              </w:rPr>
            </w:pPr>
            <w:r>
              <w:rPr>
                <w:sz w:val="22"/>
                <w:szCs w:val="22"/>
              </w:rPr>
              <w:t>Jaar-op-Jaar</w:t>
            </w:r>
          </w:p>
        </w:tc>
        <w:tc>
          <w:tcPr>
            <w:tcW w:w="1559" w:type="dxa"/>
            <w:shd w:val="clear" w:color="auto" w:fill="D9D9D9" w:themeFill="background1" w:themeFillShade="D9"/>
          </w:tcPr>
          <w:p w:rsidR="004A111B" w:rsidP="008819D6" w:rsidRDefault="004A111B" w14:paraId="7D370CC8" w14:textId="77777777">
            <w:pPr>
              <w:jc w:val="center"/>
              <w:rPr>
                <w:sz w:val="22"/>
                <w:szCs w:val="22"/>
              </w:rPr>
            </w:pPr>
            <w:r>
              <w:rPr>
                <w:sz w:val="22"/>
                <w:szCs w:val="22"/>
              </w:rPr>
              <w:t>-1,64%</w:t>
            </w:r>
          </w:p>
        </w:tc>
        <w:tc>
          <w:tcPr>
            <w:tcW w:w="1808" w:type="dxa"/>
            <w:shd w:val="clear" w:color="auto" w:fill="D9D9D9" w:themeFill="background1" w:themeFillShade="D9"/>
          </w:tcPr>
          <w:p w:rsidR="004A111B" w:rsidP="008819D6" w:rsidRDefault="004A111B" w14:paraId="43F245DF" w14:textId="77777777">
            <w:pPr>
              <w:jc w:val="center"/>
              <w:rPr>
                <w:sz w:val="22"/>
                <w:szCs w:val="22"/>
              </w:rPr>
            </w:pPr>
            <w:r>
              <w:rPr>
                <w:sz w:val="22"/>
                <w:szCs w:val="22"/>
              </w:rPr>
              <w:t>-1,55%</w:t>
            </w:r>
          </w:p>
        </w:tc>
        <w:tc>
          <w:tcPr>
            <w:tcW w:w="1701" w:type="dxa"/>
            <w:shd w:val="clear" w:color="auto" w:fill="D9D9D9" w:themeFill="background1" w:themeFillShade="D9"/>
          </w:tcPr>
          <w:p w:rsidR="004A111B" w:rsidP="008819D6" w:rsidRDefault="004A111B" w14:paraId="406F6789" w14:textId="77777777">
            <w:pPr>
              <w:jc w:val="center"/>
              <w:rPr>
                <w:sz w:val="22"/>
                <w:szCs w:val="22"/>
              </w:rPr>
            </w:pPr>
            <w:r>
              <w:rPr>
                <w:sz w:val="22"/>
                <w:szCs w:val="22"/>
              </w:rPr>
              <w:t>-1,46%</w:t>
            </w:r>
          </w:p>
        </w:tc>
        <w:tc>
          <w:tcPr>
            <w:tcW w:w="1792" w:type="dxa"/>
            <w:shd w:val="clear" w:color="auto" w:fill="D9D9D9" w:themeFill="background1" w:themeFillShade="D9"/>
          </w:tcPr>
          <w:p w:rsidR="004A111B" w:rsidP="008819D6" w:rsidRDefault="004A111B" w14:paraId="0CE3BF5A" w14:textId="77777777">
            <w:pPr>
              <w:jc w:val="center"/>
              <w:rPr>
                <w:sz w:val="22"/>
                <w:szCs w:val="22"/>
              </w:rPr>
            </w:pPr>
            <w:r>
              <w:rPr>
                <w:sz w:val="22"/>
                <w:szCs w:val="22"/>
              </w:rPr>
              <w:t>-1,38%</w:t>
            </w:r>
          </w:p>
        </w:tc>
      </w:tr>
      <w:tr w:rsidR="004A111B" w:rsidTr="008819D6" w14:paraId="18ED8AD1" w14:textId="77777777">
        <w:trPr>
          <w:trHeight w:val="458"/>
        </w:trPr>
        <w:tc>
          <w:tcPr>
            <w:tcW w:w="2127" w:type="dxa"/>
            <w:vAlign w:val="center"/>
          </w:tcPr>
          <w:p w:rsidRPr="00DB2DFE" w:rsidR="004A111B" w:rsidP="008819D6" w:rsidRDefault="004A111B" w14:paraId="187428B7" w14:textId="77777777">
            <w:pPr>
              <w:rPr>
                <w:b/>
                <w:bCs/>
                <w:sz w:val="22"/>
                <w:szCs w:val="22"/>
              </w:rPr>
            </w:pPr>
            <w:r w:rsidRPr="00DB2DFE">
              <w:rPr>
                <w:b/>
                <w:bCs/>
                <w:sz w:val="22"/>
                <w:szCs w:val="22"/>
              </w:rPr>
              <w:t>Diesel</w:t>
            </w:r>
          </w:p>
        </w:tc>
        <w:tc>
          <w:tcPr>
            <w:tcW w:w="1559" w:type="dxa"/>
            <w:vAlign w:val="center"/>
          </w:tcPr>
          <w:p w:rsidR="004A111B" w:rsidP="008819D6" w:rsidRDefault="004A111B" w14:paraId="3B4AA6C2" w14:textId="77777777">
            <w:pPr>
              <w:jc w:val="center"/>
              <w:rPr>
                <w:sz w:val="22"/>
                <w:szCs w:val="22"/>
              </w:rPr>
            </w:pPr>
            <w:r>
              <w:rPr>
                <w:sz w:val="22"/>
                <w:szCs w:val="22"/>
              </w:rPr>
              <w:t>3,546</w:t>
            </w:r>
          </w:p>
        </w:tc>
        <w:tc>
          <w:tcPr>
            <w:tcW w:w="1808" w:type="dxa"/>
            <w:vAlign w:val="center"/>
          </w:tcPr>
          <w:p w:rsidR="004A111B" w:rsidP="008819D6" w:rsidRDefault="004A111B" w14:paraId="39EC35BF" w14:textId="77777777">
            <w:pPr>
              <w:jc w:val="center"/>
              <w:rPr>
                <w:sz w:val="22"/>
                <w:szCs w:val="22"/>
              </w:rPr>
            </w:pPr>
            <w:r>
              <w:rPr>
                <w:sz w:val="22"/>
                <w:szCs w:val="22"/>
              </w:rPr>
              <w:t>(1,840 ; 5,253)</w:t>
            </w:r>
          </w:p>
        </w:tc>
        <w:tc>
          <w:tcPr>
            <w:tcW w:w="1701" w:type="dxa"/>
            <w:vAlign w:val="center"/>
          </w:tcPr>
          <w:p w:rsidR="004A111B" w:rsidP="008819D6" w:rsidRDefault="004A111B" w14:paraId="35D6AEFD" w14:textId="77777777">
            <w:pPr>
              <w:jc w:val="center"/>
              <w:rPr>
                <w:sz w:val="22"/>
                <w:szCs w:val="22"/>
              </w:rPr>
            </w:pPr>
            <w:r>
              <w:rPr>
                <w:sz w:val="22"/>
                <w:szCs w:val="22"/>
              </w:rPr>
              <w:t>0,961</w:t>
            </w:r>
          </w:p>
        </w:tc>
        <w:tc>
          <w:tcPr>
            <w:tcW w:w="1792" w:type="dxa"/>
            <w:vAlign w:val="center"/>
          </w:tcPr>
          <w:p w:rsidR="004A111B" w:rsidP="008819D6" w:rsidRDefault="004A111B" w14:paraId="0803E825" w14:textId="77777777">
            <w:pPr>
              <w:jc w:val="center"/>
              <w:rPr>
                <w:sz w:val="22"/>
                <w:szCs w:val="22"/>
              </w:rPr>
            </w:pPr>
            <w:r>
              <w:rPr>
                <w:sz w:val="22"/>
                <w:szCs w:val="22"/>
              </w:rPr>
              <w:t>(0,949 ; 0,973)</w:t>
            </w:r>
          </w:p>
        </w:tc>
      </w:tr>
      <w:tr w:rsidR="004A111B" w:rsidTr="008819D6" w14:paraId="6684E751" w14:textId="77777777">
        <w:trPr>
          <w:trHeight w:val="257"/>
        </w:trPr>
        <w:tc>
          <w:tcPr>
            <w:tcW w:w="2127" w:type="dxa"/>
            <w:shd w:val="clear" w:color="auto" w:fill="D9D9D9" w:themeFill="background1" w:themeFillShade="D9"/>
          </w:tcPr>
          <w:p w:rsidRPr="00DB2DFE" w:rsidR="004A111B" w:rsidP="008819D6" w:rsidRDefault="004A111B" w14:paraId="6BF33051" w14:textId="69601C88">
            <w:pPr>
              <w:rPr>
                <w:i/>
                <w:iCs/>
                <w:sz w:val="22"/>
                <w:szCs w:val="22"/>
              </w:rPr>
            </w:pPr>
            <w:r w:rsidRPr="00DB2DFE">
              <w:rPr>
                <w:i/>
                <w:iCs/>
                <w:sz w:val="22"/>
                <w:szCs w:val="22"/>
              </w:rPr>
              <w:t>Voorspelling</w:t>
            </w:r>
            <w:r w:rsidR="00661E63">
              <w:rPr>
                <w:i/>
                <w:iCs/>
                <w:sz w:val="22"/>
                <w:szCs w:val="22"/>
              </w:rPr>
              <w:t xml:space="preserve"> voor</w:t>
            </w:r>
          </w:p>
        </w:tc>
        <w:tc>
          <w:tcPr>
            <w:tcW w:w="1559" w:type="dxa"/>
            <w:shd w:val="clear" w:color="auto" w:fill="D9D9D9" w:themeFill="background1" w:themeFillShade="D9"/>
          </w:tcPr>
          <w:p w:rsidR="004A111B" w:rsidP="008819D6" w:rsidRDefault="004A111B" w14:paraId="6B917CB3" w14:textId="77777777">
            <w:pPr>
              <w:jc w:val="center"/>
              <w:rPr>
                <w:sz w:val="22"/>
                <w:szCs w:val="22"/>
              </w:rPr>
            </w:pPr>
            <w:r w:rsidRPr="00DB2DFE">
              <w:rPr>
                <w:i/>
                <w:iCs/>
                <w:sz w:val="22"/>
                <w:szCs w:val="22"/>
              </w:rPr>
              <w:t>2025</w:t>
            </w:r>
          </w:p>
        </w:tc>
        <w:tc>
          <w:tcPr>
            <w:tcW w:w="1808" w:type="dxa"/>
            <w:shd w:val="clear" w:color="auto" w:fill="D9D9D9" w:themeFill="background1" w:themeFillShade="D9"/>
          </w:tcPr>
          <w:p w:rsidR="004A111B" w:rsidP="008819D6" w:rsidRDefault="004A111B" w14:paraId="4769C0CF" w14:textId="77777777">
            <w:pPr>
              <w:jc w:val="center"/>
              <w:rPr>
                <w:sz w:val="22"/>
                <w:szCs w:val="22"/>
              </w:rPr>
            </w:pPr>
            <w:r w:rsidRPr="00DB2DFE">
              <w:rPr>
                <w:i/>
                <w:iCs/>
                <w:sz w:val="22"/>
                <w:szCs w:val="22"/>
              </w:rPr>
              <w:t>2026</w:t>
            </w:r>
          </w:p>
        </w:tc>
        <w:tc>
          <w:tcPr>
            <w:tcW w:w="1701" w:type="dxa"/>
            <w:shd w:val="clear" w:color="auto" w:fill="D9D9D9" w:themeFill="background1" w:themeFillShade="D9"/>
          </w:tcPr>
          <w:p w:rsidR="004A111B" w:rsidP="008819D6" w:rsidRDefault="004A111B" w14:paraId="3F16A0B0" w14:textId="77777777">
            <w:pPr>
              <w:jc w:val="center"/>
              <w:rPr>
                <w:sz w:val="22"/>
                <w:szCs w:val="22"/>
              </w:rPr>
            </w:pPr>
            <w:r w:rsidRPr="00DB2DFE">
              <w:rPr>
                <w:i/>
                <w:iCs/>
                <w:sz w:val="22"/>
                <w:szCs w:val="22"/>
              </w:rPr>
              <w:t>2027</w:t>
            </w:r>
          </w:p>
        </w:tc>
        <w:tc>
          <w:tcPr>
            <w:tcW w:w="1792" w:type="dxa"/>
            <w:shd w:val="clear" w:color="auto" w:fill="D9D9D9" w:themeFill="background1" w:themeFillShade="D9"/>
          </w:tcPr>
          <w:p w:rsidR="004A111B" w:rsidP="008819D6" w:rsidRDefault="004A111B" w14:paraId="621F5175" w14:textId="77777777">
            <w:pPr>
              <w:jc w:val="center"/>
              <w:rPr>
                <w:sz w:val="22"/>
                <w:szCs w:val="22"/>
              </w:rPr>
            </w:pPr>
            <w:r w:rsidRPr="00DB2DFE">
              <w:rPr>
                <w:i/>
                <w:iCs/>
                <w:sz w:val="22"/>
                <w:szCs w:val="22"/>
              </w:rPr>
              <w:t>2028</w:t>
            </w:r>
          </w:p>
        </w:tc>
      </w:tr>
      <w:tr w:rsidR="004A111B" w:rsidTr="008819D6" w14:paraId="49EAF944" w14:textId="77777777">
        <w:trPr>
          <w:trHeight w:val="257"/>
        </w:trPr>
        <w:tc>
          <w:tcPr>
            <w:tcW w:w="2127" w:type="dxa"/>
            <w:shd w:val="clear" w:color="auto" w:fill="D9D9D9" w:themeFill="background1" w:themeFillShade="D9"/>
            <w:vAlign w:val="center"/>
          </w:tcPr>
          <w:p w:rsidRPr="00DB2DFE" w:rsidR="004A111B" w:rsidP="008819D6" w:rsidRDefault="004A111B" w14:paraId="13AB0B42" w14:textId="77777777">
            <w:pPr>
              <w:rPr>
                <w:b/>
                <w:bCs/>
                <w:sz w:val="22"/>
                <w:szCs w:val="22"/>
              </w:rPr>
            </w:pPr>
            <w:r w:rsidRPr="00DB2DFE">
              <w:rPr>
                <w:sz w:val="22"/>
                <w:szCs w:val="22"/>
              </w:rPr>
              <w:t>CO₂-uitstoot</w:t>
            </w:r>
            <w:r>
              <w:rPr>
                <w:sz w:val="22"/>
                <w:szCs w:val="22"/>
              </w:rPr>
              <w:t xml:space="preserve"> (g/km)</w:t>
            </w:r>
          </w:p>
        </w:tc>
        <w:tc>
          <w:tcPr>
            <w:tcW w:w="1559" w:type="dxa"/>
            <w:shd w:val="clear" w:color="auto" w:fill="D9D9D9" w:themeFill="background1" w:themeFillShade="D9"/>
          </w:tcPr>
          <w:p w:rsidR="004A111B" w:rsidP="008819D6" w:rsidRDefault="004A111B" w14:paraId="23DBADFB" w14:textId="77777777">
            <w:pPr>
              <w:jc w:val="center"/>
              <w:rPr>
                <w:sz w:val="22"/>
                <w:szCs w:val="22"/>
              </w:rPr>
            </w:pPr>
            <w:r>
              <w:rPr>
                <w:sz w:val="22"/>
                <w:szCs w:val="22"/>
              </w:rPr>
              <w:t>143,39</w:t>
            </w:r>
          </w:p>
        </w:tc>
        <w:tc>
          <w:tcPr>
            <w:tcW w:w="1808" w:type="dxa"/>
            <w:shd w:val="clear" w:color="auto" w:fill="D9D9D9" w:themeFill="background1" w:themeFillShade="D9"/>
          </w:tcPr>
          <w:p w:rsidR="004A111B" w:rsidP="008819D6" w:rsidRDefault="004A111B" w14:paraId="3DAE4934" w14:textId="77777777">
            <w:pPr>
              <w:jc w:val="center"/>
              <w:rPr>
                <w:sz w:val="22"/>
                <w:szCs w:val="22"/>
              </w:rPr>
            </w:pPr>
            <w:r>
              <w:rPr>
                <w:sz w:val="22"/>
                <w:szCs w:val="22"/>
              </w:rPr>
              <w:t>141,32</w:t>
            </w:r>
          </w:p>
        </w:tc>
        <w:tc>
          <w:tcPr>
            <w:tcW w:w="1701" w:type="dxa"/>
            <w:shd w:val="clear" w:color="auto" w:fill="D9D9D9" w:themeFill="background1" w:themeFillShade="D9"/>
          </w:tcPr>
          <w:p w:rsidR="004A111B" w:rsidP="008819D6" w:rsidRDefault="004A111B" w14:paraId="623B339E" w14:textId="77777777">
            <w:pPr>
              <w:jc w:val="center"/>
              <w:rPr>
                <w:sz w:val="22"/>
                <w:szCs w:val="22"/>
              </w:rPr>
            </w:pPr>
            <w:r>
              <w:rPr>
                <w:sz w:val="22"/>
                <w:szCs w:val="22"/>
              </w:rPr>
              <w:t>139,33</w:t>
            </w:r>
          </w:p>
        </w:tc>
        <w:tc>
          <w:tcPr>
            <w:tcW w:w="1792" w:type="dxa"/>
            <w:shd w:val="clear" w:color="auto" w:fill="D9D9D9" w:themeFill="background1" w:themeFillShade="D9"/>
          </w:tcPr>
          <w:p w:rsidR="004A111B" w:rsidP="008819D6" w:rsidRDefault="004A111B" w14:paraId="14382B8A" w14:textId="77777777">
            <w:pPr>
              <w:jc w:val="center"/>
              <w:rPr>
                <w:sz w:val="22"/>
                <w:szCs w:val="22"/>
              </w:rPr>
            </w:pPr>
            <w:r>
              <w:rPr>
                <w:sz w:val="22"/>
                <w:szCs w:val="22"/>
              </w:rPr>
              <w:t>137,42</w:t>
            </w:r>
          </w:p>
        </w:tc>
      </w:tr>
      <w:tr w:rsidR="004A111B" w:rsidTr="008819D6" w14:paraId="5762284A" w14:textId="77777777">
        <w:trPr>
          <w:trHeight w:val="257"/>
        </w:trPr>
        <w:tc>
          <w:tcPr>
            <w:tcW w:w="2127" w:type="dxa"/>
            <w:shd w:val="clear" w:color="auto" w:fill="D9D9D9" w:themeFill="background1" w:themeFillShade="D9"/>
            <w:vAlign w:val="center"/>
          </w:tcPr>
          <w:p w:rsidRPr="00DB2DFE" w:rsidR="004A111B" w:rsidP="008819D6" w:rsidRDefault="004A111B" w14:paraId="56697F04" w14:textId="77777777">
            <w:pPr>
              <w:rPr>
                <w:b/>
                <w:bCs/>
                <w:sz w:val="22"/>
                <w:szCs w:val="22"/>
              </w:rPr>
            </w:pPr>
            <w:r>
              <w:rPr>
                <w:sz w:val="22"/>
                <w:szCs w:val="22"/>
              </w:rPr>
              <w:t xml:space="preserve">Jaar-op-Jaar </w:t>
            </w:r>
          </w:p>
        </w:tc>
        <w:tc>
          <w:tcPr>
            <w:tcW w:w="1559" w:type="dxa"/>
            <w:shd w:val="clear" w:color="auto" w:fill="D9D9D9" w:themeFill="background1" w:themeFillShade="D9"/>
          </w:tcPr>
          <w:p w:rsidR="004A111B" w:rsidP="008819D6" w:rsidRDefault="004A111B" w14:paraId="283AAA13" w14:textId="77777777">
            <w:pPr>
              <w:jc w:val="center"/>
              <w:rPr>
                <w:sz w:val="22"/>
                <w:szCs w:val="22"/>
              </w:rPr>
            </w:pPr>
            <w:r>
              <w:rPr>
                <w:sz w:val="22"/>
                <w:szCs w:val="22"/>
              </w:rPr>
              <w:t>-1,48%</w:t>
            </w:r>
          </w:p>
        </w:tc>
        <w:tc>
          <w:tcPr>
            <w:tcW w:w="1808" w:type="dxa"/>
            <w:shd w:val="clear" w:color="auto" w:fill="D9D9D9" w:themeFill="background1" w:themeFillShade="D9"/>
          </w:tcPr>
          <w:p w:rsidR="004A111B" w:rsidP="008819D6" w:rsidRDefault="004A111B" w14:paraId="6D9B6AC6" w14:textId="77777777">
            <w:pPr>
              <w:jc w:val="center"/>
              <w:rPr>
                <w:sz w:val="22"/>
                <w:szCs w:val="22"/>
              </w:rPr>
            </w:pPr>
            <w:r>
              <w:rPr>
                <w:sz w:val="22"/>
                <w:szCs w:val="22"/>
              </w:rPr>
              <w:t>-1,44%</w:t>
            </w:r>
          </w:p>
        </w:tc>
        <w:tc>
          <w:tcPr>
            <w:tcW w:w="1701" w:type="dxa"/>
            <w:shd w:val="clear" w:color="auto" w:fill="D9D9D9" w:themeFill="background1" w:themeFillShade="D9"/>
          </w:tcPr>
          <w:p w:rsidR="004A111B" w:rsidP="008819D6" w:rsidRDefault="004A111B" w14:paraId="7E5C1FE4" w14:textId="77777777">
            <w:pPr>
              <w:jc w:val="center"/>
              <w:rPr>
                <w:sz w:val="22"/>
                <w:szCs w:val="22"/>
              </w:rPr>
            </w:pPr>
            <w:r>
              <w:rPr>
                <w:sz w:val="22"/>
                <w:szCs w:val="22"/>
              </w:rPr>
              <w:t>-1,41%</w:t>
            </w:r>
          </w:p>
        </w:tc>
        <w:tc>
          <w:tcPr>
            <w:tcW w:w="1792" w:type="dxa"/>
            <w:shd w:val="clear" w:color="auto" w:fill="D9D9D9" w:themeFill="background1" w:themeFillShade="D9"/>
          </w:tcPr>
          <w:p w:rsidR="004A111B" w:rsidP="008819D6" w:rsidRDefault="004A111B" w14:paraId="2F4078AC" w14:textId="77777777">
            <w:pPr>
              <w:jc w:val="center"/>
              <w:rPr>
                <w:sz w:val="22"/>
                <w:szCs w:val="22"/>
              </w:rPr>
            </w:pPr>
            <w:r>
              <w:rPr>
                <w:sz w:val="22"/>
                <w:szCs w:val="22"/>
              </w:rPr>
              <w:t>-1,37%</w:t>
            </w:r>
          </w:p>
        </w:tc>
      </w:tr>
      <w:tr w:rsidR="004A111B" w:rsidTr="008819D6" w14:paraId="7787118A" w14:textId="77777777">
        <w:trPr>
          <w:trHeight w:val="462"/>
        </w:trPr>
        <w:tc>
          <w:tcPr>
            <w:tcW w:w="2127" w:type="dxa"/>
            <w:vAlign w:val="center"/>
          </w:tcPr>
          <w:p w:rsidRPr="00DB2DFE" w:rsidR="004A111B" w:rsidP="008819D6" w:rsidRDefault="004A111B" w14:paraId="6BB0757F" w14:textId="77777777">
            <w:pPr>
              <w:rPr>
                <w:b/>
                <w:bCs/>
                <w:sz w:val="22"/>
                <w:szCs w:val="22"/>
              </w:rPr>
            </w:pPr>
            <w:r w:rsidRPr="00DB2DFE">
              <w:rPr>
                <w:b/>
                <w:bCs/>
                <w:sz w:val="22"/>
                <w:szCs w:val="22"/>
              </w:rPr>
              <w:t>PHEV</w:t>
            </w:r>
          </w:p>
        </w:tc>
        <w:tc>
          <w:tcPr>
            <w:tcW w:w="1559" w:type="dxa"/>
            <w:vAlign w:val="center"/>
          </w:tcPr>
          <w:p w:rsidR="004A111B" w:rsidP="008819D6" w:rsidRDefault="004A111B" w14:paraId="6B988870" w14:textId="77777777">
            <w:pPr>
              <w:jc w:val="center"/>
              <w:rPr>
                <w:sz w:val="22"/>
                <w:szCs w:val="22"/>
              </w:rPr>
            </w:pPr>
            <w:r>
              <w:rPr>
                <w:sz w:val="22"/>
                <w:szCs w:val="22"/>
              </w:rPr>
              <w:t>13,786</w:t>
            </w:r>
          </w:p>
        </w:tc>
        <w:tc>
          <w:tcPr>
            <w:tcW w:w="1808" w:type="dxa"/>
            <w:vAlign w:val="center"/>
          </w:tcPr>
          <w:p w:rsidR="004A111B" w:rsidP="008819D6" w:rsidRDefault="004A111B" w14:paraId="55B721E7" w14:textId="77777777">
            <w:pPr>
              <w:jc w:val="center"/>
              <w:rPr>
                <w:sz w:val="22"/>
                <w:szCs w:val="22"/>
              </w:rPr>
            </w:pPr>
            <w:r>
              <w:rPr>
                <w:sz w:val="22"/>
                <w:szCs w:val="22"/>
              </w:rPr>
              <w:t>(5,203 ; 22,370)</w:t>
            </w:r>
          </w:p>
        </w:tc>
        <w:tc>
          <w:tcPr>
            <w:tcW w:w="1701" w:type="dxa"/>
            <w:vAlign w:val="center"/>
          </w:tcPr>
          <w:p w:rsidR="004A111B" w:rsidP="008819D6" w:rsidRDefault="004A111B" w14:paraId="6D9C8670" w14:textId="77777777">
            <w:pPr>
              <w:jc w:val="center"/>
              <w:rPr>
                <w:sz w:val="22"/>
                <w:szCs w:val="22"/>
              </w:rPr>
            </w:pPr>
            <w:r>
              <w:rPr>
                <w:sz w:val="22"/>
                <w:szCs w:val="22"/>
              </w:rPr>
              <w:t>0,576</w:t>
            </w:r>
          </w:p>
        </w:tc>
        <w:tc>
          <w:tcPr>
            <w:tcW w:w="1792" w:type="dxa"/>
            <w:vAlign w:val="center"/>
          </w:tcPr>
          <w:p w:rsidR="004A111B" w:rsidP="008819D6" w:rsidRDefault="004A111B" w14:paraId="28DE69A1" w14:textId="77777777">
            <w:pPr>
              <w:jc w:val="center"/>
              <w:rPr>
                <w:sz w:val="22"/>
                <w:szCs w:val="22"/>
              </w:rPr>
            </w:pPr>
            <w:r>
              <w:rPr>
                <w:sz w:val="22"/>
                <w:szCs w:val="22"/>
              </w:rPr>
              <w:t>(0,331 ; 0,821)</w:t>
            </w:r>
          </w:p>
        </w:tc>
      </w:tr>
      <w:tr w:rsidR="004A111B" w:rsidTr="008819D6" w14:paraId="6E74E9C4" w14:textId="77777777">
        <w:trPr>
          <w:trHeight w:val="257"/>
        </w:trPr>
        <w:tc>
          <w:tcPr>
            <w:tcW w:w="2127" w:type="dxa"/>
            <w:shd w:val="clear" w:color="auto" w:fill="D9D9D9" w:themeFill="background1" w:themeFillShade="D9"/>
          </w:tcPr>
          <w:p w:rsidRPr="00DB2DFE" w:rsidR="004A111B" w:rsidP="008819D6" w:rsidRDefault="004A111B" w14:paraId="13B8C2FD" w14:textId="555230FD">
            <w:pPr>
              <w:rPr>
                <w:i/>
                <w:iCs/>
                <w:sz w:val="22"/>
                <w:szCs w:val="22"/>
              </w:rPr>
            </w:pPr>
            <w:r w:rsidRPr="00DB2DFE">
              <w:rPr>
                <w:i/>
                <w:iCs/>
                <w:sz w:val="22"/>
                <w:szCs w:val="22"/>
              </w:rPr>
              <w:t>Voorspelling</w:t>
            </w:r>
            <w:r w:rsidR="00661E63">
              <w:rPr>
                <w:i/>
                <w:iCs/>
                <w:sz w:val="22"/>
                <w:szCs w:val="22"/>
              </w:rPr>
              <w:t xml:space="preserve"> voor</w:t>
            </w:r>
          </w:p>
        </w:tc>
        <w:tc>
          <w:tcPr>
            <w:tcW w:w="1559" w:type="dxa"/>
            <w:shd w:val="clear" w:color="auto" w:fill="D9D9D9" w:themeFill="background1" w:themeFillShade="D9"/>
          </w:tcPr>
          <w:p w:rsidR="004A111B" w:rsidP="008819D6" w:rsidRDefault="004A111B" w14:paraId="321D0E19" w14:textId="77777777">
            <w:pPr>
              <w:jc w:val="center"/>
              <w:rPr>
                <w:sz w:val="22"/>
                <w:szCs w:val="22"/>
              </w:rPr>
            </w:pPr>
            <w:r>
              <w:rPr>
                <w:sz w:val="22"/>
                <w:szCs w:val="22"/>
              </w:rPr>
              <w:t>2025</w:t>
            </w:r>
          </w:p>
        </w:tc>
        <w:tc>
          <w:tcPr>
            <w:tcW w:w="1808" w:type="dxa"/>
            <w:shd w:val="clear" w:color="auto" w:fill="D9D9D9" w:themeFill="background1" w:themeFillShade="D9"/>
          </w:tcPr>
          <w:p w:rsidR="004A111B" w:rsidP="008819D6" w:rsidRDefault="004A111B" w14:paraId="1FB292AD" w14:textId="77777777">
            <w:pPr>
              <w:jc w:val="center"/>
              <w:rPr>
                <w:sz w:val="22"/>
                <w:szCs w:val="22"/>
              </w:rPr>
            </w:pPr>
            <w:r>
              <w:rPr>
                <w:sz w:val="22"/>
                <w:szCs w:val="22"/>
              </w:rPr>
              <w:t>2026</w:t>
            </w:r>
          </w:p>
        </w:tc>
        <w:tc>
          <w:tcPr>
            <w:tcW w:w="1701" w:type="dxa"/>
            <w:shd w:val="clear" w:color="auto" w:fill="D9D9D9" w:themeFill="background1" w:themeFillShade="D9"/>
          </w:tcPr>
          <w:p w:rsidR="004A111B" w:rsidP="008819D6" w:rsidRDefault="004A111B" w14:paraId="20B1B62A" w14:textId="77777777">
            <w:pPr>
              <w:jc w:val="center"/>
              <w:rPr>
                <w:sz w:val="22"/>
                <w:szCs w:val="22"/>
              </w:rPr>
            </w:pPr>
            <w:r>
              <w:rPr>
                <w:sz w:val="22"/>
                <w:szCs w:val="22"/>
              </w:rPr>
              <w:t>2027</w:t>
            </w:r>
          </w:p>
        </w:tc>
        <w:tc>
          <w:tcPr>
            <w:tcW w:w="1792" w:type="dxa"/>
            <w:shd w:val="clear" w:color="auto" w:fill="D9D9D9" w:themeFill="background1" w:themeFillShade="D9"/>
          </w:tcPr>
          <w:p w:rsidR="004A111B" w:rsidP="008819D6" w:rsidRDefault="004A111B" w14:paraId="5CA62F64" w14:textId="77777777">
            <w:pPr>
              <w:jc w:val="center"/>
              <w:rPr>
                <w:sz w:val="22"/>
                <w:szCs w:val="22"/>
              </w:rPr>
            </w:pPr>
            <w:r>
              <w:rPr>
                <w:sz w:val="22"/>
                <w:szCs w:val="22"/>
              </w:rPr>
              <w:t>2028</w:t>
            </w:r>
          </w:p>
        </w:tc>
      </w:tr>
      <w:tr w:rsidR="004A111B" w:rsidTr="008819D6" w14:paraId="3FEF6D6B" w14:textId="77777777">
        <w:trPr>
          <w:trHeight w:val="257"/>
        </w:trPr>
        <w:tc>
          <w:tcPr>
            <w:tcW w:w="2127" w:type="dxa"/>
            <w:shd w:val="clear" w:color="auto" w:fill="D9D9D9" w:themeFill="background1" w:themeFillShade="D9"/>
            <w:vAlign w:val="center"/>
          </w:tcPr>
          <w:p w:rsidRPr="00DB2DFE" w:rsidR="004A111B" w:rsidP="008819D6" w:rsidRDefault="004A111B" w14:paraId="1638E743" w14:textId="77777777">
            <w:pPr>
              <w:rPr>
                <w:b/>
                <w:bCs/>
                <w:sz w:val="22"/>
                <w:szCs w:val="22"/>
              </w:rPr>
            </w:pPr>
            <w:r w:rsidRPr="00DB2DFE">
              <w:rPr>
                <w:sz w:val="22"/>
                <w:szCs w:val="22"/>
              </w:rPr>
              <w:t>CO₂-uitstoot</w:t>
            </w:r>
            <w:r>
              <w:rPr>
                <w:sz w:val="22"/>
                <w:szCs w:val="22"/>
              </w:rPr>
              <w:t xml:space="preserve"> (g/km)</w:t>
            </w:r>
          </w:p>
        </w:tc>
        <w:tc>
          <w:tcPr>
            <w:tcW w:w="1559" w:type="dxa"/>
            <w:shd w:val="clear" w:color="auto" w:fill="D9D9D9" w:themeFill="background1" w:themeFillShade="D9"/>
          </w:tcPr>
          <w:p w:rsidR="004A111B" w:rsidP="008819D6" w:rsidRDefault="004A111B" w14:paraId="200CADEA" w14:textId="77777777">
            <w:pPr>
              <w:jc w:val="center"/>
              <w:rPr>
                <w:sz w:val="22"/>
                <w:szCs w:val="22"/>
              </w:rPr>
            </w:pPr>
            <w:r>
              <w:rPr>
                <w:sz w:val="22"/>
                <w:szCs w:val="22"/>
              </w:rPr>
              <w:t>31,94</w:t>
            </w:r>
          </w:p>
        </w:tc>
        <w:tc>
          <w:tcPr>
            <w:tcW w:w="1808" w:type="dxa"/>
            <w:shd w:val="clear" w:color="auto" w:fill="D9D9D9" w:themeFill="background1" w:themeFillShade="D9"/>
          </w:tcPr>
          <w:p w:rsidR="004A111B" w:rsidP="008819D6" w:rsidRDefault="004A111B" w14:paraId="2178A2CE" w14:textId="77777777">
            <w:pPr>
              <w:jc w:val="center"/>
              <w:rPr>
                <w:sz w:val="22"/>
                <w:szCs w:val="22"/>
              </w:rPr>
            </w:pPr>
            <w:r>
              <w:rPr>
                <w:sz w:val="22"/>
                <w:szCs w:val="22"/>
              </w:rPr>
              <w:t>32,18</w:t>
            </w:r>
          </w:p>
        </w:tc>
        <w:tc>
          <w:tcPr>
            <w:tcW w:w="1701" w:type="dxa"/>
            <w:shd w:val="clear" w:color="auto" w:fill="D9D9D9" w:themeFill="background1" w:themeFillShade="D9"/>
          </w:tcPr>
          <w:p w:rsidR="004A111B" w:rsidP="008819D6" w:rsidRDefault="004A111B" w14:paraId="2C0A868A" w14:textId="77777777">
            <w:pPr>
              <w:jc w:val="center"/>
              <w:rPr>
                <w:sz w:val="22"/>
                <w:szCs w:val="22"/>
              </w:rPr>
            </w:pPr>
            <w:r>
              <w:rPr>
                <w:sz w:val="22"/>
                <w:szCs w:val="22"/>
              </w:rPr>
              <w:t>32,32</w:t>
            </w:r>
          </w:p>
        </w:tc>
        <w:tc>
          <w:tcPr>
            <w:tcW w:w="1792" w:type="dxa"/>
            <w:shd w:val="clear" w:color="auto" w:fill="D9D9D9" w:themeFill="background1" w:themeFillShade="D9"/>
          </w:tcPr>
          <w:p w:rsidR="004A111B" w:rsidP="008819D6" w:rsidRDefault="004A111B" w14:paraId="2AD81D79" w14:textId="77777777">
            <w:pPr>
              <w:jc w:val="center"/>
              <w:rPr>
                <w:sz w:val="22"/>
                <w:szCs w:val="22"/>
              </w:rPr>
            </w:pPr>
            <w:r>
              <w:rPr>
                <w:sz w:val="22"/>
                <w:szCs w:val="22"/>
              </w:rPr>
              <w:t>32,40</w:t>
            </w:r>
          </w:p>
        </w:tc>
      </w:tr>
      <w:tr w:rsidR="004A111B" w:rsidTr="008819D6" w14:paraId="12CE8FFB" w14:textId="77777777">
        <w:trPr>
          <w:trHeight w:val="257"/>
        </w:trPr>
        <w:tc>
          <w:tcPr>
            <w:tcW w:w="2127" w:type="dxa"/>
            <w:shd w:val="clear" w:color="auto" w:fill="D9D9D9" w:themeFill="background1" w:themeFillShade="D9"/>
            <w:vAlign w:val="center"/>
          </w:tcPr>
          <w:p w:rsidRPr="00DB2DFE" w:rsidR="004A111B" w:rsidP="008819D6" w:rsidRDefault="004A111B" w14:paraId="5F458021" w14:textId="77777777">
            <w:pPr>
              <w:rPr>
                <w:b/>
                <w:bCs/>
                <w:sz w:val="22"/>
                <w:szCs w:val="22"/>
              </w:rPr>
            </w:pPr>
            <w:r>
              <w:rPr>
                <w:sz w:val="22"/>
                <w:szCs w:val="22"/>
              </w:rPr>
              <w:t>Jaar-op-Jaar</w:t>
            </w:r>
          </w:p>
        </w:tc>
        <w:tc>
          <w:tcPr>
            <w:tcW w:w="1559" w:type="dxa"/>
            <w:shd w:val="clear" w:color="auto" w:fill="D9D9D9" w:themeFill="background1" w:themeFillShade="D9"/>
          </w:tcPr>
          <w:p w:rsidR="004A111B" w:rsidP="008819D6" w:rsidRDefault="004A111B" w14:paraId="08515F2A" w14:textId="77777777">
            <w:pPr>
              <w:jc w:val="center"/>
              <w:rPr>
                <w:sz w:val="22"/>
                <w:szCs w:val="22"/>
              </w:rPr>
            </w:pPr>
            <w:r>
              <w:rPr>
                <w:sz w:val="22"/>
                <w:szCs w:val="22"/>
              </w:rPr>
              <w:t>1,32%</w:t>
            </w:r>
          </w:p>
        </w:tc>
        <w:tc>
          <w:tcPr>
            <w:tcW w:w="1808" w:type="dxa"/>
            <w:shd w:val="clear" w:color="auto" w:fill="D9D9D9" w:themeFill="background1" w:themeFillShade="D9"/>
          </w:tcPr>
          <w:p w:rsidR="004A111B" w:rsidP="008819D6" w:rsidRDefault="004A111B" w14:paraId="34BC7453" w14:textId="77777777">
            <w:pPr>
              <w:jc w:val="center"/>
              <w:rPr>
                <w:sz w:val="22"/>
                <w:szCs w:val="22"/>
              </w:rPr>
            </w:pPr>
            <w:r>
              <w:rPr>
                <w:sz w:val="22"/>
                <w:szCs w:val="22"/>
              </w:rPr>
              <w:t>0,75%</w:t>
            </w:r>
          </w:p>
        </w:tc>
        <w:tc>
          <w:tcPr>
            <w:tcW w:w="1701" w:type="dxa"/>
            <w:shd w:val="clear" w:color="auto" w:fill="D9D9D9" w:themeFill="background1" w:themeFillShade="D9"/>
          </w:tcPr>
          <w:p w:rsidR="004A111B" w:rsidP="008819D6" w:rsidRDefault="004A111B" w14:paraId="3CC7521E" w14:textId="77777777">
            <w:pPr>
              <w:jc w:val="center"/>
              <w:rPr>
                <w:sz w:val="22"/>
                <w:szCs w:val="22"/>
              </w:rPr>
            </w:pPr>
            <w:r>
              <w:rPr>
                <w:sz w:val="22"/>
                <w:szCs w:val="22"/>
              </w:rPr>
              <w:t>0,43%</w:t>
            </w:r>
          </w:p>
        </w:tc>
        <w:tc>
          <w:tcPr>
            <w:tcW w:w="1792" w:type="dxa"/>
            <w:shd w:val="clear" w:color="auto" w:fill="D9D9D9" w:themeFill="background1" w:themeFillShade="D9"/>
          </w:tcPr>
          <w:p w:rsidR="004A111B" w:rsidP="008819D6" w:rsidRDefault="004A111B" w14:paraId="45A62B0E" w14:textId="77777777">
            <w:pPr>
              <w:jc w:val="center"/>
              <w:rPr>
                <w:sz w:val="22"/>
                <w:szCs w:val="22"/>
              </w:rPr>
            </w:pPr>
            <w:r>
              <w:rPr>
                <w:sz w:val="22"/>
                <w:szCs w:val="22"/>
              </w:rPr>
              <w:t>0,25%</w:t>
            </w:r>
          </w:p>
        </w:tc>
      </w:tr>
      <w:tr w:rsidR="004A111B" w:rsidTr="008819D6" w14:paraId="04955461" w14:textId="77777777">
        <w:trPr>
          <w:trHeight w:val="257"/>
        </w:trPr>
        <w:tc>
          <w:tcPr>
            <w:tcW w:w="2127" w:type="dxa"/>
          </w:tcPr>
          <w:p w:rsidRPr="00DB2DFE" w:rsidR="004A111B" w:rsidP="008819D6" w:rsidRDefault="004A111B" w14:paraId="19764622" w14:textId="77777777">
            <w:pPr>
              <w:rPr>
                <w:b/>
                <w:bCs/>
                <w:sz w:val="22"/>
                <w:szCs w:val="22"/>
              </w:rPr>
            </w:pPr>
          </w:p>
        </w:tc>
        <w:tc>
          <w:tcPr>
            <w:tcW w:w="1559" w:type="dxa"/>
          </w:tcPr>
          <w:p w:rsidR="004A111B" w:rsidP="008819D6" w:rsidRDefault="004A111B" w14:paraId="696D57CC" w14:textId="77777777">
            <w:pPr>
              <w:rPr>
                <w:sz w:val="22"/>
                <w:szCs w:val="22"/>
              </w:rPr>
            </w:pPr>
          </w:p>
        </w:tc>
        <w:tc>
          <w:tcPr>
            <w:tcW w:w="1808" w:type="dxa"/>
          </w:tcPr>
          <w:p w:rsidR="004A111B" w:rsidP="008819D6" w:rsidRDefault="004A111B" w14:paraId="22CE17F6" w14:textId="77777777">
            <w:pPr>
              <w:rPr>
                <w:sz w:val="22"/>
                <w:szCs w:val="22"/>
              </w:rPr>
            </w:pPr>
          </w:p>
        </w:tc>
        <w:tc>
          <w:tcPr>
            <w:tcW w:w="1701" w:type="dxa"/>
          </w:tcPr>
          <w:p w:rsidR="004A111B" w:rsidP="008819D6" w:rsidRDefault="004A111B" w14:paraId="5779EC97" w14:textId="77777777">
            <w:pPr>
              <w:rPr>
                <w:sz w:val="22"/>
                <w:szCs w:val="22"/>
              </w:rPr>
            </w:pPr>
          </w:p>
        </w:tc>
        <w:tc>
          <w:tcPr>
            <w:tcW w:w="1792" w:type="dxa"/>
          </w:tcPr>
          <w:p w:rsidR="004A111B" w:rsidP="008819D6" w:rsidRDefault="004A111B" w14:paraId="7B764DD8" w14:textId="77777777">
            <w:pPr>
              <w:rPr>
                <w:sz w:val="22"/>
                <w:szCs w:val="22"/>
              </w:rPr>
            </w:pPr>
          </w:p>
        </w:tc>
      </w:tr>
    </w:tbl>
    <w:p w:rsidRPr="00115A98" w:rsidR="00F14C2E" w:rsidP="00C66AF3" w:rsidRDefault="00732F1D" w14:paraId="11A8DC2C" w14:textId="392A42FF">
      <w:pPr>
        <w:rPr>
          <w:i/>
          <w:iCs/>
          <w:sz w:val="22"/>
          <w:szCs w:val="22"/>
        </w:rPr>
      </w:pPr>
      <w:r>
        <w:rPr>
          <w:sz w:val="22"/>
          <w:szCs w:val="22"/>
        </w:rPr>
        <w:t xml:space="preserve">Wat opvalt in tabel 1 is dat de autonome vergroening voor benzine- en dieselpersonenauto’s relatief dicht bij elkaar liggen en doorgaans varieert tussen de 1,37% en 1,64%. Voor </w:t>
      </w:r>
      <w:proofErr w:type="spellStart"/>
      <w:r>
        <w:rPr>
          <w:sz w:val="22"/>
          <w:szCs w:val="22"/>
        </w:rPr>
        <w:t>PHEV’s</w:t>
      </w:r>
      <w:proofErr w:type="spellEnd"/>
      <w:r>
        <w:rPr>
          <w:sz w:val="22"/>
          <w:szCs w:val="22"/>
        </w:rPr>
        <w:t xml:space="preserve"> zien we echter het omgekeerde qua trend in CO</w:t>
      </w:r>
      <w:r w:rsidRPr="00115A98">
        <w:rPr>
          <w:sz w:val="22"/>
          <w:szCs w:val="22"/>
          <w:vertAlign w:val="subscript"/>
        </w:rPr>
        <w:t>2</w:t>
      </w:r>
      <w:r>
        <w:rPr>
          <w:sz w:val="22"/>
          <w:szCs w:val="22"/>
        </w:rPr>
        <w:t xml:space="preserve">-uitstoot: het is de verwachting dat deze iets meer </w:t>
      </w:r>
      <w:r>
        <w:rPr>
          <w:sz w:val="22"/>
          <w:szCs w:val="22"/>
        </w:rPr>
        <w:lastRenderedPageBreak/>
        <w:t xml:space="preserve">gaan uitstoten. Dit is </w:t>
      </w:r>
      <w:r w:rsidR="00807968">
        <w:rPr>
          <w:sz w:val="22"/>
          <w:szCs w:val="22"/>
        </w:rPr>
        <w:t xml:space="preserve">opvallend </w:t>
      </w:r>
      <w:r>
        <w:rPr>
          <w:sz w:val="22"/>
          <w:szCs w:val="22"/>
        </w:rPr>
        <w:t xml:space="preserve">gegeven dat we zouden verwachten dat ook bij </w:t>
      </w:r>
      <w:proofErr w:type="spellStart"/>
      <w:r>
        <w:rPr>
          <w:sz w:val="22"/>
          <w:szCs w:val="22"/>
        </w:rPr>
        <w:t>PHEV’s</w:t>
      </w:r>
      <w:proofErr w:type="spellEnd"/>
      <w:r>
        <w:rPr>
          <w:sz w:val="22"/>
          <w:szCs w:val="22"/>
        </w:rPr>
        <w:t xml:space="preserve"> sprake zal zijn van verhoogde brandstofefficiëntie. Echter, we zien tegelijkertijd ook – veel sterker dan dat voor benzine of diesel het geval is – veel onzekerheid met betrekking tot het geschatte model: de ranges zijn immers zeer breed. Een mogelijke verklaring zou kunnen zijn dat </w:t>
      </w:r>
      <w:proofErr w:type="spellStart"/>
      <w:r>
        <w:rPr>
          <w:sz w:val="22"/>
          <w:szCs w:val="22"/>
        </w:rPr>
        <w:t>PHEV’</w:t>
      </w:r>
      <w:r w:rsidR="00807968">
        <w:rPr>
          <w:sz w:val="22"/>
          <w:szCs w:val="22"/>
        </w:rPr>
        <w:t>s</w:t>
      </w:r>
      <w:proofErr w:type="spellEnd"/>
      <w:r>
        <w:rPr>
          <w:sz w:val="22"/>
          <w:szCs w:val="22"/>
        </w:rPr>
        <w:t xml:space="preserve"> technisch gezien erg in ontwikkeling zijn. Door deze onzekerheid is het statistisch gezien niet aannemelijk dat er</w:t>
      </w:r>
      <w:r w:rsidRPr="00A65452">
        <w:rPr>
          <w:sz w:val="22"/>
          <w:szCs w:val="22"/>
        </w:rPr>
        <w:t xml:space="preserve"> </w:t>
      </w:r>
      <w:r w:rsidRPr="00115A98">
        <w:rPr>
          <w:sz w:val="22"/>
          <w:szCs w:val="22"/>
        </w:rPr>
        <w:t>geen</w:t>
      </w:r>
      <w:r>
        <w:rPr>
          <w:sz w:val="22"/>
          <w:szCs w:val="22"/>
        </w:rPr>
        <w:t xml:space="preserve"> autonome vergroening is opgetreden binnen deze groep.</w:t>
      </w:r>
      <w:r>
        <w:rPr>
          <w:rStyle w:val="Voetnootmarkering"/>
          <w:sz w:val="22"/>
          <w:szCs w:val="22"/>
        </w:rPr>
        <w:footnoteReference w:id="12"/>
      </w:r>
      <w:r>
        <w:rPr>
          <w:sz w:val="22"/>
          <w:szCs w:val="22"/>
        </w:rPr>
        <w:t xml:space="preserve"> Voor deze groep schatten we daarom een jaar-op-jaar verandering van 0%. Ditzelfde blijkt het geval voor bestelauto’s (zowel voor diesel, benzine, als PHEV). Voor deze groep schatten we daarom ook een jaar-op-jaar verandering van 0%. </w:t>
      </w:r>
    </w:p>
    <w:p w:rsidR="00C4102E" w:rsidP="00C4102E" w:rsidRDefault="006C10AA" w14:paraId="04D52E5E" w14:textId="31D249A6">
      <w:pPr>
        <w:pStyle w:val="Kop1"/>
      </w:pPr>
      <w:r w:rsidRPr="006C10AA">
        <w:t>Aanpassing CO2-schijfgrenzen en tarieven in de bpm-tabel voor personenauto</w:t>
      </w:r>
      <w:r w:rsidR="009E3F3E">
        <w:t>’</w:t>
      </w:r>
      <w:r w:rsidRPr="006C10AA">
        <w:t>s</w:t>
      </w:r>
      <w:r w:rsidR="009E3F3E">
        <w:t xml:space="preserve"> in 2026-2028</w:t>
      </w:r>
      <w:r w:rsidRPr="006C10AA">
        <w:t>.</w:t>
      </w:r>
    </w:p>
    <w:p w:rsidR="00C4102E" w:rsidP="00C66AF3" w:rsidRDefault="00C4102E" w14:paraId="676B934A" w14:textId="7AA33E66">
      <w:pPr>
        <w:rPr>
          <w:sz w:val="22"/>
          <w:szCs w:val="22"/>
        </w:rPr>
      </w:pPr>
      <w:r w:rsidRPr="00C4102E">
        <w:rPr>
          <w:sz w:val="22"/>
          <w:szCs w:val="22"/>
        </w:rPr>
        <w:t>Voor benzinepersonenauto’s komt d</w:t>
      </w:r>
      <w:r>
        <w:rPr>
          <w:sz w:val="22"/>
          <w:szCs w:val="22"/>
        </w:rPr>
        <w:t>e</w:t>
      </w:r>
      <w:r w:rsidRPr="00C4102E">
        <w:rPr>
          <w:sz w:val="22"/>
          <w:szCs w:val="22"/>
        </w:rPr>
        <w:t xml:space="preserve"> schatting </w:t>
      </w:r>
      <w:r>
        <w:rPr>
          <w:sz w:val="22"/>
          <w:szCs w:val="22"/>
        </w:rPr>
        <w:t xml:space="preserve">van de autonome vergroening </w:t>
      </w:r>
      <w:r w:rsidRPr="00C4102E">
        <w:rPr>
          <w:sz w:val="22"/>
          <w:szCs w:val="22"/>
        </w:rPr>
        <w:t>voor 2026, 2027 en 2028 uit op respectievelijk 1,55%, 1,46% en 1,38%. In Nederland worden inmiddels nog amper nieuwe diesels verkocht. Voor plug-in hybride personenauto’s (PHEV) geldt dat de methode aan de hand waarvan de CO2-uitstoot van een PHEV wordt vastgesteld, gewijzigd wordt met ingang van 1 januari 2025 en 1 januari 2027. Dat volgt uit een verordening van de Europese Commissie.</w:t>
      </w:r>
      <w:r w:rsidR="00661E63">
        <w:rPr>
          <w:rStyle w:val="Voetnootmarkering"/>
          <w:sz w:val="22"/>
          <w:szCs w:val="22"/>
        </w:rPr>
        <w:footnoteReference w:id="13"/>
      </w:r>
      <w:r w:rsidRPr="00C4102E">
        <w:rPr>
          <w:sz w:val="22"/>
          <w:szCs w:val="22"/>
        </w:rPr>
        <w:t xml:space="preserve"> De CO2-uitstoot zal door deze verordening in twee stappen hoger worden en meer in de buurt komen te liggen bij die van gewone benzinepersonenauto’s. Daarom kiezen we ervoor om de bpm-tabel (die vanaf 2025 ook geldt voor </w:t>
      </w:r>
      <w:proofErr w:type="spellStart"/>
      <w:r w:rsidRPr="00C4102E">
        <w:rPr>
          <w:sz w:val="22"/>
          <w:szCs w:val="22"/>
        </w:rPr>
        <w:t>PHEV’s</w:t>
      </w:r>
      <w:proofErr w:type="spellEnd"/>
      <w:r w:rsidRPr="00C4102E">
        <w:rPr>
          <w:sz w:val="22"/>
          <w:szCs w:val="22"/>
        </w:rPr>
        <w:t>) aan te passen met de resultaten voor benzinepersonenauto’s. Voor 2026, 2027 en 2028 zullen de CO2-grenzen in de bpm-tabel en de CO2-grens voor de dieseltoeslag daarmee respectievelijk met 1,55%, 1,46% en 1,38% worden verlaagd en zullen de bpm-tarieven, op de vaste voet na, en het tarief voor de dieseltoeslag worden verhoogd met respectievelijk 1,57%, 1,48% en 1,40% om de bpm op fossiele personenauto’s (</w:t>
      </w:r>
      <w:proofErr w:type="spellStart"/>
      <w:r w:rsidRPr="00C4102E">
        <w:rPr>
          <w:sz w:val="22"/>
          <w:szCs w:val="22"/>
        </w:rPr>
        <w:t>ceteris</w:t>
      </w:r>
      <w:proofErr w:type="spellEnd"/>
      <w:r w:rsidRPr="00C4102E">
        <w:rPr>
          <w:sz w:val="22"/>
          <w:szCs w:val="22"/>
        </w:rPr>
        <w:t xml:space="preserve"> </w:t>
      </w:r>
      <w:proofErr w:type="spellStart"/>
      <w:r w:rsidRPr="00C4102E">
        <w:rPr>
          <w:sz w:val="22"/>
          <w:szCs w:val="22"/>
        </w:rPr>
        <w:t>paribus</w:t>
      </w:r>
      <w:proofErr w:type="spellEnd"/>
      <w:r w:rsidRPr="00C4102E">
        <w:rPr>
          <w:sz w:val="22"/>
          <w:szCs w:val="22"/>
        </w:rPr>
        <w:t xml:space="preserve">) gelijk te houden. </w:t>
      </w:r>
    </w:p>
    <w:p w:rsidR="00DB2DFE" w:rsidP="00DB2DFE" w:rsidRDefault="00220DCF" w14:paraId="42635830" w14:textId="1742BA83">
      <w:pPr>
        <w:pStyle w:val="Kop1"/>
        <w:rPr>
          <w:sz w:val="36"/>
          <w:szCs w:val="36"/>
        </w:rPr>
      </w:pPr>
      <w:r>
        <w:rPr>
          <w:sz w:val="22"/>
          <w:szCs w:val="22"/>
        </w:rPr>
        <w:br w:type="column"/>
      </w:r>
      <w:r w:rsidR="00F14C2E">
        <w:rPr>
          <w:sz w:val="36"/>
          <w:szCs w:val="36"/>
        </w:rPr>
        <w:lastRenderedPageBreak/>
        <w:t>B</w:t>
      </w:r>
      <w:r w:rsidRPr="00DB2DFE" w:rsidR="00DB2DFE">
        <w:rPr>
          <w:sz w:val="36"/>
          <w:szCs w:val="36"/>
        </w:rPr>
        <w:t>ijlage</w:t>
      </w:r>
    </w:p>
    <w:p w:rsidRPr="00115A98" w:rsidR="00155EDD" w:rsidP="000265A7" w:rsidRDefault="00F14C2E" w14:paraId="458B67F5" w14:textId="5BFD0292">
      <w:pPr>
        <w:rPr>
          <w:i/>
          <w:iCs/>
          <w:sz w:val="22"/>
          <w:szCs w:val="22"/>
        </w:rPr>
      </w:pPr>
      <w:r w:rsidRPr="00220DCF">
        <w:rPr>
          <w:noProof/>
          <w:sz w:val="22"/>
          <w:szCs w:val="22"/>
        </w:rPr>
        <mc:AlternateContent>
          <mc:Choice Requires="wps">
            <w:drawing>
              <wp:anchor distT="0" distB="0" distL="114300" distR="114300" simplePos="0" relativeHeight="251662336" behindDoc="0" locked="0" layoutInCell="1" allowOverlap="1" wp14:editId="26FAAA55" wp14:anchorId="3FC4F117">
                <wp:simplePos x="0" y="0"/>
                <wp:positionH relativeFrom="column">
                  <wp:posOffset>471804</wp:posOffset>
                </wp:positionH>
                <wp:positionV relativeFrom="paragraph">
                  <wp:posOffset>308247</wp:posOffset>
                </wp:positionV>
                <wp:extent cx="4060371" cy="152400"/>
                <wp:effectExtent l="0" t="0" r="16510" b="19050"/>
                <wp:wrapNone/>
                <wp:docPr id="1618654054" name="Rechthoek 1"/>
                <wp:cNvGraphicFramePr/>
                <a:graphic xmlns:a="http://schemas.openxmlformats.org/drawingml/2006/main">
                  <a:graphicData uri="http://schemas.microsoft.com/office/word/2010/wordprocessingShape">
                    <wps:wsp>
                      <wps:cNvSpPr/>
                      <wps:spPr>
                        <a:xfrm>
                          <a:off x="0" y="0"/>
                          <a:ext cx="4060371" cy="1524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1" style="position:absolute;margin-left:37.15pt;margin-top:24.25pt;width:319.7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white [3212]" strokeweigh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" w14:anchorId="30372F32"/>
            </w:pict>
          </mc:Fallback>
        </mc:AlternateContent>
      </w:r>
      <w:r w:rsidRPr="00115A98">
        <w:rPr>
          <w:noProof/>
          <w:sz w:val="22"/>
          <w:szCs w:val="22"/>
        </w:rPr>
        <w:drawing>
          <wp:anchor distT="0" distB="0" distL="114300" distR="114300" simplePos="0" relativeHeight="251660288" behindDoc="0" locked="0" layoutInCell="1" allowOverlap="1" wp14:editId="11BD8D08" wp14:anchorId="0D09BB89">
            <wp:simplePos x="0" y="0"/>
            <wp:positionH relativeFrom="column">
              <wp:posOffset>-4445</wp:posOffset>
            </wp:positionH>
            <wp:positionV relativeFrom="paragraph">
              <wp:posOffset>202565</wp:posOffset>
            </wp:positionV>
            <wp:extent cx="5760720" cy="3739515"/>
            <wp:effectExtent l="0" t="0" r="0" b="0"/>
            <wp:wrapSquare wrapText="bothSides"/>
            <wp:docPr id="1011022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739515"/>
                    </a:xfrm>
                    <a:prstGeom prst="rect">
                      <a:avLst/>
                    </a:prstGeom>
                    <a:noFill/>
                    <a:ln>
                      <a:noFill/>
                    </a:ln>
                  </pic:spPr>
                </pic:pic>
              </a:graphicData>
            </a:graphic>
          </wp:anchor>
        </w:drawing>
      </w:r>
      <w:r w:rsidRPr="00115A98">
        <w:rPr>
          <w:i/>
          <w:iCs/>
          <w:sz w:val="22"/>
          <w:szCs w:val="22"/>
        </w:rPr>
        <w:t>Figuur 2: Ontwikkeling CO</w:t>
      </w:r>
      <w:r w:rsidRPr="00115A98">
        <w:rPr>
          <w:i/>
          <w:iCs/>
          <w:sz w:val="22"/>
          <w:szCs w:val="22"/>
          <w:vertAlign w:val="subscript"/>
        </w:rPr>
        <w:t>2</w:t>
      </w:r>
      <w:r w:rsidRPr="00115A98">
        <w:rPr>
          <w:i/>
          <w:iCs/>
          <w:sz w:val="22"/>
          <w:szCs w:val="22"/>
        </w:rPr>
        <w:t>-uitstoot op basis van WLTP per type brandstof</w:t>
      </w:r>
    </w:p>
    <w:p w:rsidRPr="00115A98" w:rsidR="00DB2DFE" w:rsidP="00DB2DFE" w:rsidRDefault="00F14C2E" w14:paraId="50AB0BDC" w14:textId="234CC5E4">
      <w:pPr>
        <w:rPr>
          <w:i/>
          <w:iCs/>
        </w:rPr>
      </w:pPr>
      <w:r w:rsidRPr="00220DCF">
        <w:rPr>
          <w:noProof/>
          <w:sz w:val="22"/>
          <w:szCs w:val="22"/>
        </w:rPr>
        <mc:AlternateContent>
          <mc:Choice Requires="wps">
            <w:drawing>
              <wp:anchor distT="0" distB="0" distL="114300" distR="114300" simplePos="0" relativeHeight="251667456" behindDoc="0" locked="0" layoutInCell="1" allowOverlap="1" wp14:editId="531E2351" wp14:anchorId="62E1C671">
                <wp:simplePos x="0" y="0"/>
                <wp:positionH relativeFrom="column">
                  <wp:posOffset>395605</wp:posOffset>
                </wp:positionH>
                <wp:positionV relativeFrom="paragraph">
                  <wp:posOffset>3986439</wp:posOffset>
                </wp:positionV>
                <wp:extent cx="4060371" cy="228600"/>
                <wp:effectExtent l="0" t="0" r="16510" b="19050"/>
                <wp:wrapNone/>
                <wp:docPr id="503485896" name="Rechthoek 1"/>
                <wp:cNvGraphicFramePr/>
                <a:graphic xmlns:a="http://schemas.openxmlformats.org/drawingml/2006/main">
                  <a:graphicData uri="http://schemas.microsoft.com/office/word/2010/wordprocessingShape">
                    <wps:wsp>
                      <wps:cNvSpPr/>
                      <wps:spPr>
                        <a:xfrm>
                          <a:off x="0" y="0"/>
                          <a:ext cx="4060371" cy="2286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1" style="position:absolute;margin-left:31.15pt;margin-top:313.9pt;width:319.7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white [3212]" strokeweigh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" w14:anchorId="4ACC23FD"/>
            </w:pict>
          </mc:Fallback>
        </mc:AlternateContent>
      </w:r>
      <w:r w:rsidRPr="00220DCF">
        <w:rPr>
          <w:noProof/>
          <w:sz w:val="22"/>
          <w:szCs w:val="22"/>
        </w:rPr>
        <mc:AlternateContent>
          <mc:Choice Requires="wps">
            <w:drawing>
              <wp:anchor distT="0" distB="0" distL="114300" distR="114300" simplePos="0" relativeHeight="251664384" behindDoc="0" locked="0" layoutInCell="1" allowOverlap="1" wp14:editId="6D999F80" wp14:anchorId="4D244C25">
                <wp:simplePos x="0" y="0"/>
                <wp:positionH relativeFrom="column">
                  <wp:posOffset>395605</wp:posOffset>
                </wp:positionH>
                <wp:positionV relativeFrom="paragraph">
                  <wp:posOffset>3909967</wp:posOffset>
                </wp:positionV>
                <wp:extent cx="4060371" cy="152400"/>
                <wp:effectExtent l="0" t="0" r="16510" b="19050"/>
                <wp:wrapNone/>
                <wp:docPr id="408582663" name="Rechthoek 1"/>
                <wp:cNvGraphicFramePr/>
                <a:graphic xmlns:a="http://schemas.openxmlformats.org/drawingml/2006/main">
                  <a:graphicData uri="http://schemas.microsoft.com/office/word/2010/wordprocessingShape">
                    <wps:wsp>
                      <wps:cNvSpPr/>
                      <wps:spPr>
                        <a:xfrm>
                          <a:off x="0" y="0"/>
                          <a:ext cx="4060371" cy="1524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1" style="position:absolute;margin-left:31.15pt;margin-top:307.85pt;width:319.7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white [3212]" strokeweigh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" w14:anchorId="2DEB727C"/>
            </w:pict>
          </mc:Fallback>
        </mc:AlternateContent>
      </w:r>
      <w:r w:rsidRPr="00115A98">
        <w:rPr>
          <w:i/>
          <w:iCs/>
          <w:sz w:val="22"/>
          <w:szCs w:val="22"/>
        </w:rPr>
        <w:t xml:space="preserve">Figuur 3: Voorspellingsfout MAE voor model 1 en model 2 bij personenauto’s op benzine </w:t>
      </w:r>
    </w:p>
    <w:p w:rsidR="00DB2DFE" w:rsidP="00DB2DFE" w:rsidRDefault="00DB2DFE" w14:paraId="14716545" w14:textId="6DF810F3">
      <w:pPr>
        <w:rPr>
          <w:b/>
          <w:bCs/>
        </w:rPr>
      </w:pPr>
    </w:p>
    <w:p w:rsidR="00F14C2E" w:rsidP="00115A98" w:rsidRDefault="00220DCF" w14:paraId="6A66E93A" w14:textId="53508AA7">
      <w:pPr>
        <w:ind w:left="2124" w:firstLine="708"/>
        <w:rPr>
          <w:i/>
          <w:iCs/>
          <w:sz w:val="22"/>
          <w:szCs w:val="22"/>
        </w:rPr>
      </w:pPr>
      <w:r w:rsidRPr="00DB2DFE">
        <w:rPr>
          <w:b/>
          <w:bCs/>
          <w:noProof/>
        </w:rPr>
        <w:drawing>
          <wp:anchor distT="0" distB="0" distL="114300" distR="114300" simplePos="0" relativeHeight="251665408" behindDoc="0" locked="0" layoutInCell="1" allowOverlap="1" wp14:editId="61D62F18" wp14:anchorId="047ED39B">
            <wp:simplePos x="0" y="0"/>
            <wp:positionH relativeFrom="column">
              <wp:posOffset>-92075</wp:posOffset>
            </wp:positionH>
            <wp:positionV relativeFrom="paragraph">
              <wp:posOffset>365125</wp:posOffset>
            </wp:positionV>
            <wp:extent cx="5760720" cy="3062605"/>
            <wp:effectExtent l="0" t="0" r="0" b="4445"/>
            <wp:wrapSquare wrapText="bothSides"/>
            <wp:docPr id="137240402" name="Afbeelding 1" descr="Afbeelding met tekst, lijn, Perceel,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40402" name="Afbeelding 1" descr="Afbeelding met tekst, lijn, Perceel, schermopname&#10;&#10;Door AI gegenereerde inhoud is mogelijk onjuist."/>
                    <pic:cNvPicPr/>
                  </pic:nvPicPr>
                  <pic:blipFill>
                    <a:blip r:embed="rId10">
                      <a:extLst>
                        <a:ext uri="{28A0092B-C50C-407E-A947-70E740481C1C}">
                          <a14:useLocalDpi xmlns:a14="http://schemas.microsoft.com/office/drawing/2010/main" val="0"/>
                        </a:ext>
                      </a:extLst>
                    </a:blip>
                    <a:stretch>
                      <a:fillRect/>
                    </a:stretch>
                  </pic:blipFill>
                  <pic:spPr>
                    <a:xfrm>
                      <a:off x="0" y="0"/>
                      <a:ext cx="5760720" cy="3062605"/>
                    </a:xfrm>
                    <a:prstGeom prst="rect">
                      <a:avLst/>
                    </a:prstGeom>
                  </pic:spPr>
                </pic:pic>
              </a:graphicData>
            </a:graphic>
          </wp:anchor>
        </w:drawing>
      </w:r>
      <w:r w:rsidR="00DB2DFE">
        <w:t>Zwart = model 1</w:t>
      </w:r>
      <w:r w:rsidR="00DB2DFE">
        <w:tab/>
        <w:t>Grijs = model 2</w:t>
      </w:r>
      <w:r w:rsidR="00DB2DFE">
        <w:tab/>
      </w:r>
    </w:p>
    <w:p w:rsidR="00220DCF" w:rsidP="00C66AF3" w:rsidRDefault="00220DCF" w14:paraId="3BED8C12" w14:textId="5F75597E">
      <w:pPr>
        <w:rPr>
          <w:i/>
          <w:iCs/>
          <w:sz w:val="22"/>
          <w:szCs w:val="22"/>
        </w:rPr>
      </w:pPr>
    </w:p>
    <w:p w:rsidR="00220DCF" w:rsidP="00C66AF3" w:rsidRDefault="00220DCF" w14:paraId="0A31D9D2" w14:textId="7A9FF5FA">
      <w:pPr>
        <w:rPr>
          <w:i/>
          <w:iCs/>
          <w:sz w:val="22"/>
          <w:szCs w:val="22"/>
        </w:rPr>
      </w:pPr>
    </w:p>
    <w:p w:rsidRPr="00115A98" w:rsidR="00DB2DFE" w:rsidP="00C66AF3" w:rsidRDefault="00F14C2E" w14:paraId="58F207D3" w14:textId="26CB84F6">
      <w:pPr>
        <w:rPr>
          <w:i/>
          <w:iCs/>
          <w:sz w:val="22"/>
          <w:szCs w:val="22"/>
        </w:rPr>
      </w:pPr>
      <w:r w:rsidRPr="00220DCF">
        <w:rPr>
          <w:noProof/>
          <w:sz w:val="22"/>
          <w:szCs w:val="22"/>
        </w:rPr>
        <w:lastRenderedPageBreak/>
        <mc:AlternateContent>
          <mc:Choice Requires="wps">
            <w:drawing>
              <wp:anchor distT="0" distB="0" distL="114300" distR="114300" simplePos="0" relativeHeight="251669504" behindDoc="0" locked="0" layoutInCell="1" allowOverlap="1" wp14:editId="35363805" wp14:anchorId="301502F1">
                <wp:simplePos x="0" y="0"/>
                <wp:positionH relativeFrom="column">
                  <wp:posOffset>0</wp:posOffset>
                </wp:positionH>
                <wp:positionV relativeFrom="paragraph">
                  <wp:posOffset>185057</wp:posOffset>
                </wp:positionV>
                <wp:extent cx="4060371" cy="228600"/>
                <wp:effectExtent l="0" t="0" r="16510" b="19050"/>
                <wp:wrapNone/>
                <wp:docPr id="759356810" name="Rechthoek 1"/>
                <wp:cNvGraphicFramePr/>
                <a:graphic xmlns:a="http://schemas.openxmlformats.org/drawingml/2006/main">
                  <a:graphicData uri="http://schemas.microsoft.com/office/word/2010/wordprocessingShape">
                    <wps:wsp>
                      <wps:cNvSpPr/>
                      <wps:spPr>
                        <a:xfrm>
                          <a:off x="0" y="0"/>
                          <a:ext cx="4060371" cy="2286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1" style="position:absolute;margin-left:0;margin-top:14.55pt;width:319.7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white [3212]" strokeweigh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" w14:anchorId="21BBCA33"/>
            </w:pict>
          </mc:Fallback>
        </mc:AlternateContent>
      </w:r>
      <w:r w:rsidRPr="00220DCF">
        <w:rPr>
          <w:i/>
          <w:iCs/>
          <w:sz w:val="22"/>
          <w:szCs w:val="22"/>
        </w:rPr>
        <w:t>Figuur 4: Kritieke waarde (</w:t>
      </w:r>
      <w:proofErr w:type="spellStart"/>
      <w:r w:rsidRPr="00220DCF">
        <w:rPr>
          <w:i/>
          <w:iCs/>
          <w:sz w:val="22"/>
          <w:szCs w:val="22"/>
        </w:rPr>
        <w:t>Bonferroni</w:t>
      </w:r>
      <w:proofErr w:type="spellEnd"/>
      <w:r w:rsidRPr="00220DCF">
        <w:rPr>
          <w:i/>
          <w:iCs/>
          <w:sz w:val="22"/>
          <w:szCs w:val="22"/>
        </w:rPr>
        <w:t>) en uitkomsten Chow-Break test</w:t>
      </w:r>
    </w:p>
    <w:p w:rsidRPr="00DB2DFE" w:rsidR="00DB2DFE" w:rsidP="00C66AF3" w:rsidRDefault="00DB2DFE" w14:paraId="5A3CEF3C" w14:textId="6EB2A7F0">
      <w:pPr>
        <w:rPr>
          <w:sz w:val="22"/>
          <w:szCs w:val="22"/>
        </w:rPr>
      </w:pPr>
      <w:r w:rsidRPr="00DB2DFE">
        <w:rPr>
          <w:noProof/>
          <w:sz w:val="22"/>
          <w:szCs w:val="22"/>
        </w:rPr>
        <w:drawing>
          <wp:inline distT="0" distB="0" distL="0" distR="0" wp14:anchorId="56E1858B" wp14:editId="61817193">
            <wp:extent cx="5760720" cy="3180715"/>
            <wp:effectExtent l="0" t="0" r="0" b="635"/>
            <wp:docPr id="160013070" name="Afbeelding 1" descr="Afbeelding met diagram, lijn, Perceel, hell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13070" name="Afbeelding 1" descr="Afbeelding met diagram, lijn, Perceel, helling&#10;&#10;Door AI gegenereerde inhoud is mogelijk onjuist."/>
                    <pic:cNvPicPr/>
                  </pic:nvPicPr>
                  <pic:blipFill>
                    <a:blip r:embed="rId11"/>
                    <a:stretch>
                      <a:fillRect/>
                    </a:stretch>
                  </pic:blipFill>
                  <pic:spPr>
                    <a:xfrm>
                      <a:off x="0" y="0"/>
                      <a:ext cx="5760720" cy="3180715"/>
                    </a:xfrm>
                    <a:prstGeom prst="rect">
                      <a:avLst/>
                    </a:prstGeom>
                  </pic:spPr>
                </pic:pic>
              </a:graphicData>
            </a:graphic>
          </wp:inline>
        </w:drawing>
      </w:r>
    </w:p>
    <w:sectPr w:rsidRPr="00DB2DFE" w:rsidR="00DB2DF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FA412" w14:textId="77777777" w:rsidR="00234692" w:rsidRDefault="00234692" w:rsidP="0053226E">
      <w:pPr>
        <w:spacing w:after="0" w:line="240" w:lineRule="auto"/>
      </w:pPr>
      <w:r>
        <w:separator/>
      </w:r>
    </w:p>
  </w:endnote>
  <w:endnote w:type="continuationSeparator" w:id="0">
    <w:p w14:paraId="3BCAFAF8" w14:textId="77777777" w:rsidR="00234692" w:rsidRDefault="00234692" w:rsidP="00532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9F0EC" w14:textId="77777777" w:rsidR="00234692" w:rsidRDefault="00234692" w:rsidP="0053226E">
      <w:pPr>
        <w:spacing w:after="0" w:line="240" w:lineRule="auto"/>
      </w:pPr>
      <w:r>
        <w:separator/>
      </w:r>
    </w:p>
  </w:footnote>
  <w:footnote w:type="continuationSeparator" w:id="0">
    <w:p w14:paraId="7A84506E" w14:textId="77777777" w:rsidR="00234692" w:rsidRDefault="00234692" w:rsidP="0053226E">
      <w:pPr>
        <w:spacing w:after="0" w:line="240" w:lineRule="auto"/>
      </w:pPr>
      <w:r>
        <w:continuationSeparator/>
      </w:r>
    </w:p>
  </w:footnote>
  <w:footnote w:id="1">
    <w:p w14:paraId="75170B3B" w14:textId="2014CF70" w:rsidR="00115A98" w:rsidRDefault="00115A98">
      <w:pPr>
        <w:pStyle w:val="Voetnoottekst"/>
      </w:pPr>
      <w:r>
        <w:rPr>
          <w:rStyle w:val="Voetnootmarkering"/>
        </w:rPr>
        <w:footnoteRef/>
      </w:r>
      <w:r>
        <w:t xml:space="preserve"> </w:t>
      </w:r>
      <w:r w:rsidRPr="00115A98">
        <w:t>De verdere ingroei van volledig elektrische personenauto’s (EV) maakt hier geen onderdeel van uit, hierdoor zal de bpm-opbrengst afnemen.</w:t>
      </w:r>
    </w:p>
  </w:footnote>
  <w:footnote w:id="2">
    <w:p w14:paraId="6D542F49" w14:textId="77777777" w:rsidR="002A2DC1" w:rsidRDefault="002A2DC1" w:rsidP="002A2DC1">
      <w:pPr>
        <w:pStyle w:val="Voetnoottekst"/>
      </w:pPr>
      <w:r>
        <w:rPr>
          <w:rStyle w:val="Voetnootmarkering"/>
        </w:rPr>
        <w:footnoteRef/>
      </w:r>
      <w:r>
        <w:t xml:space="preserve"> Zie ook de CPB-notitie: “De ombouw van de bpm, lastenneutraliteit en 'autonome vergroening'”.</w:t>
      </w:r>
    </w:p>
  </w:footnote>
  <w:footnote w:id="3">
    <w:p w14:paraId="6189C9CD" w14:textId="772655DD" w:rsidR="00AE598D" w:rsidRDefault="00AE598D">
      <w:pPr>
        <w:pStyle w:val="Voetnoottekst"/>
      </w:pPr>
      <w:r>
        <w:rPr>
          <w:rStyle w:val="Voetnootmarkering"/>
        </w:rPr>
        <w:footnoteRef/>
      </w:r>
      <w:r>
        <w:t xml:space="preserve"> </w:t>
      </w:r>
      <w:r w:rsidRPr="00AE598D">
        <w:t>Verordening (EU) 2023/851 - herziening van Verordening (EU) 2019/631</w:t>
      </w:r>
      <w:r w:rsidR="00FF7150">
        <w:t>. Op 1 april 2025 heeft de Europese Commissie wel een flexibiliteitsmaatregel voorgesteld voor de periode 2025-2027 (</w:t>
      </w:r>
      <w:r w:rsidR="00FF7150" w:rsidRPr="00FF7150">
        <w:t>https://ec.europa.eu/commission/presscorner/detail/nl/ip_25_854</w:t>
      </w:r>
      <w:r w:rsidR="00FF7150">
        <w:t>).</w:t>
      </w:r>
    </w:p>
  </w:footnote>
  <w:footnote w:id="4">
    <w:p w14:paraId="7FDBEEB7" w14:textId="01373952" w:rsidR="0072290D" w:rsidRPr="002A2DC1" w:rsidRDefault="0072290D">
      <w:pPr>
        <w:pStyle w:val="Voetnoottekst"/>
        <w:rPr>
          <w:lang w:val="en-US"/>
        </w:rPr>
      </w:pPr>
      <w:r>
        <w:rPr>
          <w:rStyle w:val="Voetnootmarkering"/>
        </w:rPr>
        <w:footnoteRef/>
      </w:r>
      <w:r w:rsidRPr="002A2DC1">
        <w:rPr>
          <w:lang w:val="en-US"/>
        </w:rPr>
        <w:t xml:space="preserve"> </w:t>
      </w:r>
      <w:r w:rsidR="008E66A4" w:rsidRPr="00973141">
        <w:rPr>
          <w:lang w:val="en-US"/>
        </w:rPr>
        <w:t>TNO 2021 R11642 Trends in energy efficiency of conventional petrol and diesel passenger cars</w:t>
      </w:r>
      <w:r w:rsidR="008E66A4">
        <w:rPr>
          <w:lang w:val="en-US"/>
        </w:rPr>
        <w:t>.</w:t>
      </w:r>
    </w:p>
  </w:footnote>
  <w:footnote w:id="5">
    <w:p w14:paraId="6C03DBCA" w14:textId="45EBF273" w:rsidR="00EF4578" w:rsidRPr="00EF4578" w:rsidRDefault="00EF4578" w:rsidP="00EF4578">
      <w:pPr>
        <w:pStyle w:val="Voetnoottekst"/>
        <w:rPr>
          <w:lang w:val="en-GB"/>
        </w:rPr>
      </w:pPr>
      <w:r>
        <w:rPr>
          <w:rStyle w:val="Voetnootmarkering"/>
        </w:rPr>
        <w:footnoteRef/>
      </w:r>
      <w:r w:rsidRPr="00EF4578">
        <w:rPr>
          <w:lang w:val="en-GB"/>
        </w:rPr>
        <w:t xml:space="preserve"> </w:t>
      </w:r>
      <w:r w:rsidR="00946564" w:rsidRPr="00F741A8">
        <w:rPr>
          <w:lang w:val="en-US"/>
        </w:rPr>
        <w:t>TNO 2019 R10952 Aspects of the transition from NEDC to WLTP for CO2 values of passenger cars - Phase 3: After the transition</w:t>
      </w:r>
    </w:p>
  </w:footnote>
  <w:footnote w:id="6">
    <w:p w14:paraId="128EF110" w14:textId="506DD904" w:rsidR="000857B1" w:rsidRPr="002A2DC1" w:rsidRDefault="000857B1" w:rsidP="000857B1">
      <w:pPr>
        <w:pStyle w:val="Voetnoottekst"/>
        <w:rPr>
          <w:lang w:val="en-US"/>
        </w:rPr>
      </w:pPr>
      <w:r>
        <w:rPr>
          <w:rStyle w:val="Voetnootmarkering"/>
        </w:rPr>
        <w:footnoteRef/>
      </w:r>
      <w:r w:rsidRPr="002A2DC1">
        <w:rPr>
          <w:lang w:val="en-US"/>
        </w:rPr>
        <w:t xml:space="preserve"> </w:t>
      </w:r>
      <w:r w:rsidR="008E66A4">
        <w:rPr>
          <w:lang w:val="en-US"/>
        </w:rPr>
        <w:t>Ibid 4.</w:t>
      </w:r>
    </w:p>
  </w:footnote>
  <w:footnote w:id="7">
    <w:p w14:paraId="52C419D4" w14:textId="4C650E7A" w:rsidR="00956F2D" w:rsidRPr="00115A98" w:rsidRDefault="00956F2D" w:rsidP="00336BE0">
      <w:pPr>
        <w:pStyle w:val="Voetnoottekst"/>
        <w:rPr>
          <w:lang w:val="en-US"/>
        </w:rPr>
      </w:pPr>
      <w:r>
        <w:rPr>
          <w:rStyle w:val="Voetnootmarkering"/>
        </w:rPr>
        <w:footnoteRef/>
      </w:r>
      <w:r w:rsidRPr="00115A98">
        <w:rPr>
          <w:lang w:val="en-US"/>
        </w:rPr>
        <w:t xml:space="preserve"> </w:t>
      </w:r>
      <w:r w:rsidR="00336BE0" w:rsidRPr="00336BE0">
        <w:rPr>
          <w:lang w:val="en-US"/>
        </w:rPr>
        <w:t>The linear regression is modelled as :</w:t>
      </w:r>
      <w:r w:rsidR="00336BE0">
        <w:rPr>
          <w:lang w:val="en-US"/>
        </w:rPr>
        <w:t xml:space="preserve"> </w:t>
      </w:r>
      <w:r w:rsidR="00336BE0" w:rsidRPr="00336BE0">
        <w:rPr>
          <w:rFonts w:ascii="Cambria Math" w:hAnsi="Cambria Math" w:cs="Cambria Math"/>
          <w:lang w:val="en-US"/>
        </w:rPr>
        <w:t>𝑦</w:t>
      </w:r>
      <w:r w:rsidR="00336BE0" w:rsidRPr="00336BE0">
        <w:rPr>
          <w:lang w:val="en-US"/>
        </w:rPr>
        <w:t xml:space="preserve"> </w:t>
      </w:r>
      <w:r w:rsidR="00336BE0">
        <w:rPr>
          <w:rFonts w:ascii="Aptos" w:eastAsia="Aptos" w:hAnsi="Aptos" w:cs="Aptos"/>
          <w:lang w:val="en-US"/>
        </w:rPr>
        <w:t>=</w:t>
      </w:r>
      <w:r w:rsidR="00336BE0" w:rsidRPr="00336BE0">
        <w:rPr>
          <w:lang w:val="en-US"/>
        </w:rPr>
        <w:t xml:space="preserve"> </w:t>
      </w:r>
      <w:r w:rsidR="00336BE0" w:rsidRPr="00336BE0">
        <w:rPr>
          <w:rFonts w:ascii="Cambria Math" w:hAnsi="Cambria Math" w:cs="Cambria Math"/>
          <w:lang w:val="en-US"/>
        </w:rPr>
        <w:t>𝐶</w:t>
      </w:r>
      <w:r w:rsidR="00336BE0" w:rsidRPr="00336BE0">
        <w:rPr>
          <w:lang w:val="en-US"/>
        </w:rPr>
        <w:t xml:space="preserve"> </w:t>
      </w:r>
      <w:r w:rsidR="00336BE0">
        <w:rPr>
          <w:rFonts w:ascii="Aptos" w:eastAsia="Aptos" w:hAnsi="Aptos" w:cs="Aptos"/>
          <w:lang w:val="en-US"/>
        </w:rPr>
        <w:t>+</w:t>
      </w:r>
      <w:r w:rsidR="00336BE0" w:rsidRPr="00336BE0">
        <w:rPr>
          <w:lang w:val="en-US"/>
        </w:rPr>
        <w:t xml:space="preserve"> </w:t>
      </w:r>
      <w:r w:rsidR="00336BE0" w:rsidRPr="00336BE0">
        <w:rPr>
          <w:rFonts w:ascii="Cambria Math" w:hAnsi="Cambria Math" w:cs="Cambria Math"/>
          <w:lang w:val="en-US"/>
        </w:rPr>
        <w:t>𝐵</w:t>
      </w:r>
      <w:r w:rsidR="00336BE0" w:rsidRPr="00336BE0">
        <w:rPr>
          <w:lang w:val="en-US"/>
        </w:rPr>
        <w:t xml:space="preserve"> </w:t>
      </w:r>
      <w:r w:rsidR="00336BE0" w:rsidRPr="00336BE0">
        <w:rPr>
          <w:rFonts w:ascii="Cambria Math" w:hAnsi="Cambria Math" w:cs="Cambria Math"/>
          <w:lang w:val="en-US"/>
        </w:rPr>
        <w:t>∗</w:t>
      </w:r>
      <w:r w:rsidR="00336BE0" w:rsidRPr="00336BE0">
        <w:rPr>
          <w:lang w:val="en-US"/>
        </w:rPr>
        <w:t xml:space="preserve"> </w:t>
      </w:r>
      <w:r w:rsidR="00336BE0" w:rsidRPr="00336BE0">
        <w:rPr>
          <w:rFonts w:ascii="Cambria Math" w:hAnsi="Cambria Math" w:cs="Cambria Math"/>
          <w:lang w:val="en-US"/>
        </w:rPr>
        <w:t>𝑥</w:t>
      </w:r>
      <w:r w:rsidR="00336BE0">
        <w:rPr>
          <w:rFonts w:ascii="Cambria Math" w:hAnsi="Cambria Math" w:cs="Cambria Math"/>
          <w:lang w:val="en-US"/>
        </w:rPr>
        <w:t xml:space="preserve">, </w:t>
      </w:r>
      <w:r w:rsidR="00336BE0" w:rsidRPr="00336BE0">
        <w:rPr>
          <w:lang w:val="en-US"/>
        </w:rPr>
        <w:t>Where</w:t>
      </w:r>
      <w:r w:rsidR="00336BE0">
        <w:rPr>
          <w:lang w:val="en-US"/>
        </w:rPr>
        <w:t xml:space="preserve"> </w:t>
      </w:r>
      <w:r w:rsidR="00336BE0" w:rsidRPr="00336BE0">
        <w:rPr>
          <w:lang w:val="en-US"/>
        </w:rPr>
        <w:t>y = CO2/</w:t>
      </w:r>
      <w:r w:rsidR="00336BE0">
        <w:rPr>
          <w:lang w:val="en-US"/>
        </w:rPr>
        <w:t>M,</w:t>
      </w:r>
      <w:r w:rsidR="00680B5D">
        <w:rPr>
          <w:lang w:val="en-US"/>
        </w:rPr>
        <w:t xml:space="preserve"> M = kg mass,</w:t>
      </w:r>
      <w:r w:rsidR="00336BE0">
        <w:rPr>
          <w:lang w:val="en-US"/>
        </w:rPr>
        <w:t xml:space="preserve"> </w:t>
      </w:r>
      <w:r w:rsidR="00336BE0" w:rsidRPr="00336BE0">
        <w:rPr>
          <w:lang w:val="en-US"/>
        </w:rPr>
        <w:t>x = year</w:t>
      </w:r>
      <w:r w:rsidR="00336BE0">
        <w:rPr>
          <w:lang w:val="en-US"/>
        </w:rPr>
        <w:t xml:space="preserve">. Met </w:t>
      </w:r>
      <w:proofErr w:type="spellStart"/>
      <w:r w:rsidR="00336BE0">
        <w:rPr>
          <w:lang w:val="en-US"/>
        </w:rPr>
        <w:t>t</w:t>
      </w:r>
      <w:r w:rsidR="009D6A2F">
        <w:rPr>
          <w:lang w:val="en-US"/>
        </w:rPr>
        <w:t>oelichting</w:t>
      </w:r>
      <w:proofErr w:type="spellEnd"/>
      <w:r w:rsidR="00336BE0">
        <w:rPr>
          <w:lang w:val="en-US"/>
        </w:rPr>
        <w:t xml:space="preserve"> op het </w:t>
      </w:r>
      <w:proofErr w:type="spellStart"/>
      <w:r w:rsidR="00336BE0">
        <w:rPr>
          <w:lang w:val="en-US"/>
        </w:rPr>
        <w:t>gebruik</w:t>
      </w:r>
      <w:proofErr w:type="spellEnd"/>
      <w:r w:rsidR="00336BE0">
        <w:rPr>
          <w:lang w:val="en-US"/>
        </w:rPr>
        <w:t xml:space="preserve"> van </w:t>
      </w:r>
      <w:proofErr w:type="spellStart"/>
      <w:r w:rsidR="00336BE0">
        <w:rPr>
          <w:lang w:val="en-US"/>
        </w:rPr>
        <w:t>lineaire</w:t>
      </w:r>
      <w:proofErr w:type="spellEnd"/>
      <w:r w:rsidR="00336BE0">
        <w:rPr>
          <w:lang w:val="en-US"/>
        </w:rPr>
        <w:t xml:space="preserve"> </w:t>
      </w:r>
      <w:proofErr w:type="spellStart"/>
      <w:r w:rsidR="00336BE0">
        <w:rPr>
          <w:lang w:val="en-US"/>
        </w:rPr>
        <w:t>regressie</w:t>
      </w:r>
      <w:proofErr w:type="spellEnd"/>
      <w:r w:rsidR="009D6A2F">
        <w:rPr>
          <w:lang w:val="en-US"/>
        </w:rPr>
        <w:t xml:space="preserve"> </w:t>
      </w:r>
      <w:r w:rsidR="00336BE0">
        <w:rPr>
          <w:lang w:val="en-US"/>
        </w:rPr>
        <w:t xml:space="preserve">in de </w:t>
      </w:r>
      <w:proofErr w:type="spellStart"/>
      <w:r w:rsidR="00336BE0">
        <w:rPr>
          <w:lang w:val="en-US"/>
        </w:rPr>
        <w:t>bijlage</w:t>
      </w:r>
      <w:proofErr w:type="spellEnd"/>
      <w:r w:rsidR="00336BE0">
        <w:rPr>
          <w:lang w:val="en-US"/>
        </w:rPr>
        <w:t xml:space="preserve"> van </w:t>
      </w:r>
      <w:r w:rsidR="009D6A2F">
        <w:rPr>
          <w:lang w:val="en-US"/>
        </w:rPr>
        <w:t xml:space="preserve">het rapport </w:t>
      </w:r>
      <w:r w:rsidR="009D6A2F" w:rsidRPr="00973141">
        <w:rPr>
          <w:lang w:val="en-US"/>
        </w:rPr>
        <w:t>TNO 2021 R11642</w:t>
      </w:r>
      <w:r w:rsidR="009D6A2F">
        <w:rPr>
          <w:lang w:val="en-US"/>
        </w:rPr>
        <w:t>: “</w:t>
      </w:r>
      <w:r w:rsidR="009D6A2F" w:rsidRPr="00115A98">
        <w:rPr>
          <w:lang w:val="en-US"/>
        </w:rPr>
        <w:t>In this report only straight lines are fitted through the data. The R2 value is reported</w:t>
      </w:r>
      <w:r w:rsidR="009D6A2F">
        <w:rPr>
          <w:lang w:val="en-US"/>
        </w:rPr>
        <w:t xml:space="preserve"> </w:t>
      </w:r>
      <w:r w:rsidR="009D6A2F" w:rsidRPr="00115A98">
        <w:rPr>
          <w:lang w:val="en-US"/>
        </w:rPr>
        <w:t>in many cases, but the reader can judge for themselves, from the figures, if the fits</w:t>
      </w:r>
      <w:r w:rsidR="009D6A2F">
        <w:rPr>
          <w:lang w:val="en-US"/>
        </w:rPr>
        <w:t xml:space="preserve"> </w:t>
      </w:r>
      <w:r w:rsidR="009D6A2F" w:rsidRPr="00115A98">
        <w:rPr>
          <w:lang w:val="en-US"/>
        </w:rPr>
        <w:t>make any sense, because the data and the trendlines are presented throughout the</w:t>
      </w:r>
      <w:r w:rsidR="009D6A2F">
        <w:rPr>
          <w:lang w:val="en-US"/>
        </w:rPr>
        <w:t xml:space="preserve"> </w:t>
      </w:r>
      <w:r w:rsidR="009D6A2F" w:rsidRPr="00115A98">
        <w:rPr>
          <w:lang w:val="en-US"/>
        </w:rPr>
        <w:t>report.</w:t>
      </w:r>
      <w:r w:rsidR="009D6A2F">
        <w:rPr>
          <w:lang w:val="en-US"/>
        </w:rPr>
        <w:t xml:space="preserve"> </w:t>
      </w:r>
      <w:r w:rsidR="009D6A2F" w:rsidRPr="00115A98">
        <w:rPr>
          <w:lang w:val="en-US"/>
        </w:rPr>
        <w:t>The choice for a linear fit is robust. Many other fits, like higher order polynomials or</w:t>
      </w:r>
      <w:r w:rsidR="009D6A2F">
        <w:rPr>
          <w:lang w:val="en-US"/>
        </w:rPr>
        <w:t xml:space="preserve"> </w:t>
      </w:r>
      <w:r w:rsidR="009D6A2F" w:rsidRPr="00115A98">
        <w:rPr>
          <w:lang w:val="en-US"/>
        </w:rPr>
        <w:t>non-linear functions typically magnify some marginal effects in the last data points</w:t>
      </w:r>
      <w:r w:rsidR="009D6A2F">
        <w:rPr>
          <w:lang w:val="en-US"/>
        </w:rPr>
        <w:t xml:space="preserve"> </w:t>
      </w:r>
      <w:r w:rsidR="009D6A2F" w:rsidRPr="00115A98">
        <w:rPr>
          <w:lang w:val="en-US"/>
        </w:rPr>
        <w:t>while extrapolating it beyond the initial data range. This report is intended to provide</w:t>
      </w:r>
      <w:r w:rsidR="009D6A2F">
        <w:rPr>
          <w:lang w:val="en-US"/>
        </w:rPr>
        <w:t xml:space="preserve"> </w:t>
      </w:r>
      <w:r w:rsidR="009D6A2F" w:rsidRPr="00115A98">
        <w:rPr>
          <w:lang w:val="en-US"/>
        </w:rPr>
        <w:t>an extrapolation to the period 2022 to 2025. The linear fits are conservative</w:t>
      </w:r>
      <w:r w:rsidR="009D6A2F">
        <w:rPr>
          <w:lang w:val="en-US"/>
        </w:rPr>
        <w:t xml:space="preserve"> </w:t>
      </w:r>
      <w:r w:rsidR="009D6A2F" w:rsidRPr="00115A98">
        <w:rPr>
          <w:lang w:val="en-US"/>
        </w:rPr>
        <w:t>estimates on the trends.</w:t>
      </w:r>
      <w:r w:rsidR="009D6A2F">
        <w:rPr>
          <w:lang w:val="en-US"/>
        </w:rPr>
        <w:t xml:space="preserve">” </w:t>
      </w:r>
      <w:r w:rsidR="009D6A2F" w:rsidRPr="00115A98">
        <w:rPr>
          <w:lang w:val="en-US"/>
        </w:rPr>
        <w:t xml:space="preserve">Met </w:t>
      </w:r>
      <w:proofErr w:type="spellStart"/>
      <w:r w:rsidR="009D6A2F" w:rsidRPr="00115A98">
        <w:rPr>
          <w:lang w:val="en-US"/>
        </w:rPr>
        <w:t>als</w:t>
      </w:r>
      <w:proofErr w:type="spellEnd"/>
      <w:r w:rsidR="009D6A2F" w:rsidRPr="00115A98">
        <w:rPr>
          <w:lang w:val="en-US"/>
        </w:rPr>
        <w:t xml:space="preserve"> </w:t>
      </w:r>
      <w:proofErr w:type="spellStart"/>
      <w:r w:rsidR="009D6A2F" w:rsidRPr="00115A98">
        <w:rPr>
          <w:lang w:val="en-US"/>
        </w:rPr>
        <w:t>voetnoot</w:t>
      </w:r>
      <w:proofErr w:type="spellEnd"/>
      <w:r w:rsidR="009D6A2F" w:rsidRPr="00220DCF">
        <w:rPr>
          <w:lang w:val="en-US"/>
        </w:rPr>
        <w:t>: Tweede Kamer der Staten-</w:t>
      </w:r>
      <w:proofErr w:type="spellStart"/>
      <w:r w:rsidR="009D6A2F" w:rsidRPr="00220DCF">
        <w:rPr>
          <w:lang w:val="en-US"/>
        </w:rPr>
        <w:t>Generaal</w:t>
      </w:r>
      <w:proofErr w:type="spellEnd"/>
      <w:r w:rsidR="009D6A2F" w:rsidRPr="00220DCF">
        <w:rPr>
          <w:lang w:val="en-US"/>
        </w:rPr>
        <w:t xml:space="preserve"> 2019-2020 35302 nr. 8181 reflects a discussion on the</w:t>
      </w:r>
      <w:r w:rsidR="00220DCF" w:rsidRPr="00115A98">
        <w:rPr>
          <w:lang w:val="en-US"/>
        </w:rPr>
        <w:t xml:space="preserve"> </w:t>
      </w:r>
      <w:r w:rsidR="009D6A2F" w:rsidRPr="009D6A2F">
        <w:rPr>
          <w:lang w:val="en-US"/>
        </w:rPr>
        <w:t>details of the fit procedures and reporting by TNO. This appendix is added to avoid such</w:t>
      </w:r>
      <w:r w:rsidR="00220DCF">
        <w:rPr>
          <w:lang w:val="en-US"/>
        </w:rPr>
        <w:t xml:space="preserve"> </w:t>
      </w:r>
      <w:r w:rsidR="009D6A2F" w:rsidRPr="009D6A2F">
        <w:rPr>
          <w:lang w:val="en-US"/>
        </w:rPr>
        <w:t>misunderstandings for this study.</w:t>
      </w:r>
    </w:p>
  </w:footnote>
  <w:footnote w:id="8">
    <w:p w14:paraId="76FEBD05" w14:textId="77777777" w:rsidR="00CB51A5" w:rsidRPr="00115A98" w:rsidRDefault="00CB51A5" w:rsidP="00CB51A5">
      <w:pPr>
        <w:pStyle w:val="Voetnoottekst"/>
        <w:rPr>
          <w:lang w:val="en-US"/>
        </w:rPr>
      </w:pPr>
      <w:r>
        <w:rPr>
          <w:rStyle w:val="Voetnootmarkering"/>
        </w:rPr>
        <w:footnoteRef/>
      </w:r>
      <w:r w:rsidRPr="00115A98">
        <w:rPr>
          <w:lang w:val="en-US"/>
        </w:rPr>
        <w:t xml:space="preserve"> </w:t>
      </w:r>
      <m:oMath>
        <m:r>
          <m:rPr>
            <m:sty m:val="p"/>
          </m:rPr>
          <w:rPr>
            <w:rFonts w:ascii="Cambria Math" w:hAnsi="Cambria Math"/>
          </w:rPr>
          <m:t>Δ</m:t>
        </m:r>
        <m:r>
          <w:rPr>
            <w:rFonts w:ascii="Cambria Math" w:hAnsi="Cambria Math"/>
            <w:lang w:val="en-US"/>
          </w:rPr>
          <m:t xml:space="preserve">% </m:t>
        </m:r>
        <m:sSub>
          <m:sSubPr>
            <m:ctrlPr>
              <w:rPr>
                <w:rFonts w:ascii="Cambria Math" w:hAnsi="Cambria Math"/>
                <w:i/>
              </w:rPr>
            </m:ctrlPr>
          </m:sSubPr>
          <m:e>
            <m:r>
              <w:rPr>
                <w:rFonts w:ascii="Cambria Math" w:hAnsi="Cambria Math"/>
              </w:rPr>
              <m:t>CO</m:t>
            </m:r>
          </m:e>
          <m:sub>
            <m:r>
              <w:rPr>
                <w:rFonts w:ascii="Cambria Math" w:hAnsi="Cambria Math"/>
                <w:lang w:val="en-US"/>
              </w:rPr>
              <m:t>2</m:t>
            </m:r>
          </m:sub>
        </m:sSub>
        <m:f>
          <m:fPr>
            <m:ctrlPr>
              <w:rPr>
                <w:rFonts w:ascii="Cambria Math" w:hAnsi="Cambria Math"/>
                <w:i/>
              </w:rPr>
            </m:ctrlPr>
          </m:fPr>
          <m:num>
            <m:r>
              <w:rPr>
                <w:rFonts w:ascii="Cambria Math" w:hAnsi="Cambria Math"/>
              </w:rPr>
              <m:t>g</m:t>
            </m:r>
          </m:num>
          <m:den>
            <m:r>
              <w:rPr>
                <w:rFonts w:ascii="Cambria Math" w:hAnsi="Cambria Math"/>
              </w:rPr>
              <m:t>km</m:t>
            </m:r>
          </m:den>
        </m:f>
        <m:d>
          <m:dPr>
            <m:ctrlPr>
              <w:rPr>
                <w:rFonts w:ascii="Cambria Math" w:hAnsi="Cambria Math"/>
                <w:i/>
              </w:rPr>
            </m:ctrlPr>
          </m:dPr>
          <m:e>
            <m:r>
              <w:rPr>
                <w:rFonts w:ascii="Cambria Math" w:hAnsi="Cambria Math"/>
              </w:rPr>
              <m:t>i</m:t>
            </m:r>
            <m:r>
              <w:rPr>
                <w:rFonts w:ascii="Cambria Math" w:hAnsi="Cambria Math"/>
                <w:lang w:val="en-US"/>
              </w:rPr>
              <m:t>,</m:t>
            </m:r>
            <m:r>
              <w:rPr>
                <w:rFonts w:ascii="Cambria Math" w:hAnsi="Cambria Math"/>
              </w:rPr>
              <m:t>t</m:t>
            </m:r>
          </m:e>
        </m:d>
        <m:r>
          <w:rPr>
            <w:rFonts w:ascii="Cambria Math" w:eastAsiaTheme="minorEastAsia" w:hAnsi="Cambria Math"/>
            <w:lang w:val="en-US"/>
          </w:rPr>
          <m:t>=-</m:t>
        </m:r>
        <m:r>
          <w:rPr>
            <w:rFonts w:ascii="Cambria Math" w:eastAsiaTheme="minorEastAsia" w:hAnsi="Cambria Math"/>
          </w:rPr>
          <m:t>γ</m:t>
        </m:r>
        <m:f>
          <m:fPr>
            <m:ctrlPr>
              <w:rPr>
                <w:rFonts w:ascii="Cambria Math" w:hAnsi="Cambria Math"/>
                <w:i/>
              </w:rPr>
            </m:ctrlPr>
          </m:fPr>
          <m:num>
            <m:d>
              <m:dPr>
                <m:ctrlPr>
                  <w:rPr>
                    <w:rFonts w:ascii="Cambria Math" w:eastAsiaTheme="minorEastAsia" w:hAnsi="Cambria Math"/>
                    <w:i/>
                  </w:rPr>
                </m:ctrlPr>
              </m:dPr>
              <m:e>
                <m:sSub>
                  <m:sSubPr>
                    <m:ctrlPr>
                      <w:rPr>
                        <w:rFonts w:ascii="Cambria Math" w:hAnsi="Cambria Math"/>
                        <w:i/>
                      </w:rPr>
                    </m:ctrlPr>
                  </m:sSubPr>
                  <m:e>
                    <m:r>
                      <w:rPr>
                        <w:rFonts w:ascii="Cambria Math" w:hAnsi="Cambria Math"/>
                      </w:rPr>
                      <m:t>CO</m:t>
                    </m:r>
                  </m:e>
                  <m:sub>
                    <m:r>
                      <w:rPr>
                        <w:rFonts w:ascii="Cambria Math" w:hAnsi="Cambria Math"/>
                        <w:lang w:val="en-US"/>
                      </w:rPr>
                      <m:t>2</m:t>
                    </m:r>
                  </m:sub>
                </m:sSub>
                <m:f>
                  <m:fPr>
                    <m:ctrlPr>
                      <w:rPr>
                        <w:rFonts w:ascii="Cambria Math" w:hAnsi="Cambria Math"/>
                        <w:i/>
                      </w:rPr>
                    </m:ctrlPr>
                  </m:fPr>
                  <m:num>
                    <m:r>
                      <w:rPr>
                        <w:rFonts w:ascii="Cambria Math" w:hAnsi="Cambria Math"/>
                      </w:rPr>
                      <m:t>g</m:t>
                    </m:r>
                  </m:num>
                  <m:den>
                    <m:r>
                      <w:rPr>
                        <w:rFonts w:ascii="Cambria Math" w:hAnsi="Cambria Math"/>
                      </w:rPr>
                      <m:t>km</m:t>
                    </m:r>
                  </m:den>
                </m:f>
                <m:d>
                  <m:dPr>
                    <m:ctrlPr>
                      <w:rPr>
                        <w:rFonts w:ascii="Cambria Math" w:hAnsi="Cambria Math"/>
                        <w:i/>
                      </w:rPr>
                    </m:ctrlPr>
                  </m:dPr>
                  <m:e>
                    <m:r>
                      <w:rPr>
                        <w:rFonts w:ascii="Cambria Math" w:hAnsi="Cambria Math"/>
                      </w:rPr>
                      <m:t>i</m:t>
                    </m:r>
                    <m:r>
                      <w:rPr>
                        <w:rFonts w:ascii="Cambria Math" w:hAnsi="Cambria Math"/>
                        <w:lang w:val="en-US"/>
                      </w:rPr>
                      <m:t>,</m:t>
                    </m:r>
                    <m:r>
                      <w:rPr>
                        <w:rFonts w:ascii="Cambria Math" w:hAnsi="Cambria Math"/>
                      </w:rPr>
                      <m:t>t</m:t>
                    </m:r>
                    <m:r>
                      <w:rPr>
                        <w:rFonts w:ascii="Cambria Math" w:hAnsi="Cambria Math"/>
                        <w:lang w:val="en-US"/>
                      </w:rPr>
                      <m:t>-2</m:t>
                    </m:r>
                  </m:e>
                </m:d>
                <m:r>
                  <w:rPr>
                    <w:rFonts w:ascii="Cambria Math" w:hAnsi="Cambria Math"/>
                    <w:lang w:val="en-US"/>
                  </w:rPr>
                  <m:t>-</m:t>
                </m:r>
                <m:sSub>
                  <m:sSubPr>
                    <m:ctrlPr>
                      <w:rPr>
                        <w:rFonts w:ascii="Cambria Math" w:hAnsi="Cambria Math"/>
                        <w:i/>
                      </w:rPr>
                    </m:ctrlPr>
                  </m:sSubPr>
                  <m:e>
                    <m:r>
                      <w:rPr>
                        <w:rFonts w:ascii="Cambria Math" w:hAnsi="Cambria Math"/>
                      </w:rPr>
                      <m:t>CO</m:t>
                    </m:r>
                  </m:e>
                  <m:sub>
                    <m:r>
                      <w:rPr>
                        <w:rFonts w:ascii="Cambria Math" w:hAnsi="Cambria Math"/>
                        <w:lang w:val="en-US"/>
                      </w:rPr>
                      <m:t>2</m:t>
                    </m:r>
                  </m:sub>
                </m:sSub>
                <m:f>
                  <m:fPr>
                    <m:ctrlPr>
                      <w:rPr>
                        <w:rFonts w:ascii="Cambria Math" w:hAnsi="Cambria Math"/>
                        <w:i/>
                      </w:rPr>
                    </m:ctrlPr>
                  </m:fPr>
                  <m:num>
                    <m:r>
                      <w:rPr>
                        <w:rFonts w:ascii="Cambria Math" w:hAnsi="Cambria Math"/>
                      </w:rPr>
                      <m:t>g</m:t>
                    </m:r>
                  </m:num>
                  <m:den>
                    <m:r>
                      <w:rPr>
                        <w:rFonts w:ascii="Cambria Math" w:hAnsi="Cambria Math"/>
                      </w:rPr>
                      <m:t>km</m:t>
                    </m:r>
                  </m:den>
                </m:f>
                <m:d>
                  <m:dPr>
                    <m:ctrlPr>
                      <w:rPr>
                        <w:rFonts w:ascii="Cambria Math" w:hAnsi="Cambria Math"/>
                        <w:i/>
                      </w:rPr>
                    </m:ctrlPr>
                  </m:dPr>
                  <m:e>
                    <m:r>
                      <w:rPr>
                        <w:rFonts w:ascii="Cambria Math" w:hAnsi="Cambria Math"/>
                      </w:rPr>
                      <m:t>i</m:t>
                    </m:r>
                    <m:r>
                      <w:rPr>
                        <w:rFonts w:ascii="Cambria Math" w:hAnsi="Cambria Math"/>
                        <w:lang w:val="en-US"/>
                      </w:rPr>
                      <m:t>,</m:t>
                    </m:r>
                    <m:r>
                      <w:rPr>
                        <w:rFonts w:ascii="Cambria Math" w:hAnsi="Cambria Math"/>
                      </w:rPr>
                      <m:t>t</m:t>
                    </m:r>
                    <m:r>
                      <w:rPr>
                        <w:rFonts w:ascii="Cambria Math" w:hAnsi="Cambria Math"/>
                        <w:lang w:val="en-US"/>
                      </w:rPr>
                      <m:t>-1</m:t>
                    </m:r>
                  </m:e>
                </m:d>
                <m:ctrlPr>
                  <w:rPr>
                    <w:rFonts w:ascii="Cambria Math" w:hAnsi="Cambria Math"/>
                    <w:i/>
                  </w:rPr>
                </m:ctrlPr>
              </m:e>
            </m:d>
          </m:num>
          <m:den>
            <m:sSub>
              <m:sSubPr>
                <m:ctrlPr>
                  <w:rPr>
                    <w:rFonts w:ascii="Cambria Math" w:hAnsi="Cambria Math"/>
                    <w:i/>
                  </w:rPr>
                </m:ctrlPr>
              </m:sSubPr>
              <m:e>
                <m:r>
                  <w:rPr>
                    <w:rFonts w:ascii="Cambria Math" w:hAnsi="Cambria Math"/>
                  </w:rPr>
                  <m:t>CO</m:t>
                </m:r>
              </m:e>
              <m:sub>
                <m:r>
                  <w:rPr>
                    <w:rFonts w:ascii="Cambria Math" w:hAnsi="Cambria Math"/>
                    <w:lang w:val="en-US"/>
                  </w:rPr>
                  <m:t>2</m:t>
                </m:r>
              </m:sub>
            </m:sSub>
            <m:f>
              <m:fPr>
                <m:ctrlPr>
                  <w:rPr>
                    <w:rFonts w:ascii="Cambria Math" w:hAnsi="Cambria Math"/>
                    <w:i/>
                  </w:rPr>
                </m:ctrlPr>
              </m:fPr>
              <m:num>
                <m:r>
                  <w:rPr>
                    <w:rFonts w:ascii="Cambria Math" w:hAnsi="Cambria Math"/>
                  </w:rPr>
                  <m:t>g</m:t>
                </m:r>
              </m:num>
              <m:den>
                <m:r>
                  <w:rPr>
                    <w:rFonts w:ascii="Cambria Math" w:hAnsi="Cambria Math"/>
                  </w:rPr>
                  <m:t>km</m:t>
                </m:r>
              </m:den>
            </m:f>
            <m:d>
              <m:dPr>
                <m:ctrlPr>
                  <w:rPr>
                    <w:rFonts w:ascii="Cambria Math" w:hAnsi="Cambria Math"/>
                    <w:i/>
                  </w:rPr>
                </m:ctrlPr>
              </m:dPr>
              <m:e>
                <m:r>
                  <w:rPr>
                    <w:rFonts w:ascii="Cambria Math" w:hAnsi="Cambria Math"/>
                  </w:rPr>
                  <m:t>i</m:t>
                </m:r>
                <m:r>
                  <w:rPr>
                    <w:rFonts w:ascii="Cambria Math" w:hAnsi="Cambria Math"/>
                    <w:lang w:val="en-US"/>
                  </w:rPr>
                  <m:t>,</m:t>
                </m:r>
                <m:r>
                  <w:rPr>
                    <w:rFonts w:ascii="Cambria Math" w:hAnsi="Cambria Math"/>
                  </w:rPr>
                  <m:t>t</m:t>
                </m:r>
                <m:r>
                  <w:rPr>
                    <w:rFonts w:ascii="Cambria Math" w:hAnsi="Cambria Math"/>
                    <w:lang w:val="en-US"/>
                  </w:rPr>
                  <m:t>-1</m:t>
                </m:r>
              </m:e>
            </m:d>
          </m:den>
        </m:f>
      </m:oMath>
    </w:p>
  </w:footnote>
  <w:footnote w:id="9">
    <w:p w14:paraId="6FAAF2D2" w14:textId="676028BD" w:rsidR="00F21652" w:rsidRDefault="00F21652">
      <w:pPr>
        <w:pStyle w:val="Voetnoottekst"/>
      </w:pPr>
      <w:r>
        <w:rPr>
          <w:rStyle w:val="Voetnootmarkering"/>
        </w:rPr>
        <w:footnoteRef/>
      </w:r>
      <w:r>
        <w:t xml:space="preserve"> </w:t>
      </w:r>
      <w:proofErr w:type="spellStart"/>
      <w:r>
        <w:t>Ibid</w:t>
      </w:r>
      <w:proofErr w:type="spellEnd"/>
      <w:r>
        <w:t xml:space="preserve"> </w:t>
      </w:r>
      <w:r w:rsidR="008E66A4">
        <w:t>3</w:t>
      </w:r>
      <w:r>
        <w:t>.</w:t>
      </w:r>
    </w:p>
  </w:footnote>
  <w:footnote w:id="10">
    <w:p w14:paraId="30739223" w14:textId="77777777" w:rsidR="00A73D64" w:rsidRDefault="00A73D64" w:rsidP="00A73D64">
      <w:pPr>
        <w:pStyle w:val="Voetnoottekst"/>
      </w:pPr>
      <w:r>
        <w:rPr>
          <w:rStyle w:val="Voetnootmarkering"/>
        </w:rPr>
        <w:footnoteRef/>
      </w:r>
      <w:r>
        <w:t xml:space="preserve"> Ook voor diesel voertuigen lijkt in 2020 sprake te zijn van zo’n breuk, hoewel daar ook sterk bewijs is voor een breuk in 2015 (twee pieken). Voor </w:t>
      </w:r>
      <w:proofErr w:type="spellStart"/>
      <w:r>
        <w:t>PHEV’s</w:t>
      </w:r>
      <w:proofErr w:type="spellEnd"/>
      <w:r>
        <w:t xml:space="preserve"> geldt dat er over de hele periode heen relatief minder duidelijke pieken zijn.  Voor consistentie gebruiken we hier ook de data voor de periode 2020-2023.</w:t>
      </w:r>
    </w:p>
  </w:footnote>
  <w:footnote w:id="11">
    <w:p w14:paraId="6C72A1D2" w14:textId="1AFF867C" w:rsidR="005F07E0" w:rsidRDefault="005F07E0">
      <w:pPr>
        <w:pStyle w:val="Voetnoottekst"/>
      </w:pPr>
      <w:r>
        <w:rPr>
          <w:rStyle w:val="Voetnootmarkering"/>
        </w:rPr>
        <w:footnoteRef/>
      </w:r>
      <w:r>
        <w:t xml:space="preserve"> </w:t>
      </w:r>
      <w:proofErr w:type="spellStart"/>
      <w:r>
        <w:t>Ibid</w:t>
      </w:r>
      <w:proofErr w:type="spellEnd"/>
      <w:r>
        <w:t xml:space="preserve"> </w:t>
      </w:r>
      <w:r w:rsidR="008E66A4">
        <w:t>3</w:t>
      </w:r>
      <w:r>
        <w:t>.</w:t>
      </w:r>
    </w:p>
  </w:footnote>
  <w:footnote w:id="12">
    <w:p w14:paraId="604873AA" w14:textId="77777777" w:rsidR="00732F1D" w:rsidRDefault="00732F1D" w:rsidP="00732F1D">
      <w:pPr>
        <w:pStyle w:val="Voetnoottekst"/>
      </w:pPr>
      <w:r>
        <w:rPr>
          <w:rStyle w:val="Voetnootmarkering"/>
        </w:rPr>
        <w:footnoteRef/>
      </w:r>
      <w:r>
        <w:t xml:space="preserve"> W</w:t>
      </w:r>
      <w:r w:rsidRPr="00914DEB">
        <w:t xml:space="preserve">e kunnen de </w:t>
      </w:r>
      <w:proofErr w:type="spellStart"/>
      <w:r w:rsidRPr="00914DEB">
        <w:t>nul</w:t>
      </w:r>
      <w:r>
        <w:t>-</w:t>
      </w:r>
      <w:r w:rsidRPr="00914DEB">
        <w:t>hypothese</w:t>
      </w:r>
      <w:proofErr w:type="spellEnd"/>
      <w:r w:rsidRPr="00914DEB">
        <w:t xml:space="preserve"> [geen autonome vergroening] niet verwerpen.</w:t>
      </w:r>
    </w:p>
  </w:footnote>
  <w:footnote w:id="13">
    <w:p w14:paraId="639DBF12" w14:textId="05565126" w:rsidR="00661E63" w:rsidRDefault="00661E63">
      <w:pPr>
        <w:pStyle w:val="Voetnoottekst"/>
      </w:pPr>
      <w:r>
        <w:rPr>
          <w:rStyle w:val="Voetnootmarkering"/>
        </w:rPr>
        <w:footnoteRef/>
      </w:r>
      <w:r>
        <w:t xml:space="preserve"> </w:t>
      </w:r>
      <w:r w:rsidRPr="00661E63">
        <w:t xml:space="preserve">Begin 2023 heeft de Europese Commissie een Verordening tot wijziging van Vo. (EU) 2017/1151 wat betreft de typegoedkeuringsprocedures voor de emissies van lichte (PHEV-)personenvoertuigen en </w:t>
      </w:r>
      <w:r>
        <w:t xml:space="preserve"> </w:t>
      </w:r>
      <w:r w:rsidRPr="00661E63">
        <w:t>(PHEV-)bedrijfsvoertuigen vastgesteld (</w:t>
      </w:r>
      <w:proofErr w:type="spellStart"/>
      <w:r w:rsidRPr="00661E63">
        <w:t>PbEU</w:t>
      </w:r>
      <w:proofErr w:type="spellEnd"/>
      <w:r w:rsidRPr="00661E63">
        <w:t xml:space="preserve"> 2023 L 66).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3768C"/>
    <w:multiLevelType w:val="hybridMultilevel"/>
    <w:tmpl w:val="170A3D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B8335FC"/>
    <w:multiLevelType w:val="hybridMultilevel"/>
    <w:tmpl w:val="6066A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EBB32D7"/>
    <w:multiLevelType w:val="hybridMultilevel"/>
    <w:tmpl w:val="2FA2BE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EF93E23"/>
    <w:multiLevelType w:val="hybridMultilevel"/>
    <w:tmpl w:val="F87AE1EE"/>
    <w:lvl w:ilvl="0" w:tplc="723CDFB0">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9D26B03"/>
    <w:multiLevelType w:val="hybridMultilevel"/>
    <w:tmpl w:val="2F1245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BB67F1A"/>
    <w:multiLevelType w:val="hybridMultilevel"/>
    <w:tmpl w:val="B5AAB3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B106928"/>
    <w:multiLevelType w:val="hybridMultilevel"/>
    <w:tmpl w:val="D91473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B3F71AC"/>
    <w:multiLevelType w:val="hybridMultilevel"/>
    <w:tmpl w:val="586E0F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EF72247"/>
    <w:multiLevelType w:val="hybridMultilevel"/>
    <w:tmpl w:val="877AC0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20260726">
    <w:abstractNumId w:val="4"/>
  </w:num>
  <w:num w:numId="2" w16cid:durableId="1694459103">
    <w:abstractNumId w:val="8"/>
  </w:num>
  <w:num w:numId="3" w16cid:durableId="441345369">
    <w:abstractNumId w:val="2"/>
  </w:num>
  <w:num w:numId="4" w16cid:durableId="1557743036">
    <w:abstractNumId w:val="7"/>
  </w:num>
  <w:num w:numId="5" w16cid:durableId="286353253">
    <w:abstractNumId w:val="5"/>
  </w:num>
  <w:num w:numId="6" w16cid:durableId="294020751">
    <w:abstractNumId w:val="1"/>
  </w:num>
  <w:num w:numId="7" w16cid:durableId="475994099">
    <w:abstractNumId w:val="6"/>
  </w:num>
  <w:num w:numId="8" w16cid:durableId="1643189185">
    <w:abstractNumId w:val="0"/>
  </w:num>
  <w:num w:numId="9" w16cid:durableId="1865293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555"/>
    <w:rsid w:val="00010142"/>
    <w:rsid w:val="0001151D"/>
    <w:rsid w:val="000265A7"/>
    <w:rsid w:val="00027413"/>
    <w:rsid w:val="00031375"/>
    <w:rsid w:val="000857B1"/>
    <w:rsid w:val="000C35D7"/>
    <w:rsid w:val="000F10C4"/>
    <w:rsid w:val="001062C2"/>
    <w:rsid w:val="00111297"/>
    <w:rsid w:val="00115A98"/>
    <w:rsid w:val="00122B12"/>
    <w:rsid w:val="00151112"/>
    <w:rsid w:val="00155EDD"/>
    <w:rsid w:val="00160D43"/>
    <w:rsid w:val="0016794D"/>
    <w:rsid w:val="001B695B"/>
    <w:rsid w:val="0020635F"/>
    <w:rsid w:val="00220DCF"/>
    <w:rsid w:val="00234692"/>
    <w:rsid w:val="00263369"/>
    <w:rsid w:val="00295451"/>
    <w:rsid w:val="00296851"/>
    <w:rsid w:val="002A22C6"/>
    <w:rsid w:val="002A2DC1"/>
    <w:rsid w:val="002F5391"/>
    <w:rsid w:val="002F7DB5"/>
    <w:rsid w:val="00302DDA"/>
    <w:rsid w:val="003157B3"/>
    <w:rsid w:val="00336BE0"/>
    <w:rsid w:val="003858C1"/>
    <w:rsid w:val="003C3050"/>
    <w:rsid w:val="003C7B27"/>
    <w:rsid w:val="004141AE"/>
    <w:rsid w:val="004A111B"/>
    <w:rsid w:val="004A37A5"/>
    <w:rsid w:val="004A6135"/>
    <w:rsid w:val="004E0DCD"/>
    <w:rsid w:val="004E25A8"/>
    <w:rsid w:val="004E466C"/>
    <w:rsid w:val="00514E51"/>
    <w:rsid w:val="0053226E"/>
    <w:rsid w:val="00542EED"/>
    <w:rsid w:val="00544EEE"/>
    <w:rsid w:val="00554DB4"/>
    <w:rsid w:val="00576A30"/>
    <w:rsid w:val="00586321"/>
    <w:rsid w:val="0059523B"/>
    <w:rsid w:val="005C3A88"/>
    <w:rsid w:val="005C6F48"/>
    <w:rsid w:val="005F07E0"/>
    <w:rsid w:val="00604C87"/>
    <w:rsid w:val="00632E99"/>
    <w:rsid w:val="006419B1"/>
    <w:rsid w:val="00652C3D"/>
    <w:rsid w:val="00661989"/>
    <w:rsid w:val="00661E63"/>
    <w:rsid w:val="00680B5D"/>
    <w:rsid w:val="006C10AA"/>
    <w:rsid w:val="006E4A49"/>
    <w:rsid w:val="006F4785"/>
    <w:rsid w:val="0070005C"/>
    <w:rsid w:val="00704E7A"/>
    <w:rsid w:val="007072A8"/>
    <w:rsid w:val="0072290D"/>
    <w:rsid w:val="00725A65"/>
    <w:rsid w:val="00726BA0"/>
    <w:rsid w:val="00732F1D"/>
    <w:rsid w:val="0073375C"/>
    <w:rsid w:val="00734179"/>
    <w:rsid w:val="00764341"/>
    <w:rsid w:val="0077602C"/>
    <w:rsid w:val="0078432A"/>
    <w:rsid w:val="00790188"/>
    <w:rsid w:val="007A351A"/>
    <w:rsid w:val="007E2FE5"/>
    <w:rsid w:val="007F4F01"/>
    <w:rsid w:val="00807968"/>
    <w:rsid w:val="00824368"/>
    <w:rsid w:val="008311EE"/>
    <w:rsid w:val="008441D3"/>
    <w:rsid w:val="00860B4A"/>
    <w:rsid w:val="00877EF0"/>
    <w:rsid w:val="00896D9C"/>
    <w:rsid w:val="008A1382"/>
    <w:rsid w:val="008E2C31"/>
    <w:rsid w:val="008E66A4"/>
    <w:rsid w:val="008F3F83"/>
    <w:rsid w:val="008F5865"/>
    <w:rsid w:val="00914B9D"/>
    <w:rsid w:val="00914DEB"/>
    <w:rsid w:val="00936113"/>
    <w:rsid w:val="00946564"/>
    <w:rsid w:val="00955324"/>
    <w:rsid w:val="00956F2D"/>
    <w:rsid w:val="009823FB"/>
    <w:rsid w:val="009B1D2F"/>
    <w:rsid w:val="009D6A2F"/>
    <w:rsid w:val="009E3F3E"/>
    <w:rsid w:val="009F5EF5"/>
    <w:rsid w:val="00A12928"/>
    <w:rsid w:val="00A134EB"/>
    <w:rsid w:val="00A65452"/>
    <w:rsid w:val="00A66943"/>
    <w:rsid w:val="00A73D64"/>
    <w:rsid w:val="00A84683"/>
    <w:rsid w:val="00AA4227"/>
    <w:rsid w:val="00AB422C"/>
    <w:rsid w:val="00AD24E7"/>
    <w:rsid w:val="00AE598D"/>
    <w:rsid w:val="00B0445A"/>
    <w:rsid w:val="00B17474"/>
    <w:rsid w:val="00B334F5"/>
    <w:rsid w:val="00B717FA"/>
    <w:rsid w:val="00BD0E85"/>
    <w:rsid w:val="00BD13E5"/>
    <w:rsid w:val="00BD4972"/>
    <w:rsid w:val="00BD74E1"/>
    <w:rsid w:val="00BE6555"/>
    <w:rsid w:val="00C346E0"/>
    <w:rsid w:val="00C4102E"/>
    <w:rsid w:val="00C54600"/>
    <w:rsid w:val="00C60B43"/>
    <w:rsid w:val="00C66AF3"/>
    <w:rsid w:val="00C77248"/>
    <w:rsid w:val="00C94370"/>
    <w:rsid w:val="00CA7B4D"/>
    <w:rsid w:val="00CB51A5"/>
    <w:rsid w:val="00D245C0"/>
    <w:rsid w:val="00D70287"/>
    <w:rsid w:val="00D8049E"/>
    <w:rsid w:val="00D8438F"/>
    <w:rsid w:val="00D9134D"/>
    <w:rsid w:val="00DB2DFE"/>
    <w:rsid w:val="00DB7765"/>
    <w:rsid w:val="00DE1CC0"/>
    <w:rsid w:val="00DE545F"/>
    <w:rsid w:val="00E16AEA"/>
    <w:rsid w:val="00E94B15"/>
    <w:rsid w:val="00EB5752"/>
    <w:rsid w:val="00EB6127"/>
    <w:rsid w:val="00EC0B06"/>
    <w:rsid w:val="00EF4578"/>
    <w:rsid w:val="00F14C2E"/>
    <w:rsid w:val="00F21652"/>
    <w:rsid w:val="00F755C2"/>
    <w:rsid w:val="00F9160F"/>
    <w:rsid w:val="00FE3ED4"/>
    <w:rsid w:val="00FF24E9"/>
    <w:rsid w:val="00FF71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02BDD"/>
  <w15:chartTrackingRefBased/>
  <w15:docId w15:val="{D063A1A7-D374-43E9-BA30-4ABEC37F3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65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E65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E65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E65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E65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E65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65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65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65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65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E65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E65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E65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E65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E65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65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65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6555"/>
    <w:rPr>
      <w:rFonts w:eastAsiaTheme="majorEastAsia" w:cstheme="majorBidi"/>
      <w:color w:val="272727" w:themeColor="text1" w:themeTint="D8"/>
    </w:rPr>
  </w:style>
  <w:style w:type="paragraph" w:styleId="Titel">
    <w:name w:val="Title"/>
    <w:basedOn w:val="Standaard"/>
    <w:next w:val="Standaard"/>
    <w:link w:val="TitelChar"/>
    <w:uiPriority w:val="10"/>
    <w:qFormat/>
    <w:rsid w:val="00BE6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65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65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65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65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6555"/>
    <w:rPr>
      <w:i/>
      <w:iCs/>
      <w:color w:val="404040" w:themeColor="text1" w:themeTint="BF"/>
    </w:rPr>
  </w:style>
  <w:style w:type="paragraph" w:styleId="Lijstalinea">
    <w:name w:val="List Paragraph"/>
    <w:basedOn w:val="Standaard"/>
    <w:uiPriority w:val="34"/>
    <w:qFormat/>
    <w:rsid w:val="00BE6555"/>
    <w:pPr>
      <w:ind w:left="720"/>
      <w:contextualSpacing/>
    </w:pPr>
  </w:style>
  <w:style w:type="character" w:styleId="Intensievebenadrukking">
    <w:name w:val="Intense Emphasis"/>
    <w:basedOn w:val="Standaardalinea-lettertype"/>
    <w:uiPriority w:val="21"/>
    <w:qFormat/>
    <w:rsid w:val="00BE6555"/>
    <w:rPr>
      <w:i/>
      <w:iCs/>
      <w:color w:val="0F4761" w:themeColor="accent1" w:themeShade="BF"/>
    </w:rPr>
  </w:style>
  <w:style w:type="paragraph" w:styleId="Duidelijkcitaat">
    <w:name w:val="Intense Quote"/>
    <w:basedOn w:val="Standaard"/>
    <w:next w:val="Standaard"/>
    <w:link w:val="DuidelijkcitaatChar"/>
    <w:uiPriority w:val="30"/>
    <w:qFormat/>
    <w:rsid w:val="00BE65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E6555"/>
    <w:rPr>
      <w:i/>
      <w:iCs/>
      <w:color w:val="0F4761" w:themeColor="accent1" w:themeShade="BF"/>
    </w:rPr>
  </w:style>
  <w:style w:type="character" w:styleId="Intensieveverwijzing">
    <w:name w:val="Intense Reference"/>
    <w:basedOn w:val="Standaardalinea-lettertype"/>
    <w:uiPriority w:val="32"/>
    <w:qFormat/>
    <w:rsid w:val="00BE6555"/>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53226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3226E"/>
    <w:rPr>
      <w:sz w:val="20"/>
      <w:szCs w:val="20"/>
    </w:rPr>
  </w:style>
  <w:style w:type="character" w:styleId="Voetnootmarkering">
    <w:name w:val="footnote reference"/>
    <w:basedOn w:val="Standaardalinea-lettertype"/>
    <w:uiPriority w:val="99"/>
    <w:semiHidden/>
    <w:unhideWhenUsed/>
    <w:rsid w:val="0053226E"/>
    <w:rPr>
      <w:vertAlign w:val="superscript"/>
    </w:rPr>
  </w:style>
  <w:style w:type="character" w:styleId="Hyperlink">
    <w:name w:val="Hyperlink"/>
    <w:basedOn w:val="Standaardalinea-lettertype"/>
    <w:uiPriority w:val="99"/>
    <w:unhideWhenUsed/>
    <w:rsid w:val="00EF4578"/>
    <w:rPr>
      <w:color w:val="467886" w:themeColor="hyperlink"/>
      <w:u w:val="single"/>
    </w:rPr>
  </w:style>
  <w:style w:type="character" w:styleId="Onopgelostemelding">
    <w:name w:val="Unresolved Mention"/>
    <w:basedOn w:val="Standaardalinea-lettertype"/>
    <w:uiPriority w:val="99"/>
    <w:semiHidden/>
    <w:unhideWhenUsed/>
    <w:rsid w:val="00EF4578"/>
    <w:rPr>
      <w:color w:val="605E5C"/>
      <w:shd w:val="clear" w:color="auto" w:fill="E1DFDD"/>
    </w:rPr>
  </w:style>
  <w:style w:type="character" w:styleId="Tekstvantijdelijkeaanduiding">
    <w:name w:val="Placeholder Text"/>
    <w:basedOn w:val="Standaardalinea-lettertype"/>
    <w:uiPriority w:val="99"/>
    <w:semiHidden/>
    <w:rsid w:val="00824368"/>
    <w:rPr>
      <w:color w:val="666666"/>
    </w:rPr>
  </w:style>
  <w:style w:type="table" w:styleId="Tabelraster">
    <w:name w:val="Table Grid"/>
    <w:basedOn w:val="Standaardtabel"/>
    <w:uiPriority w:val="39"/>
    <w:rsid w:val="00DB2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DB2DFE"/>
    <w:rPr>
      <w:sz w:val="16"/>
      <w:szCs w:val="16"/>
    </w:rPr>
  </w:style>
  <w:style w:type="paragraph" w:styleId="Tekstopmerking">
    <w:name w:val="annotation text"/>
    <w:basedOn w:val="Standaard"/>
    <w:link w:val="TekstopmerkingChar"/>
    <w:uiPriority w:val="99"/>
    <w:unhideWhenUsed/>
    <w:rsid w:val="00DB2DFE"/>
    <w:pPr>
      <w:spacing w:line="240" w:lineRule="auto"/>
    </w:pPr>
    <w:rPr>
      <w:sz w:val="20"/>
      <w:szCs w:val="20"/>
    </w:rPr>
  </w:style>
  <w:style w:type="character" w:customStyle="1" w:styleId="TekstopmerkingChar">
    <w:name w:val="Tekst opmerking Char"/>
    <w:basedOn w:val="Standaardalinea-lettertype"/>
    <w:link w:val="Tekstopmerking"/>
    <w:uiPriority w:val="99"/>
    <w:rsid w:val="00DB2DFE"/>
    <w:rPr>
      <w:sz w:val="20"/>
      <w:szCs w:val="20"/>
    </w:rPr>
  </w:style>
  <w:style w:type="paragraph" w:styleId="Onderwerpvanopmerking">
    <w:name w:val="annotation subject"/>
    <w:basedOn w:val="Tekstopmerking"/>
    <w:next w:val="Tekstopmerking"/>
    <w:link w:val="OnderwerpvanopmerkingChar"/>
    <w:uiPriority w:val="99"/>
    <w:semiHidden/>
    <w:unhideWhenUsed/>
    <w:rsid w:val="00DB2DFE"/>
    <w:rPr>
      <w:b/>
      <w:bCs/>
    </w:rPr>
  </w:style>
  <w:style w:type="character" w:customStyle="1" w:styleId="OnderwerpvanopmerkingChar">
    <w:name w:val="Onderwerp van opmerking Char"/>
    <w:basedOn w:val="TekstopmerkingChar"/>
    <w:link w:val="Onderwerpvanopmerking"/>
    <w:uiPriority w:val="99"/>
    <w:semiHidden/>
    <w:rsid w:val="00DB2DFE"/>
    <w:rPr>
      <w:b/>
      <w:bCs/>
      <w:sz w:val="20"/>
      <w:szCs w:val="20"/>
    </w:rPr>
  </w:style>
  <w:style w:type="paragraph" w:styleId="Revisie">
    <w:name w:val="Revision"/>
    <w:hidden/>
    <w:uiPriority w:val="99"/>
    <w:semiHidden/>
    <w:rsid w:val="00010142"/>
    <w:pPr>
      <w:spacing w:after="0" w:line="240" w:lineRule="auto"/>
    </w:pPr>
  </w:style>
  <w:style w:type="character" w:styleId="Subtielebenadrukking">
    <w:name w:val="Subtle Emphasis"/>
    <w:basedOn w:val="Standaardalinea-lettertype"/>
    <w:uiPriority w:val="19"/>
    <w:qFormat/>
    <w:rsid w:val="00115A9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image" Target="media/image3.png" Id="rId10" /><Relationship Type="http://schemas.openxmlformats.org/officeDocument/2006/relationships/settings" Target="settings.xml" Id="rId4" /><Relationship Type="http://schemas.openxmlformats.org/officeDocument/2006/relationships/image" Target="media/image2.jpeg"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2457</ap:Words>
  <ap:Characters>13516</ap:Characters>
  <ap:DocSecurity>0</ap:DocSecurity>
  <ap:Lines>112</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15942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2025-08-29T09:33:00.0000000Z</dcterms:created>
  <dcterms:modified xsi:type="dcterms:W3CDTF">2025-08-29T09:35:00.0000000Z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2025-06-25T08:55:21Z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191fc6a9-7dc8-4be4-8215-e41114674f26</vt:lpwstr>
  </property>
  <property fmtid="{D5CDD505-2E9C-101B-9397-08002B2CF9AE}" pid="8" name="MSIP_Label_b2aa6e22-2c82-48c6-bf24-1790f4b9c128_ContentBits">
    <vt:lpwstr>0</vt:lpwstr>
  </property>
  <property fmtid="{D5CDD505-2E9C-101B-9397-08002B2CF9AE}" pid="9" name="ContentTypeId">
    <vt:lpwstr>0x01010038E60350FC170647B310166F2EB204D8</vt:lpwstr>
  </property>
</Properties>
</file>