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0A374B4" w14:textId="77777777">
        <w:tc>
          <w:tcPr>
            <w:tcW w:w="6733" w:type="dxa"/>
            <w:gridSpan w:val="2"/>
            <w:tcBorders>
              <w:top w:val="nil"/>
              <w:left w:val="nil"/>
              <w:bottom w:val="nil"/>
              <w:right w:val="nil"/>
            </w:tcBorders>
            <w:vAlign w:val="center"/>
          </w:tcPr>
          <w:p w:rsidR="00D51DFF" w:rsidRDefault="00D51DFF" w14:paraId="7ED4E33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481CB6F3" w14:textId="77777777">
            <w:pPr>
              <w:pStyle w:val="Amendement"/>
              <w:jc w:val="right"/>
              <w:rPr>
                <w:rFonts w:ascii="Times New Roman" w:hAnsi="Times New Roman"/>
                <w:spacing w:val="40"/>
                <w:sz w:val="22"/>
              </w:rPr>
            </w:pPr>
            <w:r>
              <w:rPr>
                <w:rFonts w:ascii="Times New Roman" w:hAnsi="Times New Roman"/>
                <w:sz w:val="88"/>
              </w:rPr>
              <w:t>2</w:t>
            </w:r>
          </w:p>
        </w:tc>
      </w:tr>
      <w:tr w:rsidR="00D51DFF" w14:paraId="24255151" w14:textId="77777777">
        <w:trPr>
          <w:cantSplit/>
        </w:trPr>
        <w:tc>
          <w:tcPr>
            <w:tcW w:w="11060" w:type="dxa"/>
            <w:gridSpan w:val="3"/>
            <w:tcBorders>
              <w:top w:val="single" w:color="auto" w:sz="4" w:space="0"/>
              <w:left w:val="nil"/>
              <w:bottom w:val="nil"/>
              <w:right w:val="nil"/>
            </w:tcBorders>
          </w:tcPr>
          <w:p w:rsidR="00D51DFF" w:rsidP="004742EF" w:rsidRDefault="00500F90" w14:paraId="69C0CA7F" w14:textId="12C4EF98">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DF1377">
              <w:rPr>
                <w:rFonts w:ascii="Times New Roman" w:hAnsi="Times New Roman"/>
                <w:b w:val="0"/>
              </w:rPr>
              <w:t>5</w:t>
            </w:r>
            <w:r w:rsidRPr="00F95FC9" w:rsidR="00F95FC9">
              <w:rPr>
                <w:rFonts w:ascii="Times New Roman" w:hAnsi="Times New Roman"/>
                <w:b w:val="0"/>
              </w:rPr>
              <w:t>-202</w:t>
            </w:r>
            <w:r w:rsidR="00DF1377">
              <w:rPr>
                <w:rFonts w:ascii="Times New Roman" w:hAnsi="Times New Roman"/>
                <w:b w:val="0"/>
              </w:rPr>
              <w:t>6</w:t>
            </w:r>
          </w:p>
        </w:tc>
      </w:tr>
      <w:tr w:rsidR="00D51DFF" w14:paraId="00C21EB5" w14:textId="77777777">
        <w:trPr>
          <w:cantSplit/>
        </w:trPr>
        <w:tc>
          <w:tcPr>
            <w:tcW w:w="11060" w:type="dxa"/>
            <w:gridSpan w:val="3"/>
            <w:tcBorders>
              <w:top w:val="nil"/>
              <w:left w:val="nil"/>
              <w:bottom w:val="nil"/>
              <w:right w:val="nil"/>
            </w:tcBorders>
          </w:tcPr>
          <w:p w:rsidR="00D51DFF" w:rsidRDefault="00D51DFF" w14:paraId="46AD4879" w14:textId="77777777">
            <w:pPr>
              <w:pStyle w:val="Amendement"/>
              <w:tabs>
                <w:tab w:val="clear" w:pos="3310"/>
                <w:tab w:val="clear" w:pos="3600"/>
              </w:tabs>
              <w:jc w:val="right"/>
              <w:rPr>
                <w:rFonts w:ascii="Times New Roman" w:hAnsi="Times New Roman"/>
                <w:b w:val="0"/>
              </w:rPr>
            </w:pPr>
          </w:p>
        </w:tc>
      </w:tr>
      <w:tr w:rsidR="00D51DFF" w14:paraId="2930237C" w14:textId="77777777">
        <w:trPr>
          <w:cantSplit/>
        </w:trPr>
        <w:tc>
          <w:tcPr>
            <w:tcW w:w="11060" w:type="dxa"/>
            <w:gridSpan w:val="3"/>
            <w:tcBorders>
              <w:top w:val="nil"/>
              <w:left w:val="nil"/>
              <w:bottom w:val="single" w:color="auto" w:sz="4" w:space="0"/>
              <w:right w:val="nil"/>
            </w:tcBorders>
          </w:tcPr>
          <w:p w:rsidR="00D51DFF" w:rsidRDefault="00D51DFF" w14:paraId="3220A394" w14:textId="77777777">
            <w:pPr>
              <w:pStyle w:val="Amendement"/>
              <w:tabs>
                <w:tab w:val="clear" w:pos="3310"/>
                <w:tab w:val="clear" w:pos="3600"/>
              </w:tabs>
              <w:jc w:val="right"/>
              <w:rPr>
                <w:rFonts w:ascii="Times New Roman" w:hAnsi="Times New Roman"/>
              </w:rPr>
            </w:pPr>
          </w:p>
        </w:tc>
      </w:tr>
      <w:tr w:rsidR="00D51DFF" w14:paraId="2817A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6CE0C4C"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19BAA34E" w14:textId="77777777">
            <w:pPr>
              <w:suppressAutoHyphens/>
              <w:rPr>
                <w:b/>
              </w:rPr>
            </w:pPr>
          </w:p>
        </w:tc>
      </w:tr>
      <w:tr w:rsidR="00BD6FD6" w14:paraId="0E8DA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F1377" w14:paraId="2D9AC3BA" w14:textId="39479556">
            <w:pPr>
              <w:rPr>
                <w:b/>
              </w:rPr>
            </w:pPr>
            <w:r>
              <w:rPr>
                <w:b/>
              </w:rPr>
              <w:t>36 814</w:t>
            </w:r>
          </w:p>
        </w:tc>
        <w:tc>
          <w:tcPr>
            <w:tcW w:w="7729" w:type="dxa"/>
            <w:gridSpan w:val="2"/>
          </w:tcPr>
          <w:p w:rsidRPr="00DF1377" w:rsidR="00BD6FD6" w:rsidP="00DF1377" w:rsidRDefault="00DF1377" w14:paraId="25537A75" w14:textId="3D3F20C1">
            <w:pPr>
              <w:rPr>
                <w:b/>
                <w:bCs/>
              </w:rPr>
            </w:pPr>
            <w:r w:rsidRPr="00DF1377">
              <w:rPr>
                <w:b/>
                <w:bCs/>
                <w:szCs w:val="24"/>
              </w:rPr>
              <w:t>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(Wet behoud verlaagd btw-tarief op cultuur, media en sport)</w:t>
            </w:r>
          </w:p>
        </w:tc>
      </w:tr>
      <w:tr w:rsidR="00BD6FD6" w14:paraId="3C30F4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ACE4259"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05D44A3F" w14:textId="77777777">
            <w:pPr>
              <w:pStyle w:val="Amendement"/>
              <w:rPr>
                <w:rFonts w:ascii="Times New Roman" w:hAnsi="Times New Roman"/>
              </w:rPr>
            </w:pPr>
          </w:p>
        </w:tc>
      </w:tr>
      <w:tr w:rsidR="00BD6FD6" w:rsidTr="007852AD" w14:paraId="5336D2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D1C0E7F" w14:textId="77777777">
            <w:pPr>
              <w:pStyle w:val="Amendement"/>
              <w:rPr>
                <w:rFonts w:ascii="Times New Roman" w:hAnsi="Times New Roman"/>
              </w:rPr>
            </w:pPr>
          </w:p>
        </w:tc>
        <w:tc>
          <w:tcPr>
            <w:tcW w:w="7729" w:type="dxa"/>
            <w:gridSpan w:val="2"/>
          </w:tcPr>
          <w:p w:rsidRPr="007852AD" w:rsidR="00BD6FD6" w:rsidRDefault="00BD6FD6" w14:paraId="7864EF22" w14:textId="77777777">
            <w:pPr>
              <w:pStyle w:val="Amendement"/>
              <w:rPr>
                <w:rFonts w:ascii="Times New Roman" w:hAnsi="Times New Roman"/>
              </w:rPr>
            </w:pPr>
          </w:p>
        </w:tc>
      </w:tr>
      <w:tr w:rsidR="00BD6FD6" w14:paraId="68A51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9400310" w14:textId="3FE2BB42">
            <w:pPr>
              <w:pStyle w:val="Amendement"/>
              <w:rPr>
                <w:rFonts w:ascii="Times New Roman" w:hAnsi="Times New Roman"/>
              </w:rPr>
            </w:pPr>
            <w:r w:rsidRPr="007852AD">
              <w:rPr>
                <w:rFonts w:ascii="Times New Roman" w:hAnsi="Times New Roman"/>
              </w:rPr>
              <w:t xml:space="preserve">Nr. </w:t>
            </w:r>
            <w:r w:rsidR="00DF1377">
              <w:rPr>
                <w:rFonts w:ascii="Times New Roman" w:hAnsi="Times New Roman"/>
              </w:rPr>
              <w:t>4</w:t>
            </w:r>
          </w:p>
        </w:tc>
        <w:tc>
          <w:tcPr>
            <w:tcW w:w="7729" w:type="dxa"/>
            <w:gridSpan w:val="2"/>
          </w:tcPr>
          <w:p w:rsidRPr="007852AD" w:rsidR="00BD6FD6" w:rsidRDefault="00BD6FD6" w14:paraId="27C26B8F"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571D9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C0083C" w14:textId="77777777">
            <w:pPr>
              <w:pStyle w:val="Amendement"/>
              <w:rPr>
                <w:rFonts w:ascii="Times New Roman" w:hAnsi="Times New Roman"/>
              </w:rPr>
            </w:pPr>
          </w:p>
        </w:tc>
        <w:tc>
          <w:tcPr>
            <w:tcW w:w="7729" w:type="dxa"/>
            <w:gridSpan w:val="2"/>
          </w:tcPr>
          <w:p w:rsidR="00BD6FD6" w:rsidRDefault="00BD6FD6" w14:paraId="2508A138" w14:textId="77777777">
            <w:pPr>
              <w:pStyle w:val="Amendement"/>
              <w:tabs>
                <w:tab w:val="clear" w:pos="3310"/>
                <w:tab w:val="clear" w:pos="3600"/>
              </w:tabs>
              <w:rPr>
                <w:rFonts w:ascii="Times New Roman" w:hAnsi="Times New Roman"/>
              </w:rPr>
            </w:pPr>
          </w:p>
        </w:tc>
      </w:tr>
      <w:tr w:rsidR="00BD6FD6" w14:paraId="6C5DC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51F6B3F" w14:textId="77777777">
            <w:pPr>
              <w:pStyle w:val="Amendement"/>
              <w:rPr>
                <w:rFonts w:ascii="Times New Roman" w:hAnsi="Times New Roman"/>
              </w:rPr>
            </w:pPr>
          </w:p>
        </w:tc>
        <w:tc>
          <w:tcPr>
            <w:tcW w:w="7729" w:type="dxa"/>
            <w:gridSpan w:val="2"/>
          </w:tcPr>
          <w:p w:rsidRPr="007852AD" w:rsidR="00BD6FD6" w:rsidP="00DF1377" w:rsidRDefault="00BD6FD6" w14:paraId="41621F76" w14:textId="4134317E">
            <w:pPr>
              <w:rPr>
                <w:b/>
              </w:rPr>
            </w:pPr>
            <w:r>
              <w:tab/>
            </w:r>
            <w:r w:rsidRPr="007852AD">
              <w:t xml:space="preserve">Hieronder zijn opgenomen het advies van de Afdeling advisering van de Raad van State d.d. </w:t>
            </w:r>
            <w:r w:rsidRPr="00DF1377" w:rsidR="00DF1377">
              <w:rPr>
                <w:bCs/>
              </w:rPr>
              <w:t>8 september 2025</w:t>
            </w:r>
            <w:r w:rsidRPr="00DF1377">
              <w:rPr>
                <w:bCs/>
              </w:rPr>
              <w:t xml:space="preserve"> en het nader rapport d.d. </w:t>
            </w:r>
            <w:r w:rsidRPr="00DF1377" w:rsidR="00DF1377">
              <w:rPr>
                <w:bCs/>
              </w:rPr>
              <w:t>12 september 2025</w:t>
            </w:r>
            <w:r w:rsidRPr="00DF1377">
              <w:rPr>
                <w:bCs/>
              </w:rPr>
              <w:t xml:space="preserve">, aangeboden aan de Koning door de </w:t>
            </w:r>
            <w:r w:rsidRPr="00DF1377" w:rsidR="00DF1377">
              <w:rPr>
                <w:bCs/>
                <w:szCs w:val="24"/>
              </w:rPr>
              <w:t>staatssecretaris van Financiën</w:t>
            </w:r>
            <w:r w:rsidRPr="00DF1377">
              <w:rPr>
                <w:bCs/>
              </w:rPr>
              <w:t>. Het advies van de Afdeling advisering van de Raad van State is cursief afgedrukt.</w:t>
            </w:r>
          </w:p>
        </w:tc>
      </w:tr>
      <w:tr w:rsidR="00BD6FD6" w14:paraId="786EF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4CCF6E4" w14:textId="77777777">
            <w:pPr>
              <w:pStyle w:val="Amendement"/>
              <w:rPr>
                <w:rFonts w:ascii="Times New Roman" w:hAnsi="Times New Roman"/>
              </w:rPr>
            </w:pPr>
          </w:p>
        </w:tc>
        <w:tc>
          <w:tcPr>
            <w:tcW w:w="7729" w:type="dxa"/>
            <w:gridSpan w:val="2"/>
          </w:tcPr>
          <w:p w:rsidR="00BD6FD6" w:rsidRDefault="00BD6FD6" w14:paraId="26287075" w14:textId="77777777">
            <w:pPr>
              <w:pStyle w:val="Amendement"/>
              <w:tabs>
                <w:tab w:val="clear" w:pos="3310"/>
                <w:tab w:val="clear" w:pos="3600"/>
              </w:tabs>
              <w:rPr>
                <w:rFonts w:ascii="Times New Roman" w:hAnsi="Times New Roman"/>
                <w:b w:val="0"/>
              </w:rPr>
            </w:pPr>
          </w:p>
        </w:tc>
      </w:tr>
      <w:tr w:rsidR="00BD6FD6" w14:paraId="7D7D55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3936004" w14:textId="77777777">
            <w:pPr>
              <w:pStyle w:val="Amendement"/>
              <w:rPr>
                <w:rFonts w:ascii="Times New Roman" w:hAnsi="Times New Roman"/>
              </w:rPr>
            </w:pPr>
          </w:p>
        </w:tc>
        <w:tc>
          <w:tcPr>
            <w:tcW w:w="7729" w:type="dxa"/>
            <w:gridSpan w:val="2"/>
          </w:tcPr>
          <w:p w:rsidR="00BD6FD6" w:rsidRDefault="00BD6FD6" w14:paraId="57D76653" w14:textId="77777777">
            <w:pPr>
              <w:pStyle w:val="Amendement"/>
              <w:tabs>
                <w:tab w:val="clear" w:pos="3310"/>
                <w:tab w:val="clear" w:pos="3600"/>
              </w:tabs>
              <w:rPr>
                <w:rFonts w:ascii="Times New Roman" w:hAnsi="Times New Roman"/>
                <w:b w:val="0"/>
              </w:rPr>
            </w:pPr>
          </w:p>
        </w:tc>
      </w:tr>
      <w:tr w:rsidR="00BD6FD6" w14:paraId="241B0B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C3561FD" w14:textId="77777777">
            <w:pPr>
              <w:pStyle w:val="Amendement"/>
              <w:rPr>
                <w:rFonts w:ascii="Times New Roman" w:hAnsi="Times New Roman"/>
              </w:rPr>
            </w:pPr>
          </w:p>
        </w:tc>
        <w:tc>
          <w:tcPr>
            <w:tcW w:w="7729" w:type="dxa"/>
            <w:gridSpan w:val="2"/>
          </w:tcPr>
          <w:p w:rsidR="00BD6FD6" w:rsidRDefault="00BD6FD6" w14:paraId="36FD07A5" w14:textId="77777777">
            <w:pPr>
              <w:pStyle w:val="Amendement"/>
              <w:tabs>
                <w:tab w:val="clear" w:pos="3310"/>
                <w:tab w:val="clear" w:pos="3600"/>
              </w:tabs>
              <w:rPr>
                <w:rFonts w:ascii="Times New Roman" w:hAnsi="Times New Roman"/>
                <w:b w:val="0"/>
              </w:rPr>
            </w:pPr>
          </w:p>
        </w:tc>
      </w:tr>
    </w:tbl>
    <w:p w:rsidR="00D51DFF" w:rsidRDefault="00D51DFF" w14:paraId="3C95F191" w14:textId="77777777">
      <w:pPr>
        <w:pStyle w:val="Amendement"/>
        <w:rPr>
          <w:rFonts w:ascii="Times New Roman" w:hAnsi="Times New Roman"/>
          <w:b w:val="0"/>
        </w:rPr>
      </w:pPr>
    </w:p>
    <w:p w:rsidR="00EE1CA2" w:rsidP="00EE1CA2" w:rsidRDefault="00EE1CA2" w14:paraId="7877DED6" w14:textId="77777777">
      <w:r>
        <w:t>Blijkens de mededeling van de Directeur van Uw kabinet van 25 augustus 2025, no.</w:t>
      </w:r>
      <w:r w:rsidRPr="00730C71">
        <w:t xml:space="preserve"> </w:t>
      </w:r>
      <w:r>
        <w:t>2025001832, machtigde Uwe Majesteit de Afdeling advisering van de Raad van State haar advies inzake het bovenvermelde voorstel van wet rechtstreeks aan mij te doen toekomen. Dit advies, gedateerd 8 september, No</w:t>
      </w:r>
      <w:r w:rsidRPr="00730C71">
        <w:t>.</w:t>
      </w:r>
      <w:r>
        <w:t xml:space="preserve"> W06.25.00222/III, bied ik U, hierbij aan.</w:t>
      </w:r>
    </w:p>
    <w:p w:rsidR="00EE1CA2" w:rsidP="00EE1CA2" w:rsidRDefault="00EE1CA2" w14:paraId="29ACAB6F" w14:textId="77777777"/>
    <w:p w:rsidR="00EE1CA2" w:rsidP="00EE1CA2" w:rsidRDefault="00EE1CA2" w14:paraId="6039862F" w14:textId="77777777">
      <w:r>
        <w:t>Het kabinet is de Afdeling erkentelijk voor de voortvarendheid waarmee het advies over het bovenvermelde voorstel is uitgebracht.</w:t>
      </w:r>
    </w:p>
    <w:p w:rsidR="00EE1CA2" w:rsidP="00EE1CA2" w:rsidRDefault="00EE1CA2" w14:paraId="19DD9025" w14:textId="77777777"/>
    <w:p w:rsidRPr="000A1EEF" w:rsidR="00EE1CA2" w:rsidP="00EE1CA2" w:rsidRDefault="00EE1CA2" w14:paraId="63EF9176" w14:textId="77777777">
      <w:r>
        <w:t>Naar aanleiding van het advies, dat hieronder cursief is opgenomen, merk ik het volgende op.</w:t>
      </w:r>
    </w:p>
    <w:p w:rsidR="00EE1CA2" w:rsidP="00EE1CA2" w:rsidRDefault="00EE1CA2" w14:paraId="78AC5AA5" w14:textId="77777777">
      <w:pPr>
        <w:rPr>
          <w:i/>
          <w:iCs/>
        </w:rPr>
      </w:pPr>
    </w:p>
    <w:p w:rsidRPr="001D35CF" w:rsidR="00EE1CA2" w:rsidP="00EE1CA2" w:rsidRDefault="00EE1CA2" w14:paraId="071E52AC" w14:textId="77777777">
      <w:pPr>
        <w:rPr>
          <w:i/>
          <w:iCs/>
        </w:rPr>
      </w:pPr>
      <w:r w:rsidRPr="001D35CF">
        <w:rPr>
          <w:i/>
          <w:iCs/>
        </w:rPr>
        <w:t>Bij Kabinetsmissive van 25 augustus 2025, no.2025001832, heeft Uwe Majesteit, op voordracht van de Minister van Financiën, bij de Afdeling advisering van de Raad van State ter overweging aanhangig gemaakt het voorstel van wet houdende wijziging van het Belastingplan 2025 in verband met het behoud van het verlaagde btw-tarief op cultuur, media en sport en een beperking van de jaarlijkse indexering van een aantal bedragen die gelden voor de inkomstenbelasting, de loonbelasting of de toeslagen door middel van het beperkt toepassen van de tabelcorrectiefactor (Wet behoud verlaagd btw-tarief op cultuur, media en sport), met memorie van toelichting.</w:t>
      </w:r>
    </w:p>
    <w:p w:rsidRPr="001D35CF" w:rsidR="00EE1CA2" w:rsidP="00EE1CA2" w:rsidRDefault="00EE1CA2" w14:paraId="31564529" w14:textId="77777777">
      <w:pPr>
        <w:rPr>
          <w:i/>
          <w:iCs/>
        </w:rPr>
      </w:pPr>
    </w:p>
    <w:p w:rsidR="00EE1CA2" w:rsidP="00EE1CA2" w:rsidRDefault="00EE1CA2" w14:paraId="55A803F8" w14:textId="77777777">
      <w:pPr>
        <w:rPr>
          <w:i/>
          <w:iCs/>
        </w:rPr>
      </w:pPr>
      <w:r w:rsidRPr="001D35CF">
        <w:rPr>
          <w:i/>
          <w:iCs/>
        </w:rPr>
        <w:t>De Afdeling advisering van de Raad van State heeft geen opmerkingen bij het voorstel en adviseert het voorstel bij de Tweede Kamer der Staten-Generaal in te dienen.</w:t>
      </w:r>
    </w:p>
    <w:p w:rsidR="00EE1CA2" w:rsidP="00EE1CA2" w:rsidRDefault="00EE1CA2" w14:paraId="29AD2546" w14:textId="77777777">
      <w:pPr>
        <w:rPr>
          <w:i/>
          <w:iCs/>
        </w:rPr>
      </w:pPr>
    </w:p>
    <w:p w:rsidRPr="00AB69B4" w:rsidR="00EE1CA2" w:rsidP="00EE1CA2" w:rsidRDefault="00EE1CA2" w14:paraId="727BC2A5" w14:textId="77777777">
      <w:pPr>
        <w:rPr>
          <w:i/>
          <w:iCs/>
        </w:rPr>
      </w:pPr>
      <w:r w:rsidRPr="00AB69B4">
        <w:rPr>
          <w:i/>
          <w:iCs/>
        </w:rPr>
        <w:t>De vice-president van de Raad van State,</w:t>
      </w:r>
    </w:p>
    <w:p w:rsidR="00EE1CA2" w:rsidP="00EE1CA2" w:rsidRDefault="00EE1CA2" w14:paraId="10E73A71" w14:textId="77777777">
      <w:pPr>
        <w:rPr>
          <w:i/>
          <w:iCs/>
        </w:rPr>
      </w:pPr>
      <w:r w:rsidRPr="00AB69B4">
        <w:rPr>
          <w:i/>
          <w:iCs/>
        </w:rPr>
        <w:t>Th.C. de Graaf</w:t>
      </w:r>
    </w:p>
    <w:p w:rsidR="00EE1CA2" w:rsidP="00EE1CA2" w:rsidRDefault="00EE1CA2" w14:paraId="11B9B654" w14:textId="77777777"/>
    <w:p w:rsidR="00EE1CA2" w:rsidP="00EE1CA2" w:rsidRDefault="00EE1CA2" w14:paraId="1C946D9D" w14:textId="77777777">
      <w:r>
        <w:t xml:space="preserve">Van de gelegenheid is gebruikgemaakt om de reikwijdte van de beperkte indexatie van de tabelcorrectiefactor aan te passen. In het wetsvoorstel zoals dat ter advisering aan de Afdeling is voorgelegd, werd – naast de beperkte toepassing van de tabelcorrectiefactor voor een aantal bedragen in de loon- en inkomstenbelasting – de </w:t>
      </w:r>
      <w:r>
        <w:lastRenderedPageBreak/>
        <w:t>tabelcorrectiefactor ook beperkt toegepast voor de vermogensgrens van de huurtoeslag die is opgenomen in artikel 7, derde en vierde lid, van de Algemene wet inkomensafhankelijke regelingen (Awir). Deze beperkte toepassing van de tabelcorrectiefactor geldt dan niet voor de vermogensgrenzen die voor de zorgtoeslag en het kindgebonden budget worden gehanteerd. Bij die regelingen wordt voor de vermogensgrens namelijk niet aangesloten bij artikel 7, derde en vierde lid, Awir.</w:t>
      </w:r>
    </w:p>
    <w:p w:rsidR="00EE1CA2" w:rsidP="00EE1CA2" w:rsidRDefault="00EE1CA2" w14:paraId="053DE340" w14:textId="77777777"/>
    <w:p w:rsidR="00EE1CA2" w:rsidP="00EE1CA2" w:rsidRDefault="00EE1CA2" w14:paraId="3243BF1B" w14:textId="77777777">
      <w:r>
        <w:t xml:space="preserve">Het kabinet is van mening dat het logischer is de vermogensgrenzen voor alle toeslagen op een gelijke wijze te indexeren. Daarom wordt voorgesteld de vermogensgrenzen voor alle toeslagen met de volledige tabelcorrectiefactor van 1,029 te indexeren. </w:t>
      </w:r>
    </w:p>
    <w:p w:rsidR="00EE1CA2" w:rsidP="00EE1CA2" w:rsidRDefault="00EE1CA2" w14:paraId="6C0732C4" w14:textId="77777777">
      <w:r w:rsidRPr="002E73A3">
        <w:t>De vermogensgrens voor de huurtoeslag is gelijk aan de vermogensgrens voor het wel of niet vaststellen van een aanslag, die is opgenomen in artikel 9.4, eerste lid, onderdeel c, van de Wet inkomstenbelasting 2001 (Wet IB 2001) en de vermogensgrens voor het vaststellen van een beschikking rendementsgrondslag, die is opgenomen in 9.4a, eerste lid, onderdeel a, Wet IB 2001. Het kabinet acht het onwenselijk om de hiervoor genoemde vermogensgrenzen voor de inkomstenbelasting en de huurtoeslag op verschillende bedragen vast te stellen, omdat de beschikking rendementsgrondslag ook van belang is voor de toekenning van het recht op huurtoeslag. Daarom wordt voorgesteld om ook de hiervoor genoemde vermogensgrenzen voor de inkomstenbelasting met de volledige tabelcorrectiefactor van 1,029 te indexeren.</w:t>
      </w:r>
    </w:p>
    <w:p w:rsidR="00EE1CA2" w:rsidP="00EE1CA2" w:rsidRDefault="00EE1CA2" w14:paraId="6B337FBD" w14:textId="77777777"/>
    <w:p w:rsidR="00EE1CA2" w:rsidP="00EE1CA2" w:rsidRDefault="00EE1CA2" w14:paraId="31B85D4A" w14:textId="77777777">
      <w:bookmarkStart w:name="_Hlk208326210" w:id="0"/>
      <w:r>
        <w:t xml:space="preserve">Ook zijn enkele redactionele wijzigingen in het wetsvoorstel en de memorie van toelichting aangebracht. </w:t>
      </w:r>
    </w:p>
    <w:bookmarkEnd w:id="0"/>
    <w:p w:rsidR="00EE1CA2" w:rsidP="00EE1CA2" w:rsidRDefault="00EE1CA2" w14:paraId="08DF9B74" w14:textId="77777777"/>
    <w:p w:rsidR="00EE1CA2" w:rsidP="00EE1CA2" w:rsidRDefault="00EE1CA2" w14:paraId="055B7421" w14:textId="77777777">
      <w:r>
        <w:t xml:space="preserve">Ik moge U verzoeken het hierbij </w:t>
      </w:r>
      <w:r w:rsidRPr="00BC4191">
        <w:t>gevoegde gewijzigde voorstel van wet en de gewijzigde memorie van toelichting aan de Tweede</w:t>
      </w:r>
      <w:r>
        <w:t xml:space="preserve"> Kamer der Staten-Generaal te zenden.</w:t>
      </w:r>
    </w:p>
    <w:p w:rsidR="00EE1CA2" w:rsidP="00EE1CA2" w:rsidRDefault="00EE1CA2" w14:paraId="2082D84D" w14:textId="77777777"/>
    <w:p w:rsidR="00EE1CA2" w:rsidP="00EE1CA2" w:rsidRDefault="00EE1CA2" w14:paraId="56B0D24B" w14:textId="77777777"/>
    <w:p w:rsidR="00EE1CA2" w:rsidP="00EE1CA2" w:rsidRDefault="00EE1CA2" w14:paraId="58807CA8" w14:textId="77777777">
      <w:r>
        <w:t>De Staatssecretaris van Financiën,</w:t>
      </w:r>
    </w:p>
    <w:p w:rsidRPr="002415B9" w:rsidR="00EE1CA2" w:rsidP="00EE1CA2" w:rsidRDefault="00EE1CA2" w14:paraId="31F681EA" w14:textId="1176AFC0">
      <w:r>
        <w:t xml:space="preserve">E.H.J. </w:t>
      </w:r>
      <w:r>
        <w:t>Heijnen</w:t>
      </w:r>
    </w:p>
    <w:p w:rsidR="00EE1CA2" w:rsidP="00EE1CA2" w:rsidRDefault="00EE1CA2" w14:paraId="58E2B8DC" w14:textId="77777777"/>
    <w:p w:rsidR="00EE1CA2" w:rsidRDefault="00EE1CA2" w14:paraId="383C32DB" w14:textId="77777777">
      <w:pPr>
        <w:pStyle w:val="Amendement"/>
        <w:rPr>
          <w:rFonts w:ascii="Times New Roman" w:hAnsi="Times New Roman"/>
          <w:b w:val="0"/>
        </w:rPr>
      </w:pPr>
    </w:p>
    <w:sectPr w:rsidR="00EE1CA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D293" w14:textId="77777777" w:rsidR="00DF1377" w:rsidRDefault="00DF1377">
      <w:pPr>
        <w:spacing w:line="20" w:lineRule="exact"/>
      </w:pPr>
    </w:p>
  </w:endnote>
  <w:endnote w:type="continuationSeparator" w:id="0">
    <w:p w14:paraId="5A92D626" w14:textId="77777777" w:rsidR="00DF1377" w:rsidRDefault="00DF1377">
      <w:pPr>
        <w:pStyle w:val="Amendement"/>
      </w:pPr>
      <w:r>
        <w:rPr>
          <w:b w:val="0"/>
        </w:rPr>
        <w:t xml:space="preserve"> </w:t>
      </w:r>
    </w:p>
  </w:endnote>
  <w:endnote w:type="continuationNotice" w:id="1">
    <w:p w14:paraId="65669B96" w14:textId="77777777" w:rsidR="00DF1377" w:rsidRDefault="00DF1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9166" w14:textId="77777777" w:rsidR="00DF1377" w:rsidRDefault="00DF1377">
      <w:pPr>
        <w:pStyle w:val="Amendement"/>
      </w:pPr>
      <w:r>
        <w:rPr>
          <w:b w:val="0"/>
        </w:rPr>
        <w:separator/>
      </w:r>
    </w:p>
  </w:footnote>
  <w:footnote w:type="continuationSeparator" w:id="0">
    <w:p w14:paraId="3A592935" w14:textId="77777777" w:rsidR="00DF1377" w:rsidRDefault="00DF1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77"/>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62757D"/>
    <w:rsid w:val="006309C6"/>
    <w:rsid w:val="00663BC7"/>
    <w:rsid w:val="006E3DDC"/>
    <w:rsid w:val="00703A6D"/>
    <w:rsid w:val="00710AFA"/>
    <w:rsid w:val="007852AD"/>
    <w:rsid w:val="007B0F78"/>
    <w:rsid w:val="00855392"/>
    <w:rsid w:val="008952A6"/>
    <w:rsid w:val="008A750C"/>
    <w:rsid w:val="008D17C0"/>
    <w:rsid w:val="008E54B8"/>
    <w:rsid w:val="0095093B"/>
    <w:rsid w:val="009571E2"/>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DF1377"/>
    <w:rsid w:val="00E010A1"/>
    <w:rsid w:val="00E75C18"/>
    <w:rsid w:val="00E94529"/>
    <w:rsid w:val="00EB3552"/>
    <w:rsid w:val="00EE1CA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87667"/>
  <w15:docId w15:val="{CD31E990-6E27-44EC-96CB-664B8FCB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684</ap:Words>
  <ap:Characters>3768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2025-09-24T14:06:00.0000000Z</dcterms:created>
  <dcterms:modified xsi:type="dcterms:W3CDTF">2025-09-24T14:06:00.0000000Z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