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2025Z16916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september 2025)</w:t>
        <w:br/>
      </w:r>
    </w:p>
    <w:p>
      <w:r>
        <w:t xml:space="preserve">Vragen van het lid Sneller (D66) aan de ministers van Binnenlandse Zaken en Koninkrijksrelaties en van Justitie en Veiligheid over het artikel 'De onwaarschijnlijke val van een burgemeester'</w:t>
      </w:r>
      <w:r>
        <w:br/>
      </w:r>
    </w:p>
    <w:p>
      <w:pPr>
        <w:pStyle w:val="ListParagraph"/>
        <w:numPr>
          <w:ilvl w:val="0"/>
          <w:numId w:val="100486600"/>
        </w:numPr>
        <w:ind w:left="360"/>
      </w:pPr>
      <w:r>
        <w:t xml:space="preserve">Wat is uw reactie op het artikel 'De onwaarschijnlijke val van een burgemeester'? 1)</w:t>
      </w:r>
      <w:r>
        <w:br/>
      </w:r>
    </w:p>
    <w:p>
      <w:pPr>
        <w:pStyle w:val="ListParagraph"/>
        <w:numPr>
          <w:ilvl w:val="0"/>
          <w:numId w:val="100486600"/>
        </w:numPr>
        <w:ind w:left="360"/>
      </w:pPr>
      <w:r>
        <w:t xml:space="preserve">Klopt het dat burgemeester Schuiling eervol ontslag zou kunnen krijgen mits hij zijn verzet tegen de strafbeschikking zou opzeggen (NRC: “BZK liet net weten dat BM per 1 oktober gaat stoppen en dat hem eervol ontslag wordt verleend wanneer hij zijn verzet intrekt”)?</w:t>
      </w:r>
      <w:r>
        <w:br/>
      </w:r>
    </w:p>
    <w:p>
      <w:pPr>
        <w:pStyle w:val="ListParagraph"/>
        <w:numPr>
          <w:ilvl w:val="0"/>
          <w:numId w:val="100486600"/>
        </w:numPr>
        <w:ind w:left="360"/>
      </w:pPr>
      <w:r>
        <w:t xml:space="preserve">Hoe rijmt dit zich met de uitspraak van uw voorganger dat zij geen druk zou hebben uitgeoefend op Schuiling om te stoppen? (NRC: “De heer Schuiling heeft er zelf voor gekozen om te stoppen. Ik heb geen druk op hem uitgeoefend”)</w:t>
      </w:r>
      <w:r>
        <w:br/>
      </w:r>
    </w:p>
    <w:p>
      <w:pPr>
        <w:pStyle w:val="ListParagraph"/>
        <w:numPr>
          <w:ilvl w:val="0"/>
          <w:numId w:val="100486600"/>
        </w:numPr>
        <w:ind w:left="360"/>
      </w:pPr>
      <w:r>
        <w:t xml:space="preserve">Waarom heeft u besloten dat de burgemeester beter zijn verzet tegen de strafbeschikking kon opgeven?</w:t>
      </w:r>
      <w:r>
        <w:br/>
      </w:r>
    </w:p>
    <w:p>
      <w:pPr>
        <w:pStyle w:val="ListParagraph"/>
        <w:numPr>
          <w:ilvl w:val="0"/>
          <w:numId w:val="100486600"/>
        </w:numPr>
        <w:ind w:left="360"/>
      </w:pPr>
      <w:r>
        <w:t xml:space="preserve">Kunt u een uitgebreide reflectie over het verloop van deze gehele zaak met inachtneming van de verschillende verantwoordelijkheden, en beschrijven welke lessen hieruit te trekken zijn zodra de rechtszaak geheel is afgerond?</w:t>
      </w:r>
      <w:r>
        <w:br/>
      </w:r>
    </w:p>
    <w:p>
      <w:r>
        <w:t xml:space="preserve"> </w:t>
      </w:r>
      <w:r>
        <w:br/>
      </w:r>
    </w:p>
    <w:p>
      <w:r>
        <w:t xml:space="preserve">1) NRC, 10 september 2025, 'De onwaarschijnlijke val van een burgemeester', www.nrc.nl/nieuws/2025/09/10/de-onwaarschijnlijke-val-van-een-burgemeester-a4905406?t=1757686901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