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1ED2CA9D" w14:textId="77777777"/>
        <w:p w:rsidR="00241BB9" w:rsidRDefault="00000000" w14:paraId="17B3AFD8" w14:textId="77777777">
          <w:pPr>
            <w:spacing w:line="240" w:lineRule="auto"/>
          </w:pPr>
        </w:p>
      </w:sdtContent>
    </w:sdt>
    <w:p w:rsidR="00CD5856" w:rsidRDefault="00CD5856" w14:paraId="636DBDE5" w14:textId="77777777">
      <w:pPr>
        <w:spacing w:line="240" w:lineRule="auto"/>
      </w:pPr>
    </w:p>
    <w:p w:rsidR="00CD5856" w:rsidRDefault="00CD5856" w14:paraId="041ADE86" w14:textId="77777777"/>
    <w:p w:rsidR="00CD5856" w:rsidRDefault="00CD5856" w14:paraId="15D7767A" w14:textId="77777777"/>
    <w:p w:rsidR="00CD5856" w:rsidRDefault="00CD5856" w14:paraId="05E8D7DA" w14:textId="77777777">
      <w:pPr>
        <w:sectPr w:rsidR="00CD5856" w:rsidSect="001964B8">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EB787C" w:rsidRDefault="001C6588" w14:paraId="50AD7C25" w14:textId="77777777">
      <w:pPr>
        <w:pStyle w:val="Huisstijl-Gegevens"/>
        <w:spacing w:line="276" w:lineRule="auto"/>
      </w:pPr>
      <w:r>
        <w:t>Geachte voorzitter</w:t>
      </w:r>
      <w:r w:rsidR="00EB231B">
        <w:t>,</w:t>
      </w:r>
    </w:p>
    <w:p w:rsidR="00EB787C" w:rsidP="00EB787C" w:rsidRDefault="00EB787C" w14:paraId="2A8068E4" w14:textId="77777777">
      <w:pPr>
        <w:pStyle w:val="Huisstijl-Gegevens"/>
        <w:spacing w:line="276" w:lineRule="auto"/>
      </w:pPr>
    </w:p>
    <w:p w:rsidR="00F348BC" w:rsidP="00EB787C" w:rsidRDefault="001C6588" w14:paraId="1B44B751" w14:textId="77777777">
      <w:pPr>
        <w:pStyle w:val="Huisstijl-Gegevens"/>
        <w:spacing w:line="276" w:lineRule="auto"/>
      </w:pPr>
      <w:r w:rsidRPr="009F5C37">
        <w:t>Op grond van de Wet marktordening gezondheidszorg (Wmg) stelt de minister van Volksgezondheid, Welzijn en Sport voor ieder kalenderjaar het bedrag vast dat in dat kalenderjaar beschikbaar is voor verzekerde zorg op grond van de Wet langdurige zorg (Wlz).</w:t>
      </w:r>
    </w:p>
    <w:p w:rsidR="00F348BC" w:rsidP="00EB787C" w:rsidRDefault="00F348BC" w14:paraId="363952A7" w14:textId="77777777">
      <w:pPr>
        <w:pStyle w:val="Huisstijl-Gegevens"/>
        <w:spacing w:line="276" w:lineRule="auto"/>
      </w:pPr>
    </w:p>
    <w:p w:rsidR="00F348BC" w:rsidP="00EB787C" w:rsidRDefault="001C6588" w14:paraId="50249B4C" w14:textId="77777777">
      <w:pPr>
        <w:pStyle w:val="Huisstijl-Gegevens"/>
        <w:spacing w:line="276" w:lineRule="auto"/>
      </w:pPr>
      <w:r>
        <w:t>In mijn brief van 10 juli 2025 aan de Nederlandse Zorgautoriteit (NZa)</w:t>
      </w:r>
      <w:r>
        <w:rPr>
          <w:rStyle w:val="Voetnootmarkering"/>
        </w:rPr>
        <w:footnoteReference w:id="1"/>
      </w:r>
      <w:r w:rsidRPr="00F633F6">
        <w:t xml:space="preserve"> </w:t>
      </w:r>
      <w:r>
        <w:t>heb ik het voorlopige kader voor de Wlz voor 2026-2030 bekend gemaakt. Deze meerjarige voorlopige kaderbrief Wlz 2026-2030 was onder voorbehoud van de politieke besluitvorming over de begroting 2026 die op Prinsjesdag aan het parlement is gepresenteerd. In de voorlopige kaderbrief heb ik een meerjarig inzicht gegeven in de ontwikkeling van het Wlz-kader voor het lopende jaar (2025) en vijf toekomstige jaren (2026-2030).</w:t>
      </w:r>
    </w:p>
    <w:p w:rsidR="00F348BC" w:rsidP="00EB787C" w:rsidRDefault="00F348BC" w14:paraId="27668927" w14:textId="77777777">
      <w:pPr>
        <w:pStyle w:val="Huisstijl-Gegevens"/>
        <w:spacing w:line="276" w:lineRule="auto"/>
      </w:pPr>
    </w:p>
    <w:p w:rsidR="00F348BC" w:rsidP="00EB787C" w:rsidRDefault="001C6588" w14:paraId="23A86F24" w14:textId="77777777">
      <w:pPr>
        <w:pStyle w:val="Huisstijl-Gegevens"/>
        <w:spacing w:line="276" w:lineRule="auto"/>
      </w:pPr>
      <w:r>
        <w:t>Met de inwerkingtreding van de Wet Domeinsoverstijgende Samenwerking</w:t>
      </w:r>
      <w:r>
        <w:rPr>
          <w:rStyle w:val="Voetnootmarkering"/>
        </w:rPr>
        <w:footnoteReference w:id="2"/>
      </w:r>
      <w:r>
        <w:t xml:space="preserve"> (hierna: de wet DOS) is met ingang van 2026 mogelijk dat de minister voor maximaal vijf jaar een financieel kader kan vaststellen. Het meerjarig inzicht is een belangrijke ondersteuning voor de zorgkantoren </w:t>
      </w:r>
      <w:r w:rsidRPr="009F5C37">
        <w:t>bij het afsluiten van contracten vanuit een meerjarig perspectief met zorgaanbieders.</w:t>
      </w:r>
      <w:bookmarkStart w:name="_Hlk202793568" w:id="0"/>
      <w:r>
        <w:t xml:space="preserve"> </w:t>
      </w:r>
      <w:r w:rsidRPr="009F5C37">
        <w:t xml:space="preserve">Het is daarmee een extra bouwsteen om de zorg nu en in de toekomst toegankelijk, betaalbaar en kwalitatief op orde te houden. </w:t>
      </w:r>
      <w:bookmarkEnd w:id="0"/>
      <w:r w:rsidRPr="009F5C37">
        <w:t>Het meerjarig perspectief geeft zorgkantoren en zorgaanbieders inzicht in de</w:t>
      </w:r>
      <w:r>
        <w:t xml:space="preserve"> verwachte ontwikkeling </w:t>
      </w:r>
      <w:r w:rsidRPr="009F5C37">
        <w:t>van het Wlz-kader voor de komende jaren. Dat betekent niet dat het Wlz-kader voor de gehele periode definitief vastligt. Zoals toegelicht in de memorie van toelichting bij het wetsvoorstel</w:t>
      </w:r>
      <w:r>
        <w:t xml:space="preserve"> DOS</w:t>
      </w:r>
      <w:r>
        <w:rPr>
          <w:rStyle w:val="Voetnootmarkering"/>
        </w:rPr>
        <w:footnoteReference w:id="3"/>
      </w:r>
      <w:r>
        <w:t xml:space="preserve"> zal ik </w:t>
      </w:r>
      <w:r w:rsidRPr="00D62774">
        <w:t>alleen meerjarige zekerheid bieden over ten hoogste de periode tot 1 jaar na de betrokken kabinetsperiode.</w:t>
      </w:r>
    </w:p>
    <w:p w:rsidR="00F348BC" w:rsidP="00F348BC" w:rsidRDefault="00F348BC" w14:paraId="0FBC86FB" w14:textId="77777777">
      <w:pPr>
        <w:pStyle w:val="Plattetekst"/>
      </w:pPr>
    </w:p>
    <w:p w:rsidR="00F348BC" w:rsidP="00EB787C" w:rsidRDefault="001C6588" w14:paraId="4E9308ED" w14:textId="77777777">
      <w:pPr>
        <w:pStyle w:val="Huisstijl-Gegevens"/>
        <w:spacing w:line="276" w:lineRule="auto"/>
      </w:pPr>
      <w:r>
        <w:lastRenderedPageBreak/>
        <w:t xml:space="preserve">Tevens is met ingang van 2026 het landelijk financieel Wlz-kader onderverdeeld naar drie deelkaders: (1) zorg in natura, (2) persoonsgebonden budgetten en (3) overige uitvoeringskosten. </w:t>
      </w:r>
      <w:bookmarkStart w:name="_Hlk202793657" w:id="1"/>
      <w:r>
        <w:t xml:space="preserve">Dit laatste deelkader vloeit voort uit de wet DOS en biedt zorgkantoren de mogelijkheid </w:t>
      </w:r>
      <w:r w:rsidRPr="007F7E63">
        <w:t>om preventieve maatregelen te bekostigen</w:t>
      </w:r>
      <w:r>
        <w:t xml:space="preserve"> die leiden tot lagere zorguitgaven</w:t>
      </w:r>
      <w:r w:rsidRPr="007F7E63">
        <w:t xml:space="preserve"> en om onafhankelijke cliëntondersteuning</w:t>
      </w:r>
      <w:r>
        <w:t xml:space="preserve"> (OCO)</w:t>
      </w:r>
      <w:r w:rsidRPr="007F7E63">
        <w:t xml:space="preserve"> en cliëntvertrouwenspersonen</w:t>
      </w:r>
      <w:r>
        <w:t xml:space="preserve"> (CVP)</w:t>
      </w:r>
      <w:r w:rsidRPr="007F7E63">
        <w:t xml:space="preserve"> in te kopen</w:t>
      </w:r>
      <w:r>
        <w:t xml:space="preserve"> via het Wlz-kader</w:t>
      </w:r>
      <w:bookmarkEnd w:id="1"/>
      <w:r>
        <w:t>.</w:t>
      </w:r>
    </w:p>
    <w:p w:rsidR="00F348BC" w:rsidP="00EB787C" w:rsidRDefault="00F348BC" w14:paraId="79CA3958" w14:textId="77777777">
      <w:pPr>
        <w:pStyle w:val="Huisstijl-Gegevens"/>
        <w:spacing w:line="276" w:lineRule="auto"/>
      </w:pPr>
    </w:p>
    <w:p w:rsidRPr="00EB787C" w:rsidR="00F348BC" w:rsidP="00EB787C" w:rsidRDefault="001C6588" w14:paraId="5E06EF96" w14:textId="77777777">
      <w:pPr>
        <w:pStyle w:val="Huisstijl-Gegevens"/>
        <w:spacing w:line="276" w:lineRule="auto"/>
      </w:pPr>
      <w:r w:rsidRPr="00EB787C">
        <w:t xml:space="preserve">Zoals ook aangegeven in de voorlopige kaderbrief leidt de demissionaire status van het kabinet ertoe dat ik het definitief budgettair kader enkel voor 2025 en 2026 zal vaststellen. Het vaststellen van het budgettair kader voor 2027 en verder is aan een volgend kabinet. Deze brief stuur ik in afschrift naar de NZa. Het Wlz-kader voor de jaren 2027-2030 wordt zodoende nog niet definitief vastgesteld en verdeeld, maar heeft slechts een indicatief karakter.  </w:t>
      </w:r>
    </w:p>
    <w:p w:rsidRPr="009F5C37" w:rsidR="00F348BC" w:rsidP="002F387B" w:rsidRDefault="001C6588" w14:paraId="4B2228D4" w14:textId="77777777">
      <w:pPr>
        <w:pStyle w:val="StandaardSlotzin"/>
        <w:spacing w:after="160"/>
        <w:rPr>
          <w:b/>
          <w:bCs/>
        </w:rPr>
      </w:pPr>
      <w:r w:rsidRPr="009F5C37">
        <w:rPr>
          <w:b/>
          <w:bCs/>
        </w:rPr>
        <w:t xml:space="preserve">I Budgettair kader Wlz 2025 </w:t>
      </w:r>
    </w:p>
    <w:p w:rsidR="00F348BC" w:rsidP="00EB787C" w:rsidRDefault="001C6588" w14:paraId="788536F6" w14:textId="77777777">
      <w:pPr>
        <w:pStyle w:val="Huisstijl-Gegevens"/>
        <w:spacing w:line="276" w:lineRule="auto"/>
      </w:pPr>
      <w:r w:rsidRPr="009F5C37">
        <w:t xml:space="preserve">Het actuele Wlz-kader voor 2025 bedraagt volgens </w:t>
      </w:r>
      <w:r>
        <w:t>de</w:t>
      </w:r>
      <w:r w:rsidRPr="009F5C37">
        <w:t xml:space="preserve"> beleidsregel </w:t>
      </w:r>
      <w:r>
        <w:t xml:space="preserve">van de NZa afgerond </w:t>
      </w:r>
      <w:r w:rsidRPr="009F5C37">
        <w:t>€</w:t>
      </w:r>
      <w:r>
        <w:t xml:space="preserve"> </w:t>
      </w:r>
      <w:r w:rsidRPr="009F5C37">
        <w:t>38.98</w:t>
      </w:r>
      <w:r>
        <w:t>3</w:t>
      </w:r>
      <w:r w:rsidRPr="009F5C37">
        <w:t xml:space="preserve"> miljoen, waarvan € 34.6</w:t>
      </w:r>
      <w:r>
        <w:t>35</w:t>
      </w:r>
      <w:r w:rsidRPr="009F5C37">
        <w:t xml:space="preserve"> </w:t>
      </w:r>
      <w:r>
        <w:t xml:space="preserve">miljoen </w:t>
      </w:r>
      <w:r w:rsidRPr="009F5C37">
        <w:t>voor het deelkader zorg in natura (zin)</w:t>
      </w:r>
      <w:r>
        <w:t xml:space="preserve"> </w:t>
      </w:r>
      <w:r w:rsidRPr="009F5C37">
        <w:t>en € 4.34</w:t>
      </w:r>
      <w:r>
        <w:t>9</w:t>
      </w:r>
      <w:r w:rsidRPr="009F5C37">
        <w:t xml:space="preserve"> miljoen voor het deelkader persoonsgebonden budget (pgb</w:t>
      </w:r>
      <w:r>
        <w:t>)</w:t>
      </w:r>
      <w:r>
        <w:rPr>
          <w:rStyle w:val="Voetnootmarkering"/>
        </w:rPr>
        <w:footnoteReference w:id="4"/>
      </w:r>
      <w:r>
        <w:t xml:space="preserve">. </w:t>
      </w:r>
      <w:r w:rsidRPr="009F5C37">
        <w:t xml:space="preserve">Dit is opgenomen in tabel 1. </w:t>
      </w:r>
    </w:p>
    <w:p w:rsidR="00F348BC" w:rsidP="00F348BC" w:rsidRDefault="00F348BC" w14:paraId="299A756D" w14:textId="77777777"/>
    <w:p w:rsidRPr="009F5C37" w:rsidR="00F348BC" w:rsidP="00F348BC" w:rsidRDefault="001C6588" w14:paraId="2597AC64" w14:textId="77777777">
      <w:pPr>
        <w:pStyle w:val="Plattetekst"/>
        <w:suppressAutoHyphens/>
        <w:spacing w:line="276" w:lineRule="auto"/>
        <w:rPr>
          <w:i/>
          <w:iCs/>
          <w:color w:val="FF0000"/>
        </w:rPr>
      </w:pPr>
      <w:r w:rsidRPr="009F5C37">
        <w:rPr>
          <w:i/>
          <w:iCs/>
        </w:rPr>
        <w:t xml:space="preserve">Tabel 1: stand Wlz-kader 2025 </w:t>
      </w:r>
    </w:p>
    <w:p w:rsidRPr="009F5C37" w:rsidR="00F348BC" w:rsidP="00F348BC" w:rsidRDefault="001C6588" w14:paraId="46BD5158" w14:textId="77777777">
      <w:pPr>
        <w:pStyle w:val="Plattetekst"/>
      </w:pPr>
      <w:r w:rsidRPr="0008729B">
        <w:rPr>
          <w:noProof/>
        </w:rPr>
        <w:drawing>
          <wp:inline distT="0" distB="0" distL="0" distR="0" wp14:anchorId="4CF1A402" wp14:editId="6D2DB77E">
            <wp:extent cx="5400000" cy="393137"/>
            <wp:effectExtent l="0" t="0" r="0" b="6985"/>
            <wp:docPr id="4973770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77089"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400000" cy="393137"/>
                    </a:xfrm>
                    <a:prstGeom prst="rect">
                      <a:avLst/>
                    </a:prstGeom>
                    <a:noFill/>
                    <a:ln>
                      <a:noFill/>
                    </a:ln>
                  </pic:spPr>
                </pic:pic>
              </a:graphicData>
            </a:graphic>
          </wp:inline>
        </w:drawing>
      </w:r>
    </w:p>
    <w:p w:rsidR="00F348BC" w:rsidP="002F387B" w:rsidRDefault="00F348BC" w14:paraId="67E66EB7" w14:textId="77777777"/>
    <w:p w:rsidRPr="009F5C37" w:rsidR="00F348BC" w:rsidP="00EB787C" w:rsidRDefault="001C6588" w14:paraId="0E3242D7" w14:textId="77777777">
      <w:pPr>
        <w:pStyle w:val="Huisstijl-Gegevens"/>
        <w:spacing w:line="276" w:lineRule="auto"/>
      </w:pPr>
      <w:r>
        <w:t xml:space="preserve">U treft de julibrief van de NZa in de bijlage van deze brief. De julibrief van de NZa laat zien </w:t>
      </w:r>
      <w:r w:rsidRPr="009F5C37">
        <w:t>dat het beschikbare Wlz-kader voor 2025 ruimschoots toereikend is.</w:t>
      </w:r>
      <w:r>
        <w:t xml:space="preserve"> </w:t>
      </w:r>
      <w:r w:rsidRPr="009F5C37">
        <w:t xml:space="preserve">De verwachte benutting van het Wlz-kader bedraagt op basis van het gemiddelde van de twee scenario’s uit </w:t>
      </w:r>
      <w:r>
        <w:t>de julibrief</w:t>
      </w:r>
      <w:r w:rsidRPr="009F5C37">
        <w:t xml:space="preserve"> € 38.</w:t>
      </w:r>
      <w:r>
        <w:t>258</w:t>
      </w:r>
      <w:r w:rsidRPr="009F5C37">
        <w:t xml:space="preserve"> miljoen. </w:t>
      </w:r>
      <w:r>
        <w:t>Dit</w:t>
      </w:r>
      <w:r w:rsidRPr="009F5C37">
        <w:t xml:space="preserve"> benodigde budget voor 2025 vormt de basis voor het meerjarige Wlz-kader vanaf 2026.</w:t>
      </w:r>
      <w:r>
        <w:t xml:space="preserve"> </w:t>
      </w:r>
    </w:p>
    <w:p w:rsidR="00F348BC" w:rsidP="002F387B" w:rsidRDefault="00F348BC" w14:paraId="393AFC36" w14:textId="77777777"/>
    <w:p w:rsidRPr="009F5C37" w:rsidR="00F348BC" w:rsidP="002F387B" w:rsidRDefault="001C6588" w14:paraId="26EA6FBF" w14:textId="77777777">
      <w:pPr>
        <w:pStyle w:val="Plattetekst"/>
        <w:suppressAutoHyphens/>
        <w:spacing w:after="160" w:line="240" w:lineRule="exact"/>
      </w:pPr>
      <w:r w:rsidRPr="009F5C37">
        <w:rPr>
          <w:b/>
          <w:bCs/>
        </w:rPr>
        <w:t xml:space="preserve">II </w:t>
      </w:r>
      <w:r>
        <w:rPr>
          <w:b/>
          <w:bCs/>
        </w:rPr>
        <w:t xml:space="preserve">Definitief budgettair kader Wlz 2026 en indicatief Wlz-kader 2027-2030 </w:t>
      </w:r>
    </w:p>
    <w:p w:rsidR="00F348BC" w:rsidP="00EB787C" w:rsidRDefault="001C6588" w14:paraId="0ACDBAD9" w14:textId="77777777">
      <w:pPr>
        <w:pStyle w:val="Huisstijl-Gegevens"/>
        <w:spacing w:line="276" w:lineRule="auto"/>
      </w:pPr>
      <w:r w:rsidRPr="009F5C37">
        <w:t xml:space="preserve">Bij </w:t>
      </w:r>
      <w:r>
        <w:t>het opstellen v</w:t>
      </w:r>
      <w:r w:rsidRPr="009F5C37">
        <w:t>an het meerjarig Wlz-kader vormt de verwachte benutting van het Wlz-kader in 2025 het uitgangspunt. Tabel 2 presenteert de ontwikkeling en opbouw van het Wlz-kader vanaf 2026.</w:t>
      </w:r>
      <w:r>
        <w:t xml:space="preserve"> Hierbij zijn de bedragen vanaf 2027 indicatief.</w:t>
      </w:r>
    </w:p>
    <w:p w:rsidR="00EB787C" w:rsidP="00EB787C" w:rsidRDefault="00EB787C" w14:paraId="1185BCC0" w14:textId="77777777">
      <w:pPr>
        <w:pStyle w:val="Huisstijl-Gegevens"/>
        <w:spacing w:line="276" w:lineRule="auto"/>
      </w:pPr>
    </w:p>
    <w:p w:rsidR="00F348BC" w:rsidP="00F348BC" w:rsidRDefault="001C6588" w14:paraId="52A6C1C7" w14:textId="77777777">
      <w:pPr>
        <w:pStyle w:val="Plattetekst"/>
        <w:spacing w:after="160"/>
        <w:rPr>
          <w:i/>
          <w:iCs/>
        </w:rPr>
      </w:pPr>
      <w:r w:rsidRPr="009F5C37">
        <w:rPr>
          <w:i/>
          <w:iCs/>
        </w:rPr>
        <w:t xml:space="preserve">Tabel 2: Ontwikkeling Wlz-kader 2026-2030 (vanaf 2027 indicatief) </w:t>
      </w:r>
      <w:r w:rsidRPr="00094AAF" w:rsidR="00094AAF">
        <w:rPr>
          <w:noProof/>
        </w:rPr>
        <w:drawing>
          <wp:inline distT="0" distB="0" distL="0" distR="0" wp14:anchorId="0DE543A7" wp14:editId="2F612048">
            <wp:extent cx="5400000" cy="1371667"/>
            <wp:effectExtent l="0" t="0" r="0" b="0"/>
            <wp:docPr id="20479687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8794"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400000" cy="1371667"/>
                    </a:xfrm>
                    <a:prstGeom prst="rect">
                      <a:avLst/>
                    </a:prstGeom>
                    <a:noFill/>
                    <a:ln>
                      <a:noFill/>
                    </a:ln>
                  </pic:spPr>
                </pic:pic>
              </a:graphicData>
            </a:graphic>
          </wp:inline>
        </w:drawing>
      </w:r>
    </w:p>
    <w:p w:rsidRPr="009F5C37" w:rsidR="00F348BC" w:rsidP="002F387B" w:rsidRDefault="001C6588" w14:paraId="6264D9B0" w14:textId="77777777">
      <w:pPr>
        <w:pStyle w:val="Lijstalinea"/>
        <w:keepNext/>
        <w:keepLines/>
        <w:numPr>
          <w:ilvl w:val="0"/>
          <w:numId w:val="2"/>
        </w:numPr>
        <w:spacing w:after="120" w:line="240" w:lineRule="exact"/>
        <w:rPr>
          <w:rFonts w:ascii="Verdana" w:hAnsi="Verdana"/>
          <w:b/>
          <w:bCs/>
          <w:i/>
          <w:iCs/>
          <w:sz w:val="18"/>
          <w:szCs w:val="18"/>
        </w:rPr>
      </w:pPr>
      <w:r w:rsidRPr="009F5C37">
        <w:rPr>
          <w:rFonts w:ascii="Verdana" w:hAnsi="Verdana"/>
          <w:b/>
          <w:bCs/>
          <w:i/>
          <w:iCs/>
          <w:sz w:val="18"/>
          <w:szCs w:val="18"/>
        </w:rPr>
        <w:lastRenderedPageBreak/>
        <w:t>Basis: benodigd Wlz-kader 2025</w:t>
      </w:r>
    </w:p>
    <w:p w:rsidR="00F348BC" w:rsidP="00EB787C" w:rsidRDefault="001C6588" w14:paraId="52003271" w14:textId="77777777">
      <w:pPr>
        <w:pStyle w:val="Huisstijl-Gegevens"/>
        <w:spacing w:line="276" w:lineRule="auto"/>
      </w:pPr>
      <w:r w:rsidRPr="009F5C37">
        <w:t xml:space="preserve">De basis voor het meerjarig Wlz-kader 2026-2030 </w:t>
      </w:r>
      <w:r w:rsidR="004947F6">
        <w:t>is</w:t>
      </w:r>
      <w:r w:rsidRPr="009F5C37">
        <w:t xml:space="preserve"> de verwachte benutting van het Wlz-kader in 2025. Uitgaande van </w:t>
      </w:r>
      <w:r>
        <w:t xml:space="preserve">de julibrief van de NZa </w:t>
      </w:r>
      <w:r w:rsidRPr="009F5C37">
        <w:t>gaat het hierbij om een bedrag van € 38.</w:t>
      </w:r>
      <w:r>
        <w:t xml:space="preserve">258 </w:t>
      </w:r>
      <w:r w:rsidRPr="009F5C37">
        <w:t xml:space="preserve">miljoen. </w:t>
      </w:r>
      <w:r w:rsidRPr="009F5C37">
        <w:br/>
      </w:r>
    </w:p>
    <w:p w:rsidRPr="009F5C37" w:rsidR="00F348BC" w:rsidP="002F387B" w:rsidRDefault="001C6588" w14:paraId="6C9BFC67" w14:textId="77777777">
      <w:pPr>
        <w:pStyle w:val="Lijstalinea"/>
        <w:keepNext/>
        <w:keepLines/>
        <w:numPr>
          <w:ilvl w:val="0"/>
          <w:numId w:val="2"/>
        </w:numPr>
        <w:spacing w:after="120" w:line="240" w:lineRule="exact"/>
        <w:rPr>
          <w:rFonts w:ascii="Verdana" w:hAnsi="Verdana"/>
          <w:b/>
          <w:bCs/>
          <w:i/>
          <w:iCs/>
          <w:sz w:val="18"/>
          <w:szCs w:val="18"/>
        </w:rPr>
      </w:pPr>
      <w:r w:rsidRPr="009F5C37">
        <w:rPr>
          <w:rFonts w:ascii="Verdana" w:hAnsi="Verdana"/>
          <w:b/>
          <w:bCs/>
          <w:i/>
          <w:iCs/>
          <w:sz w:val="18"/>
          <w:szCs w:val="18"/>
        </w:rPr>
        <w:t>Netto groei 2026-2030</w:t>
      </w:r>
    </w:p>
    <w:p w:rsidR="00EB787C" w:rsidP="00EB787C" w:rsidRDefault="001C6588" w14:paraId="372EF614" w14:textId="77777777">
      <w:pPr>
        <w:pStyle w:val="Huisstijl-Gegevens"/>
        <w:spacing w:line="276" w:lineRule="auto"/>
      </w:pPr>
      <w:r w:rsidRPr="009F5C37">
        <w:t>De netto groei van het meerjarig Wlz-kader loopt op van € 1.</w:t>
      </w:r>
      <w:r>
        <w:t>704</w:t>
      </w:r>
      <w:r w:rsidRPr="009F5C37">
        <w:t xml:space="preserve"> miljoen in 2026 tot € </w:t>
      </w:r>
      <w:r>
        <w:t>5</w:t>
      </w:r>
      <w:r w:rsidRPr="009F5C37">
        <w:t>.</w:t>
      </w:r>
      <w:r>
        <w:t>843</w:t>
      </w:r>
      <w:r w:rsidRPr="009F5C37">
        <w:t xml:space="preserve"> miljoen in 2030. Dit is nog exclusief de loon- en prijsbijstelling die jaarlijks via de definitieve kaderbrief beschikbaar wordt gesteld. De netto</w:t>
      </w:r>
      <w:r>
        <w:t xml:space="preserve"> </w:t>
      </w:r>
      <w:r w:rsidRPr="009F5C37">
        <w:t>groei is het saldo van de (raming van de) beschikbare groeiruimte</w:t>
      </w:r>
      <w:r>
        <w:t xml:space="preserve">, </w:t>
      </w:r>
      <w:r w:rsidRPr="009F5C37">
        <w:t>beleidseffecten</w:t>
      </w:r>
      <w:r>
        <w:t xml:space="preserve"> en kostonderzoeken</w:t>
      </w:r>
      <w:r w:rsidRPr="009F5C37">
        <w:t xml:space="preserve"> zoals deze zijn verwerkt in de VWS-begroting.</w:t>
      </w:r>
      <w:r>
        <w:t xml:space="preserve"> </w:t>
      </w:r>
    </w:p>
    <w:p w:rsidR="00EB787C" w:rsidP="00EB787C" w:rsidRDefault="00EB787C" w14:paraId="1FA31E15" w14:textId="77777777">
      <w:pPr>
        <w:pStyle w:val="Huisstijl-Gegevens"/>
        <w:spacing w:line="276" w:lineRule="auto"/>
      </w:pPr>
    </w:p>
    <w:p w:rsidRPr="00EB787C" w:rsidR="00EB787C" w:rsidP="00EB787C" w:rsidRDefault="001C6588" w14:paraId="4FC5C3AD" w14:textId="77777777">
      <w:pPr>
        <w:pStyle w:val="Huisstijl-Gegevens"/>
        <w:spacing w:line="276" w:lineRule="auto"/>
      </w:pPr>
      <w:r w:rsidRPr="009F5C37">
        <w:t xml:space="preserve">Hierbij heb ik </w:t>
      </w:r>
      <w:r w:rsidRPr="009F5C37">
        <w:rPr>
          <w:color w:val="000000" w:themeColor="text1"/>
        </w:rPr>
        <w:t xml:space="preserve">rekening gehouden met de beleidsmaatregelen uit het Hoofdlijnenakkoord Ouderenzorg. De maatregelen in verband met </w:t>
      </w:r>
      <w:r>
        <w:rPr>
          <w:color w:val="000000" w:themeColor="text1"/>
        </w:rPr>
        <w:t xml:space="preserve">het </w:t>
      </w:r>
      <w:r w:rsidRPr="009F5C37">
        <w:rPr>
          <w:color w:val="000000" w:themeColor="text1"/>
        </w:rPr>
        <w:t>meerjarig contracteren (gehandicaptenzorg en geestelijke gezondheidszorg) en Wlz-behandeling (gehandicaptenzorg) gaan op verzoek van de Tweede Kamer in 2026 niet door. Deze maatregelen zijn vanaf 2027 wel verwerkt in de netto groei van het Wlz-kader.</w:t>
      </w:r>
      <w:r>
        <w:rPr>
          <w:color w:val="000000" w:themeColor="text1"/>
        </w:rPr>
        <w:t xml:space="preserve"> </w:t>
      </w:r>
      <w:bookmarkStart w:name="_Hlk208331429" w:id="2"/>
    </w:p>
    <w:p w:rsidR="00EB787C" w:rsidP="00EB787C" w:rsidRDefault="00EB787C" w14:paraId="70F09897" w14:textId="77777777">
      <w:pPr>
        <w:pStyle w:val="Huisstijl-Gegevens"/>
        <w:spacing w:line="276" w:lineRule="auto"/>
        <w:rPr>
          <w:color w:val="000000" w:themeColor="text1"/>
        </w:rPr>
      </w:pPr>
    </w:p>
    <w:p w:rsidR="00EB787C" w:rsidP="00EB787C" w:rsidRDefault="001C6588" w14:paraId="591AC367" w14:textId="77777777">
      <w:pPr>
        <w:pStyle w:val="Huisstijl-Gegevens"/>
        <w:spacing w:line="276" w:lineRule="auto"/>
        <w:rPr>
          <w:color w:val="000000" w:themeColor="text1"/>
        </w:rPr>
      </w:pPr>
      <w:r>
        <w:rPr>
          <w:color w:val="000000" w:themeColor="text1"/>
        </w:rPr>
        <w:t>Daarnaast heb ik de impact van drie kostprijsonderzoeken van de NZa verwerkt. Dit betreft onderzoek op het terrein van (1) de gehandicaptenzorg en geestelijke gezondheidszorg (€ 152 miljoen structureel), (2) de normatieve huisvestigingscomponent (€ 400 miljoen structureel) en (3) de o</w:t>
      </w:r>
      <w:r w:rsidRPr="00943A3E">
        <w:rPr>
          <w:color w:val="000000" w:themeColor="text1"/>
        </w:rPr>
        <w:t xml:space="preserve">pname van de </w:t>
      </w:r>
      <w:r>
        <w:rPr>
          <w:color w:val="000000" w:themeColor="text1"/>
        </w:rPr>
        <w:t>LVHC-</w:t>
      </w:r>
      <w:r w:rsidRPr="00943A3E">
        <w:rPr>
          <w:color w:val="000000" w:themeColor="text1"/>
        </w:rPr>
        <w:t>doelgroepen</w:t>
      </w:r>
      <w:r>
        <w:rPr>
          <w:color w:val="000000" w:themeColor="text1"/>
        </w:rPr>
        <w:t xml:space="preserve"> MS+ (m</w:t>
      </w:r>
      <w:r w:rsidRPr="00B91586">
        <w:rPr>
          <w:color w:val="000000" w:themeColor="text1"/>
        </w:rPr>
        <w:t>ultiple sclerose</w:t>
      </w:r>
      <w:r>
        <w:rPr>
          <w:color w:val="000000" w:themeColor="text1"/>
        </w:rPr>
        <w:t xml:space="preserve">) </w:t>
      </w:r>
      <w:r w:rsidRPr="00943A3E">
        <w:rPr>
          <w:color w:val="000000" w:themeColor="text1"/>
        </w:rPr>
        <w:t xml:space="preserve">en </w:t>
      </w:r>
      <w:r>
        <w:rPr>
          <w:color w:val="000000" w:themeColor="text1"/>
        </w:rPr>
        <w:t>NAH+ (</w:t>
      </w:r>
      <w:r w:rsidRPr="00B91586">
        <w:rPr>
          <w:color w:val="000000" w:themeColor="text1"/>
        </w:rPr>
        <w:t>niet-aangeboren hersenletsel</w:t>
      </w:r>
      <w:r>
        <w:rPr>
          <w:color w:val="000000" w:themeColor="text1"/>
        </w:rPr>
        <w:t>)</w:t>
      </w:r>
      <w:r w:rsidRPr="00B91586">
        <w:rPr>
          <w:color w:val="000000" w:themeColor="text1"/>
        </w:rPr>
        <w:t xml:space="preserve"> met bijkomende problemen</w:t>
      </w:r>
      <w:r>
        <w:rPr>
          <w:color w:val="000000" w:themeColor="text1"/>
        </w:rPr>
        <w:t xml:space="preserve"> </w:t>
      </w:r>
      <w:r w:rsidRPr="00943A3E">
        <w:rPr>
          <w:color w:val="000000" w:themeColor="text1"/>
        </w:rPr>
        <w:t>in de aanspraak op gespecialiseerde zorg in de Regeling langdurige zorg</w:t>
      </w:r>
      <w:r>
        <w:rPr>
          <w:color w:val="000000" w:themeColor="text1"/>
        </w:rPr>
        <w:t xml:space="preserve"> (oplopend tot € 13 miljoen structureel).</w:t>
      </w:r>
      <w:r w:rsidRPr="00943A3E">
        <w:rPr>
          <w:color w:val="000000" w:themeColor="text1"/>
        </w:rPr>
        <w:t xml:space="preserve"> </w:t>
      </w:r>
      <w:r>
        <w:rPr>
          <w:color w:val="000000" w:themeColor="text1"/>
        </w:rPr>
        <w:t>De NZa verwerkt deze in de tarieven voor 2026.</w:t>
      </w:r>
    </w:p>
    <w:bookmarkEnd w:id="2"/>
    <w:p w:rsidR="00EB787C" w:rsidP="00EB787C" w:rsidRDefault="00EB787C" w14:paraId="72C72BA5" w14:textId="77777777">
      <w:pPr>
        <w:pStyle w:val="Huisstijl-Gegevens"/>
        <w:spacing w:line="276" w:lineRule="auto"/>
        <w:rPr>
          <w:color w:val="000000" w:themeColor="text1"/>
        </w:rPr>
      </w:pPr>
    </w:p>
    <w:p w:rsidR="00F348BC" w:rsidP="00EB787C" w:rsidRDefault="001C6588" w14:paraId="5DE241FD" w14:textId="77777777">
      <w:pPr>
        <w:pStyle w:val="Huisstijl-Gegevens"/>
        <w:spacing w:line="276" w:lineRule="auto"/>
        <w:rPr>
          <w:color w:val="000000" w:themeColor="text1"/>
        </w:rPr>
      </w:pPr>
      <w:r>
        <w:rPr>
          <w:color w:val="000000" w:themeColor="text1"/>
        </w:rPr>
        <w:t xml:space="preserve">Tot slot heb ik middelen aan het Wlz-kader toegevoegd voor de aanpassing van de </w:t>
      </w:r>
      <w:r w:rsidRPr="00B31351">
        <w:rPr>
          <w:color w:val="000000" w:themeColor="text1"/>
        </w:rPr>
        <w:t>Regeling Dienstverlening Aan Huis (RDAH). Vanaf 1 januari</w:t>
      </w:r>
      <w:r>
        <w:rPr>
          <w:color w:val="000000" w:themeColor="text1"/>
        </w:rPr>
        <w:t xml:space="preserve"> 2026</w:t>
      </w:r>
      <w:r w:rsidRPr="00B31351">
        <w:rPr>
          <w:color w:val="000000" w:themeColor="text1"/>
        </w:rPr>
        <w:t xml:space="preserve"> geldt deze regeling niet meer voor het pgb</w:t>
      </w:r>
      <w:r>
        <w:rPr>
          <w:rStyle w:val="Voetnootmarkering"/>
          <w:color w:val="000000" w:themeColor="text1"/>
        </w:rPr>
        <w:footnoteReference w:id="5"/>
      </w:r>
      <w:r w:rsidRPr="00B31351">
        <w:rPr>
          <w:color w:val="000000" w:themeColor="text1"/>
        </w:rPr>
        <w:t>.</w:t>
      </w:r>
      <w:r w:rsidR="002F387B">
        <w:rPr>
          <w:color w:val="000000" w:themeColor="text1"/>
        </w:rPr>
        <w:t xml:space="preserve"> Dit zal een stijging veroorzaken in het benodigde pgb-budget van € 10,8 miljoen structureel waarvoor het Wlz-kader wordt aangepast</w:t>
      </w:r>
      <w:r w:rsidRPr="00B31351">
        <w:rPr>
          <w:color w:val="000000" w:themeColor="text1"/>
        </w:rPr>
        <w:t>.</w:t>
      </w:r>
      <w:r>
        <w:rPr>
          <w:color w:val="000000" w:themeColor="text1"/>
        </w:rPr>
        <w:t xml:space="preserve"> Dit is al bij de voorjaarsbesluitvorming afgesproken en wordt nu ook in het Wlz-kader verwerkt. </w:t>
      </w:r>
    </w:p>
    <w:p w:rsidR="00EB787C" w:rsidP="00EB787C" w:rsidRDefault="00EB787C" w14:paraId="4C0A7A39" w14:textId="77777777">
      <w:pPr>
        <w:pStyle w:val="Huisstijl-Gegevens"/>
        <w:spacing w:line="276" w:lineRule="auto"/>
        <w:rPr>
          <w:color w:val="000000" w:themeColor="text1"/>
        </w:rPr>
      </w:pPr>
    </w:p>
    <w:p w:rsidR="00F348BC" w:rsidP="00EB787C" w:rsidRDefault="001C6588" w14:paraId="48FFCB73" w14:textId="77777777">
      <w:pPr>
        <w:pStyle w:val="Huisstijl-Gegevens"/>
        <w:spacing w:line="276" w:lineRule="auto"/>
        <w:rPr>
          <w:color w:val="000000" w:themeColor="text1"/>
        </w:rPr>
      </w:pPr>
      <w:r>
        <w:rPr>
          <w:color w:val="000000" w:themeColor="text1"/>
        </w:rPr>
        <w:t>Met de beschikbare netto groei zijn de zorgkantoren financieel in staat om voldoende kwalitatief goede zorg in te kopen tegen reële prijzen voor de geleverde zorg.</w:t>
      </w:r>
    </w:p>
    <w:p w:rsidR="00EB787C" w:rsidP="00EB787C" w:rsidRDefault="00EB787C" w14:paraId="182CE674" w14:textId="77777777">
      <w:pPr>
        <w:pStyle w:val="Huisstijl-Gegevens"/>
        <w:spacing w:line="276" w:lineRule="auto"/>
        <w:rPr>
          <w:color w:val="000000" w:themeColor="text1"/>
        </w:rPr>
      </w:pPr>
    </w:p>
    <w:p w:rsidRPr="009F5C37" w:rsidR="00F348BC" w:rsidP="002F387B" w:rsidRDefault="001C6588" w14:paraId="0D91A44B" w14:textId="77777777">
      <w:pPr>
        <w:pStyle w:val="Lijstalinea"/>
        <w:numPr>
          <w:ilvl w:val="0"/>
          <w:numId w:val="2"/>
        </w:numPr>
        <w:spacing w:after="120" w:line="240" w:lineRule="exact"/>
        <w:rPr>
          <w:rFonts w:ascii="Verdana" w:hAnsi="Verdana"/>
          <w:b/>
          <w:bCs/>
          <w:i/>
          <w:iCs/>
          <w:sz w:val="18"/>
          <w:szCs w:val="18"/>
        </w:rPr>
      </w:pPr>
      <w:r w:rsidRPr="009F5C37">
        <w:rPr>
          <w:rFonts w:ascii="Verdana" w:hAnsi="Verdana"/>
          <w:b/>
          <w:bCs/>
          <w:i/>
          <w:iCs/>
          <w:sz w:val="18"/>
          <w:szCs w:val="18"/>
        </w:rPr>
        <w:t>Loon- en prijsbijstelling 2026</w:t>
      </w:r>
    </w:p>
    <w:p w:rsidR="00F348BC" w:rsidP="00EB787C" w:rsidRDefault="001C6588" w14:paraId="275894E8" w14:textId="77777777">
      <w:pPr>
        <w:pStyle w:val="Huisstijl-Gegevens"/>
        <w:spacing w:line="276" w:lineRule="auto"/>
      </w:pPr>
      <w:r>
        <w:t xml:space="preserve">De loon- en prijsbijstelling voor het Wlz-kader 2026 is zoals gebruikelijk gebaseerd op de ontwikkelingen uit de meest recente Macro-Economische </w:t>
      </w:r>
    </w:p>
    <w:p w:rsidR="00F348BC" w:rsidP="00EB787C" w:rsidRDefault="001C6588" w14:paraId="0C5562F3" w14:textId="77777777">
      <w:pPr>
        <w:pStyle w:val="Huisstijl-Gegevens"/>
        <w:spacing w:line="276" w:lineRule="auto"/>
      </w:pPr>
      <w:r>
        <w:t xml:space="preserve">Verkenning (MEV) van het CPB. De </w:t>
      </w:r>
      <w:r w:rsidR="00ED3E38">
        <w:t xml:space="preserve">tranche </w:t>
      </w:r>
      <w:r>
        <w:t>loon- en prijsbijstelling</w:t>
      </w:r>
      <w:r w:rsidR="00ED3E38">
        <w:t xml:space="preserve"> 2026</w:t>
      </w:r>
      <w:r>
        <w:t xml:space="preserve"> komt op grond van de</w:t>
      </w:r>
      <w:r w:rsidR="00ED3E38">
        <w:t xml:space="preserve"> </w:t>
      </w:r>
      <w:r>
        <w:t>MEV uit op een bedrag van € 1.487 miljoen</w:t>
      </w:r>
      <w:r w:rsidR="00ED3E38">
        <w:t xml:space="preserve"> in 2026 oplopend tot € 1.640 miljoen in 2030</w:t>
      </w:r>
      <w:r>
        <w:t>.</w:t>
      </w:r>
    </w:p>
    <w:p w:rsidR="00F348BC" w:rsidP="002F387B" w:rsidRDefault="00F348BC" w14:paraId="42C1AF83" w14:textId="77777777">
      <w:pPr>
        <w:pStyle w:val="Plattetekst"/>
        <w:spacing w:line="240" w:lineRule="exact"/>
      </w:pPr>
    </w:p>
    <w:p w:rsidRPr="009F5C37" w:rsidR="00F348BC" w:rsidP="002F387B" w:rsidRDefault="001C6588" w14:paraId="1B770703" w14:textId="77777777">
      <w:pPr>
        <w:pStyle w:val="Lijstalinea"/>
        <w:keepNext/>
        <w:keepLines/>
        <w:numPr>
          <w:ilvl w:val="0"/>
          <w:numId w:val="2"/>
        </w:numPr>
        <w:spacing w:after="120" w:line="240" w:lineRule="exact"/>
        <w:rPr>
          <w:rFonts w:ascii="Verdana" w:hAnsi="Verdana"/>
          <w:b/>
          <w:bCs/>
          <w:i/>
          <w:iCs/>
          <w:sz w:val="18"/>
          <w:szCs w:val="18"/>
        </w:rPr>
      </w:pPr>
      <w:r>
        <w:rPr>
          <w:rFonts w:ascii="Verdana" w:hAnsi="Verdana"/>
          <w:b/>
          <w:bCs/>
          <w:i/>
          <w:iCs/>
          <w:sz w:val="18"/>
          <w:szCs w:val="18"/>
        </w:rPr>
        <w:lastRenderedPageBreak/>
        <w:t>Definitief</w:t>
      </w:r>
      <w:r w:rsidRPr="009F5C37">
        <w:rPr>
          <w:rFonts w:ascii="Verdana" w:hAnsi="Verdana"/>
          <w:b/>
          <w:bCs/>
          <w:i/>
          <w:iCs/>
          <w:sz w:val="18"/>
          <w:szCs w:val="18"/>
        </w:rPr>
        <w:t xml:space="preserve"> Wlz-kader 2026</w:t>
      </w:r>
      <w:r>
        <w:rPr>
          <w:rFonts w:ascii="Verdana" w:hAnsi="Verdana"/>
          <w:b/>
          <w:bCs/>
          <w:i/>
          <w:iCs/>
          <w:sz w:val="18"/>
          <w:szCs w:val="18"/>
        </w:rPr>
        <w:t xml:space="preserve"> en indicatief kader 2027</w:t>
      </w:r>
      <w:r w:rsidRPr="009F5C37">
        <w:rPr>
          <w:rFonts w:ascii="Verdana" w:hAnsi="Verdana"/>
          <w:b/>
          <w:bCs/>
          <w:i/>
          <w:iCs/>
          <w:sz w:val="18"/>
          <w:szCs w:val="18"/>
        </w:rPr>
        <w:t>-2030</w:t>
      </w:r>
    </w:p>
    <w:p w:rsidR="00F348BC" w:rsidP="00EB787C" w:rsidRDefault="001C6588" w14:paraId="4054D070" w14:textId="77777777">
      <w:pPr>
        <w:pStyle w:val="Huisstijl-Gegevens"/>
        <w:spacing w:line="276" w:lineRule="auto"/>
      </w:pPr>
      <w:r w:rsidRPr="009F5C37">
        <w:t xml:space="preserve">De optelling van de posten 1 tot en met 3 leidt tot een </w:t>
      </w:r>
      <w:r>
        <w:t>definitief</w:t>
      </w:r>
      <w:r w:rsidRPr="009F5C37">
        <w:t xml:space="preserve"> Wlz-kader voor 2026 </w:t>
      </w:r>
      <w:r w:rsidRPr="002332FA">
        <w:t>van € 41.449 miljoen. Het indicatieve meerjarig Wlz-kader loopt op tot ruim</w:t>
      </w:r>
      <w:r>
        <w:t xml:space="preserve"> </w:t>
      </w:r>
      <w:r w:rsidRPr="002332FA">
        <w:t>€ 45</w:t>
      </w:r>
      <w:r w:rsidR="00ED3E38">
        <w:t>,7</w:t>
      </w:r>
      <w:r w:rsidRPr="002332FA">
        <w:t xml:space="preserve"> miljard in 2030.</w:t>
      </w:r>
      <w:r w:rsidRPr="009F5C37">
        <w:t xml:space="preserve"> </w:t>
      </w:r>
    </w:p>
    <w:p w:rsidRPr="009F5C37" w:rsidR="00EB787C" w:rsidP="00EB787C" w:rsidRDefault="00EB787C" w14:paraId="10CD2412" w14:textId="77777777">
      <w:pPr>
        <w:pStyle w:val="Huisstijl-Gegevens"/>
        <w:spacing w:line="276" w:lineRule="auto"/>
      </w:pPr>
    </w:p>
    <w:p w:rsidRPr="009F5C37" w:rsidR="00F348BC" w:rsidP="002F387B" w:rsidRDefault="001C6588" w14:paraId="28ED6FAD" w14:textId="77777777">
      <w:pPr>
        <w:pStyle w:val="Lijstalinea"/>
        <w:keepNext/>
        <w:keepLines/>
        <w:numPr>
          <w:ilvl w:val="0"/>
          <w:numId w:val="2"/>
        </w:numPr>
        <w:spacing w:after="120" w:line="240" w:lineRule="exact"/>
        <w:rPr>
          <w:rFonts w:ascii="Verdana" w:hAnsi="Verdana"/>
          <w:b/>
          <w:bCs/>
          <w:i/>
          <w:iCs/>
          <w:sz w:val="18"/>
          <w:szCs w:val="18"/>
        </w:rPr>
      </w:pPr>
      <w:r>
        <w:rPr>
          <w:rFonts w:ascii="Verdana" w:hAnsi="Verdana"/>
          <w:b/>
          <w:bCs/>
          <w:i/>
          <w:iCs/>
          <w:sz w:val="18"/>
          <w:szCs w:val="18"/>
        </w:rPr>
        <w:t>W</w:t>
      </w:r>
      <w:r w:rsidRPr="009F5C37">
        <w:rPr>
          <w:rFonts w:ascii="Verdana" w:hAnsi="Verdana"/>
          <w:b/>
          <w:bCs/>
          <w:i/>
          <w:iCs/>
          <w:sz w:val="18"/>
          <w:szCs w:val="18"/>
        </w:rPr>
        <w:t>aarvan gereserveerd als herverdelingsmiddelen</w:t>
      </w:r>
    </w:p>
    <w:p w:rsidRPr="009F5C37" w:rsidR="00F348BC" w:rsidP="00EB787C" w:rsidRDefault="001C6588" w14:paraId="37E20EF9" w14:textId="77777777">
      <w:pPr>
        <w:pStyle w:val="Huisstijl-Gegevens"/>
        <w:spacing w:line="276" w:lineRule="auto"/>
      </w:pPr>
      <w:r w:rsidRPr="009F5C37">
        <w:t>De herverdelingsmiddelen voor 2026 bedragen € 3</w:t>
      </w:r>
      <w:r w:rsidR="00094AAF">
        <w:t>9</w:t>
      </w:r>
      <w:r w:rsidRPr="009F5C37">
        <w:t>0 miljoen en lopen op tot €</w:t>
      </w:r>
      <w:r w:rsidR="00094AAF">
        <w:t> 2</w:t>
      </w:r>
      <w:r w:rsidRPr="009F5C37">
        <w:t>.</w:t>
      </w:r>
      <w:r w:rsidR="00094AAF">
        <w:t>03</w:t>
      </w:r>
      <w:r>
        <w:t>0</w:t>
      </w:r>
      <w:r w:rsidRPr="009F5C37">
        <w:t xml:space="preserve"> miljoen in 2030. Deze middelen zijn gereserveerd vanwege de onzekerheid over de benodigde groeiruimte in het licht van de ontwikkelingen van het zorggebruik en de regionale verdeling daarvan. Ik zal in de loop van 2026 op basis van </w:t>
      </w:r>
      <w:r>
        <w:t>de</w:t>
      </w:r>
      <w:r w:rsidRPr="009F5C37">
        <w:t xml:space="preserve"> februari- en julibrief </w:t>
      </w:r>
      <w:r>
        <w:t xml:space="preserve">van de NZa </w:t>
      </w:r>
      <w:r w:rsidRPr="009F5C37">
        <w:t>over de toereikendheid van het Wlz-kader besluiten over de inzet van de herverdelingsmiddelen voor 2026.</w:t>
      </w:r>
      <w:r>
        <w:t xml:space="preserve"> Deze systematiek zal ik ook in de jaren na 2026 jaarlijks toepassen.</w:t>
      </w:r>
      <w:r w:rsidRPr="009F5C37">
        <w:br/>
      </w:r>
    </w:p>
    <w:p w:rsidRPr="009F5C37" w:rsidR="00F348BC" w:rsidP="002F387B" w:rsidRDefault="001C6588" w14:paraId="7665391A" w14:textId="77777777">
      <w:pPr>
        <w:pStyle w:val="Lijstalinea"/>
        <w:keepNext/>
        <w:keepLines/>
        <w:numPr>
          <w:ilvl w:val="0"/>
          <w:numId w:val="2"/>
        </w:numPr>
        <w:spacing w:after="120" w:line="240" w:lineRule="exact"/>
        <w:rPr>
          <w:rFonts w:ascii="Verdana" w:hAnsi="Verdana"/>
          <w:b/>
          <w:bCs/>
          <w:i/>
          <w:iCs/>
          <w:sz w:val="18"/>
          <w:szCs w:val="18"/>
        </w:rPr>
      </w:pPr>
      <w:r>
        <w:rPr>
          <w:rFonts w:ascii="Verdana" w:hAnsi="Verdana"/>
          <w:b/>
          <w:bCs/>
          <w:i/>
          <w:iCs/>
          <w:sz w:val="18"/>
          <w:szCs w:val="18"/>
        </w:rPr>
        <w:t>W</w:t>
      </w:r>
      <w:r w:rsidRPr="009F5C37">
        <w:rPr>
          <w:rFonts w:ascii="Verdana" w:hAnsi="Verdana"/>
          <w:b/>
          <w:bCs/>
          <w:i/>
          <w:iCs/>
          <w:sz w:val="18"/>
          <w:szCs w:val="18"/>
        </w:rPr>
        <w:t>aarvan beschikbaar voor zorginkoop</w:t>
      </w:r>
    </w:p>
    <w:p w:rsidRPr="002332FA" w:rsidR="00F348BC" w:rsidP="00EB787C" w:rsidRDefault="001C6588" w14:paraId="244C81B3" w14:textId="77777777">
      <w:pPr>
        <w:pStyle w:val="Huisstijl-Gegevens"/>
        <w:spacing w:line="276" w:lineRule="auto"/>
      </w:pPr>
      <w:r w:rsidRPr="009F5C37">
        <w:t>In 2026 bedraagt het Wlz-</w:t>
      </w:r>
      <w:r w:rsidRPr="002332FA">
        <w:t>kader dat bij aanvang van het jaar beschikbaar is voor de zorginkoop in totaal € 41.0</w:t>
      </w:r>
      <w:r w:rsidR="00094AAF">
        <w:t>5</w:t>
      </w:r>
      <w:r w:rsidRPr="002332FA">
        <w:t xml:space="preserve">9 miljoen. Dit bedrag is verdeeld over drie deelkaders: </w:t>
      </w:r>
    </w:p>
    <w:p w:rsidRPr="002332FA" w:rsidR="00F348BC" w:rsidP="00EB787C" w:rsidRDefault="001C6588" w14:paraId="26186F32" w14:textId="77777777">
      <w:pPr>
        <w:pStyle w:val="Huisstijl-Gegevens"/>
        <w:spacing w:line="276" w:lineRule="auto"/>
        <w:ind w:left="170" w:firstLine="170"/>
      </w:pPr>
      <w:r w:rsidRPr="002332FA">
        <w:t>(6a) zorg in natura</w:t>
      </w:r>
      <w:r w:rsidR="002F387B">
        <w:t xml:space="preserve">: </w:t>
      </w:r>
      <w:r w:rsidRPr="002332FA">
        <w:t>€ 36.3</w:t>
      </w:r>
      <w:r w:rsidR="00094AAF">
        <w:t>3</w:t>
      </w:r>
      <w:r w:rsidRPr="002332FA">
        <w:t>7 miljoen;</w:t>
      </w:r>
    </w:p>
    <w:p w:rsidRPr="002332FA" w:rsidR="00F348BC" w:rsidP="00EB787C" w:rsidRDefault="001C6588" w14:paraId="126E895D" w14:textId="77777777">
      <w:pPr>
        <w:pStyle w:val="Huisstijl-Gegevens"/>
        <w:spacing w:line="276" w:lineRule="auto"/>
        <w:ind w:left="170" w:firstLine="170"/>
      </w:pPr>
      <w:r w:rsidRPr="002332FA">
        <w:t>(6b) persoonsgebonden budgetten</w:t>
      </w:r>
      <w:r w:rsidR="002F387B">
        <w:t xml:space="preserve">: </w:t>
      </w:r>
      <w:r w:rsidRPr="002332FA">
        <w:t>€ 4.626 miljoen;</w:t>
      </w:r>
    </w:p>
    <w:p w:rsidRPr="009F5C37" w:rsidR="00F348BC" w:rsidP="00EB787C" w:rsidRDefault="001C6588" w14:paraId="3598711A" w14:textId="77777777">
      <w:pPr>
        <w:pStyle w:val="Huisstijl-Gegevens"/>
        <w:spacing w:line="276" w:lineRule="auto"/>
        <w:ind w:left="170" w:firstLine="170"/>
      </w:pPr>
      <w:r w:rsidRPr="002332FA">
        <w:t>(6c) overige uitvoeringskosten</w:t>
      </w:r>
      <w:r w:rsidR="002F387B">
        <w:t xml:space="preserve">: </w:t>
      </w:r>
      <w:r w:rsidRPr="002332FA">
        <w:t>96 miljoen</w:t>
      </w:r>
      <w:r w:rsidRPr="009F5C37">
        <w:t>.</w:t>
      </w:r>
    </w:p>
    <w:p w:rsidRPr="009F5C37" w:rsidR="00F348BC" w:rsidP="00EB787C" w:rsidRDefault="001C6588" w14:paraId="3437D4C1" w14:textId="77777777">
      <w:pPr>
        <w:pStyle w:val="Huisstijl-Gegevens"/>
        <w:spacing w:line="276" w:lineRule="auto"/>
      </w:pPr>
      <w:r w:rsidRPr="009F5C37">
        <w:t xml:space="preserve"> </w:t>
      </w:r>
    </w:p>
    <w:p w:rsidRPr="009F5C37" w:rsidR="00F348BC" w:rsidP="00EB787C" w:rsidRDefault="001C6588" w14:paraId="5CE9AF93" w14:textId="77777777">
      <w:pPr>
        <w:pStyle w:val="Huisstijl-Gegevens"/>
        <w:spacing w:line="276" w:lineRule="auto"/>
        <w:rPr>
          <w:color w:val="000000" w:themeColor="text1"/>
        </w:rPr>
      </w:pPr>
      <w:r w:rsidRPr="009F5C37">
        <w:t xml:space="preserve">Tabel 3 laat zien </w:t>
      </w:r>
      <w:r>
        <w:t>hoe het deelbudget v</w:t>
      </w:r>
      <w:r w:rsidRPr="009F5C37">
        <w:rPr>
          <w:color w:val="000000" w:themeColor="text1"/>
        </w:rPr>
        <w:t xml:space="preserve">oor overige uitvoeringskosten </w:t>
      </w:r>
      <w:r>
        <w:rPr>
          <w:color w:val="000000" w:themeColor="text1"/>
        </w:rPr>
        <w:t>kan worden ingezet voor</w:t>
      </w:r>
      <w:r w:rsidRPr="009F5C37">
        <w:rPr>
          <w:color w:val="000000" w:themeColor="text1"/>
        </w:rPr>
        <w:t>:</w:t>
      </w:r>
    </w:p>
    <w:p w:rsidRPr="009F5C37" w:rsidR="00F348BC" w:rsidP="00EB787C" w:rsidRDefault="001C6588" w14:paraId="0C0194D7" w14:textId="77777777">
      <w:pPr>
        <w:pStyle w:val="Huisstijl-Gegevens"/>
        <w:numPr>
          <w:ilvl w:val="0"/>
          <w:numId w:val="4"/>
        </w:numPr>
        <w:spacing w:line="276" w:lineRule="auto"/>
        <w:rPr>
          <w:color w:val="FF0000"/>
        </w:rPr>
      </w:pPr>
      <w:r w:rsidRPr="009F5C37">
        <w:rPr>
          <w:color w:val="000000" w:themeColor="text1"/>
        </w:rPr>
        <w:t>preventieve maatregelen;</w:t>
      </w:r>
    </w:p>
    <w:p w:rsidRPr="009F5C37" w:rsidR="00F348BC" w:rsidP="00EB787C" w:rsidRDefault="001C6588" w14:paraId="33B7A7F1" w14:textId="77777777">
      <w:pPr>
        <w:pStyle w:val="Huisstijl-Gegevens"/>
        <w:numPr>
          <w:ilvl w:val="0"/>
          <w:numId w:val="4"/>
        </w:numPr>
        <w:spacing w:line="276" w:lineRule="auto"/>
        <w:rPr>
          <w:color w:val="FF0000"/>
        </w:rPr>
      </w:pPr>
      <w:r w:rsidRPr="009F5C37">
        <w:rPr>
          <w:color w:val="000000" w:themeColor="text1"/>
        </w:rPr>
        <w:t xml:space="preserve">onafhankelijke cliëntondersteuning </w:t>
      </w:r>
      <w:r>
        <w:rPr>
          <w:color w:val="000000" w:themeColor="text1"/>
        </w:rPr>
        <w:t xml:space="preserve">(OCO) </w:t>
      </w:r>
      <w:r w:rsidRPr="009F5C37">
        <w:rPr>
          <w:color w:val="000000" w:themeColor="text1"/>
        </w:rPr>
        <w:t xml:space="preserve">en </w:t>
      </w:r>
    </w:p>
    <w:p w:rsidRPr="00EB787C" w:rsidR="00EB787C" w:rsidP="00EB787C" w:rsidRDefault="001C6588" w14:paraId="27B285FE" w14:textId="77777777">
      <w:pPr>
        <w:pStyle w:val="Huisstijl-Gegevens"/>
        <w:numPr>
          <w:ilvl w:val="0"/>
          <w:numId w:val="4"/>
        </w:numPr>
        <w:spacing w:line="276" w:lineRule="auto"/>
        <w:rPr>
          <w:color w:val="FF0000"/>
        </w:rPr>
      </w:pPr>
      <w:r w:rsidRPr="009F5C37">
        <w:rPr>
          <w:color w:val="000000" w:themeColor="text1"/>
        </w:rPr>
        <w:t>cliëntvertrouwenspersonen</w:t>
      </w:r>
      <w:r>
        <w:rPr>
          <w:color w:val="000000" w:themeColor="text1"/>
        </w:rPr>
        <w:t xml:space="preserve"> (CVP)</w:t>
      </w:r>
      <w:r w:rsidRPr="009F5C37">
        <w:rPr>
          <w:color w:val="000000" w:themeColor="text1"/>
        </w:rPr>
        <w:t>.</w:t>
      </w:r>
    </w:p>
    <w:p w:rsidR="00EB787C" w:rsidP="00EB787C" w:rsidRDefault="00EB787C" w14:paraId="06CB3905" w14:textId="77777777">
      <w:pPr>
        <w:pStyle w:val="Huisstijl-Gegevens"/>
        <w:spacing w:line="276" w:lineRule="auto"/>
        <w:rPr>
          <w:color w:val="000000" w:themeColor="text1"/>
        </w:rPr>
      </w:pPr>
    </w:p>
    <w:p w:rsidRPr="009F5C37" w:rsidR="00EB787C" w:rsidP="00EB787C" w:rsidRDefault="001C6588" w14:paraId="3D571CD4" w14:textId="77777777">
      <w:pPr>
        <w:rPr>
          <w:b/>
          <w:bCs/>
        </w:rPr>
      </w:pPr>
      <w:r w:rsidRPr="009F5C37">
        <w:rPr>
          <w:i/>
          <w:iCs/>
        </w:rPr>
        <w:t>Tabel 3: Opbouw deelkader overige uitvoeringskosten</w:t>
      </w:r>
    </w:p>
    <w:p w:rsidRPr="009F5C37" w:rsidR="00EB787C" w:rsidP="00EB787C" w:rsidRDefault="001C6588" w14:paraId="51F9CAB4" w14:textId="77777777">
      <w:pPr>
        <w:pStyle w:val="Plattetekst"/>
        <w:keepNext/>
        <w:keepLines/>
        <w:spacing w:after="120"/>
        <w:rPr>
          <w:color w:val="000000" w:themeColor="text1"/>
        </w:rPr>
      </w:pPr>
      <w:r w:rsidRPr="002332FA">
        <w:rPr>
          <w:noProof/>
        </w:rPr>
        <w:drawing>
          <wp:anchor distT="0" distB="0" distL="114300" distR="114300" simplePos="0" relativeHeight="251658240" behindDoc="1" locked="0" layoutInCell="1" allowOverlap="1" wp14:editId="39DDE1D7" wp14:anchorId="3C202FFD">
            <wp:simplePos x="0" y="0"/>
            <wp:positionH relativeFrom="column">
              <wp:posOffset>1270</wp:posOffset>
            </wp:positionH>
            <wp:positionV relativeFrom="paragraph">
              <wp:posOffset>635</wp:posOffset>
            </wp:positionV>
            <wp:extent cx="5400000" cy="688874"/>
            <wp:effectExtent l="0" t="0" r="0" b="0"/>
            <wp:wrapNone/>
            <wp:docPr id="17598807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80728"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400000" cy="68887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787C" w:rsidP="00EB787C" w:rsidRDefault="00EB787C" w14:paraId="76E2457C" w14:textId="77777777"/>
    <w:p w:rsidR="00EB787C" w:rsidP="00EB787C" w:rsidRDefault="00EB787C" w14:paraId="6190AE0A" w14:textId="77777777">
      <w:pPr>
        <w:rPr>
          <w:rFonts w:eastAsia="Verdana" w:cs="Verdana"/>
          <w:b/>
          <w:bCs/>
        </w:rPr>
      </w:pPr>
    </w:p>
    <w:p w:rsidRPr="009F5C37" w:rsidR="00F348BC" w:rsidP="00EB787C" w:rsidRDefault="001C6588" w14:paraId="0671A98D" w14:textId="77777777">
      <w:pPr>
        <w:pStyle w:val="Huisstijl-Gegevens"/>
        <w:spacing w:line="276" w:lineRule="auto"/>
        <w:rPr>
          <w:color w:val="FF0000"/>
        </w:rPr>
      </w:pPr>
      <w:r w:rsidRPr="009F5C37">
        <w:rPr>
          <w:color w:val="000000" w:themeColor="text1"/>
        </w:rPr>
        <w:t xml:space="preserve"> </w:t>
      </w:r>
    </w:p>
    <w:p w:rsidR="00EB787C" w:rsidP="00EB787C" w:rsidRDefault="00EB787C" w14:paraId="5182399F" w14:textId="77777777">
      <w:pPr>
        <w:pStyle w:val="Huisstijl-Gegevens"/>
        <w:spacing w:line="276" w:lineRule="auto"/>
        <w:rPr>
          <w:color w:val="000000" w:themeColor="text1"/>
        </w:rPr>
      </w:pPr>
    </w:p>
    <w:p w:rsidR="00F348BC" w:rsidP="00EB787C" w:rsidRDefault="001C6588" w14:paraId="0BE979D5" w14:textId="77777777">
      <w:pPr>
        <w:pStyle w:val="Huisstijl-Gegevens"/>
        <w:spacing w:line="276" w:lineRule="auto"/>
        <w:rPr>
          <w:color w:val="000000" w:themeColor="text1"/>
        </w:rPr>
      </w:pPr>
      <w:r w:rsidRPr="00EB787C">
        <w:t>Binnen dit deelkader is er op grond van de wet DOS vanaf 2026 ten opzichte van de huidige systematiek meer bewegingsruimte voor zorgkantoren. Waar (overschrijding van) het budget voor OCO en CVP voorheen direct ten laste kwam van de beheerskosten van zorgkantoren, kan er met de toevoeging van de preventieve maatregelen aan de overige uitvoeringskosten geschoven worden tussen het inkopen van OCO, CVP en preventieve maatregelen. De NZa heeft de voorwaarden hiervoor opgenomen in haar beleidsregels</w:t>
      </w:r>
      <w:r>
        <w:rPr>
          <w:vertAlign w:val="superscript"/>
        </w:rPr>
        <w:footnoteReference w:id="6"/>
      </w:r>
      <w:r w:rsidRPr="00EB787C">
        <w:t>. Een belangrijke voorwaarde om preventieve maatregelen te bekostigen met middelen vanuit het Wlz-kader is dat het aantoonbaar leidt tot lagere zorguitgaven. Het bedrag voor de preventieve maatregelen voor 2027 en latere jaren is nog niet opgenomen in het deelkader voor overige uitvoeringskosten. Vanaf 2024 wordt de SPUK DOS gemonitord door de Vrije Universiteit Amsterdam. Deze monitorgegevens worden samen met de ervaringen van de zorgkantoren begin 2026 gebruikt voor het</w:t>
      </w:r>
      <w:r>
        <w:rPr>
          <w:color w:val="000000" w:themeColor="text1"/>
        </w:rPr>
        <w:t xml:space="preserve"> </w:t>
      </w:r>
      <w:r>
        <w:rPr>
          <w:color w:val="000000" w:themeColor="text1"/>
        </w:rPr>
        <w:lastRenderedPageBreak/>
        <w:t>vaststellen van het maximale bedrag dat in 2027 beschikbaar is</w:t>
      </w:r>
      <w:r w:rsidR="00EB787C">
        <w:rPr>
          <w:color w:val="000000" w:themeColor="text1"/>
        </w:rPr>
        <w:t>.</w:t>
      </w:r>
      <w:r>
        <w:rPr>
          <w:color w:val="000000" w:themeColor="text1"/>
        </w:rPr>
        <w:t xml:space="preserve"> Dit bedrag wordt kenbaar gemaakt in de voorlopige meerjarige kaderbrief die ik volgend jaar zal versturen.</w:t>
      </w:r>
    </w:p>
    <w:p w:rsidR="00F348BC" w:rsidP="00F348BC" w:rsidRDefault="00F348BC" w14:paraId="16F39787" w14:textId="77777777">
      <w:pPr>
        <w:rPr>
          <w:rFonts w:eastAsia="Verdana" w:cs="Verdana"/>
          <w:b/>
          <w:bCs/>
        </w:rPr>
      </w:pPr>
    </w:p>
    <w:p w:rsidRPr="00A84516" w:rsidR="00F348BC" w:rsidP="002F387B" w:rsidRDefault="001C6588" w14:paraId="1A08E3E5" w14:textId="77777777">
      <w:pPr>
        <w:keepNext/>
        <w:keepLines/>
        <w:widowControl/>
        <w:rPr>
          <w:rFonts w:eastAsia="Verdana" w:cs="Verdana"/>
          <w:b/>
          <w:bCs/>
        </w:rPr>
      </w:pPr>
      <w:r w:rsidRPr="00A84516">
        <w:rPr>
          <w:rFonts w:eastAsia="Verdana" w:cs="Verdana"/>
          <w:b/>
          <w:bCs/>
        </w:rPr>
        <w:t>III Overig</w:t>
      </w:r>
    </w:p>
    <w:p w:rsidR="002F387B" w:rsidP="002F387B" w:rsidRDefault="002F387B" w14:paraId="621B9777" w14:textId="77777777">
      <w:pPr>
        <w:keepNext/>
        <w:keepLines/>
        <w:widowControl/>
        <w:rPr>
          <w:rFonts w:eastAsia="Verdana" w:cs="Verdana"/>
        </w:rPr>
      </w:pPr>
    </w:p>
    <w:p w:rsidR="00F348BC" w:rsidP="00EB787C" w:rsidRDefault="001C6588" w14:paraId="578E90D0" w14:textId="77777777">
      <w:pPr>
        <w:pStyle w:val="Huisstijl-Gegevens"/>
        <w:spacing w:line="276" w:lineRule="auto"/>
        <w:rPr>
          <w:b/>
          <w:bCs/>
        </w:rPr>
      </w:pPr>
      <w:r w:rsidRPr="00A84516">
        <w:t xml:space="preserve">Voor de bekostiging van innovatie ten behoeve van nieuwe zorgprestaties is landelijk € 20 miljoen beschikbaar. Dit bedrag is binnen het deelkader voor zorg in natura specifiek geoormerkt. </w:t>
      </w:r>
      <w:r w:rsidRPr="00A84516">
        <w:br/>
      </w:r>
    </w:p>
    <w:p w:rsidRPr="00A84516" w:rsidR="00F348BC" w:rsidP="002F387B" w:rsidRDefault="001C6588" w14:paraId="13565A93" w14:textId="77777777">
      <w:pPr>
        <w:keepNext/>
        <w:keepLines/>
        <w:widowControl/>
        <w:rPr>
          <w:b/>
          <w:bCs/>
        </w:rPr>
      </w:pPr>
      <w:r w:rsidRPr="00A84516">
        <w:rPr>
          <w:b/>
          <w:bCs/>
        </w:rPr>
        <w:t>IV Slot</w:t>
      </w:r>
    </w:p>
    <w:p w:rsidRPr="009F5C37" w:rsidR="00F348BC" w:rsidP="00EB787C" w:rsidRDefault="001C6588" w14:paraId="72DD792A" w14:textId="77777777">
      <w:pPr>
        <w:pStyle w:val="Huisstijl-Gegevens"/>
        <w:spacing w:line="276" w:lineRule="auto"/>
        <w:rPr>
          <w:rStyle w:val="cf01"/>
        </w:rPr>
      </w:pPr>
      <w:r>
        <w:br/>
      </w:r>
      <w:r w:rsidRPr="00A84516">
        <w:t xml:space="preserve">Ik </w:t>
      </w:r>
      <w:r>
        <w:t xml:space="preserve">zal de NZa </w:t>
      </w:r>
      <w:r w:rsidRPr="00A84516">
        <w:t>verzoek</w:t>
      </w:r>
      <w:r>
        <w:t xml:space="preserve">en om </w:t>
      </w:r>
      <w:r w:rsidRPr="009F5C37">
        <w:t xml:space="preserve">mij </w:t>
      </w:r>
      <w:r>
        <w:t>in februari en juli 2026</w:t>
      </w:r>
      <w:r w:rsidRPr="009F5C37">
        <w:t xml:space="preserve"> te informeren over de ontwikkelingen in het licht van de toereikendheid van het Wlz-kader. </w:t>
      </w:r>
      <w:r w:rsidRPr="009F5C37">
        <w:rPr>
          <w:color w:val="000000" w:themeColor="text1"/>
        </w:rPr>
        <w:t xml:space="preserve">Ik </w:t>
      </w:r>
      <w:r>
        <w:rPr>
          <w:color w:val="000000" w:themeColor="text1"/>
        </w:rPr>
        <w:t xml:space="preserve">zal haar verzoeken </w:t>
      </w:r>
      <w:r w:rsidRPr="009F5C37">
        <w:rPr>
          <w:color w:val="000000" w:themeColor="text1"/>
        </w:rPr>
        <w:t>dit te bezien in relatie tot de ontwikkeling van de indicaties en de gedeclareerde zorg</w:t>
      </w:r>
      <w:r>
        <w:rPr>
          <w:color w:val="000000" w:themeColor="text1"/>
        </w:rPr>
        <w:t xml:space="preserve">. Hierbij zal ik aan de NZa vragen om specifiek aandacht te besteden aan </w:t>
      </w:r>
      <w:r w:rsidRPr="009F5C37">
        <w:rPr>
          <w:color w:val="000000" w:themeColor="text1"/>
        </w:rPr>
        <w:t>de budgettaire impact van de instroom van ggz-w cliënten in de Wlz en aan het aantal verpleegzorgplekken met verblijf.</w:t>
      </w:r>
    </w:p>
    <w:p w:rsidR="00EB787C" w:rsidP="00EB787C" w:rsidRDefault="00EB787C" w14:paraId="357E3034" w14:textId="77777777">
      <w:pPr>
        <w:pStyle w:val="Huisstijl-Gegevens"/>
        <w:spacing w:line="276" w:lineRule="auto"/>
      </w:pPr>
    </w:p>
    <w:p w:rsidRPr="009F5C37" w:rsidR="00F348BC" w:rsidP="00EB787C" w:rsidRDefault="001C6588" w14:paraId="450BFCC1" w14:textId="77777777">
      <w:pPr>
        <w:pStyle w:val="Huisstijl-Gegevens"/>
        <w:spacing w:line="276" w:lineRule="auto"/>
      </w:pPr>
      <w:r w:rsidRPr="009F5C37">
        <w:t>Ik hoop dat ik u hiermee voldoende heb geïnformeerd.</w:t>
      </w:r>
    </w:p>
    <w:p w:rsidRPr="008D59C5" w:rsidR="00334C45" w:rsidP="00EB787C" w:rsidRDefault="00334C45" w14:paraId="77EC44FD" w14:textId="77777777">
      <w:pPr>
        <w:pStyle w:val="Huisstijl-Gegevens"/>
        <w:spacing w:line="276" w:lineRule="auto"/>
      </w:pPr>
    </w:p>
    <w:p w:rsidR="00CD5856" w:rsidRDefault="001C6588" w14:paraId="3E1F85B0" w14:textId="77777777">
      <w:pPr>
        <w:pStyle w:val="Huisstijl-Slotzin"/>
      </w:pPr>
      <w:r>
        <w:t>Hoogachtend</w:t>
      </w:r>
      <w:r w:rsidR="00EB231B">
        <w:t>,</w:t>
      </w:r>
    </w:p>
    <w:p w:rsidR="00B06E1E" w:rsidP="00B06E1E" w:rsidRDefault="00B06E1E" w14:paraId="5A587A71" w14:textId="77777777">
      <w:pPr>
        <w:pStyle w:val="Huisstijl-Ondertekening"/>
      </w:pPr>
    </w:p>
    <w:p w:rsidR="00611A32" w:rsidP="00B06E1E" w:rsidRDefault="00611A32" w14:paraId="19365E48" w14:textId="77777777">
      <w:pPr>
        <w:spacing w:line="240" w:lineRule="atLeast"/>
        <w:jc w:val="both"/>
        <w:rPr>
          <w:szCs w:val="18"/>
        </w:rPr>
      </w:pPr>
      <w:r>
        <w:rPr>
          <w:szCs w:val="18"/>
        </w:rPr>
        <w:t>de staatssecretaris Langdurige</w:t>
      </w:r>
    </w:p>
    <w:p w:rsidR="00B06E1E" w:rsidP="00B06E1E" w:rsidRDefault="001C6588" w14:paraId="0F5E2229" w14:textId="54D6F1F4">
      <w:pPr>
        <w:spacing w:line="240" w:lineRule="atLeast"/>
        <w:jc w:val="both"/>
        <w:rPr>
          <w:szCs w:val="18"/>
        </w:rPr>
      </w:pPr>
      <w:r>
        <w:rPr>
          <w:szCs w:val="18"/>
        </w:rPr>
        <w:t>en Maatschappelijke Zorg,</w:t>
      </w:r>
    </w:p>
    <w:p w:rsidRPr="007B6A41" w:rsidR="00B06E1E" w:rsidP="00B06E1E" w:rsidRDefault="00B06E1E" w14:paraId="295141F5" w14:textId="77777777">
      <w:pPr>
        <w:spacing w:line="240" w:lineRule="atLeast"/>
        <w:rPr>
          <w:szCs w:val="18"/>
        </w:rPr>
      </w:pPr>
      <w:bookmarkStart w:name="bmkHandtekening" w:id="3"/>
    </w:p>
    <w:bookmarkEnd w:id="3"/>
    <w:p w:rsidR="00B06E1E" w:rsidP="00B06E1E" w:rsidRDefault="001C6588" w14:paraId="2D5C1D49" w14:textId="77777777">
      <w:pPr>
        <w:spacing w:line="240" w:lineRule="atLeast"/>
      </w:pPr>
      <w:r>
        <w:cr/>
      </w:r>
      <w:r>
        <w:cr/>
      </w:r>
    </w:p>
    <w:p w:rsidR="00611A32" w:rsidP="00B06E1E" w:rsidRDefault="00611A32" w14:paraId="4DBEB97E" w14:textId="77777777">
      <w:pPr>
        <w:spacing w:line="240" w:lineRule="atLeast"/>
      </w:pPr>
    </w:p>
    <w:p w:rsidRPr="007B6A41" w:rsidR="00611A32" w:rsidP="00B06E1E" w:rsidRDefault="00611A32" w14:paraId="4DA668D3" w14:textId="77777777">
      <w:pPr>
        <w:spacing w:line="240" w:lineRule="atLeast"/>
        <w:rPr>
          <w:szCs w:val="18"/>
        </w:rPr>
      </w:pPr>
    </w:p>
    <w:p w:rsidRPr="00611A32" w:rsidR="00B06E1E" w:rsidP="00B06E1E" w:rsidRDefault="001C6588" w14:paraId="41DC45B9" w14:textId="77777777">
      <w:pPr>
        <w:pStyle w:val="Huisstijl-Ondertekeningvervolg"/>
        <w:rPr>
          <w:i w:val="0"/>
          <w:iCs/>
        </w:rPr>
      </w:pPr>
      <w:r w:rsidRPr="00611A32">
        <w:rPr>
          <w:i w:val="0"/>
          <w:iCs/>
        </w:rPr>
        <w:t>Nicki J.F. Pouw-Verweij</w:t>
      </w:r>
    </w:p>
    <w:p w:rsidRPr="00981EA1" w:rsidR="00981EA1" w:rsidP="00B06E1E" w:rsidRDefault="00981EA1" w14:paraId="3A6B99A2" w14:textId="77777777">
      <w:pPr>
        <w:pStyle w:val="Huisstijl-Ondertekeningvervolg"/>
        <w:rPr>
          <w:i w:val="0"/>
          <w:iCs/>
        </w:rPr>
      </w:pPr>
    </w:p>
    <w:sectPr w:rsidRPr="00981EA1" w:rsidR="00981EA1" w:rsidSect="008D59C5">
      <w:headerReference w:type="default" r:id="rId18"/>
      <w:headerReference w:type="first" r:id="rId19"/>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5377" w14:textId="77777777" w:rsidR="008138CD" w:rsidRDefault="008138CD">
      <w:pPr>
        <w:spacing w:line="240" w:lineRule="auto"/>
      </w:pPr>
      <w:r>
        <w:separator/>
      </w:r>
    </w:p>
  </w:endnote>
  <w:endnote w:type="continuationSeparator" w:id="0">
    <w:p w14:paraId="0730FA9A" w14:textId="77777777" w:rsidR="008138CD" w:rsidRDefault="00813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CCF0" w14:textId="77777777" w:rsidR="00D83B62" w:rsidRDefault="00D83B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5082" w14:textId="77777777" w:rsidR="005476E3" w:rsidRDefault="00000000">
    <w:pPr>
      <w:pStyle w:val="Voettekst"/>
    </w:pPr>
    <w:r>
      <w:rPr>
        <w:noProof/>
        <w:lang w:val="en-US" w:eastAsia="en-US" w:bidi="ar-SA"/>
      </w:rPr>
      <w:pict w14:anchorId="174C86F2">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4F6BE8D7" w14:textId="77777777" w:rsidR="005476E3" w:rsidRDefault="001C6588" w:rsidP="005476E3">
                <w:pPr>
                  <w:pStyle w:val="Huisstijl-Paginanummer"/>
                </w:pPr>
                <w:r>
                  <w:t xml:space="preserve">Pagina </w:t>
                </w:r>
                <w:r w:rsidR="00B06E1E">
                  <w:fldChar w:fldCharType="begin"/>
                </w:r>
                <w:r w:rsidR="00B06E1E">
                  <w:instrText xml:space="preserve"> PAGE    \* MERGEFORMAT </w:instrText>
                </w:r>
                <w:r w:rsidR="00B06E1E">
                  <w:fldChar w:fldCharType="separate"/>
                </w:r>
                <w:r w:rsidR="00C727EE">
                  <w:rPr>
                    <w:noProof/>
                  </w:rPr>
                  <w:t>1</w:t>
                </w:r>
                <w:r w:rsidR="00B06E1E">
                  <w:rPr>
                    <w:noProof/>
                  </w:rPr>
                  <w:fldChar w:fldCharType="end"/>
                </w:r>
                <w:r>
                  <w:t xml:space="preserve"> van </w:t>
                </w:r>
                <w:r w:rsidR="00C727EE">
                  <w:fldChar w:fldCharType="begin"/>
                </w:r>
                <w:r>
                  <w:instrText xml:space="preserve"> NUMPAGES   \* MERGEFORMAT </w:instrText>
                </w:r>
                <w:r w:rsidR="00C727EE">
                  <w:fldChar w:fldCharType="separate"/>
                </w:r>
                <w:r w:rsidR="00C727EE">
                  <w:rPr>
                    <w:noProof/>
                  </w:rPr>
                  <w:t>1</w:t>
                </w:r>
                <w:r w:rsidR="00C727E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AEC0" w14:textId="77777777" w:rsidR="00D83B62" w:rsidRDefault="00D83B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CD36" w14:textId="77777777" w:rsidR="008138CD" w:rsidRDefault="008138CD">
      <w:pPr>
        <w:spacing w:line="240" w:lineRule="auto"/>
      </w:pPr>
      <w:r>
        <w:separator/>
      </w:r>
    </w:p>
  </w:footnote>
  <w:footnote w:type="continuationSeparator" w:id="0">
    <w:p w14:paraId="3002CA97" w14:textId="77777777" w:rsidR="008138CD" w:rsidRDefault="008138CD">
      <w:pPr>
        <w:spacing w:line="240" w:lineRule="auto"/>
      </w:pPr>
      <w:r>
        <w:continuationSeparator/>
      </w:r>
    </w:p>
  </w:footnote>
  <w:footnote w:id="1">
    <w:p w14:paraId="47328CB3" w14:textId="77777777" w:rsidR="00F348BC" w:rsidRPr="00F633F6" w:rsidRDefault="001C6588" w:rsidP="00F348BC">
      <w:pPr>
        <w:pStyle w:val="Voetnoottekst"/>
        <w:rPr>
          <w:sz w:val="16"/>
          <w:szCs w:val="16"/>
        </w:rPr>
      </w:pPr>
      <w:r w:rsidRPr="00F633F6">
        <w:rPr>
          <w:rStyle w:val="Voetnootmarkering"/>
          <w:sz w:val="16"/>
          <w:szCs w:val="16"/>
        </w:rPr>
        <w:footnoteRef/>
      </w:r>
      <w:r w:rsidRPr="00F633F6">
        <w:rPr>
          <w:sz w:val="16"/>
          <w:szCs w:val="16"/>
        </w:rPr>
        <w:t xml:space="preserve"> </w:t>
      </w:r>
      <w:r>
        <w:rPr>
          <w:sz w:val="16"/>
          <w:szCs w:val="16"/>
        </w:rPr>
        <w:t>Tweede Kamer, 2024-2025, 34 104, nr.448.</w:t>
      </w:r>
    </w:p>
  </w:footnote>
  <w:footnote w:id="2">
    <w:p w14:paraId="794C790E" w14:textId="77777777" w:rsidR="00F348BC" w:rsidRPr="00F633F6" w:rsidRDefault="001C6588" w:rsidP="00F348BC">
      <w:pPr>
        <w:pStyle w:val="Voetnoottekst"/>
        <w:rPr>
          <w:sz w:val="16"/>
          <w:szCs w:val="16"/>
        </w:rPr>
      </w:pPr>
      <w:r w:rsidRPr="00F633F6">
        <w:rPr>
          <w:rStyle w:val="Voetnootmarkering"/>
          <w:sz w:val="16"/>
          <w:szCs w:val="16"/>
        </w:rPr>
        <w:footnoteRef/>
      </w:r>
      <w:r w:rsidRPr="00F633F6">
        <w:rPr>
          <w:sz w:val="16"/>
          <w:szCs w:val="16"/>
        </w:rPr>
        <w:t xml:space="preserve"> Staatsblad 2025, 123.</w:t>
      </w:r>
    </w:p>
  </w:footnote>
  <w:footnote w:id="3">
    <w:p w14:paraId="05CCF99D" w14:textId="77777777" w:rsidR="00F348BC" w:rsidRDefault="001C6588" w:rsidP="00F348BC">
      <w:pPr>
        <w:pStyle w:val="Voetnoottekst"/>
      </w:pPr>
      <w:r w:rsidRPr="00F633F6">
        <w:rPr>
          <w:rStyle w:val="Voetnootmarkering"/>
          <w:sz w:val="16"/>
          <w:szCs w:val="16"/>
        </w:rPr>
        <w:footnoteRef/>
      </w:r>
      <w:r w:rsidRPr="00F633F6">
        <w:rPr>
          <w:sz w:val="16"/>
          <w:szCs w:val="16"/>
        </w:rPr>
        <w:t xml:space="preserve"> Tweede Kamer, 2023-2024, 36 486, nr.3. </w:t>
      </w:r>
    </w:p>
  </w:footnote>
  <w:footnote w:id="4">
    <w:p w14:paraId="2390A253" w14:textId="77777777" w:rsidR="00F348BC" w:rsidRDefault="001C6588" w:rsidP="00F348BC">
      <w:pPr>
        <w:pStyle w:val="Voetnoottekst"/>
      </w:pPr>
      <w:r>
        <w:rPr>
          <w:rStyle w:val="Voetnootmarkering"/>
        </w:rPr>
        <w:footnoteRef/>
      </w:r>
      <w:r>
        <w:t xml:space="preserve"> </w:t>
      </w:r>
      <w:r>
        <w:rPr>
          <w:sz w:val="16"/>
          <w:szCs w:val="16"/>
        </w:rPr>
        <w:t xml:space="preserve">Bijlage 4 bij </w:t>
      </w:r>
      <w:hyperlink r:id="rId1" w:history="1">
        <w:r w:rsidR="00F348BC" w:rsidRPr="000A3BAF">
          <w:rPr>
            <w:rStyle w:val="Hyperlink"/>
            <w:sz w:val="16"/>
            <w:szCs w:val="16"/>
          </w:rPr>
          <w:t>Beleidsregel Budgettair kader Wlz 2025 - BR/REG-25124c - Nederlandse Zorgautoriteit</w:t>
        </w:r>
      </w:hyperlink>
      <w:r w:rsidRPr="000A3BAF">
        <w:rPr>
          <w:rStyle w:val="Hyperlink"/>
          <w:color w:val="auto"/>
          <w:sz w:val="16"/>
          <w:szCs w:val="16"/>
        </w:rPr>
        <w:t>.</w:t>
      </w:r>
      <w:r w:rsidRPr="00F752DB">
        <w:rPr>
          <w:rStyle w:val="Hyperlink"/>
          <w:color w:val="auto"/>
          <w:sz w:val="16"/>
          <w:szCs w:val="16"/>
        </w:rPr>
        <w:t xml:space="preserve"> Dit betreft de stand per 15 </w:t>
      </w:r>
      <w:r>
        <w:rPr>
          <w:rStyle w:val="Hyperlink"/>
          <w:color w:val="auto"/>
          <w:sz w:val="16"/>
          <w:szCs w:val="16"/>
        </w:rPr>
        <w:t>augustus</w:t>
      </w:r>
      <w:r w:rsidRPr="00F752DB">
        <w:rPr>
          <w:rStyle w:val="Hyperlink"/>
          <w:color w:val="auto"/>
          <w:sz w:val="16"/>
          <w:szCs w:val="16"/>
        </w:rPr>
        <w:t xml:space="preserve"> 2025.</w:t>
      </w:r>
    </w:p>
  </w:footnote>
  <w:footnote w:id="5">
    <w:p w14:paraId="7EB01D05" w14:textId="77777777" w:rsidR="00F348BC" w:rsidRPr="00E431D0" w:rsidRDefault="001C6588" w:rsidP="00F348BC">
      <w:pPr>
        <w:pStyle w:val="Voetnoottekst"/>
        <w:rPr>
          <w:sz w:val="16"/>
          <w:szCs w:val="16"/>
        </w:rPr>
      </w:pPr>
      <w:r w:rsidRPr="00E431D0">
        <w:rPr>
          <w:rStyle w:val="Voetnootmarkering"/>
          <w:sz w:val="16"/>
          <w:szCs w:val="16"/>
        </w:rPr>
        <w:footnoteRef/>
      </w:r>
      <w:r w:rsidRPr="00E431D0">
        <w:rPr>
          <w:sz w:val="16"/>
          <w:szCs w:val="16"/>
        </w:rPr>
        <w:t xml:space="preserve"> Tweede Kamer, 2024-2025, 36 744, nr.3.</w:t>
      </w:r>
    </w:p>
  </w:footnote>
  <w:footnote w:id="6">
    <w:p w14:paraId="455644F9" w14:textId="77777777" w:rsidR="00F348BC" w:rsidRPr="00906776" w:rsidRDefault="001C6588" w:rsidP="00F348BC">
      <w:pPr>
        <w:pStyle w:val="Voetnoottekst"/>
        <w:rPr>
          <w:sz w:val="16"/>
          <w:szCs w:val="16"/>
        </w:rPr>
      </w:pPr>
      <w:r w:rsidRPr="00906776">
        <w:rPr>
          <w:rStyle w:val="Voetnootmarkering"/>
          <w:sz w:val="16"/>
          <w:szCs w:val="16"/>
        </w:rPr>
        <w:footnoteRef/>
      </w:r>
      <w:r w:rsidRPr="00906776">
        <w:rPr>
          <w:sz w:val="16"/>
          <w:szCs w:val="16"/>
        </w:rPr>
        <w:t xml:space="preserve"> NZa. </w:t>
      </w:r>
      <w:hyperlink r:id="rId2" w:history="1">
        <w:r w:rsidR="00F348BC" w:rsidRPr="00906776">
          <w:rPr>
            <w:rStyle w:val="Hyperlink"/>
            <w:sz w:val="16"/>
            <w:szCs w:val="16"/>
          </w:rPr>
          <w:t>Beleidsregel Budgettair kader Wlz 2026 - BR/REG-26123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6ECB" w14:textId="77777777" w:rsidR="00D83B62" w:rsidRDefault="00D83B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64C7" w14:textId="77777777" w:rsidR="00B10DA8" w:rsidRDefault="001C6588">
    <w:pPr>
      <w:pStyle w:val="Koptekst"/>
    </w:pPr>
    <w:r>
      <w:rPr>
        <w:noProof/>
        <w:lang w:eastAsia="nl-NL" w:bidi="ar-SA"/>
      </w:rPr>
      <w:drawing>
        <wp:anchor distT="0" distB="0" distL="114300" distR="114300" simplePos="0" relativeHeight="251652096" behindDoc="1" locked="0" layoutInCell="1" allowOverlap="1" wp14:anchorId="4703C5CC" wp14:editId="76C7FD6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151072C" wp14:editId="4C8D0A03">
          <wp:simplePos x="0" y="0"/>
          <wp:positionH relativeFrom="page">
            <wp:posOffset>3541395</wp:posOffset>
          </wp:positionH>
          <wp:positionV relativeFrom="page">
            <wp:posOffset>0</wp:posOffset>
          </wp:positionV>
          <wp:extent cx="461010" cy="1581785"/>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1010" cy="1581785"/>
                  </a:xfrm>
                  <a:prstGeom prst="rect">
                    <a:avLst/>
                  </a:prstGeom>
                  <a:ln w="3175">
                    <a:noFill/>
                  </a:ln>
                </pic:spPr>
              </pic:pic>
            </a:graphicData>
          </a:graphic>
        </wp:anchor>
      </w:drawing>
    </w:r>
    <w:r w:rsidR="00000000">
      <w:rPr>
        <w:lang w:eastAsia="nl-NL" w:bidi="ar-SA"/>
      </w:rPr>
      <w:pict w14:anchorId="59C5E5A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B601C93" w14:textId="77777777" w:rsidR="00F348BC" w:rsidRDefault="001C6588" w:rsidP="00F348BC">
                <w:pPr>
                  <w:pStyle w:val="Referentiegegevensbold"/>
                </w:pPr>
                <w:r>
                  <w:t>Ministerie van Volksgezondheid, Welzijn en Sport</w:t>
                </w:r>
              </w:p>
              <w:p w14:paraId="41350FA4" w14:textId="77777777" w:rsidR="00F348BC" w:rsidRDefault="001C6588" w:rsidP="00F348BC">
                <w:pPr>
                  <w:pStyle w:val="Referentiegegevens"/>
                </w:pPr>
                <w:r>
                  <w:t>DG Langdurige Zorg</w:t>
                </w:r>
              </w:p>
              <w:p w14:paraId="2BA5D10F" w14:textId="77777777" w:rsidR="00F348BC" w:rsidRDefault="001C6588" w:rsidP="00F348BC">
                <w:pPr>
                  <w:pStyle w:val="Referentiegegevens"/>
                </w:pPr>
                <w:r>
                  <w:t>Directie Langdurige Zorg</w:t>
                </w:r>
              </w:p>
              <w:p w14:paraId="1351F50F" w14:textId="77777777" w:rsidR="00F348BC" w:rsidRDefault="00F348BC">
                <w:pPr>
                  <w:pStyle w:val="Huisstijl-AfzendgegevensW1"/>
                </w:pPr>
              </w:p>
              <w:p w14:paraId="4A32F44D" w14:textId="77777777" w:rsidR="00B10DA8" w:rsidRDefault="001C6588">
                <w:pPr>
                  <w:pStyle w:val="Huisstijl-AfzendgegevensW1"/>
                </w:pPr>
                <w:r>
                  <w:t>Bezoekadres</w:t>
                </w:r>
              </w:p>
              <w:p w14:paraId="1FD2FC20" w14:textId="77777777" w:rsidR="00B10DA8" w:rsidRDefault="001C6588">
                <w:pPr>
                  <w:pStyle w:val="Huisstijl-Afzendgegevens"/>
                </w:pPr>
                <w:r>
                  <w:t>Parnassusplein 5</w:t>
                </w:r>
              </w:p>
              <w:p w14:paraId="7C1F1C68" w14:textId="77777777" w:rsidR="00B10DA8" w:rsidRDefault="001C6588">
                <w:pPr>
                  <w:pStyle w:val="Huisstijl-Afzendgegevens"/>
                </w:pPr>
                <w:r w:rsidRPr="008D59C5">
                  <w:t>251</w:t>
                </w:r>
                <w:r w:rsidR="006B7CA7">
                  <w:t>1</w:t>
                </w:r>
                <w:r w:rsidRPr="008D59C5">
                  <w:t xml:space="preserve"> </w:t>
                </w:r>
                <w:r w:rsidR="006B7CA7">
                  <w:t>VX</w:t>
                </w:r>
                <w:r>
                  <w:t xml:space="preserve">  </w:t>
                </w:r>
                <w:r w:rsidRPr="008D59C5">
                  <w:t>Den Haag</w:t>
                </w:r>
              </w:p>
              <w:p w14:paraId="5091B83E" w14:textId="77777777" w:rsidR="00B10DA8" w:rsidRDefault="001C6588">
                <w:pPr>
                  <w:pStyle w:val="Huisstijl-Afzendgegevens"/>
                </w:pPr>
                <w:r w:rsidRPr="008D59C5">
                  <w:t>www.rijksoverheid.nl</w:t>
                </w:r>
              </w:p>
              <w:p w14:paraId="0156031C" w14:textId="77777777" w:rsidR="00B10DA8" w:rsidRDefault="001C6588">
                <w:pPr>
                  <w:pStyle w:val="Huisstijl-ReferentiegegevenskopW2"/>
                </w:pPr>
                <w:r w:rsidRPr="008D59C5">
                  <w:t>Kenmerk</w:t>
                </w:r>
              </w:p>
              <w:p w14:paraId="5BC201D1" w14:textId="77777777" w:rsidR="00B10DA8" w:rsidRDefault="001C6588">
                <w:pPr>
                  <w:pStyle w:val="Huisstijl-Referentiegegevens"/>
                </w:pPr>
                <w:r>
                  <w:t>420</w:t>
                </w:r>
                <w:r w:rsidR="00D55D1E">
                  <w:t>8786</w:t>
                </w:r>
                <w:r>
                  <w:t>-1087253-LZ</w:t>
                </w:r>
              </w:p>
              <w:p w14:paraId="3CCC950E" w14:textId="77777777" w:rsidR="00ED3E38" w:rsidRDefault="00ED3E38">
                <w:pPr>
                  <w:pStyle w:val="Huisstijl-Referentiegegevens"/>
                </w:pPr>
              </w:p>
              <w:p w14:paraId="0F7F0F22" w14:textId="77777777" w:rsidR="00B10DA8" w:rsidRPr="001216EF" w:rsidRDefault="001C6588">
                <w:pPr>
                  <w:pStyle w:val="Huisstijl-ReferentiegegevenskopW1"/>
                  <w:rPr>
                    <w:b w:val="0"/>
                    <w:bCs/>
                  </w:rPr>
                </w:pPr>
                <w:r w:rsidRPr="008D59C5">
                  <w:t>Bijlage(n)</w:t>
                </w:r>
                <w:r w:rsidR="001216EF">
                  <w:br/>
                </w:r>
                <w:r w:rsidR="001216EF">
                  <w:rPr>
                    <w:b w:val="0"/>
                    <w:bCs/>
                  </w:rPr>
                  <w:t>3</w:t>
                </w:r>
              </w:p>
              <w:p w14:paraId="1874450D" w14:textId="77777777" w:rsidR="00B62766" w:rsidRDefault="00B62766">
                <w:pPr>
                  <w:pStyle w:val="Huisstijl-ReferentiegegevenskopW1"/>
                </w:pPr>
              </w:p>
              <w:p w14:paraId="207CBA41" w14:textId="77777777" w:rsidR="00B10DA8" w:rsidRDefault="00B10DA8">
                <w:pPr>
                  <w:pStyle w:val="Huisstijl-Referentiegegevens"/>
                </w:pPr>
              </w:p>
              <w:p w14:paraId="6C021691" w14:textId="77777777" w:rsidR="00B10DA8" w:rsidRDefault="001C6588">
                <w:pPr>
                  <w:pStyle w:val="Huisstijl-Algemenevoorwaarden"/>
                </w:pPr>
                <w:r>
                  <w:t>Correspondentie uitsluitend richten aan het retouradres met vermelding van de datum en het kenmerk van deze brief.</w:t>
                </w:r>
              </w:p>
              <w:p w14:paraId="2728B968" w14:textId="77777777" w:rsidR="00B10DA8" w:rsidRDefault="00B10DA8"/>
            </w:txbxContent>
          </v:textbox>
          <w10:wrap anchorx="page" anchory="page"/>
        </v:shape>
      </w:pict>
    </w:r>
    <w:r w:rsidR="00000000">
      <w:rPr>
        <w:lang w:eastAsia="nl-NL" w:bidi="ar-SA"/>
      </w:rPr>
      <w:pict w14:anchorId="1807822C">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7E1D7782" w14:textId="72D28489" w:rsidR="00B10DA8" w:rsidRDefault="001C6588">
                <w:pPr>
                  <w:pStyle w:val="Huisstijl-Datumenbetreft"/>
                  <w:tabs>
                    <w:tab w:val="clear" w:pos="737"/>
                    <w:tab w:val="left" w:pos="-5954"/>
                    <w:tab w:val="left" w:pos="-5670"/>
                    <w:tab w:val="left" w:pos="1134"/>
                  </w:tabs>
                </w:pPr>
                <w:r>
                  <w:t>Datum</w:t>
                </w:r>
                <w:r>
                  <w:tab/>
                </w:r>
                <w:r w:rsidR="00D83B62">
                  <w:t>16 september 2025</w:t>
                </w:r>
              </w:p>
              <w:p w14:paraId="4B7EA532" w14:textId="77777777" w:rsidR="00B10DA8" w:rsidRDefault="001C6588" w:rsidP="00ED3E38">
                <w:pPr>
                  <w:pStyle w:val="Huisstijl-Datumenbetreft"/>
                  <w:tabs>
                    <w:tab w:val="clear" w:pos="737"/>
                    <w:tab w:val="left" w:pos="-5954"/>
                    <w:tab w:val="left" w:pos="-5670"/>
                    <w:tab w:val="left" w:pos="1134"/>
                  </w:tabs>
                  <w:ind w:left="1140" w:hanging="1140"/>
                </w:pPr>
                <w:r>
                  <w:t>Betreft</w:t>
                </w:r>
                <w:r>
                  <w:tab/>
                </w:r>
                <w:r w:rsidR="00F348BC" w:rsidRPr="00F348BC">
                  <w:t>Definitieve kaderbrief Wlz 2026 en het indicatieve Wlz-</w:t>
                </w:r>
                <w:r w:rsidR="00ED3E38">
                  <w:t xml:space="preserve">  </w:t>
                </w:r>
                <w:r w:rsidR="00F348BC" w:rsidRPr="00F348BC">
                  <w:t>kader voor de jaren 2027-2030</w:t>
                </w:r>
              </w:p>
              <w:p w14:paraId="54944974" w14:textId="77777777" w:rsidR="00B10DA8" w:rsidRDefault="00B10DA8">
                <w:pPr>
                  <w:pStyle w:val="Huisstijl-Datumenbetreft"/>
                  <w:tabs>
                    <w:tab w:val="left" w:pos="-5954"/>
                    <w:tab w:val="left" w:pos="-5670"/>
                  </w:tabs>
                </w:pPr>
              </w:p>
            </w:txbxContent>
          </v:textbox>
          <w10:wrap anchorx="page" anchory="page"/>
        </v:shape>
      </w:pict>
    </w:r>
    <w:r w:rsidR="00000000">
      <w:rPr>
        <w:lang w:eastAsia="nl-NL" w:bidi="ar-SA"/>
      </w:rPr>
      <w:pict w14:anchorId="7319914C">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A8D1701" w14:textId="77777777" w:rsidR="00B10DA8" w:rsidRDefault="00B10DA8">
                <w:pPr>
                  <w:pStyle w:val="Huisstijl-Toezendgegevens"/>
                </w:pPr>
              </w:p>
            </w:txbxContent>
          </v:textbox>
          <w10:wrap anchorx="page" anchory="page"/>
        </v:shape>
      </w:pict>
    </w:r>
    <w:r w:rsidR="00000000">
      <w:rPr>
        <w:lang w:eastAsia="nl-NL" w:bidi="ar-SA"/>
      </w:rPr>
      <w:pict w14:anchorId="36E7FD1B">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7285BBB" w14:textId="77777777" w:rsidR="00B10DA8" w:rsidRDefault="001C6588">
                <w:pPr>
                  <w:pStyle w:val="Huisstijl-Toezendgegevens"/>
                </w:pPr>
                <w:r>
                  <w:t xml:space="preserve">De Voorzitter van de </w:t>
                </w:r>
                <w:r w:rsidR="00792B23">
                  <w:t>Tweede</w:t>
                </w:r>
                <w:r>
                  <w:t xml:space="preserve"> Kamer</w:t>
                </w:r>
                <w:r>
                  <w:br/>
                  <w:t>der Staten-Generaal</w:t>
                </w:r>
                <w:r>
                  <w:br/>
                  <w:t>Postbus 2001</w:t>
                </w:r>
                <w:r w:rsidR="00792B23">
                  <w:t>8</w:t>
                </w:r>
                <w:r>
                  <w:br/>
                  <w:t xml:space="preserve">2500 EA </w:t>
                </w:r>
                <w:r w:rsidR="002C2C11">
                  <w:t xml:space="preserve"> </w:t>
                </w:r>
                <w:r>
                  <w:t>DEN HAAG</w:t>
                </w:r>
              </w:p>
            </w:txbxContent>
          </v:textbox>
          <w10:wrap anchorx="page" anchory="page"/>
        </v:shape>
      </w:pict>
    </w:r>
    <w:r w:rsidR="00000000">
      <w:rPr>
        <w:lang w:eastAsia="nl-NL" w:bidi="ar-SA"/>
      </w:rPr>
      <w:pict w14:anchorId="7CE5CF3E">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5A07A46" w14:textId="77777777" w:rsidR="00B10DA8" w:rsidRDefault="001C6588">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802" w14:textId="77777777" w:rsidR="00D83B62" w:rsidRDefault="00D83B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EDA1" w14:textId="77777777" w:rsidR="00B10DA8" w:rsidRDefault="00000000">
    <w:pPr>
      <w:pStyle w:val="Koptekst"/>
    </w:pPr>
    <w:r>
      <w:rPr>
        <w:lang w:eastAsia="nl-NL" w:bidi="ar-SA"/>
      </w:rPr>
      <w:pict w14:anchorId="6DE1AA7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9902527" w14:textId="77777777" w:rsidR="00B10DA8" w:rsidRDefault="001C6588">
                <w:pPr>
                  <w:pStyle w:val="Huisstijl-ReferentiegegevenskopW2"/>
                </w:pPr>
                <w:r w:rsidRPr="008D59C5">
                  <w:t>Kenmerk</w:t>
                </w:r>
              </w:p>
              <w:p w14:paraId="39EE354A" w14:textId="77777777" w:rsidR="00981EA1" w:rsidRDefault="001C6588" w:rsidP="00981EA1">
                <w:pPr>
                  <w:pStyle w:val="Huisstijl-Referentiegegevens"/>
                </w:pPr>
                <w:r>
                  <w:t>420</w:t>
                </w:r>
                <w:r w:rsidR="00D55D1E">
                  <w:t>8786</w:t>
                </w:r>
                <w:r>
                  <w:t>-1087253-LZ</w:t>
                </w:r>
              </w:p>
              <w:p w14:paraId="027F35D9" w14:textId="77777777" w:rsidR="00B10DA8" w:rsidRDefault="00B10DA8">
                <w:pPr>
                  <w:pStyle w:val="Huisstijl-Referentiegegevens"/>
                </w:pPr>
              </w:p>
            </w:txbxContent>
          </v:textbox>
          <w10:wrap anchorx="page" anchory="page"/>
        </v:shape>
      </w:pict>
    </w:r>
    <w:r>
      <w:rPr>
        <w:lang w:eastAsia="nl-NL" w:bidi="ar-SA"/>
      </w:rPr>
      <w:pict w14:anchorId="05563636">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A8FEC1F" w14:textId="43E52698" w:rsidR="00B10DA8" w:rsidRDefault="001C6588">
                <w:pPr>
                  <w:pStyle w:val="Huisstijl-Paginanummer"/>
                </w:pPr>
                <w:r>
                  <w:t xml:space="preserve">Pagina </w:t>
                </w:r>
                <w:r w:rsidR="00B06E1E">
                  <w:fldChar w:fldCharType="begin"/>
                </w:r>
                <w:r w:rsidR="00B06E1E">
                  <w:instrText xml:space="preserve"> PAGE    \* MERGEFORMAT </w:instrText>
                </w:r>
                <w:r w:rsidR="00B06E1E">
                  <w:fldChar w:fldCharType="separate"/>
                </w:r>
                <w:r w:rsidR="00DD4436">
                  <w:rPr>
                    <w:noProof/>
                  </w:rPr>
                  <w:t>2</w:t>
                </w:r>
                <w:r w:rsidR="00B06E1E">
                  <w:rPr>
                    <w:noProof/>
                  </w:rPr>
                  <w:fldChar w:fldCharType="end"/>
                </w:r>
                <w:r>
                  <w:t xml:space="preserve"> van </w:t>
                </w:r>
                <w:r w:rsidR="00981EA1">
                  <w:fldChar w:fldCharType="begin"/>
                </w:r>
                <w:r>
                  <w:instrText xml:space="preserve"> SECTIONPAGES  \* Arabic  \* MERGEFORMAT </w:instrText>
                </w:r>
                <w:r w:rsidR="00981EA1">
                  <w:fldChar w:fldCharType="separate"/>
                </w:r>
                <w:r w:rsidR="00D83B62">
                  <w:rPr>
                    <w:noProof/>
                  </w:rPr>
                  <w:t>5</w:t>
                </w:r>
                <w:r w:rsidR="00981EA1">
                  <w:rPr>
                    <w:noProof/>
                  </w:rPr>
                  <w:fldChar w:fldCharType="end"/>
                </w:r>
              </w:p>
              <w:p w14:paraId="1E620E5F" w14:textId="77777777" w:rsidR="00B10DA8" w:rsidRDefault="00B10DA8"/>
              <w:p w14:paraId="32CE1353" w14:textId="77777777" w:rsidR="00B10DA8" w:rsidRDefault="00B10DA8">
                <w:pPr>
                  <w:pStyle w:val="Huisstijl-Paginanummer"/>
                </w:pPr>
              </w:p>
              <w:p w14:paraId="26C83590" w14:textId="77777777" w:rsidR="00B10DA8" w:rsidRDefault="00B10DA8">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ECAC" w14:textId="77777777" w:rsidR="00B10DA8" w:rsidRDefault="00000000">
    <w:pPr>
      <w:pStyle w:val="Koptekst"/>
    </w:pPr>
    <w:r>
      <w:rPr>
        <w:lang w:eastAsia="nl-NL" w:bidi="ar-SA"/>
      </w:rPr>
      <w:pict w14:anchorId="576A5D1A">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F77C5A2" w14:textId="77777777" w:rsidR="00B10DA8" w:rsidRDefault="001C6588">
                <w:pPr>
                  <w:pStyle w:val="Huisstijl-Datumenbetreft"/>
                  <w:tabs>
                    <w:tab w:val="left" w:pos="-5954"/>
                    <w:tab w:val="left" w:pos="-5670"/>
                  </w:tabs>
                </w:pPr>
                <w:r>
                  <w:t>Datum</w:t>
                </w:r>
                <w:r>
                  <w:tab/>
                </w:r>
                <w:sdt>
                  <w:sdtPr>
                    <w:alias w:val="Date"/>
                    <w:tag w:val="Date"/>
                    <w:id w:val="23837499"/>
                    <w:dataBinding w:prefixMappings="xmlns:dg='http://docgen.org/date' " w:xpath="/dg:DocgenData[1]/dg:Date[1]" w:storeItemID="{869A7D9D-8B1F-40E0-B48F-4F3A3F6C2AC5}"/>
                    <w:date w:fullDate="2014-06-26T00:00:00Z">
                      <w:dateFormat w:val="d MMMM YYYY"/>
                      <w:lid w:val="nl-NL"/>
                      <w:storeMappedDataAs w:val="dateTime"/>
                      <w:calendar w:val="gregorian"/>
                    </w:date>
                  </w:sdtPr>
                  <w:sdtContent>
                    <w:r w:rsidR="00611A32">
                      <w:t>26 juni 2014</w:t>
                    </w:r>
                  </w:sdtContent>
                </w:sdt>
              </w:p>
              <w:p w14:paraId="10E5BCEF" w14:textId="77777777" w:rsidR="00B10DA8" w:rsidRDefault="001C6588">
                <w:pPr>
                  <w:pStyle w:val="Huisstijl-Datumenbetreft"/>
                  <w:tabs>
                    <w:tab w:val="left" w:pos="-5954"/>
                    <w:tab w:val="left" w:pos="-5670"/>
                  </w:tabs>
                </w:pPr>
                <w:r>
                  <w:t>Betreft</w:t>
                </w:r>
                <w:r>
                  <w:tab/>
                  <w:t>BETREFT</w:t>
                </w:r>
              </w:p>
              <w:p w14:paraId="588DD193" w14:textId="77777777" w:rsidR="00B10DA8" w:rsidRDefault="00B10DA8">
                <w:pPr>
                  <w:pStyle w:val="Huisstijl-Datumenbetreft"/>
                  <w:tabs>
                    <w:tab w:val="left" w:pos="-5954"/>
                    <w:tab w:val="left" w:pos="-5670"/>
                  </w:tabs>
                </w:pPr>
              </w:p>
            </w:txbxContent>
          </v:textbox>
          <w10:wrap type="topAndBottom" anchorx="page" anchory="page"/>
        </v:shape>
      </w:pict>
    </w:r>
    <w:r w:rsidR="001C6588">
      <w:rPr>
        <w:noProof/>
        <w:lang w:eastAsia="nl-NL" w:bidi="ar-SA"/>
      </w:rPr>
      <w:drawing>
        <wp:anchor distT="0" distB="0" distL="114300" distR="114300" simplePos="0" relativeHeight="251650048" behindDoc="0" locked="0" layoutInCell="1" allowOverlap="1" wp14:anchorId="2682A416" wp14:editId="7CDD9A3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1C6588">
      <w:rPr>
        <w:noProof/>
        <w:lang w:eastAsia="nl-NL" w:bidi="ar-SA"/>
      </w:rPr>
      <w:drawing>
        <wp:anchor distT="0" distB="0" distL="114300" distR="114300" simplePos="0" relativeHeight="251649024" behindDoc="1" locked="0" layoutInCell="1" allowOverlap="1" wp14:anchorId="5C71E8A0" wp14:editId="18F6284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6730F32">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D15FA79" w14:textId="77777777" w:rsidR="00B10DA8" w:rsidRDefault="001C6588">
                <w:pPr>
                  <w:pStyle w:val="Huisstijl-Afzendgegevens"/>
                </w:pPr>
                <w:r w:rsidRPr="008D59C5">
                  <w:t>Rijnstraat 50</w:t>
                </w:r>
              </w:p>
              <w:p w14:paraId="5F36C88D" w14:textId="77777777" w:rsidR="00B10DA8" w:rsidRDefault="001C6588">
                <w:pPr>
                  <w:pStyle w:val="Huisstijl-Afzendgegevens"/>
                </w:pPr>
                <w:r w:rsidRPr="008D59C5">
                  <w:t>Den Haag</w:t>
                </w:r>
              </w:p>
              <w:p w14:paraId="53B8A5D5" w14:textId="77777777" w:rsidR="00B10DA8" w:rsidRDefault="001C6588">
                <w:pPr>
                  <w:pStyle w:val="Huisstijl-Afzendgegevens"/>
                </w:pPr>
                <w:r w:rsidRPr="008D59C5">
                  <w:t>www.rijksoverheid.nl</w:t>
                </w:r>
              </w:p>
              <w:p w14:paraId="6DBEC9B2" w14:textId="77777777" w:rsidR="00B10DA8" w:rsidRDefault="001C6588">
                <w:pPr>
                  <w:pStyle w:val="Huisstijl-AfzendgegevenskopW1"/>
                </w:pPr>
                <w:r>
                  <w:t>Contactpersoon</w:t>
                </w:r>
              </w:p>
              <w:p w14:paraId="4B4CB264" w14:textId="77777777" w:rsidR="00B10DA8" w:rsidRDefault="001C6588">
                <w:pPr>
                  <w:pStyle w:val="Huisstijl-Afzendgegevens"/>
                </w:pPr>
                <w:r w:rsidRPr="008D59C5">
                  <w:t>ing. J.A. Ramlal</w:t>
                </w:r>
              </w:p>
              <w:p w14:paraId="58648290" w14:textId="77777777" w:rsidR="00B10DA8" w:rsidRDefault="001C6588">
                <w:pPr>
                  <w:pStyle w:val="Huisstijl-Afzendgegevens"/>
                </w:pPr>
                <w:r w:rsidRPr="008D59C5">
                  <w:t>ja.ramlal@minvws.nl</w:t>
                </w:r>
              </w:p>
              <w:p w14:paraId="22F1BF28" w14:textId="77777777" w:rsidR="00B10DA8" w:rsidRDefault="001C6588">
                <w:pPr>
                  <w:pStyle w:val="Huisstijl-ReferentiegegevenskopW2"/>
                </w:pPr>
                <w:r>
                  <w:t>Ons kenmerk</w:t>
                </w:r>
              </w:p>
              <w:p w14:paraId="2F3F2A23" w14:textId="77777777" w:rsidR="00B10DA8" w:rsidRDefault="001C6588">
                <w:pPr>
                  <w:pStyle w:val="Huisstijl-Referentiegegevens"/>
                </w:pPr>
                <w:r>
                  <w:t>KENMERK</w:t>
                </w:r>
              </w:p>
              <w:p w14:paraId="25405AEE" w14:textId="77777777" w:rsidR="00B10DA8" w:rsidRDefault="001C6588">
                <w:pPr>
                  <w:pStyle w:val="Huisstijl-ReferentiegegevenskopW1"/>
                </w:pPr>
                <w:r>
                  <w:t>Uw kenmerk</w:t>
                </w:r>
              </w:p>
              <w:p w14:paraId="30ED2A9D" w14:textId="77777777" w:rsidR="00B10DA8" w:rsidRDefault="001C6588">
                <w:pPr>
                  <w:pStyle w:val="Huisstijl-Referentiegegevens"/>
                </w:pPr>
                <w:r>
                  <w:t>UW BRIEF</w:t>
                </w:r>
              </w:p>
            </w:txbxContent>
          </v:textbox>
          <w10:wrap anchorx="page" anchory="page"/>
        </v:shape>
      </w:pict>
    </w:r>
    <w:r>
      <w:rPr>
        <w:lang w:eastAsia="nl-NL" w:bidi="ar-SA"/>
      </w:rPr>
      <w:pict w14:anchorId="771AB2E0">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2B58163" w14:textId="77777777" w:rsidR="00B10DA8" w:rsidRDefault="001C6588">
                <w:pPr>
                  <w:pStyle w:val="Huisstijl-Toezendgegevens"/>
                </w:pPr>
                <w:r w:rsidRPr="008D59C5">
                  <w:t>De Voorzitter van de Eerste Kamer</w:t>
                </w:r>
                <w:r w:rsidRPr="008D59C5">
                  <w:br/>
                  <w:t>der Staten-Generaal</w:t>
                </w:r>
                <w:r w:rsidRPr="008D59C5">
                  <w:br/>
                  <w:t>Postbus 20017</w:t>
                </w:r>
                <w:r w:rsidRPr="008D59C5">
                  <w:br/>
                  <w:t>2500 EA DEN HAAG</w:t>
                </w:r>
              </w:p>
            </w:txbxContent>
          </v:textbox>
          <w10:wrap anchorx="page" anchory="page"/>
        </v:shape>
      </w:pict>
    </w:r>
    <w:r>
      <w:rPr>
        <w:lang w:eastAsia="nl-NL" w:bidi="ar-SA"/>
      </w:rPr>
      <w:pict w14:anchorId="564D20AD">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0F36100" w14:textId="77777777" w:rsidR="00B10DA8" w:rsidRDefault="001C6588">
                <w:pPr>
                  <w:pStyle w:val="Huisstijl-Paginanummer"/>
                </w:pPr>
                <w:r>
                  <w:t xml:space="preserve">Pagina </w:t>
                </w:r>
                <w:r w:rsidR="00B06E1E">
                  <w:fldChar w:fldCharType="begin"/>
                </w:r>
                <w:r w:rsidR="00B06E1E">
                  <w:instrText xml:space="preserve"> PAGE    \* MERGEFORMAT </w:instrText>
                </w:r>
                <w:r w:rsidR="00B06E1E">
                  <w:fldChar w:fldCharType="separate"/>
                </w:r>
                <w:r w:rsidR="00DD4436">
                  <w:rPr>
                    <w:noProof/>
                  </w:rPr>
                  <w:t>1</w:t>
                </w:r>
                <w:r w:rsidR="00B06E1E">
                  <w:rPr>
                    <w:noProof/>
                  </w:rPr>
                  <w:fldChar w:fldCharType="end"/>
                </w:r>
                <w:r>
                  <w:t xml:space="preserve"> van </w:t>
                </w:r>
                <w:r w:rsidR="00DD4436">
                  <w:fldChar w:fldCharType="begin"/>
                </w:r>
                <w:r>
                  <w:instrText xml:space="preserve"> SECTIONPAGES  \* Arabic  \* MERGEFORMAT </w:instrText>
                </w:r>
                <w:r w:rsidR="00DD4436">
                  <w:fldChar w:fldCharType="separate"/>
                </w:r>
                <w:r w:rsidR="00DD4436">
                  <w:rPr>
                    <w:noProof/>
                  </w:rPr>
                  <w:t>2</w:t>
                </w:r>
                <w:r w:rsidR="00DD4436">
                  <w:rPr>
                    <w:noProof/>
                  </w:rPr>
                  <w:fldChar w:fldCharType="end"/>
                </w:r>
              </w:p>
            </w:txbxContent>
          </v:textbox>
          <w10:wrap anchorx="page" anchory="page"/>
          <w10:anchorlock/>
        </v:shape>
      </w:pict>
    </w:r>
    <w:r>
      <w:rPr>
        <w:lang w:eastAsia="nl-NL" w:bidi="ar-SA"/>
      </w:rPr>
      <w:pict w14:anchorId="67EB7CDD">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07AAD8A" w14:textId="77777777" w:rsidR="00B10DA8" w:rsidRDefault="00B10DA8">
                <w:pPr>
                  <w:pStyle w:val="Huisstijl-Toezendgegevens"/>
                </w:pPr>
              </w:p>
            </w:txbxContent>
          </v:textbox>
          <w10:wrap anchorx="page" anchory="page"/>
        </v:shape>
      </w:pict>
    </w:r>
    <w:r>
      <w:rPr>
        <w:lang w:eastAsia="nl-NL" w:bidi="ar-SA"/>
      </w:rPr>
      <w:pict w14:anchorId="5022195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37802A98" w14:textId="77777777" w:rsidR="00B10DA8" w:rsidRDefault="001C658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228DA"/>
    <w:multiLevelType w:val="hybridMultilevel"/>
    <w:tmpl w:val="D680995C"/>
    <w:lvl w:ilvl="0" w:tplc="A2FC49FE">
      <w:start w:val="1"/>
      <w:numFmt w:val="decimal"/>
      <w:lvlText w:val="%1."/>
      <w:lvlJc w:val="left"/>
      <w:pPr>
        <w:ind w:left="360" w:hanging="360"/>
      </w:pPr>
      <w:rPr>
        <w:rFonts w:hint="default"/>
      </w:rPr>
    </w:lvl>
    <w:lvl w:ilvl="1" w:tplc="02E0B072" w:tentative="1">
      <w:start w:val="1"/>
      <w:numFmt w:val="lowerLetter"/>
      <w:lvlText w:val="%2."/>
      <w:lvlJc w:val="left"/>
      <w:pPr>
        <w:ind w:left="1080" w:hanging="360"/>
      </w:pPr>
    </w:lvl>
    <w:lvl w:ilvl="2" w:tplc="7B9C87EA" w:tentative="1">
      <w:start w:val="1"/>
      <w:numFmt w:val="lowerRoman"/>
      <w:lvlText w:val="%3."/>
      <w:lvlJc w:val="right"/>
      <w:pPr>
        <w:ind w:left="1800" w:hanging="180"/>
      </w:pPr>
    </w:lvl>
    <w:lvl w:ilvl="3" w:tplc="80747B80" w:tentative="1">
      <w:start w:val="1"/>
      <w:numFmt w:val="decimal"/>
      <w:lvlText w:val="%4."/>
      <w:lvlJc w:val="left"/>
      <w:pPr>
        <w:ind w:left="2520" w:hanging="360"/>
      </w:pPr>
    </w:lvl>
    <w:lvl w:ilvl="4" w:tplc="7F0ECC54" w:tentative="1">
      <w:start w:val="1"/>
      <w:numFmt w:val="lowerLetter"/>
      <w:lvlText w:val="%5."/>
      <w:lvlJc w:val="left"/>
      <w:pPr>
        <w:ind w:left="3240" w:hanging="360"/>
      </w:pPr>
    </w:lvl>
    <w:lvl w:ilvl="5" w:tplc="64EE7094" w:tentative="1">
      <w:start w:val="1"/>
      <w:numFmt w:val="lowerRoman"/>
      <w:lvlText w:val="%6."/>
      <w:lvlJc w:val="right"/>
      <w:pPr>
        <w:ind w:left="3960" w:hanging="180"/>
      </w:pPr>
    </w:lvl>
    <w:lvl w:ilvl="6" w:tplc="7B7268BC" w:tentative="1">
      <w:start w:val="1"/>
      <w:numFmt w:val="decimal"/>
      <w:lvlText w:val="%7."/>
      <w:lvlJc w:val="left"/>
      <w:pPr>
        <w:ind w:left="4680" w:hanging="360"/>
      </w:pPr>
    </w:lvl>
    <w:lvl w:ilvl="7" w:tplc="64E4FE32" w:tentative="1">
      <w:start w:val="1"/>
      <w:numFmt w:val="lowerLetter"/>
      <w:lvlText w:val="%8."/>
      <w:lvlJc w:val="left"/>
      <w:pPr>
        <w:ind w:left="5400" w:hanging="360"/>
      </w:pPr>
    </w:lvl>
    <w:lvl w:ilvl="8" w:tplc="4BCA1250" w:tentative="1">
      <w:start w:val="1"/>
      <w:numFmt w:val="lowerRoman"/>
      <w:lvlText w:val="%9."/>
      <w:lvlJc w:val="right"/>
      <w:pPr>
        <w:ind w:left="6120" w:hanging="180"/>
      </w:pPr>
    </w:lvl>
  </w:abstractNum>
  <w:abstractNum w:abstractNumId="1" w15:restartNumberingAfterBreak="0">
    <w:nsid w:val="370F6AD8"/>
    <w:multiLevelType w:val="hybridMultilevel"/>
    <w:tmpl w:val="6056526E"/>
    <w:lvl w:ilvl="0" w:tplc="F6269B00">
      <w:start w:val="1"/>
      <w:numFmt w:val="lowerLetter"/>
      <w:lvlText w:val="(%1)"/>
      <w:lvlJc w:val="left"/>
      <w:pPr>
        <w:ind w:left="1068" w:hanging="360"/>
      </w:pPr>
      <w:rPr>
        <w:rFonts w:hint="default"/>
        <w:color w:val="000000" w:themeColor="text1"/>
      </w:rPr>
    </w:lvl>
    <w:lvl w:ilvl="1" w:tplc="D6E0D0DA" w:tentative="1">
      <w:start w:val="1"/>
      <w:numFmt w:val="lowerLetter"/>
      <w:lvlText w:val="%2."/>
      <w:lvlJc w:val="left"/>
      <w:pPr>
        <w:ind w:left="1788" w:hanging="360"/>
      </w:pPr>
    </w:lvl>
    <w:lvl w:ilvl="2" w:tplc="CB60A930" w:tentative="1">
      <w:start w:val="1"/>
      <w:numFmt w:val="lowerRoman"/>
      <w:lvlText w:val="%3."/>
      <w:lvlJc w:val="right"/>
      <w:pPr>
        <w:ind w:left="2508" w:hanging="180"/>
      </w:pPr>
    </w:lvl>
    <w:lvl w:ilvl="3" w:tplc="1DDA9F06" w:tentative="1">
      <w:start w:val="1"/>
      <w:numFmt w:val="decimal"/>
      <w:lvlText w:val="%4."/>
      <w:lvlJc w:val="left"/>
      <w:pPr>
        <w:ind w:left="3228" w:hanging="360"/>
      </w:pPr>
    </w:lvl>
    <w:lvl w:ilvl="4" w:tplc="2D5697E6" w:tentative="1">
      <w:start w:val="1"/>
      <w:numFmt w:val="lowerLetter"/>
      <w:lvlText w:val="%5."/>
      <w:lvlJc w:val="left"/>
      <w:pPr>
        <w:ind w:left="3948" w:hanging="360"/>
      </w:pPr>
    </w:lvl>
    <w:lvl w:ilvl="5" w:tplc="C9C406C0" w:tentative="1">
      <w:start w:val="1"/>
      <w:numFmt w:val="lowerRoman"/>
      <w:lvlText w:val="%6."/>
      <w:lvlJc w:val="right"/>
      <w:pPr>
        <w:ind w:left="4668" w:hanging="180"/>
      </w:pPr>
    </w:lvl>
    <w:lvl w:ilvl="6" w:tplc="74E63236" w:tentative="1">
      <w:start w:val="1"/>
      <w:numFmt w:val="decimal"/>
      <w:lvlText w:val="%7."/>
      <w:lvlJc w:val="left"/>
      <w:pPr>
        <w:ind w:left="5388" w:hanging="360"/>
      </w:pPr>
    </w:lvl>
    <w:lvl w:ilvl="7" w:tplc="A05C58DE" w:tentative="1">
      <w:start w:val="1"/>
      <w:numFmt w:val="lowerLetter"/>
      <w:lvlText w:val="%8."/>
      <w:lvlJc w:val="left"/>
      <w:pPr>
        <w:ind w:left="6108" w:hanging="360"/>
      </w:pPr>
    </w:lvl>
    <w:lvl w:ilvl="8" w:tplc="94E6DE20" w:tentative="1">
      <w:start w:val="1"/>
      <w:numFmt w:val="lowerRoman"/>
      <w:lvlText w:val="%9."/>
      <w:lvlJc w:val="right"/>
      <w:pPr>
        <w:ind w:left="6828" w:hanging="180"/>
      </w:pPr>
    </w:lvl>
  </w:abstractNum>
  <w:abstractNum w:abstractNumId="2" w15:restartNumberingAfterBreak="0">
    <w:nsid w:val="558A576F"/>
    <w:multiLevelType w:val="hybridMultilevel"/>
    <w:tmpl w:val="DB8AF5D4"/>
    <w:lvl w:ilvl="0" w:tplc="5D5AC11A">
      <w:numFmt w:val="bullet"/>
      <w:lvlText w:val=""/>
      <w:lvlJc w:val="left"/>
      <w:pPr>
        <w:ind w:left="720" w:hanging="360"/>
      </w:pPr>
      <w:rPr>
        <w:rFonts w:ascii="Wingdings" w:eastAsia="DejaVu Sans" w:hAnsi="Wingdings" w:cs="Lohit Hindi" w:hint="default"/>
      </w:rPr>
    </w:lvl>
    <w:lvl w:ilvl="1" w:tplc="B5D4F4E4" w:tentative="1">
      <w:start w:val="1"/>
      <w:numFmt w:val="bullet"/>
      <w:lvlText w:val="o"/>
      <w:lvlJc w:val="left"/>
      <w:pPr>
        <w:ind w:left="1440" w:hanging="360"/>
      </w:pPr>
      <w:rPr>
        <w:rFonts w:ascii="Courier New" w:hAnsi="Courier New" w:cs="Courier New" w:hint="default"/>
      </w:rPr>
    </w:lvl>
    <w:lvl w:ilvl="2" w:tplc="5D225668" w:tentative="1">
      <w:start w:val="1"/>
      <w:numFmt w:val="bullet"/>
      <w:lvlText w:val=""/>
      <w:lvlJc w:val="left"/>
      <w:pPr>
        <w:ind w:left="2160" w:hanging="360"/>
      </w:pPr>
      <w:rPr>
        <w:rFonts w:ascii="Wingdings" w:hAnsi="Wingdings" w:hint="default"/>
      </w:rPr>
    </w:lvl>
    <w:lvl w:ilvl="3" w:tplc="704ECF16" w:tentative="1">
      <w:start w:val="1"/>
      <w:numFmt w:val="bullet"/>
      <w:lvlText w:val=""/>
      <w:lvlJc w:val="left"/>
      <w:pPr>
        <w:ind w:left="2880" w:hanging="360"/>
      </w:pPr>
      <w:rPr>
        <w:rFonts w:ascii="Symbol" w:hAnsi="Symbol" w:hint="default"/>
      </w:rPr>
    </w:lvl>
    <w:lvl w:ilvl="4" w:tplc="34D082DC" w:tentative="1">
      <w:start w:val="1"/>
      <w:numFmt w:val="bullet"/>
      <w:lvlText w:val="o"/>
      <w:lvlJc w:val="left"/>
      <w:pPr>
        <w:ind w:left="3600" w:hanging="360"/>
      </w:pPr>
      <w:rPr>
        <w:rFonts w:ascii="Courier New" w:hAnsi="Courier New" w:cs="Courier New" w:hint="default"/>
      </w:rPr>
    </w:lvl>
    <w:lvl w:ilvl="5" w:tplc="916EA8B6" w:tentative="1">
      <w:start w:val="1"/>
      <w:numFmt w:val="bullet"/>
      <w:lvlText w:val=""/>
      <w:lvlJc w:val="left"/>
      <w:pPr>
        <w:ind w:left="4320" w:hanging="360"/>
      </w:pPr>
      <w:rPr>
        <w:rFonts w:ascii="Wingdings" w:hAnsi="Wingdings" w:hint="default"/>
      </w:rPr>
    </w:lvl>
    <w:lvl w:ilvl="6" w:tplc="C20A7D8A" w:tentative="1">
      <w:start w:val="1"/>
      <w:numFmt w:val="bullet"/>
      <w:lvlText w:val=""/>
      <w:lvlJc w:val="left"/>
      <w:pPr>
        <w:ind w:left="5040" w:hanging="360"/>
      </w:pPr>
      <w:rPr>
        <w:rFonts w:ascii="Symbol" w:hAnsi="Symbol" w:hint="default"/>
      </w:rPr>
    </w:lvl>
    <w:lvl w:ilvl="7" w:tplc="BB705CBE" w:tentative="1">
      <w:start w:val="1"/>
      <w:numFmt w:val="bullet"/>
      <w:lvlText w:val="o"/>
      <w:lvlJc w:val="left"/>
      <w:pPr>
        <w:ind w:left="5760" w:hanging="360"/>
      </w:pPr>
      <w:rPr>
        <w:rFonts w:ascii="Courier New" w:hAnsi="Courier New" w:cs="Courier New" w:hint="default"/>
      </w:rPr>
    </w:lvl>
    <w:lvl w:ilvl="8" w:tplc="82D6CA48" w:tentative="1">
      <w:start w:val="1"/>
      <w:numFmt w:val="bullet"/>
      <w:lvlText w:val=""/>
      <w:lvlJc w:val="left"/>
      <w:pPr>
        <w:ind w:left="6480" w:hanging="360"/>
      </w:pPr>
      <w:rPr>
        <w:rFonts w:ascii="Wingdings" w:hAnsi="Wingdings" w:hint="default"/>
      </w:rPr>
    </w:lvl>
  </w:abstractNum>
  <w:abstractNum w:abstractNumId="3" w15:restartNumberingAfterBreak="0">
    <w:nsid w:val="7F8E3ED1"/>
    <w:multiLevelType w:val="hybridMultilevel"/>
    <w:tmpl w:val="208E5332"/>
    <w:lvl w:ilvl="0" w:tplc="BD18C9D8">
      <w:start w:val="1"/>
      <w:numFmt w:val="lowerLetter"/>
      <w:lvlText w:val="(%1)"/>
      <w:lvlJc w:val="left"/>
      <w:pPr>
        <w:ind w:left="700" w:hanging="360"/>
      </w:pPr>
      <w:rPr>
        <w:rFonts w:hint="default"/>
        <w:color w:val="000000" w:themeColor="text1"/>
      </w:rPr>
    </w:lvl>
    <w:lvl w:ilvl="1" w:tplc="F67A532C" w:tentative="1">
      <w:start w:val="1"/>
      <w:numFmt w:val="lowerLetter"/>
      <w:lvlText w:val="%2."/>
      <w:lvlJc w:val="left"/>
      <w:pPr>
        <w:ind w:left="1420" w:hanging="360"/>
      </w:pPr>
    </w:lvl>
    <w:lvl w:ilvl="2" w:tplc="574A49CE" w:tentative="1">
      <w:start w:val="1"/>
      <w:numFmt w:val="lowerRoman"/>
      <w:lvlText w:val="%3."/>
      <w:lvlJc w:val="right"/>
      <w:pPr>
        <w:ind w:left="2140" w:hanging="180"/>
      </w:pPr>
    </w:lvl>
    <w:lvl w:ilvl="3" w:tplc="F23EE29A" w:tentative="1">
      <w:start w:val="1"/>
      <w:numFmt w:val="decimal"/>
      <w:lvlText w:val="%4."/>
      <w:lvlJc w:val="left"/>
      <w:pPr>
        <w:ind w:left="2860" w:hanging="360"/>
      </w:pPr>
    </w:lvl>
    <w:lvl w:ilvl="4" w:tplc="C3146B7E" w:tentative="1">
      <w:start w:val="1"/>
      <w:numFmt w:val="lowerLetter"/>
      <w:lvlText w:val="%5."/>
      <w:lvlJc w:val="left"/>
      <w:pPr>
        <w:ind w:left="3580" w:hanging="360"/>
      </w:pPr>
    </w:lvl>
    <w:lvl w:ilvl="5" w:tplc="1AA468E2" w:tentative="1">
      <w:start w:val="1"/>
      <w:numFmt w:val="lowerRoman"/>
      <w:lvlText w:val="%6."/>
      <w:lvlJc w:val="right"/>
      <w:pPr>
        <w:ind w:left="4300" w:hanging="180"/>
      </w:pPr>
    </w:lvl>
    <w:lvl w:ilvl="6" w:tplc="31B2C922" w:tentative="1">
      <w:start w:val="1"/>
      <w:numFmt w:val="decimal"/>
      <w:lvlText w:val="%7."/>
      <w:lvlJc w:val="left"/>
      <w:pPr>
        <w:ind w:left="5020" w:hanging="360"/>
      </w:pPr>
    </w:lvl>
    <w:lvl w:ilvl="7" w:tplc="BB0C3C4E" w:tentative="1">
      <w:start w:val="1"/>
      <w:numFmt w:val="lowerLetter"/>
      <w:lvlText w:val="%8."/>
      <w:lvlJc w:val="left"/>
      <w:pPr>
        <w:ind w:left="5740" w:hanging="360"/>
      </w:pPr>
    </w:lvl>
    <w:lvl w:ilvl="8" w:tplc="F41EE6EE" w:tentative="1">
      <w:start w:val="1"/>
      <w:numFmt w:val="lowerRoman"/>
      <w:lvlText w:val="%9."/>
      <w:lvlJc w:val="right"/>
      <w:pPr>
        <w:ind w:left="6460" w:hanging="180"/>
      </w:pPr>
    </w:lvl>
  </w:abstractNum>
  <w:num w:numId="1" w16cid:durableId="970743733">
    <w:abstractNumId w:val="2"/>
  </w:num>
  <w:num w:numId="2" w16cid:durableId="1260061608">
    <w:abstractNumId w:val="0"/>
  </w:num>
  <w:num w:numId="3" w16cid:durableId="1196383707">
    <w:abstractNumId w:val="1"/>
  </w:num>
  <w:num w:numId="4" w16cid:durableId="172447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61"/>
    <w:rsid w:val="00050D5B"/>
    <w:rsid w:val="00094AAF"/>
    <w:rsid w:val="000A3BAF"/>
    <w:rsid w:val="000A5B9E"/>
    <w:rsid w:val="000B45B1"/>
    <w:rsid w:val="000E54B6"/>
    <w:rsid w:val="000E5BA9"/>
    <w:rsid w:val="000F39A7"/>
    <w:rsid w:val="00102632"/>
    <w:rsid w:val="00113778"/>
    <w:rsid w:val="001216EF"/>
    <w:rsid w:val="0015236F"/>
    <w:rsid w:val="0017278A"/>
    <w:rsid w:val="00172CD9"/>
    <w:rsid w:val="00176C34"/>
    <w:rsid w:val="00187558"/>
    <w:rsid w:val="00194471"/>
    <w:rsid w:val="001964B8"/>
    <w:rsid w:val="001A0248"/>
    <w:rsid w:val="001A4FF6"/>
    <w:rsid w:val="001B41E1"/>
    <w:rsid w:val="001C6588"/>
    <w:rsid w:val="001F2CBB"/>
    <w:rsid w:val="002066D3"/>
    <w:rsid w:val="00225863"/>
    <w:rsid w:val="002332FA"/>
    <w:rsid w:val="002340D9"/>
    <w:rsid w:val="00241BB9"/>
    <w:rsid w:val="002B1D9F"/>
    <w:rsid w:val="002B504F"/>
    <w:rsid w:val="002C2C11"/>
    <w:rsid w:val="002E7D61"/>
    <w:rsid w:val="002F387B"/>
    <w:rsid w:val="00303895"/>
    <w:rsid w:val="00323DC7"/>
    <w:rsid w:val="00334C45"/>
    <w:rsid w:val="003451E2"/>
    <w:rsid w:val="00347E88"/>
    <w:rsid w:val="00347F1B"/>
    <w:rsid w:val="003730E6"/>
    <w:rsid w:val="00380A9D"/>
    <w:rsid w:val="00380CAF"/>
    <w:rsid w:val="0038608B"/>
    <w:rsid w:val="003A01D4"/>
    <w:rsid w:val="003B558C"/>
    <w:rsid w:val="003C14A0"/>
    <w:rsid w:val="003C6ED5"/>
    <w:rsid w:val="003F3623"/>
    <w:rsid w:val="00413B1D"/>
    <w:rsid w:val="0043402E"/>
    <w:rsid w:val="004438CB"/>
    <w:rsid w:val="0045486D"/>
    <w:rsid w:val="00490F91"/>
    <w:rsid w:val="004947F6"/>
    <w:rsid w:val="004A6733"/>
    <w:rsid w:val="00507752"/>
    <w:rsid w:val="00517096"/>
    <w:rsid w:val="005476E3"/>
    <w:rsid w:val="00582E97"/>
    <w:rsid w:val="00593BE3"/>
    <w:rsid w:val="00595BC1"/>
    <w:rsid w:val="005A4EC5"/>
    <w:rsid w:val="005A6290"/>
    <w:rsid w:val="005B577B"/>
    <w:rsid w:val="005C1AD6"/>
    <w:rsid w:val="005C61F7"/>
    <w:rsid w:val="005D327A"/>
    <w:rsid w:val="006051F1"/>
    <w:rsid w:val="00611A32"/>
    <w:rsid w:val="006218D3"/>
    <w:rsid w:val="00697032"/>
    <w:rsid w:val="00697846"/>
    <w:rsid w:val="00697FF6"/>
    <w:rsid w:val="006B0E3B"/>
    <w:rsid w:val="006B7CA7"/>
    <w:rsid w:val="007023D8"/>
    <w:rsid w:val="00715EED"/>
    <w:rsid w:val="0073567E"/>
    <w:rsid w:val="007424CC"/>
    <w:rsid w:val="0075017B"/>
    <w:rsid w:val="007567D7"/>
    <w:rsid w:val="0076023A"/>
    <w:rsid w:val="0077095C"/>
    <w:rsid w:val="0077604E"/>
    <w:rsid w:val="00776965"/>
    <w:rsid w:val="00792B23"/>
    <w:rsid w:val="007B6A41"/>
    <w:rsid w:val="007D0F21"/>
    <w:rsid w:val="007D1C95"/>
    <w:rsid w:val="007D23C6"/>
    <w:rsid w:val="007D3426"/>
    <w:rsid w:val="007F380D"/>
    <w:rsid w:val="007F7E63"/>
    <w:rsid w:val="00805E10"/>
    <w:rsid w:val="008138CD"/>
    <w:rsid w:val="00856B0F"/>
    <w:rsid w:val="008576E2"/>
    <w:rsid w:val="008925F6"/>
    <w:rsid w:val="00893C24"/>
    <w:rsid w:val="008A0E21"/>
    <w:rsid w:val="008A21F4"/>
    <w:rsid w:val="008B1A45"/>
    <w:rsid w:val="008C4B21"/>
    <w:rsid w:val="008D59C5"/>
    <w:rsid w:val="008D618A"/>
    <w:rsid w:val="008F2835"/>
    <w:rsid w:val="00906776"/>
    <w:rsid w:val="009169F1"/>
    <w:rsid w:val="009235D9"/>
    <w:rsid w:val="0093384B"/>
    <w:rsid w:val="00934874"/>
    <w:rsid w:val="00943A3E"/>
    <w:rsid w:val="0096061D"/>
    <w:rsid w:val="009648FE"/>
    <w:rsid w:val="00971AC9"/>
    <w:rsid w:val="00981EA1"/>
    <w:rsid w:val="009A2F43"/>
    <w:rsid w:val="009A31BF"/>
    <w:rsid w:val="009B333E"/>
    <w:rsid w:val="009D4374"/>
    <w:rsid w:val="009F5C37"/>
    <w:rsid w:val="00A00254"/>
    <w:rsid w:val="00A10287"/>
    <w:rsid w:val="00A106BC"/>
    <w:rsid w:val="00A27871"/>
    <w:rsid w:val="00A4666B"/>
    <w:rsid w:val="00A52DBE"/>
    <w:rsid w:val="00A5723A"/>
    <w:rsid w:val="00A74B6B"/>
    <w:rsid w:val="00A84516"/>
    <w:rsid w:val="00A96B17"/>
    <w:rsid w:val="00AA61EA"/>
    <w:rsid w:val="00AF492D"/>
    <w:rsid w:val="00B02E09"/>
    <w:rsid w:val="00B06E1E"/>
    <w:rsid w:val="00B10DA8"/>
    <w:rsid w:val="00B12839"/>
    <w:rsid w:val="00B24490"/>
    <w:rsid w:val="00B2734E"/>
    <w:rsid w:val="00B31351"/>
    <w:rsid w:val="00B474E4"/>
    <w:rsid w:val="00B62766"/>
    <w:rsid w:val="00B8296E"/>
    <w:rsid w:val="00B91586"/>
    <w:rsid w:val="00BA753D"/>
    <w:rsid w:val="00BA7566"/>
    <w:rsid w:val="00BB5EF5"/>
    <w:rsid w:val="00BD6A88"/>
    <w:rsid w:val="00C035A4"/>
    <w:rsid w:val="00C3438D"/>
    <w:rsid w:val="00C727EE"/>
    <w:rsid w:val="00C80C0A"/>
    <w:rsid w:val="00C86E81"/>
    <w:rsid w:val="00CA061B"/>
    <w:rsid w:val="00CD0FCD"/>
    <w:rsid w:val="00CD4AED"/>
    <w:rsid w:val="00CD5856"/>
    <w:rsid w:val="00CE1C78"/>
    <w:rsid w:val="00CF1A84"/>
    <w:rsid w:val="00CF210D"/>
    <w:rsid w:val="00D03BF7"/>
    <w:rsid w:val="00D55D1E"/>
    <w:rsid w:val="00D62774"/>
    <w:rsid w:val="00D67BAF"/>
    <w:rsid w:val="00D762F9"/>
    <w:rsid w:val="00D83B62"/>
    <w:rsid w:val="00DA5117"/>
    <w:rsid w:val="00DD4436"/>
    <w:rsid w:val="00DF7AF6"/>
    <w:rsid w:val="00E1490C"/>
    <w:rsid w:val="00E375D7"/>
    <w:rsid w:val="00E431D0"/>
    <w:rsid w:val="00E43AFE"/>
    <w:rsid w:val="00E51FC8"/>
    <w:rsid w:val="00EB231B"/>
    <w:rsid w:val="00EB787C"/>
    <w:rsid w:val="00ED254A"/>
    <w:rsid w:val="00ED33BE"/>
    <w:rsid w:val="00ED3E38"/>
    <w:rsid w:val="00EE2A9D"/>
    <w:rsid w:val="00EE3F30"/>
    <w:rsid w:val="00EF24D3"/>
    <w:rsid w:val="00EF7BD9"/>
    <w:rsid w:val="00F10098"/>
    <w:rsid w:val="00F15CF6"/>
    <w:rsid w:val="00F17B67"/>
    <w:rsid w:val="00F22E60"/>
    <w:rsid w:val="00F348BC"/>
    <w:rsid w:val="00F633F6"/>
    <w:rsid w:val="00F67C80"/>
    <w:rsid w:val="00F752DB"/>
    <w:rsid w:val="00F847BF"/>
    <w:rsid w:val="00F87E88"/>
    <w:rsid w:val="00F97622"/>
    <w:rsid w:val="00FA0E94"/>
    <w:rsid w:val="00FF4A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11BE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Referentiegegevens">
    <w:name w:val="Referentiegegevens"/>
    <w:basedOn w:val="Standaard"/>
    <w:next w:val="Standaard"/>
    <w:rsid w:val="00F348BC"/>
    <w:pPr>
      <w:widowControl/>
      <w:suppressAutoHyphens w:val="0"/>
      <w:spacing w:line="180" w:lineRule="exact"/>
    </w:pPr>
    <w:rPr>
      <w:color w:val="000000"/>
      <w:kern w:val="0"/>
      <w:sz w:val="13"/>
      <w:szCs w:val="13"/>
      <w:lang w:eastAsia="nl-NL" w:bidi="ar-SA"/>
    </w:rPr>
  </w:style>
  <w:style w:type="paragraph" w:customStyle="1" w:styleId="Referentiegegevensbold">
    <w:name w:val="Referentiegegevens bold"/>
    <w:basedOn w:val="Standaard"/>
    <w:next w:val="Standaard"/>
    <w:rsid w:val="00F348BC"/>
    <w:pPr>
      <w:widowControl/>
      <w:suppressAutoHyphens w:val="0"/>
      <w:spacing w:line="180" w:lineRule="exact"/>
    </w:pPr>
    <w:rPr>
      <w:b/>
      <w:color w:val="000000"/>
      <w:kern w:val="0"/>
      <w:sz w:val="13"/>
      <w:szCs w:val="13"/>
      <w:lang w:eastAsia="nl-NL" w:bidi="ar-SA"/>
    </w:rPr>
  </w:style>
  <w:style w:type="character" w:styleId="Hyperlink">
    <w:name w:val="Hyperlink"/>
    <w:basedOn w:val="Standaardalinea-lettertype"/>
    <w:uiPriority w:val="99"/>
    <w:unhideWhenUsed/>
    <w:rsid w:val="00F348BC"/>
    <w:rPr>
      <w:color w:val="0000FF" w:themeColor="hyperlink"/>
      <w:u w:val="single"/>
    </w:rPr>
  </w:style>
  <w:style w:type="paragraph" w:styleId="Voetnoottekst">
    <w:name w:val="footnote text"/>
    <w:basedOn w:val="Standaard"/>
    <w:link w:val="VoetnoottekstChar"/>
    <w:uiPriority w:val="99"/>
    <w:semiHidden/>
    <w:unhideWhenUsed/>
    <w:rsid w:val="00F348B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F348B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F348BC"/>
    <w:rPr>
      <w:vertAlign w:val="superscript"/>
    </w:rPr>
  </w:style>
  <w:style w:type="paragraph" w:styleId="Plattetekst">
    <w:name w:val="Body Text"/>
    <w:basedOn w:val="Standaard"/>
    <w:link w:val="PlattetekstChar"/>
    <w:uiPriority w:val="1"/>
    <w:qFormat/>
    <w:rsid w:val="00F348BC"/>
    <w:pPr>
      <w:suppressAutoHyphens w:val="0"/>
      <w:autoSpaceDE w:val="0"/>
      <w:spacing w:line="240" w:lineRule="auto"/>
      <w:textAlignment w:val="auto"/>
    </w:pPr>
    <w:rPr>
      <w:rFonts w:eastAsia="Verdana" w:cs="Verdana"/>
      <w:kern w:val="0"/>
      <w:szCs w:val="18"/>
      <w:lang w:eastAsia="en-US" w:bidi="ar-SA"/>
    </w:rPr>
  </w:style>
  <w:style w:type="character" w:customStyle="1" w:styleId="PlattetekstChar">
    <w:name w:val="Platte tekst Char"/>
    <w:basedOn w:val="Standaardalinea-lettertype"/>
    <w:link w:val="Plattetekst"/>
    <w:uiPriority w:val="1"/>
    <w:rsid w:val="00F348BC"/>
    <w:rPr>
      <w:rFonts w:ascii="Verdana" w:eastAsia="Verdana" w:hAnsi="Verdana" w:cs="Verdana"/>
      <w:kern w:val="0"/>
      <w:sz w:val="18"/>
      <w:szCs w:val="18"/>
      <w:lang w:eastAsia="en-US" w:bidi="ar-SA"/>
    </w:rPr>
  </w:style>
  <w:style w:type="paragraph" w:customStyle="1" w:styleId="StandaardSlotzin">
    <w:name w:val="Standaard_Slotzin"/>
    <w:basedOn w:val="Standaard"/>
    <w:next w:val="Standaard"/>
    <w:rsid w:val="00F348BC"/>
    <w:pPr>
      <w:widowControl/>
      <w:suppressAutoHyphens w:val="0"/>
      <w:spacing w:before="240"/>
    </w:pPr>
    <w:rPr>
      <w:color w:val="000000"/>
      <w:kern w:val="0"/>
      <w:szCs w:val="18"/>
      <w:lang w:eastAsia="nl-NL" w:bidi="ar-SA"/>
    </w:rPr>
  </w:style>
  <w:style w:type="paragraph" w:styleId="Lijstalinea">
    <w:name w:val="List Paragraph"/>
    <w:basedOn w:val="Standaard"/>
    <w:uiPriority w:val="34"/>
    <w:qFormat/>
    <w:rsid w:val="00F348BC"/>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character" w:customStyle="1" w:styleId="cf01">
    <w:name w:val="cf01"/>
    <w:basedOn w:val="Standaardalinea-lettertype"/>
    <w:rsid w:val="00F348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eader" Target="header4.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image" Target="media/image5.emf" Id="rId17" /><Relationship Type="http://schemas.openxmlformats.org/officeDocument/2006/relationships/image" Target="media/image4.emf"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3.emf" Id="rId15" /><Relationship Type="http://schemas.openxmlformats.org/officeDocument/2006/relationships/header" Target="header2.xml" Id="rId10" /><Relationship Type="http://schemas.openxmlformats.org/officeDocument/2006/relationships/header" Target="header5.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90499_22/1/" TargetMode="External"/><Relationship Id="rId1" Type="http://schemas.openxmlformats.org/officeDocument/2006/relationships/hyperlink" Target="https://puc.overheid.nl/nza/doc/PUC_796206_2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1463</ap:Words>
  <ap:Characters>8155</ap:Characters>
  <ap:DocSecurity>0</ap:DocSecurity>
  <ap:Lines>198</ap:Lines>
  <ap:Paragraphs>56</ap:Paragraphs>
  <ap:ScaleCrop>false</ap:ScaleCrop>
  <ap:LinksUpToDate>false</ap:LinksUpToDate>
  <ap:CharactersWithSpaces>9562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2025-09-16T10:35:00.0000000Z</dcterms:created>
  <dcterms:modified xsi:type="dcterms:W3CDTF">2025-09-16T10:36:00.0000000Z</dcterms:modified>
  <dc:creator/>
  <dc:description>------------------------</dc:description>
  <dc:subject/>
  <dc:title/>
  <keywords/>
  <version/>
  <category/>
</coreProperties>
</file>