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CE5" w:rsidP="00450CE5" w:rsidRDefault="00450CE5" w14:paraId="0059FC2F" w14:textId="01AD0FBA">
      <w:pPr>
        <w:pStyle w:val="Geenafstand"/>
      </w:pPr>
      <w:r>
        <w:t>AH 3</w:t>
      </w:r>
    </w:p>
    <w:p w:rsidR="00450CE5" w:rsidP="00450CE5" w:rsidRDefault="00450CE5" w14:paraId="4404F25F" w14:textId="6C1913DB">
      <w:pPr>
        <w:pStyle w:val="Geenafstand"/>
      </w:pPr>
      <w:r>
        <w:t>2025Z15374</w:t>
      </w:r>
    </w:p>
    <w:p w:rsidR="00450CE5" w:rsidP="00450CE5" w:rsidRDefault="00450CE5" w14:paraId="672BC476" w14:textId="77777777">
      <w:pPr>
        <w:pStyle w:val="Geenafstand"/>
      </w:pPr>
    </w:p>
    <w:p w:rsidR="00450CE5" w:rsidP="00450CE5" w:rsidRDefault="00450CE5" w14:paraId="56DC8A8D" w14:textId="0B594731">
      <w:pPr>
        <w:pStyle w:val="Geenafstand"/>
        <w:rPr>
          <w:sz w:val="24"/>
          <w:szCs w:val="24"/>
        </w:rPr>
      </w:pPr>
      <w:r w:rsidRPr="00450CE5">
        <w:rPr>
          <w:sz w:val="24"/>
          <w:szCs w:val="24"/>
        </w:rPr>
        <w:t>Antwoord van minister Heinen (Financiën)</w:t>
      </w:r>
      <w:r>
        <w:rPr>
          <w:sz w:val="24"/>
          <w:szCs w:val="24"/>
        </w:rPr>
        <w:t>, mede namens de staatssecretaris van Buitenlandse Zaken</w:t>
      </w:r>
      <w:r w:rsidRPr="00450CE5">
        <w:rPr>
          <w:sz w:val="24"/>
          <w:szCs w:val="24"/>
        </w:rPr>
        <w:t xml:space="preserve"> (ontvangen</w:t>
      </w:r>
      <w:r>
        <w:rPr>
          <w:sz w:val="24"/>
          <w:szCs w:val="24"/>
        </w:rPr>
        <w:t xml:space="preserve"> 16 september 2025)</w:t>
      </w:r>
    </w:p>
    <w:p w:rsidR="00450CE5" w:rsidP="00450CE5" w:rsidRDefault="00450CE5" w14:paraId="0C29AA4A" w14:textId="77777777">
      <w:pPr>
        <w:pStyle w:val="Geenafstand"/>
      </w:pPr>
    </w:p>
    <w:p w:rsidR="00450CE5" w:rsidP="00450CE5" w:rsidRDefault="00450CE5" w14:paraId="64229115" w14:textId="70FEF716">
      <w:pPr>
        <w:rPr>
          <w:b/>
          <w:bCs/>
        </w:rPr>
      </w:pPr>
      <w:r w:rsidRPr="5C21FB28">
        <w:rPr>
          <w:b/>
          <w:bCs/>
        </w:rPr>
        <w:t>Vraag 1</w:t>
      </w:r>
    </w:p>
    <w:p w:rsidR="00450CE5" w:rsidP="00450CE5" w:rsidRDefault="00450CE5" w14:paraId="1D24BE3A" w14:textId="3D703534">
      <w:r>
        <w:t>Bent u bekend met het artikel “In deze Filipijnse baai groeide koraal en werd volop gevist. Toen kwam de Nederlandse baggeraar Boskalis” in Trouw van 19 augustus jongstleden?</w:t>
      </w:r>
      <w:r>
        <w:t xml:space="preserve"> </w:t>
      </w:r>
    </w:p>
    <w:p w:rsidRPr="00F421B8" w:rsidR="00450CE5" w:rsidP="00450CE5" w:rsidRDefault="00450CE5" w14:paraId="25A28A9E" w14:textId="77777777">
      <w:pPr>
        <w:rPr>
          <w:u w:val="single"/>
        </w:rPr>
      </w:pPr>
    </w:p>
    <w:p w:rsidR="00450CE5" w:rsidP="00450CE5" w:rsidRDefault="00450CE5" w14:paraId="67AC972D" w14:textId="77777777">
      <w:pPr>
        <w:rPr>
          <w:u w:val="single"/>
        </w:rPr>
      </w:pPr>
      <w:r w:rsidRPr="5C21FB28">
        <w:rPr>
          <w:u w:val="single"/>
        </w:rPr>
        <w:t>Antwoord</w:t>
      </w:r>
    </w:p>
    <w:p w:rsidRPr="00283E7C" w:rsidR="00450CE5" w:rsidP="00450CE5" w:rsidRDefault="00450CE5" w14:paraId="633099FF" w14:textId="77777777">
      <w:r>
        <w:t>Ja.</w:t>
      </w:r>
    </w:p>
    <w:p w:rsidRPr="00C0164F" w:rsidR="00450CE5" w:rsidP="00450CE5" w:rsidRDefault="00450CE5" w14:paraId="5A90C71E" w14:textId="77777777">
      <w:pPr>
        <w:rPr>
          <w:b/>
          <w:bCs/>
        </w:rPr>
      </w:pPr>
    </w:p>
    <w:p w:rsidR="00450CE5" w:rsidP="00450CE5" w:rsidRDefault="00450CE5" w14:paraId="7F33B0EC" w14:textId="77777777">
      <w:pPr>
        <w:rPr>
          <w:b/>
          <w:bCs/>
        </w:rPr>
      </w:pPr>
      <w:r w:rsidRPr="5C21FB28">
        <w:rPr>
          <w:b/>
          <w:bCs/>
        </w:rPr>
        <w:t>Vraag 2</w:t>
      </w:r>
    </w:p>
    <w:p w:rsidR="00450CE5" w:rsidP="00450CE5" w:rsidRDefault="00450CE5" w14:paraId="7D174491" w14:textId="31E456DE">
      <w:r>
        <w:t xml:space="preserve">Klopt het dat op 24 mei 2022 de Nederlandse exportkredietverzekeraar </w:t>
      </w:r>
      <w:proofErr w:type="spellStart"/>
      <w:r>
        <w:t>Atradius</w:t>
      </w:r>
      <w:proofErr w:type="spellEnd"/>
      <w:r>
        <w:t xml:space="preserve"> DSB heeft aangekondigd een verzekering (EKV) van 1,5 miljard euro aan Boskalis te verschaffen voor de commerciële landaanwinning in Manila Bay? Klopt het dat dit voor zowel de Nederlandse exportkredietverzekeraar als voor Boskalis, de grootste verzekering ooit is? Hebben zowel de ministers van Financiën als voor Handel en Ontwikkelingssamenwerking, daar akkoord op gegeven?</w:t>
      </w:r>
    </w:p>
    <w:p w:rsidRPr="00F421B8" w:rsidR="00450CE5" w:rsidP="00450CE5" w:rsidRDefault="00450CE5" w14:paraId="00AE722E" w14:textId="77777777">
      <w:pPr>
        <w:rPr>
          <w:u w:val="single"/>
        </w:rPr>
      </w:pPr>
    </w:p>
    <w:p w:rsidR="00450CE5" w:rsidP="00450CE5" w:rsidRDefault="00450CE5" w14:paraId="3F5EF9CC" w14:textId="77777777">
      <w:pPr>
        <w:rPr>
          <w:u w:val="single"/>
        </w:rPr>
      </w:pPr>
      <w:r w:rsidRPr="5C21FB28">
        <w:rPr>
          <w:u w:val="single"/>
        </w:rPr>
        <w:t>Antwoord</w:t>
      </w:r>
    </w:p>
    <w:p w:rsidRPr="00283E7C" w:rsidR="00450CE5" w:rsidP="00450CE5" w:rsidRDefault="00450CE5" w14:paraId="39A1CB99" w14:textId="77777777">
      <w:r>
        <w:t xml:space="preserve">Ja dit klopt. De </w:t>
      </w:r>
      <w:proofErr w:type="spellStart"/>
      <w:r>
        <w:t>ekv</w:t>
      </w:r>
      <w:proofErr w:type="spellEnd"/>
      <w:r>
        <w:t xml:space="preserve"> voor dit project is verstrekt na goedkeuring van de toenmalig staatssecretaris van Financiën – Fiscaliteit en Belastingdienst en de minister voor Buitenlandse Handel en Ontwikkelingssamenwerking.</w:t>
      </w:r>
      <w:r>
        <w:rPr>
          <w:rStyle w:val="Voetnootmarkering"/>
        </w:rPr>
        <w:footnoteReference w:id="1"/>
      </w:r>
    </w:p>
    <w:p w:rsidRPr="00C0164F" w:rsidR="00450CE5" w:rsidP="00450CE5" w:rsidRDefault="00450CE5" w14:paraId="0F0C6C46" w14:textId="77777777">
      <w:pPr>
        <w:rPr>
          <w:b/>
          <w:bCs/>
        </w:rPr>
      </w:pPr>
    </w:p>
    <w:p w:rsidR="00450CE5" w:rsidP="00450CE5" w:rsidRDefault="00450CE5" w14:paraId="6AA27C0A" w14:textId="77777777">
      <w:pPr>
        <w:rPr>
          <w:b/>
          <w:bCs/>
        </w:rPr>
      </w:pPr>
      <w:r w:rsidRPr="5C21FB28">
        <w:rPr>
          <w:b/>
          <w:bCs/>
        </w:rPr>
        <w:t>Vraag 3</w:t>
      </w:r>
    </w:p>
    <w:p w:rsidR="00450CE5" w:rsidP="00450CE5" w:rsidRDefault="00450CE5" w14:paraId="767D77D4" w14:textId="77777777">
      <w:r>
        <w:t xml:space="preserve">Bent u bekend met de milieueffectrapportages voor andere commerciële landaanwinningsprojecten bij de Filipijnse kust die begin mei dit jaar, na jaren van geheimhouding, openbaar zijn gemaakt? Is het u bekend of Nederlandse partijen betrokken waren bij deze geheimgehouden rapportages? Zo ja, welke partijen waren dat? Is het u bekend of Nederlandse partijen betrokken waren bij de projecten waar deze geheimgehouden rapportages, betrekking op hebben? </w:t>
      </w:r>
      <w:r>
        <w:lastRenderedPageBreak/>
        <w:t>Zo ja, welke partijen waren dat? Zo nee, bent u bereid dat te onderzoeken? Zo nee, waarom niet?</w:t>
      </w:r>
    </w:p>
    <w:p w:rsidR="00450CE5" w:rsidP="00450CE5" w:rsidRDefault="00450CE5" w14:paraId="466AE4F2" w14:textId="77777777"/>
    <w:p w:rsidR="00450CE5" w:rsidP="00450CE5" w:rsidRDefault="00450CE5" w14:paraId="0DDDE52B" w14:textId="77777777">
      <w:pPr>
        <w:rPr>
          <w:u w:val="single"/>
        </w:rPr>
      </w:pPr>
      <w:r w:rsidRPr="5C21FB28">
        <w:rPr>
          <w:u w:val="single"/>
        </w:rPr>
        <w:t>Antwoord</w:t>
      </w:r>
    </w:p>
    <w:p w:rsidRPr="00266E43" w:rsidR="00450CE5" w:rsidP="00450CE5" w:rsidRDefault="00450CE5" w14:paraId="14AD6084" w14:textId="77777777">
      <w:proofErr w:type="spellStart"/>
      <w:r>
        <w:t>Ekv</w:t>
      </w:r>
      <w:proofErr w:type="spellEnd"/>
      <w:r>
        <w:t xml:space="preserve">-uitvoerder </w:t>
      </w:r>
      <w:proofErr w:type="spellStart"/>
      <w:r>
        <w:t>Atradius</w:t>
      </w:r>
      <w:proofErr w:type="spellEnd"/>
      <w:r>
        <w:t xml:space="preserve"> Dutch State Business (ADSB) neemt alleen kennis van de milieueffectrapportages voor projecten waar een verzekeringsaanvraag voor is ingediend. Naar overige projecten in de omgeving en de daarbij betrokken partijen is geen nader onderzoek gedaan. Ik ben dan ook niet bekend met de inhoud van de rapportages die voor deze andere projecten zijn gemaakt.</w:t>
      </w:r>
    </w:p>
    <w:p w:rsidRPr="00C0164F" w:rsidR="00450CE5" w:rsidP="00450CE5" w:rsidRDefault="00450CE5" w14:paraId="5A5C5CC7" w14:textId="77777777">
      <w:pPr>
        <w:rPr>
          <w:b/>
          <w:bCs/>
        </w:rPr>
      </w:pPr>
    </w:p>
    <w:p w:rsidR="00450CE5" w:rsidP="00450CE5" w:rsidRDefault="00450CE5" w14:paraId="24601A4F" w14:textId="77777777">
      <w:pPr>
        <w:rPr>
          <w:b/>
          <w:bCs/>
        </w:rPr>
      </w:pPr>
      <w:r w:rsidRPr="5C21FB28">
        <w:rPr>
          <w:b/>
          <w:bCs/>
        </w:rPr>
        <w:t>Vraag 4</w:t>
      </w:r>
    </w:p>
    <w:p w:rsidR="00450CE5" w:rsidP="00450CE5" w:rsidRDefault="00450CE5" w14:paraId="15DDFE47" w14:textId="77777777">
      <w:r>
        <w:t>Terwijl de openbaar geworden rapportages geen betrekking hebben op het project van Boskalis, waarschuwen zij wel dat vergelijkbare landaanwinningsprojecten voor de Filipijnse kust “enorme milieu- en veiligheidsrisico’s voor de bevolking” zullen hebben – heeft dit volgens u relevantie voor het door de Nederlandse staat gesteunde project van Boskalis? Zo nee, waarom niet? Zo ja, welke relevantie ziet u?</w:t>
      </w:r>
    </w:p>
    <w:p w:rsidR="00450CE5" w:rsidP="00450CE5" w:rsidRDefault="00450CE5" w14:paraId="00709867" w14:textId="77777777"/>
    <w:p w:rsidR="00450CE5" w:rsidP="00450CE5" w:rsidRDefault="00450CE5" w14:paraId="7A935A24" w14:textId="77777777">
      <w:pPr>
        <w:rPr>
          <w:u w:val="single"/>
        </w:rPr>
      </w:pPr>
      <w:r w:rsidRPr="5C21FB28">
        <w:rPr>
          <w:u w:val="single"/>
        </w:rPr>
        <w:t>Antwoord</w:t>
      </w:r>
    </w:p>
    <w:p w:rsidR="00450CE5" w:rsidP="00450CE5" w:rsidRDefault="00450CE5" w14:paraId="01F61629" w14:textId="77777777">
      <w:r>
        <w:t>Zoals reeds aan uw Kamer gecommuniceerd wordt het luchthavenproject intensief gemonitord door ADSB, ook op het beheersen van milieu- en veiligheidsrisico’s.</w:t>
      </w:r>
      <w:r>
        <w:rPr>
          <w:rStyle w:val="Voetnootmarkering"/>
        </w:rPr>
        <w:footnoteReference w:id="2"/>
      </w:r>
      <w:r>
        <w:t xml:space="preserve"> Zolang andere commerciële projecten geen directe impact hebben op onderhavig project zijn deze niet relevant voor de monitoring. Ik kan dan ook geen uitspraken doen over de potentiële gevolgen van projecten waar de Nederlandse staat niet bij betrokken is.</w:t>
      </w:r>
    </w:p>
    <w:p w:rsidRPr="00C0164F" w:rsidR="00450CE5" w:rsidP="00450CE5" w:rsidRDefault="00450CE5" w14:paraId="58BCE44E" w14:textId="77777777">
      <w:pPr>
        <w:rPr>
          <w:b/>
          <w:bCs/>
        </w:rPr>
      </w:pPr>
    </w:p>
    <w:p w:rsidR="00450CE5" w:rsidP="00450CE5" w:rsidRDefault="00450CE5" w14:paraId="618F7421" w14:textId="77777777">
      <w:pPr>
        <w:rPr>
          <w:b/>
          <w:bCs/>
        </w:rPr>
      </w:pPr>
      <w:r w:rsidRPr="5C21FB28">
        <w:rPr>
          <w:b/>
          <w:bCs/>
        </w:rPr>
        <w:t>Vraag 5</w:t>
      </w:r>
    </w:p>
    <w:p w:rsidR="00450CE5" w:rsidP="00450CE5" w:rsidRDefault="00450CE5" w14:paraId="57670721" w14:textId="77777777">
      <w:r>
        <w:t>Welke studies heeft uw ministerie voorafgaand aan de uitgifte van de verzekering en tijdens de uitvoering van het project van Boskalis laten uitvoeren en door wie?</w:t>
      </w:r>
    </w:p>
    <w:p w:rsidR="00450CE5" w:rsidP="00450CE5" w:rsidRDefault="00450CE5" w14:paraId="26896178" w14:textId="77777777"/>
    <w:p w:rsidR="00450CE5" w:rsidP="00450CE5" w:rsidRDefault="00450CE5" w14:paraId="7F6D0252" w14:textId="77777777">
      <w:pPr>
        <w:rPr>
          <w:u w:val="single"/>
        </w:rPr>
      </w:pPr>
      <w:r w:rsidRPr="5C21FB28">
        <w:rPr>
          <w:u w:val="single"/>
        </w:rPr>
        <w:t>Antwoord</w:t>
      </w:r>
    </w:p>
    <w:p w:rsidRPr="00283E7C" w:rsidR="00450CE5" w:rsidP="00450CE5" w:rsidRDefault="00450CE5" w14:paraId="13FEF9CE" w14:textId="77777777">
      <w:r>
        <w:t xml:space="preserve">Voor afgifte van de polis heeft ADSB een uitgebreide milieu- en sociale beoordeling uitgevoerd waarbij het project is getoetst aan internationale </w:t>
      </w:r>
      <w:r>
        <w:lastRenderedPageBreak/>
        <w:t>standaarden voor maatschappelijke verantwoord ondernemen (</w:t>
      </w:r>
      <w:proofErr w:type="spellStart"/>
      <w:r>
        <w:t>mvo</w:t>
      </w:r>
      <w:proofErr w:type="spellEnd"/>
      <w:r>
        <w:t>).</w:t>
      </w:r>
      <w:r>
        <w:rPr>
          <w:rStyle w:val="Voetnootmarkering"/>
        </w:rPr>
        <w:footnoteReference w:id="3"/>
      </w:r>
      <w:r>
        <w:t xml:space="preserve"> </w:t>
      </w:r>
      <w:r w:rsidRPr="005803C6">
        <w:t xml:space="preserve">Hiervoor heeft het project diverse themaonderzoeken (onder andere herhuisvesting, </w:t>
      </w:r>
      <w:proofErr w:type="spellStart"/>
      <w:r w:rsidRPr="005803C6">
        <w:t>biodiversteit</w:t>
      </w:r>
      <w:proofErr w:type="spellEnd"/>
      <w:r w:rsidRPr="005803C6">
        <w:t>) en meerdere milieu- en sociale effectrapportages aangeleverd</w:t>
      </w:r>
      <w:r>
        <w:t xml:space="preserve">. ADSB heeft voor de beoordeling </w:t>
      </w:r>
      <w:r w:rsidRPr="005D4E12">
        <w:t>gebruik gemaakt van onafhankelijke consultant</w:t>
      </w:r>
      <w:r>
        <w:t>s</w:t>
      </w:r>
      <w:r w:rsidRPr="005D4E12">
        <w:t xml:space="preserve"> </w:t>
      </w:r>
      <w:r>
        <w:t xml:space="preserve">om haar eigen informatiepositie te versterken en om te verifiëren dat de opgeleverde onderzoeken voldoen aan internationale </w:t>
      </w:r>
      <w:proofErr w:type="spellStart"/>
      <w:r>
        <w:t>mvo</w:t>
      </w:r>
      <w:proofErr w:type="spellEnd"/>
      <w:r>
        <w:t>-standaarden. Deze consultants ondersteunen ADSB tevens in de monitoring van het project door het project regelmatig te bezoek en het opleveren van reguliere monitoringsrapportages.</w:t>
      </w:r>
      <w:r>
        <w:rPr>
          <w:rStyle w:val="Voetnootmarkering"/>
        </w:rPr>
        <w:footnoteReference w:id="4"/>
      </w:r>
    </w:p>
    <w:p w:rsidRPr="00C0164F" w:rsidR="00450CE5" w:rsidP="00450CE5" w:rsidRDefault="00450CE5" w14:paraId="37C20A9C" w14:textId="77777777">
      <w:pPr>
        <w:rPr>
          <w:b/>
          <w:bCs/>
        </w:rPr>
      </w:pPr>
    </w:p>
    <w:p w:rsidR="00450CE5" w:rsidP="00450CE5" w:rsidRDefault="00450CE5" w14:paraId="2A1DD40C" w14:textId="77777777">
      <w:pPr>
        <w:rPr>
          <w:b/>
          <w:bCs/>
        </w:rPr>
      </w:pPr>
      <w:r w:rsidRPr="5C21FB28">
        <w:rPr>
          <w:b/>
          <w:bCs/>
        </w:rPr>
        <w:t>Vraag 6</w:t>
      </w:r>
    </w:p>
    <w:p w:rsidR="00450CE5" w:rsidP="00450CE5" w:rsidRDefault="00450CE5" w14:paraId="555C8DE0" w14:textId="77777777">
      <w:r>
        <w:t>Komt er uit de geheimgehouden en recent in mei vrijgegeven documenten informatie die tot nu toe onbekend was bij uw ministerie? Zo ja, welke?</w:t>
      </w:r>
    </w:p>
    <w:p w:rsidR="00450CE5" w:rsidP="00450CE5" w:rsidRDefault="00450CE5" w14:paraId="5ABBA915" w14:textId="77777777"/>
    <w:p w:rsidR="00450CE5" w:rsidP="00450CE5" w:rsidRDefault="00450CE5" w14:paraId="6C527B3E" w14:textId="77777777">
      <w:pPr>
        <w:rPr>
          <w:u w:val="single"/>
        </w:rPr>
      </w:pPr>
      <w:r w:rsidRPr="5C21FB28">
        <w:rPr>
          <w:u w:val="single"/>
        </w:rPr>
        <w:t>Antwoord</w:t>
      </w:r>
    </w:p>
    <w:p w:rsidRPr="00283E7C" w:rsidR="00450CE5" w:rsidP="00450CE5" w:rsidRDefault="00450CE5" w14:paraId="334EF9F4" w14:textId="77777777">
      <w:r>
        <w:t>Zie het antwoord op vraag 3.</w:t>
      </w:r>
    </w:p>
    <w:p w:rsidRPr="00C0164F" w:rsidR="00450CE5" w:rsidP="00450CE5" w:rsidRDefault="00450CE5" w14:paraId="77D7C600" w14:textId="77777777">
      <w:pPr>
        <w:rPr>
          <w:b/>
          <w:bCs/>
        </w:rPr>
      </w:pPr>
    </w:p>
    <w:p w:rsidR="00450CE5" w:rsidP="00450CE5" w:rsidRDefault="00450CE5" w14:paraId="2BD3EF54" w14:textId="77777777">
      <w:pPr>
        <w:rPr>
          <w:b/>
          <w:bCs/>
        </w:rPr>
      </w:pPr>
      <w:r w:rsidRPr="5C21FB28">
        <w:rPr>
          <w:b/>
          <w:bCs/>
        </w:rPr>
        <w:t>Vraag 7</w:t>
      </w:r>
    </w:p>
    <w:p w:rsidRPr="00C0164F" w:rsidR="00450CE5" w:rsidP="00450CE5" w:rsidRDefault="00450CE5" w14:paraId="7C9130C5" w14:textId="77777777">
      <w:r>
        <w:t>Had het EKV contract met Boskalis voorwaarden op het gebied van mitigatie en compensatie van natuurschade? Zo nee, waarom niet? Zo ja, welke afspraken? Zijn die allemaal afdwingbaar?</w:t>
      </w:r>
    </w:p>
    <w:p w:rsidR="00450CE5" w:rsidP="00450CE5" w:rsidRDefault="00450CE5" w14:paraId="6908EBCD" w14:textId="77777777"/>
    <w:p w:rsidR="00450CE5" w:rsidP="00450CE5" w:rsidRDefault="00450CE5" w14:paraId="164B0997" w14:textId="77777777">
      <w:pPr>
        <w:rPr>
          <w:u w:val="single"/>
        </w:rPr>
      </w:pPr>
      <w:r w:rsidRPr="5C21FB28">
        <w:rPr>
          <w:u w:val="single"/>
        </w:rPr>
        <w:t>Antwoord</w:t>
      </w:r>
    </w:p>
    <w:p w:rsidR="00450CE5" w:rsidP="00450CE5" w:rsidRDefault="00450CE5" w14:paraId="57BBB1D5" w14:textId="77777777">
      <w:r>
        <w:t xml:space="preserve">Boskalis heeft, net als iedere </w:t>
      </w:r>
      <w:proofErr w:type="spellStart"/>
      <w:r>
        <w:t>ekv</w:t>
      </w:r>
      <w:proofErr w:type="spellEnd"/>
      <w:r>
        <w:t>-aanvrager, getekend voor het naleven van de OESO-richtlijnen voor multinationale ondernemingen inzake maatschappelijk verantwoord ondernemen (OESO-richtlijnen), waaruit volgt dat zij volgens een proces van gepaste zorgvuldigheid risico’s voor mens en milieu die voortkomen uit hun werkzaamheden in kaart moeten brengen en waar nodig aanpakken.</w:t>
      </w:r>
    </w:p>
    <w:p w:rsidR="00450CE5" w:rsidP="00450CE5" w:rsidRDefault="00450CE5" w14:paraId="56A21943" w14:textId="77777777"/>
    <w:p w:rsidR="00450CE5" w:rsidP="00450CE5" w:rsidRDefault="00450CE5" w14:paraId="23AFF3DC" w14:textId="77777777">
      <w:r>
        <w:t xml:space="preserve">De verantwoordelijkheid voor de mitigatie en compensatie van natuurschade door het project ligt bij de projecteigenaar en is vastgelegd in het </w:t>
      </w:r>
      <w:proofErr w:type="spellStart"/>
      <w:r>
        <w:t>Environmental</w:t>
      </w:r>
      <w:proofErr w:type="spellEnd"/>
      <w:r>
        <w:t xml:space="preserve"> </w:t>
      </w:r>
      <w:proofErr w:type="spellStart"/>
      <w:r>
        <w:lastRenderedPageBreak/>
        <w:t>and</w:t>
      </w:r>
      <w:proofErr w:type="spellEnd"/>
      <w:r>
        <w:t xml:space="preserve"> </w:t>
      </w:r>
      <w:proofErr w:type="spellStart"/>
      <w:r>
        <w:t>Social</w:t>
      </w:r>
      <w:proofErr w:type="spellEnd"/>
      <w:r>
        <w:t xml:space="preserve"> Action Plan (ESAP). Het ESAP is een contractueel document tussen de projecteigenaar en betrokken financiers. ADSB is hierin geen contractpartij, maar kan via de verzekerde financiers invloed uitoefenen en ziet middels intensieve monitoring toe op de uitvoering van het project. </w:t>
      </w:r>
    </w:p>
    <w:p w:rsidR="00450CE5" w:rsidP="00450CE5" w:rsidRDefault="00450CE5" w14:paraId="302B1491" w14:textId="77777777"/>
    <w:p w:rsidRPr="008C1856" w:rsidR="00450CE5" w:rsidP="00450CE5" w:rsidRDefault="00450CE5" w14:paraId="7FC0C9C0" w14:textId="77777777">
      <w:r w:rsidRPr="003B0DAC">
        <w:t xml:space="preserve">Als uit de monitoring </w:t>
      </w:r>
      <w:r>
        <w:t>onregelmatigheden blijken</w:t>
      </w:r>
      <w:r w:rsidRPr="003B0DAC">
        <w:t xml:space="preserve"> dan zal </w:t>
      </w:r>
      <w:r>
        <w:t xml:space="preserve">ADSB </w:t>
      </w:r>
      <w:r w:rsidRPr="003B0DAC">
        <w:t>in eerste instantie kiezen voor een dialoog met</w:t>
      </w:r>
      <w:r>
        <w:t xml:space="preserve"> </w:t>
      </w:r>
      <w:r w:rsidRPr="003B0DAC">
        <w:t>betrokkenen om verbeteringen te realiseren. Mocht hiermee niet het gewenste</w:t>
      </w:r>
      <w:r>
        <w:t xml:space="preserve"> </w:t>
      </w:r>
      <w:r w:rsidRPr="003B0DAC">
        <w:t>resultaat behaald worden dan kan dit gevolgen hebben voor</w:t>
      </w:r>
      <w:r>
        <w:t xml:space="preserve"> </w:t>
      </w:r>
      <w:r w:rsidRPr="003B0DAC">
        <w:t xml:space="preserve">het recht op schade-uitkering onder de </w:t>
      </w:r>
      <w:r>
        <w:t>exporteurs</w:t>
      </w:r>
      <w:r w:rsidRPr="003B0DAC">
        <w:t xml:space="preserve">polis </w:t>
      </w:r>
      <w:r>
        <w:t>of</w:t>
      </w:r>
      <w:r w:rsidRPr="003B0DAC">
        <w:t xml:space="preserve"> </w:t>
      </w:r>
      <w:r>
        <w:t>voor de</w:t>
      </w:r>
      <w:r w:rsidRPr="003B0DAC">
        <w:t xml:space="preserve"> verzekerde</w:t>
      </w:r>
      <w:r>
        <w:t xml:space="preserve"> </w:t>
      </w:r>
      <w:r w:rsidRPr="003B0DAC">
        <w:t>lening.</w:t>
      </w:r>
      <w:r w:rsidRPr="003B0DAC" w:rsidDel="00B631C1">
        <w:t xml:space="preserve"> </w:t>
      </w:r>
      <w:r w:rsidRPr="008C1856">
        <w:t>Uit een onafhankelijke evaluatie van de monitoring van dit project blijkt dat deze robuust is en adequaat is</w:t>
      </w:r>
      <w:r>
        <w:t xml:space="preserve"> </w:t>
      </w:r>
      <w:r w:rsidRPr="008C1856">
        <w:t>ingericht om eventuele misstanden in de uitvoering tijdig te adresseren</w:t>
      </w:r>
      <w:r>
        <w:t>.</w:t>
      </w:r>
      <w:r>
        <w:rPr>
          <w:rStyle w:val="Voetnootmarkering"/>
        </w:rPr>
        <w:footnoteReference w:id="5"/>
      </w:r>
      <w:r>
        <w:t xml:space="preserve"> </w:t>
      </w:r>
    </w:p>
    <w:p w:rsidRPr="001B0FE3" w:rsidR="00450CE5" w:rsidP="00450CE5" w:rsidRDefault="00450CE5" w14:paraId="2208CB1B" w14:textId="77777777"/>
    <w:p w:rsidR="00450CE5" w:rsidP="00450CE5" w:rsidRDefault="00450CE5" w14:paraId="46648421" w14:textId="77777777">
      <w:pPr>
        <w:rPr>
          <w:b/>
          <w:bCs/>
        </w:rPr>
      </w:pPr>
      <w:r w:rsidRPr="5C21FB28">
        <w:rPr>
          <w:b/>
          <w:bCs/>
        </w:rPr>
        <w:t>Vraag 8</w:t>
      </w:r>
    </w:p>
    <w:p w:rsidRPr="00C0164F" w:rsidR="00450CE5" w:rsidP="00450CE5" w:rsidRDefault="00450CE5" w14:paraId="192DBE1B" w14:textId="77777777">
      <w:r>
        <w:t>Hoe beoordeelt u de gevolgen van de activiteiten die Boskalis heeft uitgevoerd zoals in het artikel worden beschreven (“Boskalis heeft het koraalrif bij de ‘San Nicolas shawls’ kapotgemaakt. Het koraal is weg, en dus ook de mosselen, krabben en vissen.”)? Oordeelt u dat Boskalis voldoende heeft</w:t>
      </w:r>
    </w:p>
    <w:p w:rsidR="00450CE5" w:rsidP="00450CE5" w:rsidRDefault="00450CE5" w14:paraId="0AE2DCAA" w14:textId="77777777">
      <w:r>
        <w:t>gedaan aan mitigerende maatregelen? Zo ja, op basis van welke informatie komt u tot dat oordeel? Oordeelt u dat aan de contractuele voorwaarden heeft voldaan? Zo nee, kunt u aangeven of en welke consequenties dit voor de verzekeringnemer heeft?</w:t>
      </w:r>
    </w:p>
    <w:p w:rsidR="00450CE5" w:rsidP="00450CE5" w:rsidRDefault="00450CE5" w14:paraId="3C382AD8" w14:textId="77777777"/>
    <w:p w:rsidR="00450CE5" w:rsidP="00450CE5" w:rsidRDefault="00450CE5" w14:paraId="51D06614" w14:textId="77777777">
      <w:pPr>
        <w:rPr>
          <w:u w:val="single"/>
        </w:rPr>
      </w:pPr>
      <w:r w:rsidRPr="5C21FB28">
        <w:rPr>
          <w:u w:val="single"/>
        </w:rPr>
        <w:t>Antwoord</w:t>
      </w:r>
    </w:p>
    <w:p w:rsidR="00450CE5" w:rsidP="00450CE5" w:rsidRDefault="00450CE5" w14:paraId="42E8DD4A" w14:textId="77777777">
      <w:r>
        <w:t xml:space="preserve">Boskalis heeft conform internationale standaarden uitgebreid onderzoek gedaan naar de natuurwaarden van de zandwinlocatie. Op de ondergrond was geen koraalrif aanwezig, wel is op enkele plekken los koraal aangetroffen met een lage ecologische waarde. De zandwinning was onderdeel van de uitgebreide milieu- en sociale beoordeling en monitoring door ADSB. Op basis van de opgeleverde documenten, de monitoringsrapportages en site </w:t>
      </w:r>
      <w:proofErr w:type="spellStart"/>
      <w:r>
        <w:t>visits</w:t>
      </w:r>
      <w:proofErr w:type="spellEnd"/>
      <w:r>
        <w:t xml:space="preserve"> uitgevoerd in 2023 en in 2025 komt ADSB tot het oordeel dat Boskalis voldoende maatregelen heeft getroffen om de negatieve neveneffecten van de zandwinning te mitigeren. Daarmee heeft Boskalis aan de contractuele verplichtingen voldaan.</w:t>
      </w:r>
    </w:p>
    <w:p w:rsidRPr="00C0164F" w:rsidR="00450CE5" w:rsidP="00450CE5" w:rsidRDefault="00450CE5" w14:paraId="7A7E396B" w14:textId="77777777">
      <w:pPr>
        <w:rPr>
          <w:b/>
          <w:bCs/>
        </w:rPr>
      </w:pPr>
    </w:p>
    <w:p w:rsidR="00450CE5" w:rsidP="00450CE5" w:rsidRDefault="00450CE5" w14:paraId="576DC065" w14:textId="77777777">
      <w:pPr>
        <w:rPr>
          <w:b/>
          <w:bCs/>
        </w:rPr>
      </w:pPr>
      <w:r w:rsidRPr="5C21FB28">
        <w:rPr>
          <w:b/>
          <w:bCs/>
        </w:rPr>
        <w:t>Vraag 9</w:t>
      </w:r>
    </w:p>
    <w:p w:rsidR="00450CE5" w:rsidP="00450CE5" w:rsidRDefault="00450CE5" w14:paraId="287ACCB7" w14:textId="77777777">
      <w:r>
        <w:lastRenderedPageBreak/>
        <w:t>Hoe kan het dat Nederland een project heeft ondersteund dat heeft geleid tot een permanent verlies van inkomstenbronnen en overstromingsbescherming door het leeg baggeren van de gehele San Nicolas Shawl – een zandbank die diende als belangrijk visgebied en buffer tegen golven? Is het ministerie van mening dat kortdurende financiële compensatie afdoende is om deze blijvende schade te compenseren? Zo ja, op welke basis velt u dit oordeel?</w:t>
      </w:r>
    </w:p>
    <w:p w:rsidRPr="00F421B8" w:rsidR="00450CE5" w:rsidP="00450CE5" w:rsidRDefault="00450CE5" w14:paraId="0A0C6326" w14:textId="77777777">
      <w:pPr>
        <w:rPr>
          <w:u w:val="single"/>
        </w:rPr>
      </w:pPr>
    </w:p>
    <w:p w:rsidR="00450CE5" w:rsidP="00450CE5" w:rsidRDefault="00450CE5" w14:paraId="1844540B" w14:textId="77777777">
      <w:pPr>
        <w:rPr>
          <w:u w:val="single"/>
        </w:rPr>
      </w:pPr>
      <w:r w:rsidRPr="5C21FB28">
        <w:rPr>
          <w:u w:val="single"/>
        </w:rPr>
        <w:t>Antwoord</w:t>
      </w:r>
    </w:p>
    <w:p w:rsidR="00450CE5" w:rsidP="00450CE5" w:rsidRDefault="00450CE5" w14:paraId="1058D60F" w14:textId="77777777">
      <w:r>
        <w:t>Als door projecten het levensonderhoud van belanghebbenden wordt getroffen, dan moeten deze gevolgen volgens de internationale standaarden gecompenseerd worden zodat hun levensonderhoud hetzelfde of beter wordt dan de situatie voor de start van een project. Dit kan door middel van bijvoorbeeld alternatieve werkgelegenheid en/of financiële compensatie.</w:t>
      </w:r>
    </w:p>
    <w:p w:rsidR="00450CE5" w:rsidP="00450CE5" w:rsidRDefault="00450CE5" w14:paraId="3B18A96F" w14:textId="77777777"/>
    <w:p w:rsidRPr="00E82727" w:rsidR="00450CE5" w:rsidP="00450CE5" w:rsidRDefault="00450CE5" w14:paraId="3C28D2B4" w14:textId="77777777">
      <w:r>
        <w:t>ADSB heeft geoordeeld dat enkel financiële compensatie niet voldoende is voor een deel van de door het project getroffen personen. Daarom is vereist dat er hiervoor zogeheten herstel van levensonderhoud (</w:t>
      </w:r>
      <w:proofErr w:type="spellStart"/>
      <w:r w:rsidRPr="5C21FB28">
        <w:rPr>
          <w:i/>
          <w:iCs/>
        </w:rPr>
        <w:t>livelihood</w:t>
      </w:r>
      <w:proofErr w:type="spellEnd"/>
      <w:r w:rsidRPr="5C21FB28">
        <w:rPr>
          <w:i/>
          <w:iCs/>
        </w:rPr>
        <w:t xml:space="preserve"> </w:t>
      </w:r>
      <w:proofErr w:type="spellStart"/>
      <w:r w:rsidRPr="5C21FB28">
        <w:rPr>
          <w:i/>
          <w:iCs/>
        </w:rPr>
        <w:t>restoration</w:t>
      </w:r>
      <w:proofErr w:type="spellEnd"/>
      <w:r>
        <w:t xml:space="preserve">) zou plaatsvinden, zodat op de lange termijn het levensonderhoud van de vissers hetzelfde of beter wordt dan vóór het project. ADSB is bekend met klachten over de </w:t>
      </w:r>
      <w:proofErr w:type="spellStart"/>
      <w:r w:rsidRPr="5C21FB28">
        <w:rPr>
          <w:i/>
          <w:iCs/>
        </w:rPr>
        <w:t>livelihood</w:t>
      </w:r>
      <w:proofErr w:type="spellEnd"/>
      <w:r w:rsidRPr="5C21FB28">
        <w:rPr>
          <w:i/>
          <w:iCs/>
        </w:rPr>
        <w:t xml:space="preserve"> </w:t>
      </w:r>
      <w:proofErr w:type="spellStart"/>
      <w:r w:rsidRPr="5C21FB28">
        <w:rPr>
          <w:i/>
          <w:iCs/>
        </w:rPr>
        <w:t>restoration</w:t>
      </w:r>
      <w:proofErr w:type="spellEnd"/>
      <w:r>
        <w:t>. Deze zijn aangekaart bij de projecteigenaar en de onafhankelijke consultants en worden prioritair opgepakt door het stakeholder engagement team van de projecteigenaar. ADSB monitort op dit moment de opvolging van deze klachten.</w:t>
      </w:r>
    </w:p>
    <w:p w:rsidRPr="00704C45" w:rsidR="00450CE5" w:rsidP="00450CE5" w:rsidRDefault="00450CE5" w14:paraId="052812E5" w14:textId="77777777"/>
    <w:p w:rsidR="00450CE5" w:rsidP="00450CE5" w:rsidRDefault="00450CE5" w14:paraId="6D6983F3" w14:textId="77777777">
      <w:pPr>
        <w:rPr>
          <w:b/>
          <w:bCs/>
        </w:rPr>
      </w:pPr>
      <w:r w:rsidRPr="5C21FB28">
        <w:rPr>
          <w:b/>
          <w:bCs/>
        </w:rPr>
        <w:t>Vraag 10</w:t>
      </w:r>
    </w:p>
    <w:p w:rsidR="00450CE5" w:rsidP="00450CE5" w:rsidRDefault="00450CE5" w14:paraId="03F7FA4A" w14:textId="77777777">
      <w:r>
        <w:t>Klopt het dat hiervoor meerdere keren gewaarschuwd is, zowel voor uitgifte van de EKV als tijdens de werkzaamheden? Wat waren toen de overwegingen om wel door te zetten?</w:t>
      </w:r>
    </w:p>
    <w:p w:rsidRPr="00F421B8" w:rsidR="00450CE5" w:rsidP="00450CE5" w:rsidRDefault="00450CE5" w14:paraId="5B49A9D8" w14:textId="77777777">
      <w:pPr>
        <w:rPr>
          <w:u w:val="single"/>
        </w:rPr>
      </w:pPr>
    </w:p>
    <w:p w:rsidR="00450CE5" w:rsidP="00450CE5" w:rsidRDefault="00450CE5" w14:paraId="3405AFD1" w14:textId="77777777">
      <w:pPr>
        <w:rPr>
          <w:u w:val="single"/>
        </w:rPr>
      </w:pPr>
      <w:r w:rsidRPr="5C21FB28">
        <w:rPr>
          <w:u w:val="single"/>
        </w:rPr>
        <w:t>Antwoord</w:t>
      </w:r>
    </w:p>
    <w:p w:rsidR="00450CE5" w:rsidP="00450CE5" w:rsidRDefault="00450CE5" w14:paraId="5936B16D" w14:textId="77777777">
      <w:r>
        <w:t xml:space="preserve">Het klopt dat mijn ministerie verschillende signalen vanuit het maatschappelijk middenveld heeft ontvangen over dit project. Aan goedkeuring is een zorgvuldige milieu- en sociale beoordeling voorafgegaan waarin deze signalen zijn meegewogen. Het project was in eerste aanleg niet in lijn met internationale </w:t>
      </w:r>
      <w:proofErr w:type="spellStart"/>
      <w:r>
        <w:t>mvo</w:t>
      </w:r>
      <w:proofErr w:type="spellEnd"/>
      <w:r>
        <w:t xml:space="preserve">-standaarden op het vlak van mitigatie en compensatie van inkomensderving en compensatie van natuurwaarden. Deze lacunes zijn juist door de betrokkenheid van ADSB, de Nederlandse Staat en hun internationale </w:t>
      </w:r>
      <w:r>
        <w:lastRenderedPageBreak/>
        <w:t xml:space="preserve">consultants en mede dankzij de ontvangen signalen van de ambassade en ngo’s, geadresseerd. </w:t>
      </w:r>
    </w:p>
    <w:p w:rsidR="00450CE5" w:rsidP="00450CE5" w:rsidRDefault="00450CE5" w14:paraId="22418DE6" w14:textId="77777777"/>
    <w:p w:rsidRPr="00283E7C" w:rsidR="00450CE5" w:rsidP="00450CE5" w:rsidRDefault="00450CE5" w14:paraId="47ED683A" w14:textId="77777777">
      <w:r>
        <w:t xml:space="preserve">De </w:t>
      </w:r>
      <w:proofErr w:type="spellStart"/>
      <w:r>
        <w:t>ekv</w:t>
      </w:r>
      <w:proofErr w:type="spellEnd"/>
      <w:r>
        <w:t xml:space="preserve"> is verstrekt onder de voorwaarde dat het project alle acties onderneemt die nodig zijn om aan de internationale </w:t>
      </w:r>
      <w:proofErr w:type="spellStart"/>
      <w:r>
        <w:t>mvo</w:t>
      </w:r>
      <w:proofErr w:type="spellEnd"/>
      <w:r>
        <w:t>-standaarden te voldoen.</w:t>
      </w:r>
      <w:r>
        <w:rPr>
          <w:rStyle w:val="Voetnootmarkering"/>
        </w:rPr>
        <w:footnoteReference w:id="6"/>
      </w:r>
      <w:r>
        <w:t xml:space="preserve"> </w:t>
      </w:r>
      <w:r w:rsidRPr="001F0E42">
        <w:t>Hierop wordt middels intensieve monitoring toegezien</w:t>
      </w:r>
      <w:r>
        <w:t>. De voormalige staatssecretaris van Financiën heeft als extra waarborg een second opinion laten uitvoeren naar de monitoring van het project. Uit deze second opinion, die op 3 juli 2023 met uw Kamer is gedeeld, blijkt dat de monitoring robuust is en adequaat is ingericht om misstanden in de uitvoering tijdig te adresseren.</w:t>
      </w:r>
      <w:r>
        <w:rPr>
          <w:rStyle w:val="Voetnootmarkering"/>
        </w:rPr>
        <w:footnoteReference w:id="7"/>
      </w:r>
      <w:r>
        <w:t xml:space="preserve"> </w:t>
      </w:r>
    </w:p>
    <w:p w:rsidR="00450CE5" w:rsidP="00450CE5" w:rsidRDefault="00450CE5" w14:paraId="79C45155" w14:textId="77777777">
      <w:pPr>
        <w:rPr>
          <w:b/>
          <w:bCs/>
        </w:rPr>
      </w:pPr>
    </w:p>
    <w:p w:rsidR="00450CE5" w:rsidP="00450CE5" w:rsidRDefault="00450CE5" w14:paraId="7B712907" w14:textId="77777777">
      <w:pPr>
        <w:rPr>
          <w:b/>
          <w:bCs/>
        </w:rPr>
      </w:pPr>
      <w:r w:rsidRPr="5C21FB28">
        <w:rPr>
          <w:b/>
          <w:bCs/>
        </w:rPr>
        <w:t>Vraag 11</w:t>
      </w:r>
    </w:p>
    <w:p w:rsidRPr="00C0164F" w:rsidR="00450CE5" w:rsidP="00450CE5" w:rsidRDefault="00450CE5" w14:paraId="3F3FFB30" w14:textId="77777777">
      <w:r>
        <w:t xml:space="preserve">Deelt u de analyse dat volgens internationale standaarden zoals de OESO-richtlijnen en UN </w:t>
      </w:r>
      <w:proofErr w:type="spellStart"/>
      <w:r>
        <w:t>Guiding</w:t>
      </w:r>
      <w:proofErr w:type="spellEnd"/>
      <w:r>
        <w:t xml:space="preserve"> </w:t>
      </w:r>
      <w:proofErr w:type="spellStart"/>
      <w:r>
        <w:t>Principles</w:t>
      </w:r>
      <w:proofErr w:type="spellEnd"/>
      <w:r>
        <w:t>, de primaire verantwoordelijkheid voor het mitigeren en compenseren van negatieve effecten ligt bij de actoren die deze effecten met hun bedrijfsactiviteiten veroorzaken? Zo nee, waarom niet? Deelt u de analyse dat Boskalis, die middels zijn baggerwerkzaamheden de San</w:t>
      </w:r>
    </w:p>
    <w:p w:rsidR="00450CE5" w:rsidP="00450CE5" w:rsidRDefault="00450CE5" w14:paraId="14942DD7" w14:textId="77777777">
      <w:r>
        <w:t xml:space="preserve">Nicholas Shawl heeft vernield, verantwoordelijk is voor de negatieve effecten op de lokale visserij en klimaatbestendigheid van kustgemeenschappen in </w:t>
      </w:r>
      <w:proofErr w:type="spellStart"/>
      <w:r>
        <w:t>Cavite</w:t>
      </w:r>
      <w:proofErr w:type="spellEnd"/>
      <w:r>
        <w:t>? Zo nee, waarom niet?</w:t>
      </w:r>
    </w:p>
    <w:p w:rsidR="00450CE5" w:rsidP="00450CE5" w:rsidRDefault="00450CE5" w14:paraId="13AF5CF0" w14:textId="77777777"/>
    <w:p w:rsidR="00450CE5" w:rsidP="00450CE5" w:rsidRDefault="00450CE5" w14:paraId="498D0FC5" w14:textId="77777777">
      <w:pPr>
        <w:rPr>
          <w:u w:val="single"/>
        </w:rPr>
      </w:pPr>
      <w:r w:rsidRPr="5C21FB28">
        <w:rPr>
          <w:u w:val="single"/>
        </w:rPr>
        <w:t>Antwoord</w:t>
      </w:r>
    </w:p>
    <w:p w:rsidR="00450CE5" w:rsidP="00450CE5" w:rsidRDefault="00450CE5" w14:paraId="43A2D554" w14:textId="77777777">
      <w:r>
        <w:t xml:space="preserve">Het mitigeren en compenseren van negatieve effecten betreft een gedeelde verantwoordelijkheid. De verantwoordelijkheid hiervoor bij een project ligt primair bij de projecteigenaar. Deze moet de effecten vooraf onderzoeken, voorspellen en zoveel mogelijk proberen te voorkomen. Bij de uitvoering moet de projecteigenaar monitoren of aannemers hun werk correct uitvoeren om negatieve effecten te mitigeren. De verantwoordelijkheid voor de compensatie van negatieve effecten die niet voorkomen kunnen worden ligt ook bij de projecteigenaar. Aannemers, zoals in dit geval Boskalis, zijn er voor verantwoordelijk om hun eigen werkzaamheden met zo min mogelijk negatieve effecten voor mens en milieu uit te voeren conform de OESO-richtlijnen en UN </w:t>
      </w:r>
      <w:proofErr w:type="spellStart"/>
      <w:r>
        <w:t>Guiding</w:t>
      </w:r>
      <w:proofErr w:type="spellEnd"/>
      <w:r>
        <w:t xml:space="preserve"> </w:t>
      </w:r>
      <w:proofErr w:type="spellStart"/>
      <w:r>
        <w:t>Principles</w:t>
      </w:r>
      <w:proofErr w:type="spellEnd"/>
      <w:r>
        <w:t xml:space="preserve"> on Business </w:t>
      </w:r>
      <w:proofErr w:type="spellStart"/>
      <w:r>
        <w:t>and</w:t>
      </w:r>
      <w:proofErr w:type="spellEnd"/>
      <w:r>
        <w:t xml:space="preserve"> Human </w:t>
      </w:r>
      <w:proofErr w:type="spellStart"/>
      <w:r>
        <w:t>Rights</w:t>
      </w:r>
      <w:proofErr w:type="spellEnd"/>
      <w:r>
        <w:t xml:space="preserve"> (</w:t>
      </w:r>
      <w:proofErr w:type="spellStart"/>
      <w:r>
        <w:t>UNGPs</w:t>
      </w:r>
      <w:proofErr w:type="spellEnd"/>
      <w:r>
        <w:t xml:space="preserve">). Volgens de OESO-richtlijnen dienen zij ook te zorgen voor, of meewerken aan, herstel indien nodig om negatieve milieueffecten aan te pakken die de onderneming heeft </w:t>
      </w:r>
      <w:r>
        <w:lastRenderedPageBreak/>
        <w:t>veroorzaakt of waaraan zij heeft bijgedragen. Uit monitoring blijkt dat Boskalis dit correct heeft gedaan.</w:t>
      </w:r>
    </w:p>
    <w:p w:rsidRPr="00C0164F" w:rsidR="00450CE5" w:rsidP="00450CE5" w:rsidRDefault="00450CE5" w14:paraId="58DECC68" w14:textId="77777777">
      <w:pPr>
        <w:rPr>
          <w:u w:val="single"/>
        </w:rPr>
      </w:pPr>
    </w:p>
    <w:p w:rsidR="00450CE5" w:rsidP="00450CE5" w:rsidRDefault="00450CE5" w14:paraId="7654AA43" w14:textId="77777777">
      <w:pPr>
        <w:rPr>
          <w:b/>
          <w:bCs/>
        </w:rPr>
      </w:pPr>
      <w:r w:rsidRPr="5C21FB28">
        <w:rPr>
          <w:b/>
          <w:bCs/>
        </w:rPr>
        <w:t>Vraag 12</w:t>
      </w:r>
    </w:p>
    <w:p w:rsidR="00450CE5" w:rsidP="00450CE5" w:rsidRDefault="00450CE5" w14:paraId="2914CF8A" w14:textId="77777777">
      <w:r>
        <w:t xml:space="preserve">Wat is er concreet terecht gekomen van de Nederlandse belofte – door ASDB en door Boskalis – om grootschalige natuurcompensatie te regelen? Kent u het openbaargemaakte </w:t>
      </w:r>
      <w:proofErr w:type="spellStart"/>
      <w:r>
        <w:t>Biodiversity</w:t>
      </w:r>
      <w:proofErr w:type="spellEnd"/>
      <w:r>
        <w:t xml:space="preserve"> Action Plan Non Technical Summary van SMC en Boskalis, dat spreekt van een offset gebied van 1000-1700 hectaren? Hoeveel hectaren telt het huidige offset gebied? Op basis van welke informatie doet u deze uitspraak? Is de kwestie van natuurcompensatie – dat voor ADBS een belangrijke voorwaarde was om de EKV te verstrekken – contractueel vastgelegd? Zo nee, waarom niet? Zo ja, welke voorwaarden zijn gesteld?</w:t>
      </w:r>
    </w:p>
    <w:p w:rsidR="00450CE5" w:rsidP="00450CE5" w:rsidRDefault="00450CE5" w14:paraId="1E6ABD12" w14:textId="77777777"/>
    <w:p w:rsidR="00450CE5" w:rsidP="00450CE5" w:rsidRDefault="00450CE5" w14:paraId="7FE43081" w14:textId="77777777">
      <w:pPr>
        <w:rPr>
          <w:u w:val="single"/>
        </w:rPr>
      </w:pPr>
      <w:r w:rsidRPr="5C21FB28">
        <w:rPr>
          <w:u w:val="single"/>
        </w:rPr>
        <w:t>Antwoord</w:t>
      </w:r>
    </w:p>
    <w:p w:rsidR="00450CE5" w:rsidP="00450CE5" w:rsidRDefault="00450CE5" w14:paraId="7025C450" w14:textId="77777777">
      <w:r>
        <w:t xml:space="preserve">Ik ben bekend met het genoemde document waar 1000-1700 hectare genoemd wordt als een streefgetal. Er gaat bij dit project circa 238 hectare natuurgebied verloren. De verloren natuur dient conform internationale biodiversiteitsstandaarden gecompenseerd te worden door een gebied met tenminste dezelfde kwalitatieve natuurwaarden. De inzet is daarom gericht op kwaliteitsgerichte compensatie, niet op het realiseren van een bepaald oppervlakte. De plannen zorgen ervoor dat de natuurkwaliteit uiteindelijk hoger wordt dan voorheen. Op dit moment is 78,5 hectare aan definitief compensatiegebied gerealiseerd. Daarnaast wordt nog steeds grond aangekocht om te ontwikkelen als natuurcompensatiegebied. Samen met tijdelijke compensatiegebieden is er op dit moment 434 hectare aan natuurcompensatiegebied. </w:t>
      </w:r>
    </w:p>
    <w:p w:rsidR="00450CE5" w:rsidP="00450CE5" w:rsidRDefault="00450CE5" w14:paraId="73E93037" w14:textId="77777777"/>
    <w:p w:rsidR="00450CE5" w:rsidP="00450CE5" w:rsidRDefault="00450CE5" w14:paraId="53EB9142" w14:textId="77777777">
      <w:r>
        <w:t xml:space="preserve">De verantwoordelijkheid om natuurcompensatie te realiseren ligt primair bij de projecteigenaar. ADSB monitort of de projecteigenaar dit op een juiste manier uitvoert. De compensatie van de verloren biodiversiteitswaarde is contractueel vastgelegd tussen projecteigenaar en financiers in het eerder genoemde ESAP. ADSB ziet middels intensieve monitoring toe op de correcte uitvoering van het ESAP. De eerste resultaten zijn positief. Zo is het aantal watervogels in de regio, waaronder bedreigde soorten, substantieel toegenomen. </w:t>
      </w:r>
    </w:p>
    <w:p w:rsidRPr="00C0164F" w:rsidR="00450CE5" w:rsidP="00450CE5" w:rsidRDefault="00450CE5" w14:paraId="0F3084BE" w14:textId="77777777"/>
    <w:p w:rsidR="00450CE5" w:rsidP="00450CE5" w:rsidRDefault="00450CE5" w14:paraId="536138DA" w14:textId="77777777">
      <w:pPr>
        <w:rPr>
          <w:b/>
          <w:bCs/>
        </w:rPr>
      </w:pPr>
      <w:r w:rsidRPr="5C21FB28">
        <w:rPr>
          <w:b/>
          <w:bCs/>
        </w:rPr>
        <w:t>Vraag 13</w:t>
      </w:r>
    </w:p>
    <w:p w:rsidRPr="00F421B8" w:rsidR="00450CE5" w:rsidP="00450CE5" w:rsidRDefault="00450CE5" w14:paraId="53CED624" w14:textId="77777777">
      <w:r>
        <w:t xml:space="preserve">Hoe oordeelt u over de rol van Nederland bij landaanwinningen in Manila en de bijbehorende negatieve effecten op gemeenschappen, biodiversiteit en </w:t>
      </w:r>
      <w:r>
        <w:lastRenderedPageBreak/>
        <w:t>klimaatbestendigheid, gegeven de toenemende zorgen en protest vanuit Filipijnse burgers en overheid, zoals o.a. te lezen is in het</w:t>
      </w:r>
    </w:p>
    <w:p w:rsidR="00450CE5" w:rsidP="00450CE5" w:rsidRDefault="00450CE5" w14:paraId="40F9FFD7" w14:textId="68266D47">
      <w:proofErr w:type="spellStart"/>
      <w:r w:rsidRPr="00450CE5">
        <w:rPr>
          <w:lang w:val="en-US"/>
        </w:rPr>
        <w:t>recente</w:t>
      </w:r>
      <w:proofErr w:type="spellEnd"/>
      <w:r w:rsidRPr="00450CE5">
        <w:rPr>
          <w:lang w:val="en-US"/>
        </w:rPr>
        <w:t xml:space="preserve"> </w:t>
      </w:r>
      <w:proofErr w:type="spellStart"/>
      <w:r w:rsidRPr="00450CE5">
        <w:rPr>
          <w:lang w:val="en-US"/>
        </w:rPr>
        <w:t>artikel</w:t>
      </w:r>
      <w:proofErr w:type="spellEnd"/>
      <w:r w:rsidRPr="00450CE5">
        <w:rPr>
          <w:lang w:val="en-US"/>
        </w:rPr>
        <w:t xml:space="preserve"> ‘Manila Bay is Alive’ van het </w:t>
      </w:r>
      <w:proofErr w:type="spellStart"/>
      <w:r w:rsidRPr="00450CE5">
        <w:rPr>
          <w:lang w:val="en-US"/>
        </w:rPr>
        <w:t>Filipijnse</w:t>
      </w:r>
      <w:proofErr w:type="spellEnd"/>
      <w:r w:rsidRPr="00450CE5">
        <w:rPr>
          <w:lang w:val="en-US"/>
        </w:rPr>
        <w:t xml:space="preserve"> Department of Environment and Natural Resources? </w:t>
      </w:r>
      <w:r>
        <w:t>Bent u van mening dat Nederlandse betrokkenheid bij deze controversiële sector gunstig is voor het aanzien van het Nederlandse bedrijfsleven? Zo ja, kunt u dat dan toelichten? Zo nee, welke consequenties ziet u?</w:t>
      </w:r>
    </w:p>
    <w:p w:rsidR="00450CE5" w:rsidP="00450CE5" w:rsidRDefault="00450CE5" w14:paraId="51D8B000" w14:textId="77777777"/>
    <w:p w:rsidR="00450CE5" w:rsidP="00450CE5" w:rsidRDefault="00450CE5" w14:paraId="00E4C220" w14:textId="77777777">
      <w:pPr>
        <w:rPr>
          <w:u w:val="single"/>
        </w:rPr>
      </w:pPr>
      <w:r w:rsidRPr="5C21FB28">
        <w:rPr>
          <w:u w:val="single"/>
        </w:rPr>
        <w:t>Antwoord</w:t>
      </w:r>
    </w:p>
    <w:p w:rsidRPr="00266E43" w:rsidR="00450CE5" w:rsidP="00450CE5" w:rsidRDefault="00450CE5" w14:paraId="62F7FC19" w14:textId="77777777">
      <w:r>
        <w:t>Nederlandse bedrijven die actief zijn in het buitenland dienen</w:t>
      </w:r>
      <w:r w:rsidRPr="00FA79EF">
        <w:t xml:space="preserve"> zich te houden aan de lokale wet- en regelgeving</w:t>
      </w:r>
      <w:r>
        <w:t xml:space="preserve">, de </w:t>
      </w:r>
      <w:proofErr w:type="spellStart"/>
      <w:r>
        <w:t>UNGP’s</w:t>
      </w:r>
      <w:proofErr w:type="spellEnd"/>
      <w:r w:rsidRPr="00FA79EF">
        <w:t xml:space="preserve"> en de OESO-richtlijnen.</w:t>
      </w:r>
      <w:r>
        <w:t xml:space="preserve"> Nederlandse water- en baggerbedrijven zijn internationaal toonaangevend en lopen voorop in de ontwikkelingen van nieuwe duurzame technologieën om negatieve neveneffecten tot een minimum te beperken en kunnen zo een positieve bijdrage leveren aan projecten wereldwijd. In het geval van het luchthavenproject is er, juist door betrokkenheid van Boskalis en de Nederlands staat, een grote verbetering in de uitvoering van het project gerealiseerd.</w:t>
      </w:r>
      <w:r>
        <w:rPr>
          <w:rStyle w:val="Voetnootmarkering"/>
        </w:rPr>
        <w:footnoteReference w:id="8"/>
      </w:r>
    </w:p>
    <w:p w:rsidRPr="008450B8" w:rsidR="00450CE5" w:rsidP="00450CE5" w:rsidRDefault="00450CE5" w14:paraId="5E8F26F2" w14:textId="77777777"/>
    <w:p w:rsidR="002C3023" w:rsidRDefault="002C3023" w14:paraId="34D5EB61" w14:textId="77777777"/>
    <w:sectPr w:rsidR="002C3023" w:rsidSect="00450CE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79B9" w14:textId="77777777" w:rsidR="00450CE5" w:rsidRDefault="00450CE5" w:rsidP="00450CE5">
      <w:pPr>
        <w:spacing w:after="0" w:line="240" w:lineRule="auto"/>
      </w:pPr>
      <w:r>
        <w:separator/>
      </w:r>
    </w:p>
  </w:endnote>
  <w:endnote w:type="continuationSeparator" w:id="0">
    <w:p w14:paraId="78D02C6C" w14:textId="77777777" w:rsidR="00450CE5" w:rsidRDefault="00450CE5" w:rsidP="0045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807B" w14:textId="77777777" w:rsidR="00450CE5" w:rsidRPr="00450CE5" w:rsidRDefault="00450CE5" w:rsidP="00450C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82EA" w14:textId="77777777" w:rsidR="00450CE5" w:rsidRPr="00450CE5" w:rsidRDefault="00450CE5" w:rsidP="00450C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72EF" w14:textId="77777777" w:rsidR="00450CE5" w:rsidRPr="00450CE5" w:rsidRDefault="00450CE5" w:rsidP="00450C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AE0D" w14:textId="77777777" w:rsidR="00450CE5" w:rsidRDefault="00450CE5" w:rsidP="00450CE5">
      <w:pPr>
        <w:spacing w:after="0" w:line="240" w:lineRule="auto"/>
      </w:pPr>
      <w:r>
        <w:separator/>
      </w:r>
    </w:p>
  </w:footnote>
  <w:footnote w:type="continuationSeparator" w:id="0">
    <w:p w14:paraId="54A00E9A" w14:textId="77777777" w:rsidR="00450CE5" w:rsidRDefault="00450CE5" w:rsidP="00450CE5">
      <w:pPr>
        <w:spacing w:after="0" w:line="240" w:lineRule="auto"/>
      </w:pPr>
      <w:r>
        <w:continuationSeparator/>
      </w:r>
    </w:p>
  </w:footnote>
  <w:footnote w:id="1">
    <w:p w14:paraId="10F4F6AA" w14:textId="77777777" w:rsidR="00450CE5" w:rsidRDefault="00450CE5" w:rsidP="00450CE5">
      <w:pPr>
        <w:pStyle w:val="Voetnoottekst"/>
      </w:pPr>
      <w:r>
        <w:rPr>
          <w:rStyle w:val="Voetnootmarkering"/>
        </w:rPr>
        <w:footnoteRef/>
      </w:r>
      <w:r>
        <w:t xml:space="preserve"> </w:t>
      </w:r>
      <w:r w:rsidRPr="00C935C1">
        <w:rPr>
          <w:sz w:val="16"/>
          <w:szCs w:val="16"/>
        </w:rPr>
        <w:t>Kamerstukken II 2021/22 26485, nr. 397</w:t>
      </w:r>
    </w:p>
  </w:footnote>
  <w:footnote w:id="2">
    <w:p w14:paraId="20A7823F" w14:textId="77777777" w:rsidR="00450CE5" w:rsidRPr="005D4E12" w:rsidRDefault="00450CE5" w:rsidP="00450CE5">
      <w:pPr>
        <w:pStyle w:val="Voetnoottekst"/>
      </w:pPr>
      <w:r>
        <w:rPr>
          <w:rStyle w:val="Voetnootmarkering"/>
        </w:rPr>
        <w:footnoteRef/>
      </w:r>
      <w:r w:rsidRPr="005D4E12">
        <w:t xml:space="preserve"> </w:t>
      </w:r>
      <w:r w:rsidRPr="00C935C1">
        <w:rPr>
          <w:sz w:val="16"/>
          <w:szCs w:val="16"/>
        </w:rPr>
        <w:t>Kamerstukken II 2022-23, 26485 nr. 425</w:t>
      </w:r>
    </w:p>
  </w:footnote>
  <w:footnote w:id="3">
    <w:p w14:paraId="553C5DFD" w14:textId="77777777" w:rsidR="00450CE5" w:rsidRPr="008450B8" w:rsidRDefault="00450CE5" w:rsidP="00450CE5">
      <w:pPr>
        <w:pStyle w:val="Voetnoottekst"/>
        <w:rPr>
          <w:sz w:val="16"/>
          <w:szCs w:val="16"/>
          <w:lang w:val="en-US"/>
        </w:rPr>
      </w:pPr>
      <w:r>
        <w:rPr>
          <w:rStyle w:val="Voetnootmarkering"/>
        </w:rPr>
        <w:footnoteRef/>
      </w:r>
      <w:r w:rsidRPr="008450B8">
        <w:rPr>
          <w:lang w:val="en-US"/>
        </w:rPr>
        <w:t xml:space="preserve"> </w:t>
      </w:r>
      <w:r w:rsidRPr="008450B8">
        <w:rPr>
          <w:sz w:val="16"/>
          <w:szCs w:val="16"/>
          <w:lang w:val="en-US"/>
        </w:rPr>
        <w:t xml:space="preserve">Voor de </w:t>
      </w:r>
      <w:proofErr w:type="spellStart"/>
      <w:r w:rsidRPr="008450B8">
        <w:rPr>
          <w:sz w:val="16"/>
          <w:szCs w:val="16"/>
          <w:lang w:val="en-US"/>
        </w:rPr>
        <w:t>ekv</w:t>
      </w:r>
      <w:proofErr w:type="spellEnd"/>
      <w:r w:rsidRPr="008450B8">
        <w:rPr>
          <w:sz w:val="16"/>
          <w:szCs w:val="16"/>
          <w:lang w:val="en-US"/>
        </w:rPr>
        <w:t xml:space="preserve"> </w:t>
      </w:r>
      <w:proofErr w:type="spellStart"/>
      <w:r w:rsidRPr="008450B8">
        <w:rPr>
          <w:sz w:val="16"/>
          <w:szCs w:val="16"/>
          <w:lang w:val="en-US"/>
        </w:rPr>
        <w:t>worden</w:t>
      </w:r>
      <w:proofErr w:type="spellEnd"/>
      <w:r w:rsidRPr="008450B8">
        <w:rPr>
          <w:sz w:val="16"/>
          <w:szCs w:val="16"/>
          <w:lang w:val="en-US"/>
        </w:rPr>
        <w:t xml:space="preserve"> </w:t>
      </w:r>
      <w:proofErr w:type="spellStart"/>
      <w:r w:rsidRPr="008450B8">
        <w:rPr>
          <w:sz w:val="16"/>
          <w:szCs w:val="16"/>
          <w:lang w:val="en-US"/>
        </w:rPr>
        <w:t>projecten</w:t>
      </w:r>
      <w:proofErr w:type="spellEnd"/>
      <w:r w:rsidRPr="008450B8">
        <w:rPr>
          <w:sz w:val="16"/>
          <w:szCs w:val="16"/>
          <w:lang w:val="en-US"/>
        </w:rPr>
        <w:t xml:space="preserve"> </w:t>
      </w:r>
      <w:proofErr w:type="spellStart"/>
      <w:r w:rsidRPr="008450B8">
        <w:rPr>
          <w:sz w:val="16"/>
          <w:szCs w:val="16"/>
          <w:lang w:val="en-US"/>
        </w:rPr>
        <w:t>beoordeeld</w:t>
      </w:r>
      <w:proofErr w:type="spellEnd"/>
      <w:r w:rsidRPr="008450B8">
        <w:rPr>
          <w:sz w:val="16"/>
          <w:szCs w:val="16"/>
          <w:lang w:val="en-US"/>
        </w:rPr>
        <w:t xml:space="preserve"> </w:t>
      </w:r>
      <w:proofErr w:type="spellStart"/>
      <w:r w:rsidRPr="008450B8">
        <w:rPr>
          <w:sz w:val="16"/>
          <w:szCs w:val="16"/>
          <w:lang w:val="en-US"/>
        </w:rPr>
        <w:t>volgens</w:t>
      </w:r>
      <w:proofErr w:type="spellEnd"/>
      <w:r w:rsidRPr="008450B8">
        <w:rPr>
          <w:sz w:val="16"/>
          <w:szCs w:val="16"/>
          <w:lang w:val="en-US"/>
        </w:rPr>
        <w:t xml:space="preserve"> de </w:t>
      </w:r>
      <w:r w:rsidRPr="5C21FB28">
        <w:rPr>
          <w:i/>
          <w:iCs/>
          <w:sz w:val="16"/>
          <w:szCs w:val="16"/>
          <w:lang w:val="en-US"/>
        </w:rPr>
        <w:t>Recommendation of the Council on OECD Legal Instruments Common Approaches for Officially Supported Export Credits and Environmental and Social Due Diligence</w:t>
      </w:r>
      <w:r w:rsidRPr="008450B8">
        <w:rPr>
          <w:sz w:val="16"/>
          <w:szCs w:val="16"/>
          <w:lang w:val="en-US"/>
        </w:rPr>
        <w:t xml:space="preserve">, </w:t>
      </w:r>
      <w:proofErr w:type="spellStart"/>
      <w:r w:rsidRPr="008450B8">
        <w:rPr>
          <w:sz w:val="16"/>
          <w:szCs w:val="16"/>
          <w:lang w:val="en-US"/>
        </w:rPr>
        <w:t>waarbij</w:t>
      </w:r>
      <w:proofErr w:type="spellEnd"/>
      <w:r w:rsidRPr="008450B8">
        <w:rPr>
          <w:sz w:val="16"/>
          <w:szCs w:val="16"/>
          <w:lang w:val="en-US"/>
        </w:rPr>
        <w:t xml:space="preserve"> de </w:t>
      </w:r>
      <w:r w:rsidRPr="5C21FB28">
        <w:rPr>
          <w:i/>
          <w:iCs/>
          <w:sz w:val="16"/>
          <w:szCs w:val="16"/>
          <w:lang w:val="en-US"/>
        </w:rPr>
        <w:t>IFC Performance Standards</w:t>
      </w:r>
      <w:r w:rsidRPr="008450B8">
        <w:rPr>
          <w:sz w:val="16"/>
          <w:szCs w:val="16"/>
          <w:lang w:val="en-US"/>
        </w:rPr>
        <w:t xml:space="preserve"> </w:t>
      </w:r>
      <w:proofErr w:type="spellStart"/>
      <w:r w:rsidRPr="008450B8">
        <w:rPr>
          <w:sz w:val="16"/>
          <w:szCs w:val="16"/>
          <w:lang w:val="en-US"/>
        </w:rPr>
        <w:t>en</w:t>
      </w:r>
      <w:proofErr w:type="spellEnd"/>
      <w:r w:rsidRPr="008450B8">
        <w:rPr>
          <w:sz w:val="16"/>
          <w:szCs w:val="16"/>
          <w:lang w:val="en-US"/>
        </w:rPr>
        <w:t xml:space="preserve"> de </w:t>
      </w:r>
      <w:proofErr w:type="spellStart"/>
      <w:r w:rsidRPr="008450B8">
        <w:rPr>
          <w:sz w:val="16"/>
          <w:szCs w:val="16"/>
          <w:lang w:val="en-US"/>
        </w:rPr>
        <w:t>Wereldbank-groep</w:t>
      </w:r>
      <w:proofErr w:type="spellEnd"/>
      <w:r w:rsidRPr="008450B8">
        <w:rPr>
          <w:sz w:val="16"/>
          <w:szCs w:val="16"/>
          <w:lang w:val="en-US"/>
        </w:rPr>
        <w:t xml:space="preserve"> </w:t>
      </w:r>
      <w:r w:rsidRPr="5C21FB28">
        <w:rPr>
          <w:i/>
          <w:iCs/>
          <w:sz w:val="16"/>
          <w:szCs w:val="16"/>
          <w:lang w:val="en-US"/>
        </w:rPr>
        <w:t>Environmental, Health and Safety Guidelines</w:t>
      </w:r>
      <w:r w:rsidRPr="008450B8">
        <w:rPr>
          <w:sz w:val="16"/>
          <w:szCs w:val="16"/>
          <w:lang w:val="en-US"/>
        </w:rPr>
        <w:t xml:space="preserve"> het concrete </w:t>
      </w:r>
      <w:proofErr w:type="spellStart"/>
      <w:r w:rsidRPr="008450B8">
        <w:rPr>
          <w:sz w:val="16"/>
          <w:szCs w:val="16"/>
          <w:lang w:val="en-US"/>
        </w:rPr>
        <w:t>toetsingskader</w:t>
      </w:r>
      <w:proofErr w:type="spellEnd"/>
      <w:r w:rsidRPr="008450B8">
        <w:rPr>
          <w:sz w:val="16"/>
          <w:szCs w:val="16"/>
          <w:lang w:val="en-US"/>
        </w:rPr>
        <w:t xml:space="preserve"> </w:t>
      </w:r>
      <w:proofErr w:type="spellStart"/>
      <w:r w:rsidRPr="008450B8">
        <w:rPr>
          <w:sz w:val="16"/>
          <w:szCs w:val="16"/>
          <w:lang w:val="en-US"/>
        </w:rPr>
        <w:t>voor</w:t>
      </w:r>
      <w:proofErr w:type="spellEnd"/>
      <w:r w:rsidRPr="008450B8">
        <w:rPr>
          <w:sz w:val="16"/>
          <w:szCs w:val="16"/>
          <w:lang w:val="en-US"/>
        </w:rPr>
        <w:t xml:space="preserve"> </w:t>
      </w:r>
      <w:proofErr w:type="spellStart"/>
      <w:r w:rsidRPr="008450B8">
        <w:rPr>
          <w:sz w:val="16"/>
          <w:szCs w:val="16"/>
          <w:lang w:val="en-US"/>
        </w:rPr>
        <w:t>projecten</w:t>
      </w:r>
      <w:proofErr w:type="spellEnd"/>
      <w:r w:rsidRPr="008450B8">
        <w:rPr>
          <w:sz w:val="16"/>
          <w:szCs w:val="16"/>
          <w:lang w:val="en-US"/>
        </w:rPr>
        <w:t xml:space="preserve"> </w:t>
      </w:r>
      <w:proofErr w:type="spellStart"/>
      <w:r w:rsidRPr="008450B8">
        <w:rPr>
          <w:sz w:val="16"/>
          <w:szCs w:val="16"/>
          <w:lang w:val="en-US"/>
        </w:rPr>
        <w:t>vormen</w:t>
      </w:r>
      <w:proofErr w:type="spellEnd"/>
      <w:r w:rsidRPr="008450B8">
        <w:rPr>
          <w:sz w:val="16"/>
          <w:szCs w:val="16"/>
          <w:lang w:val="en-US"/>
        </w:rPr>
        <w:t>.</w:t>
      </w:r>
    </w:p>
  </w:footnote>
  <w:footnote w:id="4">
    <w:p w14:paraId="07EE881B" w14:textId="77777777" w:rsidR="00450CE5" w:rsidRDefault="00450CE5" w:rsidP="00450CE5">
      <w:pPr>
        <w:pStyle w:val="Voetnoottekst"/>
      </w:pPr>
      <w:r>
        <w:rPr>
          <w:rStyle w:val="Voetnootmarkering"/>
        </w:rPr>
        <w:footnoteRef/>
      </w:r>
      <w:r>
        <w:t xml:space="preserve"> </w:t>
      </w:r>
      <w:r w:rsidRPr="00C935C1">
        <w:rPr>
          <w:sz w:val="16"/>
          <w:szCs w:val="16"/>
        </w:rPr>
        <w:t>Kamerstukken II 2022-23, 26485 nr. 425</w:t>
      </w:r>
    </w:p>
  </w:footnote>
  <w:footnote w:id="5">
    <w:p w14:paraId="64E83B70" w14:textId="77777777" w:rsidR="00450CE5" w:rsidRPr="005B5F02" w:rsidRDefault="00450CE5" w:rsidP="00450CE5">
      <w:pPr>
        <w:pStyle w:val="Voetnoottekst"/>
        <w:rPr>
          <w:sz w:val="16"/>
          <w:szCs w:val="16"/>
        </w:rPr>
      </w:pPr>
      <w:r w:rsidRPr="008C1856">
        <w:rPr>
          <w:rStyle w:val="Voetnootmarkering"/>
          <w:sz w:val="16"/>
          <w:szCs w:val="16"/>
        </w:rPr>
        <w:footnoteRef/>
      </w:r>
      <w:r w:rsidRPr="005B5F02">
        <w:rPr>
          <w:sz w:val="16"/>
          <w:szCs w:val="16"/>
        </w:rPr>
        <w:t xml:space="preserve"> </w:t>
      </w:r>
      <w:r w:rsidRPr="008C1856">
        <w:rPr>
          <w:sz w:val="16"/>
          <w:szCs w:val="16"/>
        </w:rPr>
        <w:t>Kamerstukken II 2022-23, 26485 nr. 425</w:t>
      </w:r>
    </w:p>
  </w:footnote>
  <w:footnote w:id="6">
    <w:p w14:paraId="3C3D2A67" w14:textId="77777777" w:rsidR="00450CE5" w:rsidRPr="00C935C1" w:rsidRDefault="00450CE5" w:rsidP="00450CE5">
      <w:pPr>
        <w:pStyle w:val="Voetnoottekst"/>
        <w:rPr>
          <w:sz w:val="16"/>
          <w:szCs w:val="16"/>
        </w:rPr>
      </w:pPr>
      <w:r w:rsidRPr="00C935C1">
        <w:rPr>
          <w:rStyle w:val="Voetnootmarkering"/>
          <w:sz w:val="16"/>
          <w:szCs w:val="16"/>
        </w:rPr>
        <w:footnoteRef/>
      </w:r>
      <w:r w:rsidRPr="00C935C1">
        <w:rPr>
          <w:sz w:val="16"/>
          <w:szCs w:val="16"/>
        </w:rPr>
        <w:t xml:space="preserve"> Kamerstukken II 2021/22 26485, nr. 397</w:t>
      </w:r>
    </w:p>
  </w:footnote>
  <w:footnote w:id="7">
    <w:p w14:paraId="11908EC8" w14:textId="77777777" w:rsidR="00450CE5" w:rsidRPr="00C935C1" w:rsidRDefault="00450CE5" w:rsidP="00450CE5">
      <w:pPr>
        <w:pStyle w:val="Voetnoottekst"/>
        <w:rPr>
          <w:sz w:val="16"/>
          <w:szCs w:val="16"/>
        </w:rPr>
      </w:pPr>
      <w:r w:rsidRPr="00C935C1">
        <w:rPr>
          <w:rStyle w:val="Voetnootmarkering"/>
          <w:sz w:val="16"/>
          <w:szCs w:val="16"/>
        </w:rPr>
        <w:footnoteRef/>
      </w:r>
      <w:r w:rsidRPr="00C935C1">
        <w:rPr>
          <w:sz w:val="16"/>
          <w:szCs w:val="16"/>
        </w:rPr>
        <w:t xml:space="preserve"> Kamerstukken II 2022-23, 26485 nr. 425</w:t>
      </w:r>
    </w:p>
  </w:footnote>
  <w:footnote w:id="8">
    <w:p w14:paraId="71C24E91" w14:textId="77777777" w:rsidR="00450CE5" w:rsidRDefault="00450CE5" w:rsidP="00450CE5">
      <w:pPr>
        <w:pStyle w:val="Voetnoottekst"/>
      </w:pPr>
      <w:r>
        <w:rPr>
          <w:rStyle w:val="Voetnootmarkering"/>
        </w:rPr>
        <w:footnoteRef/>
      </w:r>
      <w:r>
        <w:t xml:space="preserve"> </w:t>
      </w:r>
      <w:r w:rsidRPr="00C935C1">
        <w:rPr>
          <w:sz w:val="16"/>
          <w:szCs w:val="16"/>
        </w:rPr>
        <w:t>Kamerstukken II 2022-23, 26485 nr. 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4C0F" w14:textId="77777777" w:rsidR="00450CE5" w:rsidRPr="00450CE5" w:rsidRDefault="00450CE5" w:rsidP="00450C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E17A" w14:textId="77777777" w:rsidR="00450CE5" w:rsidRPr="00450CE5" w:rsidRDefault="00450CE5" w:rsidP="00450C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05FA" w14:textId="77777777" w:rsidR="00450CE5" w:rsidRPr="00450CE5" w:rsidRDefault="00450CE5" w:rsidP="00450C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E5"/>
    <w:rsid w:val="002C3023"/>
    <w:rsid w:val="003F3878"/>
    <w:rsid w:val="00450C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7AC8"/>
  <w15:chartTrackingRefBased/>
  <w15:docId w15:val="{E80206C4-0EF7-4511-94BD-CD5EB49C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0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0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0C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0C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0C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0C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C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C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C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C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0C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0C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0C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0C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0C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C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C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CE5"/>
    <w:rPr>
      <w:rFonts w:eastAsiaTheme="majorEastAsia" w:cstheme="majorBidi"/>
      <w:color w:val="272727" w:themeColor="text1" w:themeTint="D8"/>
    </w:rPr>
  </w:style>
  <w:style w:type="paragraph" w:styleId="Titel">
    <w:name w:val="Title"/>
    <w:basedOn w:val="Standaard"/>
    <w:next w:val="Standaard"/>
    <w:link w:val="TitelChar"/>
    <w:uiPriority w:val="10"/>
    <w:qFormat/>
    <w:rsid w:val="00450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C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C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C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C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CE5"/>
    <w:rPr>
      <w:i/>
      <w:iCs/>
      <w:color w:val="404040" w:themeColor="text1" w:themeTint="BF"/>
    </w:rPr>
  </w:style>
  <w:style w:type="paragraph" w:styleId="Lijstalinea">
    <w:name w:val="List Paragraph"/>
    <w:basedOn w:val="Standaard"/>
    <w:uiPriority w:val="34"/>
    <w:qFormat/>
    <w:rsid w:val="00450CE5"/>
    <w:pPr>
      <w:ind w:left="720"/>
      <w:contextualSpacing/>
    </w:pPr>
  </w:style>
  <w:style w:type="character" w:styleId="Intensievebenadrukking">
    <w:name w:val="Intense Emphasis"/>
    <w:basedOn w:val="Standaardalinea-lettertype"/>
    <w:uiPriority w:val="21"/>
    <w:qFormat/>
    <w:rsid w:val="00450CE5"/>
    <w:rPr>
      <w:i/>
      <w:iCs/>
      <w:color w:val="0F4761" w:themeColor="accent1" w:themeShade="BF"/>
    </w:rPr>
  </w:style>
  <w:style w:type="paragraph" w:styleId="Duidelijkcitaat">
    <w:name w:val="Intense Quote"/>
    <w:basedOn w:val="Standaard"/>
    <w:next w:val="Standaard"/>
    <w:link w:val="DuidelijkcitaatChar"/>
    <w:uiPriority w:val="30"/>
    <w:qFormat/>
    <w:rsid w:val="00450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0CE5"/>
    <w:rPr>
      <w:i/>
      <w:iCs/>
      <w:color w:val="0F4761" w:themeColor="accent1" w:themeShade="BF"/>
    </w:rPr>
  </w:style>
  <w:style w:type="character" w:styleId="Intensieveverwijzing">
    <w:name w:val="Intense Reference"/>
    <w:basedOn w:val="Standaardalinea-lettertype"/>
    <w:uiPriority w:val="32"/>
    <w:qFormat/>
    <w:rsid w:val="00450CE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50CE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0CE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0CE5"/>
    <w:rPr>
      <w:vertAlign w:val="superscript"/>
    </w:rPr>
  </w:style>
  <w:style w:type="paragraph" w:styleId="Koptekst">
    <w:name w:val="header"/>
    <w:basedOn w:val="Standaard"/>
    <w:link w:val="KoptekstChar"/>
    <w:uiPriority w:val="99"/>
    <w:unhideWhenUsed/>
    <w:rsid w:val="00450C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0CE5"/>
  </w:style>
  <w:style w:type="paragraph" w:styleId="Voettekst">
    <w:name w:val="footer"/>
    <w:basedOn w:val="Standaard"/>
    <w:link w:val="VoettekstChar"/>
    <w:uiPriority w:val="99"/>
    <w:unhideWhenUsed/>
    <w:rsid w:val="00450C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0CE5"/>
  </w:style>
  <w:style w:type="paragraph" w:styleId="Geenafstand">
    <w:name w:val="No Spacing"/>
    <w:uiPriority w:val="1"/>
    <w:qFormat/>
    <w:rsid w:val="00450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2200</ap:Words>
  <ap:Characters>12106</ap:Characters>
  <ap:DocSecurity>0</ap:DocSecurity>
  <ap:Lines>100</ap:Lines>
  <ap:Paragraphs>28</ap:Paragraphs>
  <ap:ScaleCrop>false</ap:ScaleCrop>
  <ap:LinksUpToDate>false</ap:LinksUpToDate>
  <ap:CharactersWithSpaces>14278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2025-09-16T14:29:00.0000000Z</dcterms:created>
  <dcterms:modified xsi:type="dcterms:W3CDTF">2025-09-16T14:32:00.0000000Z</dcterms:modified>
  <version/>
  <category/>
</coreProperties>
</file>