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384E" w:rsidR="005B1829" w:rsidRDefault="004B3A2D" w14:paraId="1953D518" w14:textId="5336BE82">
      <w:pPr>
        <w:rPr>
          <w:rFonts w:ascii="Calibri" w:hAnsi="Calibri" w:cs="Calibri"/>
        </w:rPr>
      </w:pPr>
      <w:r w:rsidRPr="0090384E">
        <w:rPr>
          <w:rFonts w:ascii="Calibri" w:hAnsi="Calibri" w:cs="Calibri"/>
        </w:rPr>
        <w:t>36</w:t>
      </w:r>
      <w:r w:rsidRPr="0090384E" w:rsidR="008154D3">
        <w:rPr>
          <w:rFonts w:ascii="Calibri" w:hAnsi="Calibri" w:cs="Calibri"/>
        </w:rPr>
        <w:t xml:space="preserve"> </w:t>
      </w:r>
      <w:r w:rsidRPr="0090384E">
        <w:rPr>
          <w:rFonts w:ascii="Calibri" w:hAnsi="Calibri" w:cs="Calibri"/>
        </w:rPr>
        <w:t>800</w:t>
      </w:r>
      <w:r w:rsidRPr="0090384E" w:rsidR="005B1829">
        <w:rPr>
          <w:rFonts w:ascii="Calibri" w:hAnsi="Calibri" w:cs="Calibri"/>
        </w:rPr>
        <w:tab/>
      </w:r>
      <w:r w:rsidRPr="0090384E" w:rsidR="005B1829">
        <w:rPr>
          <w:rFonts w:ascii="Calibri" w:hAnsi="Calibri" w:cs="Calibri"/>
        </w:rPr>
        <w:tab/>
        <w:t>Nota over de toestand van ’s Rijks Financiën</w:t>
      </w:r>
    </w:p>
    <w:p w:rsidRPr="0090384E" w:rsidR="005B1829" w:rsidP="00D80872" w:rsidRDefault="005B1829" w14:paraId="3578708C" w14:textId="77777777">
      <w:pPr>
        <w:rPr>
          <w:rFonts w:ascii="Calibri" w:hAnsi="Calibri" w:cs="Calibri"/>
        </w:rPr>
      </w:pPr>
      <w:r w:rsidRPr="0090384E">
        <w:rPr>
          <w:rFonts w:ascii="Calibri" w:hAnsi="Calibri" w:cs="Calibri"/>
        </w:rPr>
        <w:t xml:space="preserve">Nr. </w:t>
      </w:r>
      <w:r w:rsidRPr="0090384E" w:rsidR="004B3A2D">
        <w:rPr>
          <w:rFonts w:ascii="Calibri" w:hAnsi="Calibri" w:cs="Calibri"/>
        </w:rPr>
        <w:t>3</w:t>
      </w:r>
      <w:r w:rsidRPr="0090384E">
        <w:rPr>
          <w:rFonts w:ascii="Calibri" w:hAnsi="Calibri" w:cs="Calibri"/>
        </w:rPr>
        <w:tab/>
      </w:r>
      <w:r w:rsidRPr="0090384E">
        <w:rPr>
          <w:rFonts w:ascii="Calibri" w:hAnsi="Calibri" w:cs="Calibri"/>
        </w:rPr>
        <w:tab/>
        <w:t>Brief van de minister van Financiën</w:t>
      </w:r>
    </w:p>
    <w:p w:rsidRPr="0090384E" w:rsidR="004B3A2D" w:rsidP="004B3A2D" w:rsidRDefault="005B1829" w14:paraId="1D56599F" w14:textId="5B776164">
      <w:pPr>
        <w:rPr>
          <w:rFonts w:ascii="Calibri" w:hAnsi="Calibri" w:cs="Calibri"/>
        </w:rPr>
      </w:pPr>
      <w:r w:rsidRPr="0090384E">
        <w:rPr>
          <w:rFonts w:ascii="Calibri" w:hAnsi="Calibri" w:cs="Calibri"/>
        </w:rPr>
        <w:t>Aan de Voorzitter van de Tweede Kamer der Staten-Generaal</w:t>
      </w:r>
    </w:p>
    <w:p w:rsidRPr="0090384E" w:rsidR="005B1829" w:rsidP="004B3A2D" w:rsidRDefault="005B1829" w14:paraId="6B0C6A9B" w14:textId="51B6B8BF">
      <w:pPr>
        <w:rPr>
          <w:rFonts w:ascii="Calibri" w:hAnsi="Calibri" w:cs="Calibri"/>
        </w:rPr>
      </w:pPr>
      <w:r w:rsidRPr="0090384E">
        <w:rPr>
          <w:rFonts w:ascii="Calibri" w:hAnsi="Calibri" w:cs="Calibri"/>
        </w:rPr>
        <w:t>Den Haag, 16 september 2025</w:t>
      </w:r>
    </w:p>
    <w:p w:rsidRPr="0090384E" w:rsidR="004B3A2D" w:rsidP="004B3A2D" w:rsidRDefault="004B3A2D" w14:paraId="1597C2CC" w14:textId="77777777">
      <w:pPr>
        <w:rPr>
          <w:rFonts w:ascii="Calibri" w:hAnsi="Calibri" w:cs="Calibri"/>
        </w:rPr>
      </w:pPr>
    </w:p>
    <w:p w:rsidRPr="0090384E" w:rsidR="004B3A2D" w:rsidP="004B3A2D" w:rsidRDefault="004B3A2D" w14:paraId="13E134F1" w14:textId="14B8EE39">
      <w:pPr>
        <w:rPr>
          <w:rFonts w:ascii="Calibri" w:hAnsi="Calibri" w:cs="Calibri"/>
        </w:rPr>
      </w:pPr>
      <w:r w:rsidRPr="0090384E">
        <w:rPr>
          <w:rFonts w:ascii="Calibri" w:hAnsi="Calibri" w:cs="Calibri"/>
        </w:rPr>
        <w:t>Hierbij bied ik uw Kamer de Miljoenennota 2026 en de ontwerpbegrotingen 2026 aan.</w:t>
      </w:r>
    </w:p>
    <w:p w:rsidRPr="0090384E" w:rsidR="004B3A2D" w:rsidP="0090384E" w:rsidRDefault="004B3A2D" w14:paraId="41B8C151" w14:textId="77777777">
      <w:pPr>
        <w:pStyle w:val="Geenafstand"/>
        <w:rPr>
          <w:rFonts w:ascii="Calibri" w:hAnsi="Calibri" w:cs="Calibri"/>
        </w:rPr>
      </w:pPr>
    </w:p>
    <w:p w:rsidRPr="0090384E" w:rsidR="004B3A2D" w:rsidP="004B3A2D" w:rsidRDefault="004B3A2D" w14:paraId="67DD0A01" w14:textId="77777777">
      <w:pPr>
        <w:rPr>
          <w:rFonts w:ascii="Calibri" w:hAnsi="Calibri" w:cs="Calibri"/>
        </w:rPr>
      </w:pPr>
      <w:bookmarkStart w:name="_Hlk207376939" w:id="0"/>
      <w:r w:rsidRPr="0090384E">
        <w:rPr>
          <w:rFonts w:ascii="Calibri" w:hAnsi="Calibri" w:cs="Calibri"/>
        </w:rPr>
        <w:t xml:space="preserve">Het aankomend verkiezingsreces, van 3 oktober tot en met 29 oktober, valt samen met de periode waarin normaliter begrotingsbehandelingen plaatsvinden. </w:t>
      </w:r>
      <w:bookmarkStart w:name="_Hlk207376957" w:id="1"/>
      <w:bookmarkEnd w:id="0"/>
      <w:r w:rsidRPr="0090384E">
        <w:rPr>
          <w:rFonts w:ascii="Calibri" w:hAnsi="Calibri" w:cs="Calibri"/>
        </w:rPr>
        <w:t>Dit leidt er naar verwachting toe dat begrotingen 2026 niet voor 1 januari behandeld en geautoriseerd worden.</w:t>
      </w:r>
      <w:bookmarkEnd w:id="1"/>
      <w:r w:rsidRPr="0090384E">
        <w:rPr>
          <w:rFonts w:ascii="Calibri" w:hAnsi="Calibri" w:cs="Calibri"/>
        </w:rPr>
        <w:t xml:space="preserve"> Daarom informeer ik u, gelijk aan twee jaar geleden, over </w:t>
      </w:r>
      <w:bookmarkStart w:name="_Hlk206764462" w:id="2"/>
      <w:r w:rsidRPr="0090384E">
        <w:rPr>
          <w:rFonts w:ascii="Calibri" w:hAnsi="Calibri" w:cs="Calibri"/>
        </w:rPr>
        <w:t>de mogelijke gevolgen van het niet tijdig autoriseren van nieuw beleid in het algemeen</w:t>
      </w:r>
      <w:bookmarkEnd w:id="2"/>
      <w:r w:rsidRPr="0090384E">
        <w:rPr>
          <w:rFonts w:ascii="Calibri" w:hAnsi="Calibri" w:cs="Calibri"/>
        </w:rPr>
        <w:t xml:space="preserve">. Ook bied ik u, mede namens mijn collega’s in het kabinet, de brieven aan met een toelichting op het nieuwe beleid in de ontwerpbegrotingen. Voor mijn eigen departement heb ik de informatie opgenomen in deze brief. </w:t>
      </w:r>
    </w:p>
    <w:p w:rsidRPr="0090384E" w:rsidR="004B3A2D" w:rsidP="0090384E" w:rsidRDefault="004B3A2D" w14:paraId="25D5B071" w14:textId="77777777">
      <w:pPr>
        <w:pStyle w:val="Geenafstand"/>
        <w:rPr>
          <w:rFonts w:ascii="Calibri" w:hAnsi="Calibri" w:cs="Calibri"/>
        </w:rPr>
      </w:pPr>
    </w:p>
    <w:p w:rsidRPr="0090384E" w:rsidR="004B3A2D" w:rsidP="004B3A2D" w:rsidRDefault="004B3A2D" w14:paraId="11DE9DFE" w14:textId="77777777">
      <w:pPr>
        <w:rPr>
          <w:rFonts w:ascii="Calibri" w:hAnsi="Calibri" w:cs="Calibri"/>
          <w:i/>
          <w:iCs/>
        </w:rPr>
      </w:pPr>
      <w:r w:rsidRPr="0090384E">
        <w:rPr>
          <w:rFonts w:ascii="Calibri" w:hAnsi="Calibri" w:cs="Calibri"/>
          <w:i/>
          <w:iCs/>
        </w:rPr>
        <w:t>Nieuw beleid</w:t>
      </w:r>
    </w:p>
    <w:p w:rsidRPr="0090384E" w:rsidR="004B3A2D" w:rsidP="004B3A2D" w:rsidRDefault="004B3A2D" w14:paraId="245FE2EE" w14:textId="77777777">
      <w:pPr>
        <w:rPr>
          <w:rFonts w:ascii="Calibri" w:hAnsi="Calibri" w:cs="Calibri"/>
        </w:rPr>
      </w:pPr>
      <w:r w:rsidRPr="0090384E">
        <w:rPr>
          <w:rFonts w:ascii="Calibri" w:hAnsi="Calibri" w:cs="Calibri"/>
        </w:rPr>
        <w:t>De Comptabiliteitswet 2016 gaat ervan uit dat ontwerpbegrotingen voor 1 januari geautoriseerd zijn. Met het autoriseren van de ontwerpbegrotingen oefent het parlement het budgetrecht uit. De Comptabiliteitswet 2016 stelt in artikel 2.25 dat nieuw beleid dat ten grondslag ligt aan de ontwerpbegrotingen niet uitgevoerd mag worden voordat het parlement daarmee heeft ingestemd. Om nieuw beleid per 1 januari 2026 uit te kunnen voeren zouden ontwerpbegrotingen dit jaar, uitgaande van de geplande recesperiode, voor 17 december door het parlement moeten zijn behandeld en geautoriseerd. De inhoud van deze brief en de bijgevoegde brieven kunt u gebruiken voor uw overweging of, en zo ja welke ontwerpbegrotingen uw Kamer met voorrang wil behandelen.</w:t>
      </w:r>
    </w:p>
    <w:p w:rsidRPr="0090384E" w:rsidR="004B3A2D" w:rsidP="0090384E" w:rsidRDefault="004B3A2D" w14:paraId="0D918D25" w14:textId="77777777">
      <w:pPr>
        <w:pStyle w:val="Geenafstand"/>
        <w:rPr>
          <w:rFonts w:ascii="Calibri" w:hAnsi="Calibri" w:cs="Calibri"/>
        </w:rPr>
      </w:pPr>
    </w:p>
    <w:p w:rsidRPr="0090384E" w:rsidR="004B3A2D" w:rsidP="004B3A2D" w:rsidRDefault="004B3A2D" w14:paraId="23E07F43" w14:textId="77777777">
      <w:pPr>
        <w:rPr>
          <w:rFonts w:ascii="Calibri" w:hAnsi="Calibri" w:cs="Calibri"/>
        </w:rPr>
      </w:pPr>
      <w:r w:rsidRPr="0090384E">
        <w:rPr>
          <w:rFonts w:ascii="Calibri" w:hAnsi="Calibri" w:cs="Calibri"/>
        </w:rPr>
        <w:t xml:space="preserve">In de brieven zijn op hoofdlijnen per begroting de wijzigingen opgenomen. Hieronder vallen onder andere de nieuwe maatregelen die in 2026 starten. Beleid dat in 2025 is gestart en in 2026 wordt vervolgd en door uw Kamer met de </w:t>
      </w:r>
      <w:r w:rsidRPr="0090384E">
        <w:rPr>
          <w:rFonts w:ascii="Calibri" w:hAnsi="Calibri" w:cs="Calibri"/>
        </w:rPr>
        <w:lastRenderedPageBreak/>
        <w:t>1e suppletoire begroting 2025 is geautoriseerd, wordt beschouwd als lopend beleid. Herschikkingen, overboekingen tussen begrotingshoofdstukken en kasschuiven zijn, vanwege het omvangrijke aantal, niet volledig opgenomen in de overzichten.</w:t>
      </w:r>
    </w:p>
    <w:p w:rsidRPr="0090384E" w:rsidR="004B3A2D" w:rsidP="004B3A2D" w:rsidRDefault="004B3A2D" w14:paraId="767EF75E" w14:textId="77777777">
      <w:pPr>
        <w:rPr>
          <w:rFonts w:ascii="Calibri" w:hAnsi="Calibri" w:cs="Calibri"/>
        </w:rPr>
      </w:pPr>
    </w:p>
    <w:p w:rsidRPr="0090384E" w:rsidR="004B3A2D" w:rsidP="004B3A2D" w:rsidRDefault="004B3A2D" w14:paraId="0526DF24" w14:textId="77777777">
      <w:pPr>
        <w:rPr>
          <w:rFonts w:ascii="Calibri" w:hAnsi="Calibri" w:cs="Calibri"/>
          <w:i/>
          <w:iCs/>
        </w:rPr>
      </w:pPr>
      <w:r w:rsidRPr="0090384E">
        <w:rPr>
          <w:rFonts w:ascii="Calibri" w:hAnsi="Calibri" w:cs="Calibri"/>
          <w:i/>
          <w:iCs/>
        </w:rPr>
        <w:t>Overzicht ministerie van Financiën</w:t>
      </w:r>
    </w:p>
    <w:p w:rsidRPr="0090384E" w:rsidR="004B3A2D" w:rsidP="004B3A2D" w:rsidRDefault="004B3A2D" w14:paraId="3F4B14A9" w14:textId="77777777">
      <w:pPr>
        <w:rPr>
          <w:rFonts w:ascii="Calibri" w:hAnsi="Calibri" w:cs="Calibri"/>
        </w:rPr>
      </w:pPr>
      <w:r w:rsidRPr="0090384E">
        <w:rPr>
          <w:rFonts w:ascii="Calibri" w:hAnsi="Calibri" w:cs="Calibri"/>
        </w:rPr>
        <w:t>Voor mijn eigen departement is in de Ontwerpbegroting IX 2026 de volgende belangrijke nieuwe uitgave opgenomen.</w:t>
      </w:r>
    </w:p>
    <w:p w:rsidRPr="0090384E" w:rsidR="004B3A2D" w:rsidP="0090384E" w:rsidRDefault="004B3A2D" w14:paraId="3E647428" w14:textId="77777777">
      <w:pPr>
        <w:pStyle w:val="Geenafstand"/>
        <w:rPr>
          <w:rFonts w:ascii="Calibri" w:hAnsi="Calibri" w:cs="Calibri"/>
        </w:rPr>
      </w:pPr>
    </w:p>
    <w:p w:rsidRPr="0090384E" w:rsidR="004B3A2D" w:rsidP="004B3A2D" w:rsidRDefault="004B3A2D" w14:paraId="2EC8F76D" w14:textId="77777777">
      <w:pPr>
        <w:rPr>
          <w:rFonts w:ascii="Calibri" w:hAnsi="Calibri" w:cs="Calibri"/>
        </w:rPr>
      </w:pPr>
      <w:r w:rsidRPr="0090384E">
        <w:rPr>
          <w:rFonts w:ascii="Calibri" w:hAnsi="Calibri" w:cs="Calibri"/>
        </w:rPr>
        <w:t>Nieuwe beleidsmatige uitgaven 2026</w:t>
      </w:r>
    </w:p>
    <w:tbl>
      <w:tblPr>
        <w:tblW w:w="7400" w:type="dxa"/>
        <w:tblCellMar>
          <w:left w:w="70" w:type="dxa"/>
          <w:right w:w="70" w:type="dxa"/>
        </w:tblCellMar>
        <w:tblLook w:val="04A0" w:firstRow="1" w:lastRow="0" w:firstColumn="1" w:lastColumn="0" w:noHBand="0" w:noVBand="1"/>
      </w:tblPr>
      <w:tblGrid>
        <w:gridCol w:w="4243"/>
        <w:gridCol w:w="745"/>
        <w:gridCol w:w="2448"/>
      </w:tblGrid>
      <w:tr w:rsidRPr="0090384E" w:rsidR="004B3A2D" w:rsidTr="00695F60" w14:paraId="1DDFEAC7" w14:textId="77777777">
        <w:trPr>
          <w:trHeight w:val="20"/>
        </w:trPr>
        <w:tc>
          <w:tcPr>
            <w:tcW w:w="4243" w:type="dxa"/>
            <w:tcBorders>
              <w:top w:val="single" w:color="auto" w:sz="8" w:space="0"/>
              <w:left w:val="single" w:color="auto" w:sz="8" w:space="0"/>
              <w:bottom w:val="nil"/>
            </w:tcBorders>
            <w:shd w:val="clear" w:color="000000" w:fill="A6C9EC"/>
            <w:noWrap/>
            <w:vAlign w:val="bottom"/>
            <w:hideMark/>
          </w:tcPr>
          <w:p w:rsidRPr="0090384E" w:rsidR="004B3A2D" w:rsidP="00695F60" w:rsidRDefault="004B3A2D" w14:paraId="6EC8E2B7" w14:textId="77777777">
            <w:pPr>
              <w:spacing w:line="240" w:lineRule="auto"/>
              <w:rPr>
                <w:rFonts w:ascii="Calibri" w:hAnsi="Calibri" w:eastAsia="Times New Roman" w:cs="Calibri"/>
                <w:i/>
                <w:iCs/>
              </w:rPr>
            </w:pPr>
            <w:r w:rsidRPr="0090384E">
              <w:rPr>
                <w:rFonts w:ascii="Calibri" w:hAnsi="Calibri" w:cs="Calibri"/>
                <w:i/>
                <w:iCs/>
              </w:rPr>
              <w:t>in miljoenen euro</w:t>
            </w:r>
          </w:p>
        </w:tc>
        <w:tc>
          <w:tcPr>
            <w:tcW w:w="709" w:type="dxa"/>
            <w:tcBorders>
              <w:top w:val="single" w:color="auto" w:sz="8" w:space="0"/>
              <w:left w:val="nil"/>
              <w:bottom w:val="nil"/>
              <w:right w:val="nil"/>
            </w:tcBorders>
            <w:shd w:val="clear" w:color="000000" w:fill="A6C9EC"/>
            <w:vAlign w:val="bottom"/>
          </w:tcPr>
          <w:p w:rsidRPr="0090384E" w:rsidR="004B3A2D" w:rsidP="00695F60" w:rsidRDefault="004B3A2D" w14:paraId="2BAE89AE" w14:textId="77777777">
            <w:pPr>
              <w:spacing w:line="240" w:lineRule="auto"/>
              <w:jc w:val="right"/>
              <w:rPr>
                <w:rFonts w:ascii="Calibri" w:hAnsi="Calibri" w:eastAsia="Times New Roman" w:cs="Calibri"/>
                <w:b/>
                <w:bCs/>
              </w:rPr>
            </w:pPr>
            <w:r w:rsidRPr="0090384E">
              <w:rPr>
                <w:rFonts w:ascii="Calibri" w:hAnsi="Calibri" w:eastAsia="Times New Roman" w:cs="Calibri"/>
                <w:b/>
                <w:bCs/>
              </w:rPr>
              <w:t>Artikel</w:t>
            </w:r>
          </w:p>
        </w:tc>
        <w:tc>
          <w:tcPr>
            <w:tcW w:w="2448" w:type="dxa"/>
            <w:tcBorders>
              <w:top w:val="single" w:color="auto" w:sz="8" w:space="0"/>
              <w:left w:val="nil"/>
              <w:bottom w:val="nil"/>
              <w:right w:val="single" w:color="auto" w:sz="8" w:space="0"/>
            </w:tcBorders>
            <w:shd w:val="clear" w:color="000000" w:fill="A6C9EC"/>
            <w:noWrap/>
            <w:vAlign w:val="bottom"/>
            <w:hideMark/>
          </w:tcPr>
          <w:p w:rsidRPr="0090384E" w:rsidR="004B3A2D" w:rsidP="00695F60" w:rsidRDefault="004B3A2D" w14:paraId="61E4B425" w14:textId="77777777">
            <w:pPr>
              <w:spacing w:line="240" w:lineRule="auto"/>
              <w:jc w:val="right"/>
              <w:rPr>
                <w:rFonts w:ascii="Calibri" w:hAnsi="Calibri" w:eastAsia="Times New Roman" w:cs="Calibri"/>
                <w:b/>
                <w:bCs/>
              </w:rPr>
            </w:pPr>
            <w:r w:rsidRPr="0090384E">
              <w:rPr>
                <w:rFonts w:ascii="Calibri" w:hAnsi="Calibri" w:eastAsia="Times New Roman" w:cs="Calibri"/>
                <w:b/>
                <w:bCs/>
              </w:rPr>
              <w:t> 2026</w:t>
            </w:r>
          </w:p>
        </w:tc>
      </w:tr>
      <w:tr w:rsidRPr="0090384E" w:rsidR="004B3A2D" w:rsidTr="00695F60" w14:paraId="2DDBA86C" w14:textId="77777777">
        <w:trPr>
          <w:trHeight w:val="20"/>
        </w:trPr>
        <w:tc>
          <w:tcPr>
            <w:tcW w:w="4243" w:type="dxa"/>
            <w:tcBorders>
              <w:top w:val="nil"/>
              <w:left w:val="single" w:color="auto" w:sz="8" w:space="0"/>
              <w:bottom w:val="single" w:color="auto" w:sz="8" w:space="0"/>
              <w:right w:val="nil"/>
            </w:tcBorders>
            <w:noWrap/>
            <w:vAlign w:val="bottom"/>
            <w:hideMark/>
          </w:tcPr>
          <w:p w:rsidRPr="0090384E" w:rsidR="004B3A2D" w:rsidP="00695F60" w:rsidRDefault="004B3A2D" w14:paraId="323E8705" w14:textId="77777777">
            <w:pPr>
              <w:spacing w:line="240" w:lineRule="auto"/>
              <w:rPr>
                <w:rFonts w:ascii="Calibri" w:hAnsi="Calibri" w:eastAsia="Times New Roman" w:cs="Calibri"/>
              </w:rPr>
            </w:pPr>
            <w:r w:rsidRPr="0090384E">
              <w:rPr>
                <w:rFonts w:ascii="Calibri" w:hAnsi="Calibri" w:eastAsia="Times New Roman" w:cs="Calibri"/>
              </w:rPr>
              <w:t>Herallocatie Invest NL naar Invest International</w:t>
            </w:r>
          </w:p>
        </w:tc>
        <w:tc>
          <w:tcPr>
            <w:tcW w:w="709" w:type="dxa"/>
            <w:tcBorders>
              <w:top w:val="nil"/>
              <w:left w:val="nil"/>
              <w:bottom w:val="single" w:color="auto" w:sz="8" w:space="0"/>
              <w:right w:val="nil"/>
            </w:tcBorders>
            <w:noWrap/>
            <w:vAlign w:val="bottom"/>
            <w:hideMark/>
          </w:tcPr>
          <w:p w:rsidRPr="0090384E" w:rsidR="004B3A2D" w:rsidP="00695F60" w:rsidRDefault="004B3A2D" w14:paraId="23CEA389" w14:textId="77777777">
            <w:pPr>
              <w:spacing w:line="240" w:lineRule="auto"/>
              <w:jc w:val="right"/>
              <w:rPr>
                <w:rFonts w:ascii="Calibri" w:hAnsi="Calibri" w:eastAsia="Times New Roman" w:cs="Calibri"/>
              </w:rPr>
            </w:pPr>
            <w:r w:rsidRPr="0090384E">
              <w:rPr>
                <w:rFonts w:ascii="Calibri" w:hAnsi="Calibri" w:eastAsia="Times New Roman" w:cs="Calibri"/>
              </w:rPr>
              <w:t>3</w:t>
            </w:r>
          </w:p>
        </w:tc>
        <w:tc>
          <w:tcPr>
            <w:tcW w:w="2448" w:type="dxa"/>
            <w:tcBorders>
              <w:top w:val="nil"/>
              <w:left w:val="nil"/>
              <w:bottom w:val="single" w:color="auto" w:sz="8" w:space="0"/>
              <w:right w:val="single" w:color="auto" w:sz="8" w:space="0"/>
            </w:tcBorders>
            <w:noWrap/>
            <w:vAlign w:val="bottom"/>
            <w:hideMark/>
          </w:tcPr>
          <w:p w:rsidRPr="0090384E" w:rsidR="004B3A2D" w:rsidP="00695F60" w:rsidRDefault="004B3A2D" w14:paraId="496474A5" w14:textId="77777777">
            <w:pPr>
              <w:spacing w:line="240" w:lineRule="auto"/>
              <w:jc w:val="right"/>
              <w:rPr>
                <w:rFonts w:ascii="Calibri" w:hAnsi="Calibri" w:eastAsia="Times New Roman" w:cs="Calibri"/>
              </w:rPr>
            </w:pPr>
            <w:r w:rsidRPr="0090384E">
              <w:rPr>
                <w:rFonts w:ascii="Calibri" w:hAnsi="Calibri" w:eastAsia="Times New Roman" w:cs="Calibri"/>
              </w:rPr>
              <w:t>150</w:t>
            </w:r>
          </w:p>
        </w:tc>
      </w:tr>
    </w:tbl>
    <w:p w:rsidRPr="0090384E" w:rsidR="004B3A2D" w:rsidP="004B3A2D" w:rsidRDefault="004B3A2D" w14:paraId="5ED8FFD7" w14:textId="77777777">
      <w:pPr>
        <w:rPr>
          <w:rFonts w:ascii="Calibri" w:hAnsi="Calibri" w:cs="Calibri"/>
        </w:rPr>
      </w:pPr>
    </w:p>
    <w:p w:rsidRPr="0090384E" w:rsidR="004B3A2D" w:rsidP="004B3A2D" w:rsidRDefault="004B3A2D" w14:paraId="45DBB552" w14:textId="77777777">
      <w:pPr>
        <w:rPr>
          <w:rFonts w:ascii="Calibri" w:hAnsi="Calibri" w:cs="Calibri"/>
        </w:rPr>
      </w:pPr>
      <w:r w:rsidRPr="0090384E">
        <w:rPr>
          <w:rFonts w:ascii="Calibri" w:hAnsi="Calibri" w:cs="Calibri"/>
        </w:rPr>
        <w:t xml:space="preserve">Om het voortbestaan van Invest International op korte termijn te waarborgen, wordt een deel van de begrote middelen voor Invest-NL uit 2028 en 2029 geheralloceerd naar Invest International in de jaren 2026 en 2027. </w:t>
      </w:r>
    </w:p>
    <w:p w:rsidRPr="0090384E" w:rsidR="004B3A2D" w:rsidP="0090384E" w:rsidRDefault="004B3A2D" w14:paraId="18C7D8F1" w14:textId="77777777">
      <w:pPr>
        <w:pStyle w:val="Geenafstand"/>
        <w:rPr>
          <w:rFonts w:ascii="Calibri" w:hAnsi="Calibri" w:cs="Calibri"/>
          <w:vertAlign w:val="superscript"/>
        </w:rPr>
      </w:pPr>
    </w:p>
    <w:p w:rsidRPr="0090384E" w:rsidR="004B3A2D" w:rsidP="004B3A2D" w:rsidRDefault="004B3A2D" w14:paraId="45DA5A56" w14:textId="77777777">
      <w:pPr>
        <w:rPr>
          <w:rFonts w:ascii="Calibri" w:hAnsi="Calibri" w:cs="Calibri"/>
        </w:rPr>
      </w:pPr>
      <w:r w:rsidRPr="0090384E">
        <w:rPr>
          <w:rFonts w:ascii="Calibri" w:hAnsi="Calibri" w:cs="Calibri"/>
        </w:rPr>
        <w:t xml:space="preserve">De herallocatie die aan uw Kamer wordt voorgelegd bij de Ontwerpbegroting 2026 van het Ministerie van Financiën is in de tabel weergegeven. Doordat de middelen voor Invest NL en Invest International allebei naar verwachting niet EMU-saldorelevant zijn, zal er geen saldo-effect plaatsvinden door de herallocatie. </w:t>
      </w:r>
    </w:p>
    <w:p w:rsidRPr="0090384E" w:rsidR="004B3A2D" w:rsidP="0090384E" w:rsidRDefault="004B3A2D" w14:paraId="64C86557" w14:textId="77777777">
      <w:pPr>
        <w:pStyle w:val="Geenafstand"/>
        <w:rPr>
          <w:rFonts w:ascii="Calibri" w:hAnsi="Calibri" w:cs="Calibri"/>
        </w:rPr>
      </w:pPr>
    </w:p>
    <w:tbl>
      <w:tblPr>
        <w:tblStyle w:val="Tabelraster"/>
        <w:tblW w:w="4926" w:type="pct"/>
        <w:tblInd w:w="0" w:type="dxa"/>
        <w:tblLook w:val="04A0" w:firstRow="1" w:lastRow="0" w:firstColumn="1" w:lastColumn="0" w:noHBand="0" w:noVBand="1"/>
      </w:tblPr>
      <w:tblGrid>
        <w:gridCol w:w="3540"/>
        <w:gridCol w:w="738"/>
        <w:gridCol w:w="738"/>
        <w:gridCol w:w="738"/>
        <w:gridCol w:w="738"/>
        <w:gridCol w:w="928"/>
      </w:tblGrid>
      <w:tr w:rsidRPr="0090384E" w:rsidR="004B3A2D" w:rsidTr="008154D3" w14:paraId="48D3CC7E" w14:textId="77777777">
        <w:tc>
          <w:tcPr>
            <w:tcW w:w="2385" w:type="pct"/>
            <w:hideMark/>
          </w:tcPr>
          <w:p w:rsidRPr="0090384E" w:rsidR="004B3A2D" w:rsidP="00695F60" w:rsidRDefault="004B3A2D" w14:paraId="76E49B1C" w14:textId="77777777">
            <w:pPr>
              <w:spacing w:line="276" w:lineRule="auto"/>
              <w:rPr>
                <w:rFonts w:ascii="Calibri" w:hAnsi="Calibri" w:cs="Calibri"/>
                <w:i/>
                <w:iCs/>
                <w:sz w:val="22"/>
                <w:szCs w:val="22"/>
              </w:rPr>
            </w:pPr>
            <w:r w:rsidRPr="0090384E">
              <w:rPr>
                <w:rFonts w:ascii="Calibri" w:hAnsi="Calibri" w:cs="Calibri"/>
                <w:i/>
                <w:iCs/>
                <w:sz w:val="22"/>
                <w:szCs w:val="22"/>
              </w:rPr>
              <w:t>in miljoenen euro</w:t>
            </w:r>
          </w:p>
        </w:tc>
        <w:tc>
          <w:tcPr>
            <w:tcW w:w="497" w:type="pct"/>
            <w:hideMark/>
          </w:tcPr>
          <w:p w:rsidRPr="0090384E" w:rsidR="004B3A2D" w:rsidP="00695F60" w:rsidRDefault="004B3A2D" w14:paraId="3B1F7F94" w14:textId="77777777">
            <w:pPr>
              <w:spacing w:line="276" w:lineRule="auto"/>
              <w:jc w:val="right"/>
              <w:rPr>
                <w:rFonts w:ascii="Calibri" w:hAnsi="Calibri" w:cs="Calibri"/>
                <w:sz w:val="22"/>
                <w:szCs w:val="22"/>
              </w:rPr>
            </w:pPr>
            <w:r w:rsidRPr="0090384E">
              <w:rPr>
                <w:rFonts w:ascii="Calibri" w:hAnsi="Calibri" w:cs="Calibri"/>
                <w:sz w:val="22"/>
                <w:szCs w:val="22"/>
              </w:rPr>
              <w:t xml:space="preserve">2026  </w:t>
            </w:r>
          </w:p>
        </w:tc>
        <w:tc>
          <w:tcPr>
            <w:tcW w:w="497" w:type="pct"/>
            <w:hideMark/>
          </w:tcPr>
          <w:p w:rsidRPr="0090384E" w:rsidR="004B3A2D" w:rsidP="00695F60" w:rsidRDefault="004B3A2D" w14:paraId="426E14BA" w14:textId="77777777">
            <w:pPr>
              <w:spacing w:line="276" w:lineRule="auto"/>
              <w:jc w:val="right"/>
              <w:rPr>
                <w:rFonts w:ascii="Calibri" w:hAnsi="Calibri" w:cs="Calibri"/>
                <w:sz w:val="22"/>
                <w:szCs w:val="22"/>
              </w:rPr>
            </w:pPr>
            <w:r w:rsidRPr="0090384E">
              <w:rPr>
                <w:rFonts w:ascii="Calibri" w:hAnsi="Calibri" w:cs="Calibri"/>
                <w:sz w:val="22"/>
                <w:szCs w:val="22"/>
              </w:rPr>
              <w:t>2027</w:t>
            </w:r>
          </w:p>
        </w:tc>
        <w:tc>
          <w:tcPr>
            <w:tcW w:w="497" w:type="pct"/>
            <w:hideMark/>
          </w:tcPr>
          <w:p w:rsidRPr="0090384E" w:rsidR="004B3A2D" w:rsidP="00695F60" w:rsidRDefault="004B3A2D" w14:paraId="141DF3BF" w14:textId="77777777">
            <w:pPr>
              <w:spacing w:line="276" w:lineRule="auto"/>
              <w:jc w:val="right"/>
              <w:rPr>
                <w:rFonts w:ascii="Calibri" w:hAnsi="Calibri" w:cs="Calibri"/>
                <w:sz w:val="22"/>
                <w:szCs w:val="22"/>
              </w:rPr>
            </w:pPr>
            <w:r w:rsidRPr="0090384E">
              <w:rPr>
                <w:rFonts w:ascii="Calibri" w:hAnsi="Calibri" w:cs="Calibri"/>
                <w:sz w:val="22"/>
                <w:szCs w:val="22"/>
              </w:rPr>
              <w:t>2028</w:t>
            </w:r>
          </w:p>
        </w:tc>
        <w:tc>
          <w:tcPr>
            <w:tcW w:w="497" w:type="pct"/>
            <w:hideMark/>
          </w:tcPr>
          <w:p w:rsidRPr="0090384E" w:rsidR="004B3A2D" w:rsidP="00695F60" w:rsidRDefault="004B3A2D" w14:paraId="5C1CA77F" w14:textId="77777777">
            <w:pPr>
              <w:spacing w:line="276" w:lineRule="auto"/>
              <w:jc w:val="right"/>
              <w:rPr>
                <w:rFonts w:ascii="Calibri" w:hAnsi="Calibri" w:cs="Calibri"/>
                <w:sz w:val="22"/>
                <w:szCs w:val="22"/>
              </w:rPr>
            </w:pPr>
            <w:r w:rsidRPr="0090384E">
              <w:rPr>
                <w:rFonts w:ascii="Calibri" w:hAnsi="Calibri" w:cs="Calibri"/>
                <w:sz w:val="22"/>
                <w:szCs w:val="22"/>
              </w:rPr>
              <w:t>2029</w:t>
            </w:r>
          </w:p>
        </w:tc>
        <w:tc>
          <w:tcPr>
            <w:tcW w:w="625" w:type="pct"/>
            <w:hideMark/>
          </w:tcPr>
          <w:p w:rsidRPr="0090384E" w:rsidR="004B3A2D" w:rsidP="00695F60" w:rsidRDefault="004B3A2D" w14:paraId="5252AD6B" w14:textId="77777777">
            <w:pPr>
              <w:spacing w:line="276" w:lineRule="auto"/>
              <w:jc w:val="right"/>
              <w:rPr>
                <w:rFonts w:ascii="Calibri" w:hAnsi="Calibri" w:cs="Calibri"/>
                <w:b/>
                <w:bCs/>
                <w:sz w:val="22"/>
                <w:szCs w:val="22"/>
              </w:rPr>
            </w:pPr>
            <w:r w:rsidRPr="0090384E">
              <w:rPr>
                <w:rFonts w:ascii="Calibri" w:hAnsi="Calibri" w:cs="Calibri"/>
                <w:b/>
                <w:bCs/>
                <w:sz w:val="22"/>
                <w:szCs w:val="22"/>
              </w:rPr>
              <w:t>Totaal</w:t>
            </w:r>
          </w:p>
        </w:tc>
      </w:tr>
      <w:tr w:rsidRPr="0090384E" w:rsidR="004B3A2D" w:rsidTr="008154D3" w14:paraId="5234F2DB" w14:textId="77777777">
        <w:tc>
          <w:tcPr>
            <w:tcW w:w="2385" w:type="pct"/>
            <w:hideMark/>
          </w:tcPr>
          <w:p w:rsidRPr="0090384E" w:rsidR="004B3A2D" w:rsidP="00695F60" w:rsidRDefault="004B3A2D" w14:paraId="0058E9D3" w14:textId="77777777">
            <w:pPr>
              <w:spacing w:line="276" w:lineRule="auto"/>
              <w:rPr>
                <w:rFonts w:ascii="Calibri" w:hAnsi="Calibri" w:cs="Calibri"/>
                <w:sz w:val="22"/>
                <w:szCs w:val="22"/>
              </w:rPr>
            </w:pPr>
            <w:r w:rsidRPr="0090384E">
              <w:rPr>
                <w:rFonts w:ascii="Calibri" w:hAnsi="Calibri" w:cs="Calibri"/>
                <w:sz w:val="22"/>
                <w:szCs w:val="22"/>
              </w:rPr>
              <w:t>Kernkapitaal Invest International</w:t>
            </w:r>
          </w:p>
        </w:tc>
        <w:tc>
          <w:tcPr>
            <w:tcW w:w="497" w:type="pct"/>
            <w:shd w:val="clear" w:color="auto" w:fill="D1D1D1" w:themeFill="background2" w:themeFillShade="E6"/>
          </w:tcPr>
          <w:p w:rsidRPr="0090384E" w:rsidR="004B3A2D" w:rsidP="00695F60" w:rsidRDefault="004B3A2D" w14:paraId="6E0EF447" w14:textId="77777777">
            <w:pPr>
              <w:spacing w:line="276" w:lineRule="auto"/>
              <w:jc w:val="right"/>
              <w:rPr>
                <w:rFonts w:ascii="Calibri" w:hAnsi="Calibri" w:cs="Calibri"/>
                <w:sz w:val="22"/>
                <w:szCs w:val="22"/>
              </w:rPr>
            </w:pPr>
            <w:r w:rsidRPr="0090384E">
              <w:rPr>
                <w:rFonts w:ascii="Calibri" w:hAnsi="Calibri" w:cs="Calibri"/>
                <w:sz w:val="22"/>
                <w:szCs w:val="22"/>
              </w:rPr>
              <w:t>150</w:t>
            </w:r>
          </w:p>
        </w:tc>
        <w:tc>
          <w:tcPr>
            <w:tcW w:w="497" w:type="pct"/>
            <w:shd w:val="clear" w:color="auto" w:fill="D1D1D1" w:themeFill="background2" w:themeFillShade="E6"/>
            <w:hideMark/>
          </w:tcPr>
          <w:p w:rsidRPr="0090384E" w:rsidR="004B3A2D" w:rsidP="00695F60" w:rsidRDefault="004B3A2D" w14:paraId="4EBE4393" w14:textId="77777777">
            <w:pPr>
              <w:spacing w:line="276" w:lineRule="auto"/>
              <w:jc w:val="right"/>
              <w:rPr>
                <w:rFonts w:ascii="Calibri" w:hAnsi="Calibri" w:cs="Calibri"/>
                <w:sz w:val="22"/>
                <w:szCs w:val="22"/>
              </w:rPr>
            </w:pPr>
            <w:r w:rsidRPr="0090384E">
              <w:rPr>
                <w:rFonts w:ascii="Calibri" w:hAnsi="Calibri" w:cs="Calibri"/>
                <w:sz w:val="22"/>
                <w:szCs w:val="22"/>
              </w:rPr>
              <w:t xml:space="preserve">100 </w:t>
            </w:r>
          </w:p>
        </w:tc>
        <w:tc>
          <w:tcPr>
            <w:tcW w:w="497" w:type="pct"/>
            <w:shd w:val="clear" w:color="auto" w:fill="D1D1D1" w:themeFill="background2" w:themeFillShade="E6"/>
            <w:hideMark/>
          </w:tcPr>
          <w:p w:rsidRPr="0090384E" w:rsidR="004B3A2D" w:rsidP="00695F60" w:rsidRDefault="004B3A2D" w14:paraId="74334952" w14:textId="77777777">
            <w:pPr>
              <w:spacing w:line="276" w:lineRule="auto"/>
              <w:jc w:val="right"/>
              <w:rPr>
                <w:rFonts w:ascii="Calibri" w:hAnsi="Calibri" w:cs="Calibri"/>
                <w:sz w:val="22"/>
                <w:szCs w:val="22"/>
              </w:rPr>
            </w:pPr>
          </w:p>
        </w:tc>
        <w:tc>
          <w:tcPr>
            <w:tcW w:w="497" w:type="pct"/>
            <w:shd w:val="clear" w:color="auto" w:fill="D1D1D1" w:themeFill="background2" w:themeFillShade="E6"/>
            <w:hideMark/>
          </w:tcPr>
          <w:p w:rsidRPr="0090384E" w:rsidR="004B3A2D" w:rsidP="00695F60" w:rsidRDefault="004B3A2D" w14:paraId="6E90D6B5" w14:textId="77777777">
            <w:pPr>
              <w:spacing w:line="276" w:lineRule="auto"/>
              <w:jc w:val="right"/>
              <w:rPr>
                <w:rFonts w:ascii="Calibri" w:hAnsi="Calibri" w:cs="Calibri"/>
                <w:sz w:val="22"/>
                <w:szCs w:val="22"/>
              </w:rPr>
            </w:pPr>
          </w:p>
        </w:tc>
        <w:tc>
          <w:tcPr>
            <w:tcW w:w="625" w:type="pct"/>
            <w:shd w:val="clear" w:color="auto" w:fill="D1D1D1" w:themeFill="background2" w:themeFillShade="E6"/>
            <w:hideMark/>
          </w:tcPr>
          <w:p w:rsidRPr="0090384E" w:rsidR="004B3A2D" w:rsidP="00695F60" w:rsidRDefault="004B3A2D" w14:paraId="4589CAC6" w14:textId="77777777">
            <w:pPr>
              <w:spacing w:line="276" w:lineRule="auto"/>
              <w:jc w:val="right"/>
              <w:rPr>
                <w:rFonts w:ascii="Calibri" w:hAnsi="Calibri" w:cs="Calibri"/>
                <w:b/>
                <w:bCs/>
                <w:sz w:val="22"/>
                <w:szCs w:val="22"/>
              </w:rPr>
            </w:pPr>
            <w:r w:rsidRPr="0090384E">
              <w:rPr>
                <w:rFonts w:ascii="Calibri" w:hAnsi="Calibri" w:cs="Calibri"/>
                <w:b/>
                <w:bCs/>
                <w:sz w:val="22"/>
                <w:szCs w:val="22"/>
              </w:rPr>
              <w:t>250</w:t>
            </w:r>
          </w:p>
        </w:tc>
      </w:tr>
      <w:tr w:rsidRPr="0090384E" w:rsidR="004B3A2D" w:rsidTr="008154D3" w14:paraId="2EA35E14" w14:textId="77777777">
        <w:tc>
          <w:tcPr>
            <w:tcW w:w="2385" w:type="pct"/>
          </w:tcPr>
          <w:p w:rsidRPr="0090384E" w:rsidR="004B3A2D" w:rsidP="00695F60" w:rsidRDefault="004B3A2D" w14:paraId="5455AF19" w14:textId="77777777">
            <w:pPr>
              <w:spacing w:line="276" w:lineRule="auto"/>
              <w:rPr>
                <w:rFonts w:ascii="Calibri" w:hAnsi="Calibri" w:cs="Calibri"/>
                <w:sz w:val="22"/>
                <w:szCs w:val="22"/>
              </w:rPr>
            </w:pPr>
            <w:r w:rsidRPr="0090384E">
              <w:rPr>
                <w:rFonts w:ascii="Calibri" w:hAnsi="Calibri" w:cs="Calibri"/>
                <w:sz w:val="22"/>
                <w:szCs w:val="22"/>
              </w:rPr>
              <w:t>Kernkapitaal Invest -NL</w:t>
            </w:r>
          </w:p>
        </w:tc>
        <w:tc>
          <w:tcPr>
            <w:tcW w:w="497" w:type="pct"/>
            <w:shd w:val="clear" w:color="auto" w:fill="D1D1D1" w:themeFill="background2" w:themeFillShade="E6"/>
          </w:tcPr>
          <w:p w:rsidRPr="0090384E" w:rsidR="004B3A2D" w:rsidP="00695F60" w:rsidRDefault="004B3A2D" w14:paraId="762B2F5D" w14:textId="77777777">
            <w:pPr>
              <w:spacing w:line="276" w:lineRule="auto"/>
              <w:jc w:val="right"/>
              <w:rPr>
                <w:rFonts w:ascii="Calibri" w:hAnsi="Calibri" w:cs="Calibri"/>
                <w:sz w:val="22"/>
                <w:szCs w:val="22"/>
              </w:rPr>
            </w:pPr>
          </w:p>
        </w:tc>
        <w:tc>
          <w:tcPr>
            <w:tcW w:w="497" w:type="pct"/>
            <w:shd w:val="clear" w:color="auto" w:fill="D1D1D1" w:themeFill="background2" w:themeFillShade="E6"/>
          </w:tcPr>
          <w:p w:rsidRPr="0090384E" w:rsidR="004B3A2D" w:rsidP="00695F60" w:rsidRDefault="004B3A2D" w14:paraId="71C50874" w14:textId="77777777">
            <w:pPr>
              <w:spacing w:line="276" w:lineRule="auto"/>
              <w:jc w:val="right"/>
              <w:rPr>
                <w:rFonts w:ascii="Calibri" w:hAnsi="Calibri" w:cs="Calibri"/>
                <w:sz w:val="22"/>
                <w:szCs w:val="22"/>
              </w:rPr>
            </w:pPr>
          </w:p>
        </w:tc>
        <w:tc>
          <w:tcPr>
            <w:tcW w:w="497" w:type="pct"/>
            <w:shd w:val="clear" w:color="auto" w:fill="D1D1D1" w:themeFill="background2" w:themeFillShade="E6"/>
          </w:tcPr>
          <w:p w:rsidRPr="0090384E" w:rsidR="004B3A2D" w:rsidP="00695F60" w:rsidRDefault="004B3A2D" w14:paraId="2EE24C25" w14:textId="77777777">
            <w:pPr>
              <w:spacing w:line="276" w:lineRule="auto"/>
              <w:jc w:val="right"/>
              <w:rPr>
                <w:rFonts w:ascii="Calibri" w:hAnsi="Calibri" w:cs="Calibri"/>
                <w:sz w:val="22"/>
                <w:szCs w:val="22"/>
              </w:rPr>
            </w:pPr>
            <w:r w:rsidRPr="0090384E">
              <w:rPr>
                <w:rFonts w:ascii="Calibri" w:hAnsi="Calibri" w:cs="Calibri"/>
                <w:sz w:val="22"/>
                <w:szCs w:val="22"/>
              </w:rPr>
              <w:t xml:space="preserve">-50 </w:t>
            </w:r>
          </w:p>
        </w:tc>
        <w:tc>
          <w:tcPr>
            <w:tcW w:w="497" w:type="pct"/>
            <w:shd w:val="clear" w:color="auto" w:fill="D1D1D1" w:themeFill="background2" w:themeFillShade="E6"/>
          </w:tcPr>
          <w:p w:rsidRPr="0090384E" w:rsidR="004B3A2D" w:rsidP="00695F60" w:rsidRDefault="004B3A2D" w14:paraId="3A8FE09D" w14:textId="77777777">
            <w:pPr>
              <w:spacing w:line="276" w:lineRule="auto"/>
              <w:jc w:val="right"/>
              <w:rPr>
                <w:rFonts w:ascii="Calibri" w:hAnsi="Calibri" w:cs="Calibri"/>
                <w:sz w:val="22"/>
                <w:szCs w:val="22"/>
              </w:rPr>
            </w:pPr>
            <w:r w:rsidRPr="0090384E">
              <w:rPr>
                <w:rFonts w:ascii="Calibri" w:hAnsi="Calibri" w:cs="Calibri"/>
                <w:sz w:val="22"/>
                <w:szCs w:val="22"/>
              </w:rPr>
              <w:t>-200</w:t>
            </w:r>
          </w:p>
        </w:tc>
        <w:tc>
          <w:tcPr>
            <w:tcW w:w="625" w:type="pct"/>
            <w:shd w:val="clear" w:color="auto" w:fill="D1D1D1" w:themeFill="background2" w:themeFillShade="E6"/>
          </w:tcPr>
          <w:p w:rsidRPr="0090384E" w:rsidR="004B3A2D" w:rsidP="00695F60" w:rsidRDefault="004B3A2D" w14:paraId="3CA8B137" w14:textId="77777777">
            <w:pPr>
              <w:spacing w:line="276" w:lineRule="auto"/>
              <w:jc w:val="right"/>
              <w:rPr>
                <w:rFonts w:ascii="Calibri" w:hAnsi="Calibri" w:cs="Calibri"/>
                <w:b/>
                <w:bCs/>
                <w:sz w:val="22"/>
                <w:szCs w:val="22"/>
              </w:rPr>
            </w:pPr>
            <w:r w:rsidRPr="0090384E">
              <w:rPr>
                <w:rFonts w:ascii="Calibri" w:hAnsi="Calibri" w:cs="Calibri"/>
                <w:b/>
                <w:bCs/>
                <w:sz w:val="22"/>
                <w:szCs w:val="22"/>
              </w:rPr>
              <w:t>-250</w:t>
            </w:r>
          </w:p>
        </w:tc>
      </w:tr>
    </w:tbl>
    <w:p w:rsidRPr="0090384E" w:rsidR="004B3A2D" w:rsidP="004B3A2D" w:rsidRDefault="004B3A2D" w14:paraId="4C5CE99A" w14:textId="77777777">
      <w:pPr>
        <w:rPr>
          <w:rFonts w:ascii="Calibri" w:hAnsi="Calibri" w:cs="Calibri"/>
        </w:rPr>
      </w:pPr>
    </w:p>
    <w:p w:rsidRPr="0090384E" w:rsidR="004B3A2D" w:rsidP="004B3A2D" w:rsidRDefault="004B3A2D" w14:paraId="237A8599" w14:textId="71DDEDD7">
      <w:pPr>
        <w:rPr>
          <w:rFonts w:ascii="Calibri" w:hAnsi="Calibri" w:cs="Calibri"/>
        </w:rPr>
      </w:pPr>
      <w:r w:rsidRPr="0090384E">
        <w:rPr>
          <w:rFonts w:ascii="Calibri" w:hAnsi="Calibri" w:cs="Calibri"/>
        </w:rPr>
        <w:t>Vanwege de complexe financieringen van Invest International, heeft de organisatie te maken met een aanlooptijd voor financieringen van twaalf tot negentien maanden. Om haar activiteiten door te laten lopen in 2026 heeft Invest International daarom zo snel mogelijk helderheid over de voorgestelde herallocatie in 2026 nodig. Latere parlementaire goedkeuring leidt tot een vertraging op de ondersteuning aan ondernemingen bij hun op het buitenland gerichte activiteiten en internationale projecten die een bijdrage leveren aan de Nederlandse economie.</w:t>
      </w:r>
    </w:p>
    <w:p w:rsidRPr="0090384E" w:rsidR="004B3A2D" w:rsidP="004B3A2D" w:rsidRDefault="004B3A2D" w14:paraId="2E641174" w14:textId="77777777">
      <w:pPr>
        <w:rPr>
          <w:rFonts w:ascii="Calibri" w:hAnsi="Calibri" w:cs="Calibri"/>
        </w:rPr>
      </w:pPr>
    </w:p>
    <w:p w:rsidRPr="0090384E" w:rsidR="004B3A2D" w:rsidP="0090384E" w:rsidRDefault="008154D3" w14:paraId="40F175A1" w14:textId="24481902">
      <w:pPr>
        <w:pStyle w:val="Geenafstand"/>
        <w:rPr>
          <w:rFonts w:ascii="Calibri" w:hAnsi="Calibri" w:cs="Calibri"/>
        </w:rPr>
      </w:pPr>
      <w:r w:rsidRPr="0090384E">
        <w:rPr>
          <w:rFonts w:ascii="Calibri" w:hAnsi="Calibri" w:cs="Calibri"/>
        </w:rPr>
        <w:t>D</w:t>
      </w:r>
      <w:r w:rsidRPr="0090384E" w:rsidR="004B3A2D">
        <w:rPr>
          <w:rFonts w:ascii="Calibri" w:hAnsi="Calibri" w:cs="Calibri"/>
        </w:rPr>
        <w:t>e minister van Financiën</w:t>
      </w:r>
      <w:r w:rsidRPr="0090384E" w:rsidR="004B3A2D">
        <w:rPr>
          <w:rFonts w:ascii="Calibri" w:hAnsi="Calibri" w:cs="Calibri"/>
          <w:i/>
        </w:rPr>
        <w:t>,</w:t>
      </w:r>
    </w:p>
    <w:p w:rsidRPr="0090384E" w:rsidR="004B3A2D" w:rsidP="0090384E" w:rsidRDefault="004B3A2D" w14:paraId="75531357" w14:textId="77777777">
      <w:pPr>
        <w:pStyle w:val="Geenafstand"/>
        <w:rPr>
          <w:rFonts w:ascii="Calibri" w:hAnsi="Calibri" w:cs="Calibri"/>
        </w:rPr>
      </w:pPr>
      <w:r w:rsidRPr="0090384E">
        <w:rPr>
          <w:rFonts w:ascii="Calibri" w:hAnsi="Calibri" w:cs="Calibri"/>
        </w:rPr>
        <w:t>E. Heinen</w:t>
      </w:r>
    </w:p>
    <w:p w:rsidRPr="0090384E" w:rsidR="00FE0FA3" w:rsidRDefault="00FE0FA3" w14:paraId="704691CF" w14:textId="77777777">
      <w:pPr>
        <w:rPr>
          <w:rFonts w:ascii="Calibri" w:hAnsi="Calibri" w:cs="Calibri"/>
        </w:rPr>
      </w:pPr>
    </w:p>
    <w:sectPr w:rsidRPr="0090384E" w:rsidR="00FE0FA3" w:rsidSect="004B3A2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5111" w14:textId="77777777" w:rsidR="004B3A2D" w:rsidRDefault="004B3A2D" w:rsidP="004B3A2D">
      <w:pPr>
        <w:spacing w:after="0" w:line="240" w:lineRule="auto"/>
      </w:pPr>
      <w:r>
        <w:separator/>
      </w:r>
    </w:p>
  </w:endnote>
  <w:endnote w:type="continuationSeparator" w:id="0">
    <w:p w14:paraId="7A0CFC48" w14:textId="77777777" w:rsidR="004B3A2D" w:rsidRDefault="004B3A2D" w:rsidP="004B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5B2B" w14:textId="77777777" w:rsidR="004B3A2D" w:rsidRPr="004B3A2D" w:rsidRDefault="004B3A2D" w:rsidP="004B3A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1ACD" w14:textId="77777777" w:rsidR="004B3A2D" w:rsidRPr="004B3A2D" w:rsidRDefault="004B3A2D" w:rsidP="004B3A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00EC" w14:textId="77777777" w:rsidR="004B3A2D" w:rsidRPr="004B3A2D" w:rsidRDefault="004B3A2D" w:rsidP="004B3A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20D3" w14:textId="77777777" w:rsidR="004B3A2D" w:rsidRDefault="004B3A2D" w:rsidP="004B3A2D">
      <w:pPr>
        <w:spacing w:after="0" w:line="240" w:lineRule="auto"/>
      </w:pPr>
      <w:r>
        <w:separator/>
      </w:r>
    </w:p>
  </w:footnote>
  <w:footnote w:type="continuationSeparator" w:id="0">
    <w:p w14:paraId="50D66A5A" w14:textId="77777777" w:rsidR="004B3A2D" w:rsidRDefault="004B3A2D" w:rsidP="004B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58A6" w14:textId="77777777" w:rsidR="004B3A2D" w:rsidRPr="004B3A2D" w:rsidRDefault="004B3A2D" w:rsidP="004B3A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7619" w14:textId="77777777" w:rsidR="004B3A2D" w:rsidRPr="004B3A2D" w:rsidRDefault="004B3A2D" w:rsidP="004B3A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374D" w14:textId="77777777" w:rsidR="004B3A2D" w:rsidRPr="004B3A2D" w:rsidRDefault="004B3A2D" w:rsidP="004B3A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2D"/>
    <w:rsid w:val="000D7BDF"/>
    <w:rsid w:val="002E3E61"/>
    <w:rsid w:val="004276C8"/>
    <w:rsid w:val="004B3A2D"/>
    <w:rsid w:val="005B1829"/>
    <w:rsid w:val="005C13FA"/>
    <w:rsid w:val="008154D3"/>
    <w:rsid w:val="0090384E"/>
    <w:rsid w:val="00A26489"/>
    <w:rsid w:val="00DD573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A103"/>
  <w15:chartTrackingRefBased/>
  <w15:docId w15:val="{99D6D7C7-5C38-4F2F-BEEB-2ED205FD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3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3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3A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3A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3A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3A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3A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3A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3A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3A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3A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3A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3A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3A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3A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3A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3A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3A2D"/>
    <w:rPr>
      <w:rFonts w:eastAsiaTheme="majorEastAsia" w:cstheme="majorBidi"/>
      <w:color w:val="272727" w:themeColor="text1" w:themeTint="D8"/>
    </w:rPr>
  </w:style>
  <w:style w:type="paragraph" w:styleId="Titel">
    <w:name w:val="Title"/>
    <w:basedOn w:val="Standaard"/>
    <w:next w:val="Standaard"/>
    <w:link w:val="TitelChar"/>
    <w:uiPriority w:val="10"/>
    <w:qFormat/>
    <w:rsid w:val="004B3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3A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3A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3A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3A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3A2D"/>
    <w:rPr>
      <w:i/>
      <w:iCs/>
      <w:color w:val="404040" w:themeColor="text1" w:themeTint="BF"/>
    </w:rPr>
  </w:style>
  <w:style w:type="paragraph" w:styleId="Lijstalinea">
    <w:name w:val="List Paragraph"/>
    <w:basedOn w:val="Standaard"/>
    <w:uiPriority w:val="34"/>
    <w:qFormat/>
    <w:rsid w:val="004B3A2D"/>
    <w:pPr>
      <w:ind w:left="720"/>
      <w:contextualSpacing/>
    </w:pPr>
  </w:style>
  <w:style w:type="character" w:styleId="Intensievebenadrukking">
    <w:name w:val="Intense Emphasis"/>
    <w:basedOn w:val="Standaardalinea-lettertype"/>
    <w:uiPriority w:val="21"/>
    <w:qFormat/>
    <w:rsid w:val="004B3A2D"/>
    <w:rPr>
      <w:i/>
      <w:iCs/>
      <w:color w:val="0F4761" w:themeColor="accent1" w:themeShade="BF"/>
    </w:rPr>
  </w:style>
  <w:style w:type="paragraph" w:styleId="Duidelijkcitaat">
    <w:name w:val="Intense Quote"/>
    <w:basedOn w:val="Standaard"/>
    <w:next w:val="Standaard"/>
    <w:link w:val="DuidelijkcitaatChar"/>
    <w:uiPriority w:val="30"/>
    <w:qFormat/>
    <w:rsid w:val="004B3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3A2D"/>
    <w:rPr>
      <w:i/>
      <w:iCs/>
      <w:color w:val="0F4761" w:themeColor="accent1" w:themeShade="BF"/>
    </w:rPr>
  </w:style>
  <w:style w:type="character" w:styleId="Intensieveverwijzing">
    <w:name w:val="Intense Reference"/>
    <w:basedOn w:val="Standaardalinea-lettertype"/>
    <w:uiPriority w:val="32"/>
    <w:qFormat/>
    <w:rsid w:val="004B3A2D"/>
    <w:rPr>
      <w:b/>
      <w:bCs/>
      <w:smallCaps/>
      <w:color w:val="0F4761" w:themeColor="accent1" w:themeShade="BF"/>
      <w:spacing w:val="5"/>
    </w:rPr>
  </w:style>
  <w:style w:type="table" w:styleId="Tabelraster">
    <w:name w:val="Table Grid"/>
    <w:rsid w:val="004B3A2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4B3A2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B3A2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B3A2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B3A2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B3A2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03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562</ap:Words>
  <ap:Characters>3092</ap:Characters>
  <ap:DocSecurity>0</ap:DocSecurity>
  <ap:Lines>25</ap:Lines>
  <ap:Paragraphs>7</ap:Paragraphs>
  <ap:ScaleCrop>false</ap:ScaleCrop>
  <ap:LinksUpToDate>false</ap:LinksUpToDate>
  <ap:CharactersWithSpaces>3647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2025-09-17T11:58:00.0000000Z</dcterms:created>
  <dcterms:modified xsi:type="dcterms:W3CDTF">2025-09-17T11:58:00.0000000Z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