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64D" w:rsidR="005A564D" w:rsidP="005A564D" w:rsidRDefault="005A564D" w14:paraId="72FC7038" w14:textId="77777777">
      <w:pPr>
        <w:suppressAutoHyphens/>
      </w:pPr>
    </w:p>
    <w:p w:rsidRPr="005A564D" w:rsidR="00B16EF1" w:rsidP="005A564D" w:rsidRDefault="00BE4088" w14:paraId="2C2AA37E" w14:textId="3F9C8739">
      <w:pPr>
        <w:suppressAutoHyphens/>
      </w:pPr>
      <w:r w:rsidRPr="005A564D">
        <w:t xml:space="preserve">Geachte </w:t>
      </w:r>
      <w:r w:rsidRPr="005A564D" w:rsidR="005A564D">
        <w:t>v</w:t>
      </w:r>
      <w:r w:rsidRPr="005A564D">
        <w:t>oorzitter,</w:t>
      </w:r>
    </w:p>
    <w:p w:rsidRPr="005A564D" w:rsidR="00B16EF1" w:rsidP="005A564D" w:rsidRDefault="00B16EF1" w14:paraId="7ACEE0A0" w14:textId="77777777">
      <w:pPr>
        <w:suppressAutoHyphens/>
      </w:pPr>
    </w:p>
    <w:p w:rsidRPr="005A564D" w:rsidR="00B16EF1" w:rsidP="005A564D" w:rsidRDefault="0088006F" w14:paraId="6D8C61BE" w14:textId="1F19729D">
      <w:pPr>
        <w:pStyle w:val="WitregelW1bodytekst"/>
        <w:suppressAutoHyphens/>
      </w:pPr>
      <w:r w:rsidRPr="0088006F">
        <w:t xml:space="preserve">Hierbij bied ik uw Kamer een overzicht van de belangrijkste uitgaven die zijn opgenomen in de </w:t>
      </w:r>
      <w:r w:rsidR="002450B7">
        <w:t>O</w:t>
      </w:r>
      <w:r w:rsidRPr="0088006F">
        <w:t xml:space="preserve">ntwerpbegroting 2026 van het ministerie van Volksgezondheid, Welzijn en Sport. </w:t>
      </w:r>
      <w:r w:rsidRPr="005A564D" w:rsidR="00877AE6">
        <w:t xml:space="preserve">Deze uitgaven en verplichtingen worden ingevolge artikel 105 van de Grondwet ter autorisatie aan het parlement voorgelegd. In de toelichting van de maatregelen is de meerjarige doorwerking opgenomen. Daarmee biedt dit overzicht inzage in de grootste wijzigingen die zijn verwerkt in de eerste suppletoire begroting die betrekking hebben op het jaar 2026 en de wijzigingen die </w:t>
      </w:r>
      <w:r w:rsidRPr="005A564D" w:rsidR="00585525">
        <w:t xml:space="preserve">in de Ontwerpbegroting zijn opgenomen. </w:t>
      </w:r>
    </w:p>
    <w:p w:rsidRPr="005A564D" w:rsidR="007275EB" w:rsidP="005A564D" w:rsidRDefault="007275EB" w14:paraId="2D0007EC" w14:textId="77777777">
      <w:pPr>
        <w:suppressAutoHyphens/>
        <w:rPr>
          <w:i/>
          <w:iCs/>
        </w:rPr>
      </w:pPr>
    </w:p>
    <w:tbl>
      <w:tblPr>
        <w:tblStyle w:val="Lijsttabel3-Accent4"/>
        <w:tblW w:w="0" w:type="auto"/>
        <w:tblLook w:val="04A0" w:firstRow="1" w:lastRow="0" w:firstColumn="1" w:lastColumn="0" w:noHBand="0" w:noVBand="1"/>
      </w:tblPr>
      <w:tblGrid>
        <w:gridCol w:w="4440"/>
        <w:gridCol w:w="1100"/>
        <w:gridCol w:w="1606"/>
      </w:tblGrid>
      <w:tr w:rsidRPr="005A564D" w:rsidR="007275EB" w:rsidTr="003755AA" w14:paraId="662CFB6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440" w:type="dxa"/>
            <w:hideMark/>
          </w:tcPr>
          <w:p w:rsidRPr="005A564D" w:rsidR="007275EB" w:rsidP="005A564D" w:rsidRDefault="007275EB" w14:paraId="3C3F72C2" w14:textId="07137C83">
            <w:pPr>
              <w:suppressAutoHyphens/>
              <w:rPr>
                <w:color w:val="FFFFFF" w:themeColor="background1"/>
              </w:rPr>
            </w:pPr>
            <w:r w:rsidRPr="005A564D">
              <w:rPr>
                <w:color w:val="FFFFFF" w:themeColor="background1"/>
              </w:rPr>
              <w:t>Belangrijkste budgettaire mutaties 2026 (bedrag x € 1.000)</w:t>
            </w:r>
          </w:p>
        </w:tc>
        <w:tc>
          <w:tcPr>
            <w:tcW w:w="1100" w:type="dxa"/>
            <w:hideMark/>
          </w:tcPr>
          <w:p w:rsidRPr="005A564D" w:rsidR="007275EB" w:rsidP="005A564D" w:rsidRDefault="007275EB" w14:paraId="692257BD" w14:textId="77777777">
            <w:pPr>
              <w:suppressAutoHyphens/>
              <w:cnfStyle w:val="100000000000" w:firstRow="1" w:lastRow="0" w:firstColumn="0" w:lastColumn="0" w:oddVBand="0" w:evenVBand="0" w:oddHBand="0" w:evenHBand="0" w:firstRowFirstColumn="0" w:firstRowLastColumn="0" w:lastRowFirstColumn="0" w:lastRowLastColumn="0"/>
              <w:rPr>
                <w:color w:val="FFFFFF" w:themeColor="background1"/>
              </w:rPr>
            </w:pPr>
            <w:r w:rsidRPr="005A564D">
              <w:rPr>
                <w:color w:val="FFFFFF" w:themeColor="background1"/>
              </w:rPr>
              <w:t>Art.</w:t>
            </w:r>
          </w:p>
        </w:tc>
        <w:tc>
          <w:tcPr>
            <w:tcW w:w="1606" w:type="dxa"/>
            <w:hideMark/>
          </w:tcPr>
          <w:p w:rsidRPr="005A564D" w:rsidR="007275EB" w:rsidP="005A564D" w:rsidRDefault="007275EB" w14:paraId="658CD0A3" w14:textId="77777777">
            <w:pPr>
              <w:suppressAutoHyphens/>
              <w:cnfStyle w:val="100000000000" w:firstRow="1" w:lastRow="0" w:firstColumn="0" w:lastColumn="0" w:oddVBand="0" w:evenVBand="0" w:oddHBand="0" w:evenHBand="0" w:firstRowFirstColumn="0" w:firstRowLastColumn="0" w:lastRowFirstColumn="0" w:lastRowLastColumn="0"/>
              <w:rPr>
                <w:color w:val="FFFFFF" w:themeColor="background1"/>
              </w:rPr>
            </w:pPr>
            <w:r w:rsidRPr="005A564D">
              <w:rPr>
                <w:color w:val="FFFFFF" w:themeColor="background1"/>
              </w:rPr>
              <w:t>2026</w:t>
            </w:r>
          </w:p>
        </w:tc>
      </w:tr>
      <w:tr w:rsidRPr="005A564D" w:rsidR="003755AA" w:rsidTr="003F46EB" w14:paraId="238F30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460E1697" w14:textId="413910A3">
            <w:pPr>
              <w:pStyle w:val="Lijstalinea"/>
              <w:numPr>
                <w:ilvl w:val="0"/>
                <w:numId w:val="6"/>
              </w:numPr>
              <w:suppressAutoHyphens/>
              <w:rPr>
                <w:b w:val="0"/>
                <w:bCs w:val="0"/>
              </w:rPr>
            </w:pPr>
            <w:r w:rsidRPr="005A564D">
              <w:rPr>
                <w:b w:val="0"/>
                <w:bCs w:val="0"/>
              </w:rPr>
              <w:t>RSV-immunisatieprogramma</w:t>
            </w:r>
          </w:p>
        </w:tc>
        <w:tc>
          <w:tcPr>
            <w:tcW w:w="1100" w:type="dxa"/>
          </w:tcPr>
          <w:p w:rsidRPr="005A564D" w:rsidR="003755AA" w:rsidP="003755AA" w:rsidRDefault="003755AA" w14:paraId="25857387" w14:textId="75BE3139">
            <w:pPr>
              <w:suppressAutoHyphens/>
              <w:cnfStyle w:val="000000100000" w:firstRow="0" w:lastRow="0" w:firstColumn="0" w:lastColumn="0" w:oddVBand="0" w:evenVBand="0" w:oddHBand="1" w:evenHBand="0" w:firstRowFirstColumn="0" w:firstRowLastColumn="0" w:lastRowFirstColumn="0" w:lastRowLastColumn="0"/>
            </w:pPr>
            <w:r w:rsidRPr="005A564D">
              <w:t>1</w:t>
            </w:r>
          </w:p>
        </w:tc>
        <w:tc>
          <w:tcPr>
            <w:tcW w:w="1606" w:type="dxa"/>
          </w:tcPr>
          <w:p w:rsidRPr="005A564D" w:rsidR="003755AA" w:rsidP="003755AA" w:rsidRDefault="003755AA" w14:paraId="0BADBF43" w14:textId="1C7351EB">
            <w:pPr>
              <w:suppressAutoHyphens/>
              <w:cnfStyle w:val="000000100000" w:firstRow="0" w:lastRow="0" w:firstColumn="0" w:lastColumn="0" w:oddVBand="0" w:evenVBand="0" w:oddHBand="1" w:evenHBand="0" w:firstRowFirstColumn="0" w:firstRowLastColumn="0" w:lastRowFirstColumn="0" w:lastRowLastColumn="0"/>
            </w:pPr>
            <w:r w:rsidRPr="005A564D">
              <w:t>26.200</w:t>
            </w:r>
          </w:p>
        </w:tc>
      </w:tr>
      <w:tr w:rsidRPr="005A564D" w:rsidR="003755AA" w:rsidTr="003755AA" w14:paraId="27CEA6F9"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hideMark/>
          </w:tcPr>
          <w:p w:rsidRPr="005A564D" w:rsidR="003755AA" w:rsidP="003755AA" w:rsidRDefault="003755AA" w14:paraId="47380916" w14:textId="0F1A61BE">
            <w:pPr>
              <w:pStyle w:val="Lijstalinea"/>
              <w:numPr>
                <w:ilvl w:val="0"/>
                <w:numId w:val="6"/>
              </w:numPr>
              <w:suppressAutoHyphens/>
              <w:rPr>
                <w:b w:val="0"/>
                <w:bCs w:val="0"/>
              </w:rPr>
            </w:pPr>
            <w:r w:rsidRPr="005A564D">
              <w:rPr>
                <w:b w:val="0"/>
                <w:bCs w:val="0"/>
              </w:rPr>
              <w:t>PAIS</w:t>
            </w:r>
          </w:p>
        </w:tc>
        <w:tc>
          <w:tcPr>
            <w:tcW w:w="1100" w:type="dxa"/>
            <w:hideMark/>
          </w:tcPr>
          <w:p w:rsidRPr="005A564D" w:rsidR="003755AA" w:rsidP="003755AA" w:rsidRDefault="003755AA" w14:paraId="4BC1698F" w14:textId="02246070">
            <w:pPr>
              <w:suppressAutoHyphens/>
              <w:cnfStyle w:val="000000000000" w:firstRow="0" w:lastRow="0" w:firstColumn="0" w:lastColumn="0" w:oddVBand="0" w:evenVBand="0" w:oddHBand="0" w:evenHBand="0" w:firstRowFirstColumn="0" w:firstRowLastColumn="0" w:lastRowFirstColumn="0" w:lastRowLastColumn="0"/>
            </w:pPr>
            <w:r w:rsidRPr="005A564D">
              <w:t>1</w:t>
            </w:r>
          </w:p>
        </w:tc>
        <w:tc>
          <w:tcPr>
            <w:tcW w:w="1606" w:type="dxa"/>
            <w:hideMark/>
          </w:tcPr>
          <w:p w:rsidRPr="005A564D" w:rsidR="003755AA" w:rsidP="003755AA" w:rsidRDefault="003755AA" w14:paraId="55FB6140" w14:textId="489454D2">
            <w:pPr>
              <w:suppressAutoHyphens/>
              <w:cnfStyle w:val="000000000000" w:firstRow="0" w:lastRow="0" w:firstColumn="0" w:lastColumn="0" w:oddVBand="0" w:evenVBand="0" w:oddHBand="0" w:evenHBand="0" w:firstRowFirstColumn="0" w:firstRowLastColumn="0" w:lastRowFirstColumn="0" w:lastRowLastColumn="0"/>
            </w:pPr>
            <w:r w:rsidRPr="005A564D">
              <w:t>8.500</w:t>
            </w:r>
          </w:p>
        </w:tc>
      </w:tr>
      <w:tr w:rsidRPr="005A564D" w:rsidR="003755AA" w:rsidTr="003F46EB" w14:paraId="48CBC46C"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3DE86650" w14:textId="7D86D59A">
            <w:pPr>
              <w:pStyle w:val="Lijstalinea"/>
              <w:numPr>
                <w:ilvl w:val="0"/>
                <w:numId w:val="6"/>
              </w:numPr>
              <w:suppressAutoHyphens/>
              <w:rPr>
                <w:b w:val="0"/>
                <w:bCs w:val="0"/>
              </w:rPr>
            </w:pPr>
            <w:r w:rsidRPr="005A564D">
              <w:rPr>
                <w:b w:val="0"/>
                <w:bCs w:val="0"/>
              </w:rPr>
              <w:t>COVID-19 vaccinatieprogramma</w:t>
            </w:r>
          </w:p>
        </w:tc>
        <w:tc>
          <w:tcPr>
            <w:tcW w:w="1100" w:type="dxa"/>
          </w:tcPr>
          <w:p w:rsidRPr="005A564D" w:rsidR="003755AA" w:rsidP="003755AA" w:rsidRDefault="003755AA" w14:paraId="17A9EC52" w14:textId="38BD7992">
            <w:pPr>
              <w:suppressAutoHyphens/>
              <w:cnfStyle w:val="000000100000" w:firstRow="0" w:lastRow="0" w:firstColumn="0" w:lastColumn="0" w:oddVBand="0" w:evenVBand="0" w:oddHBand="1" w:evenHBand="0" w:firstRowFirstColumn="0" w:firstRowLastColumn="0" w:lastRowFirstColumn="0" w:lastRowLastColumn="0"/>
            </w:pPr>
            <w:r w:rsidRPr="005A564D">
              <w:t>1</w:t>
            </w:r>
          </w:p>
        </w:tc>
        <w:tc>
          <w:tcPr>
            <w:tcW w:w="1606" w:type="dxa"/>
          </w:tcPr>
          <w:p w:rsidRPr="005A564D" w:rsidR="003755AA" w:rsidP="003755AA" w:rsidRDefault="003755AA" w14:paraId="6CDBD6C9" w14:textId="57ED9CFF">
            <w:pPr>
              <w:suppressAutoHyphens/>
              <w:cnfStyle w:val="000000100000" w:firstRow="0" w:lastRow="0" w:firstColumn="0" w:lastColumn="0" w:oddVBand="0" w:evenVBand="0" w:oddHBand="1" w:evenHBand="0" w:firstRowFirstColumn="0" w:firstRowLastColumn="0" w:lastRowFirstColumn="0" w:lastRowLastColumn="0"/>
            </w:pPr>
            <w:r w:rsidRPr="005A564D">
              <w:t>140.000</w:t>
            </w:r>
          </w:p>
        </w:tc>
      </w:tr>
      <w:tr w:rsidRPr="005A564D" w:rsidR="003755AA" w:rsidTr="003F46EB" w14:paraId="1E6F6219"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4C3B302F" w14:textId="51ACBD00">
            <w:pPr>
              <w:pStyle w:val="Lijstalinea"/>
              <w:numPr>
                <w:ilvl w:val="0"/>
                <w:numId w:val="6"/>
              </w:numPr>
              <w:suppressAutoHyphens/>
              <w:rPr>
                <w:b w:val="0"/>
                <w:bCs w:val="0"/>
              </w:rPr>
            </w:pPr>
            <w:r w:rsidRPr="005A564D">
              <w:rPr>
                <w:b w:val="0"/>
                <w:bCs w:val="0"/>
              </w:rPr>
              <w:t>Stijgende aantallen abortussen</w:t>
            </w:r>
          </w:p>
        </w:tc>
        <w:tc>
          <w:tcPr>
            <w:tcW w:w="1100" w:type="dxa"/>
          </w:tcPr>
          <w:p w:rsidRPr="005A564D" w:rsidR="003755AA" w:rsidP="003755AA" w:rsidRDefault="003755AA" w14:paraId="15B469D2" w14:textId="6ADB8516">
            <w:pPr>
              <w:suppressAutoHyphens/>
              <w:cnfStyle w:val="000000000000" w:firstRow="0" w:lastRow="0" w:firstColumn="0" w:lastColumn="0" w:oddVBand="0" w:evenVBand="0" w:oddHBand="0" w:evenHBand="0" w:firstRowFirstColumn="0" w:firstRowLastColumn="0" w:lastRowFirstColumn="0" w:lastRowLastColumn="0"/>
            </w:pPr>
            <w:r w:rsidRPr="005A564D">
              <w:t>1</w:t>
            </w:r>
          </w:p>
        </w:tc>
        <w:tc>
          <w:tcPr>
            <w:tcW w:w="1606" w:type="dxa"/>
          </w:tcPr>
          <w:p w:rsidRPr="005A564D" w:rsidR="003755AA" w:rsidP="003755AA" w:rsidRDefault="003755AA" w14:paraId="454C6299" w14:textId="028D7FE7">
            <w:pPr>
              <w:suppressAutoHyphens/>
              <w:cnfStyle w:val="000000000000" w:firstRow="0" w:lastRow="0" w:firstColumn="0" w:lastColumn="0" w:oddVBand="0" w:evenVBand="0" w:oddHBand="0" w:evenHBand="0" w:firstRowFirstColumn="0" w:firstRowLastColumn="0" w:lastRowFirstColumn="0" w:lastRowLastColumn="0"/>
            </w:pPr>
            <w:r w:rsidRPr="005A564D">
              <w:t>8.719</w:t>
            </w:r>
          </w:p>
        </w:tc>
      </w:tr>
      <w:tr w:rsidRPr="005A564D" w:rsidR="003755AA" w:rsidTr="003F46EB" w14:paraId="089CDE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32131CBE" w14:textId="09706B68">
            <w:pPr>
              <w:pStyle w:val="Lijstalinea"/>
              <w:numPr>
                <w:ilvl w:val="0"/>
                <w:numId w:val="6"/>
              </w:numPr>
              <w:suppressAutoHyphens/>
              <w:rPr>
                <w:b w:val="0"/>
                <w:bCs w:val="0"/>
              </w:rPr>
            </w:pPr>
            <w:r w:rsidRPr="005A564D">
              <w:rPr>
                <w:b w:val="0"/>
                <w:bCs w:val="0"/>
              </w:rPr>
              <w:t>Aanvullend Zorg- en Welzijn Akkoord</w:t>
            </w:r>
          </w:p>
        </w:tc>
        <w:tc>
          <w:tcPr>
            <w:tcW w:w="1100" w:type="dxa"/>
          </w:tcPr>
          <w:p w:rsidRPr="005A564D" w:rsidR="003755AA" w:rsidP="003755AA" w:rsidRDefault="003755AA" w14:paraId="22427FB0" w14:textId="38D527E3">
            <w:pPr>
              <w:suppressAutoHyphens/>
              <w:cnfStyle w:val="000000100000" w:firstRow="0" w:lastRow="0" w:firstColumn="0" w:lastColumn="0" w:oddVBand="0" w:evenVBand="0" w:oddHBand="1" w:evenHBand="0" w:firstRowFirstColumn="0" w:firstRowLastColumn="0" w:lastRowFirstColumn="0" w:lastRowLastColumn="0"/>
            </w:pPr>
            <w:r>
              <w:t>1,</w:t>
            </w:r>
            <w:r w:rsidRPr="005A564D">
              <w:t>2,3,4</w:t>
            </w:r>
          </w:p>
        </w:tc>
        <w:tc>
          <w:tcPr>
            <w:tcW w:w="1606" w:type="dxa"/>
          </w:tcPr>
          <w:p w:rsidRPr="005A564D" w:rsidR="003755AA" w:rsidP="003755AA" w:rsidRDefault="003755AA" w14:paraId="6C295488" w14:textId="6467F549">
            <w:pPr>
              <w:suppressAutoHyphens/>
              <w:cnfStyle w:val="000000100000" w:firstRow="0" w:lastRow="0" w:firstColumn="0" w:lastColumn="0" w:oddVBand="0" w:evenVBand="0" w:oddHBand="1" w:evenHBand="0" w:firstRowFirstColumn="0" w:firstRowLastColumn="0" w:lastRowFirstColumn="0" w:lastRowLastColumn="0"/>
            </w:pPr>
            <w:r w:rsidRPr="005A564D">
              <w:t>125.000</w:t>
            </w:r>
          </w:p>
        </w:tc>
      </w:tr>
      <w:tr w:rsidRPr="005A564D" w:rsidR="003755AA" w:rsidTr="003F46EB" w14:paraId="5A1A3D86"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0504D027" w14:textId="0339ED88">
            <w:pPr>
              <w:pStyle w:val="Lijstalinea"/>
              <w:numPr>
                <w:ilvl w:val="0"/>
                <w:numId w:val="6"/>
              </w:numPr>
              <w:suppressAutoHyphens/>
              <w:rPr>
                <w:b w:val="0"/>
                <w:bCs w:val="0"/>
              </w:rPr>
            </w:pPr>
            <w:r w:rsidRPr="005A564D">
              <w:rPr>
                <w:b w:val="0"/>
                <w:bCs w:val="0"/>
              </w:rPr>
              <w:t>Subsidieregeling medisch noodzakelijke zorg aan onverzekerden (SOV)</w:t>
            </w:r>
          </w:p>
        </w:tc>
        <w:tc>
          <w:tcPr>
            <w:tcW w:w="1100" w:type="dxa"/>
          </w:tcPr>
          <w:p w:rsidRPr="005A564D" w:rsidR="003755AA" w:rsidP="003755AA" w:rsidRDefault="003755AA" w14:paraId="24B20D2F" w14:textId="605A1F1F">
            <w:pPr>
              <w:suppressAutoHyphens/>
              <w:cnfStyle w:val="000000000000" w:firstRow="0" w:lastRow="0" w:firstColumn="0" w:lastColumn="0" w:oddVBand="0" w:evenVBand="0" w:oddHBand="0" w:evenHBand="0" w:firstRowFirstColumn="0" w:firstRowLastColumn="0" w:lastRowFirstColumn="0" w:lastRowLastColumn="0"/>
            </w:pPr>
            <w:r w:rsidRPr="005A564D">
              <w:t>2</w:t>
            </w:r>
          </w:p>
        </w:tc>
        <w:tc>
          <w:tcPr>
            <w:tcW w:w="1606" w:type="dxa"/>
          </w:tcPr>
          <w:p w:rsidRPr="005A564D" w:rsidR="003755AA" w:rsidP="003755AA" w:rsidRDefault="003755AA" w14:paraId="5DB09392" w14:textId="7C68C240">
            <w:pPr>
              <w:suppressAutoHyphens/>
              <w:cnfStyle w:val="000000000000" w:firstRow="0" w:lastRow="0" w:firstColumn="0" w:lastColumn="0" w:oddVBand="0" w:evenVBand="0" w:oddHBand="0" w:evenHBand="0" w:firstRowFirstColumn="0" w:firstRowLastColumn="0" w:lastRowFirstColumn="0" w:lastRowLastColumn="0"/>
            </w:pPr>
            <w:r w:rsidRPr="005A564D">
              <w:t>27.000</w:t>
            </w:r>
          </w:p>
        </w:tc>
      </w:tr>
      <w:tr w:rsidRPr="005A564D" w:rsidR="003755AA" w:rsidTr="003F46EB" w14:paraId="05C1ED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3BB736B1" w14:textId="59F107DC">
            <w:pPr>
              <w:pStyle w:val="Lijstalinea"/>
              <w:numPr>
                <w:ilvl w:val="0"/>
                <w:numId w:val="6"/>
              </w:numPr>
              <w:suppressAutoHyphens/>
              <w:rPr>
                <w:b w:val="0"/>
                <w:bCs w:val="0"/>
              </w:rPr>
            </w:pPr>
            <w:r w:rsidRPr="005A564D">
              <w:rPr>
                <w:b w:val="0"/>
                <w:bCs w:val="0"/>
              </w:rPr>
              <w:t>Inzet vrijwilligers in de palliatieve terminale zorg</w:t>
            </w:r>
          </w:p>
        </w:tc>
        <w:tc>
          <w:tcPr>
            <w:tcW w:w="1100" w:type="dxa"/>
          </w:tcPr>
          <w:p w:rsidRPr="005A564D" w:rsidR="003755AA" w:rsidP="003755AA" w:rsidRDefault="003755AA" w14:paraId="7EB9E52F" w14:textId="0EC77172">
            <w:pPr>
              <w:suppressAutoHyphens/>
              <w:cnfStyle w:val="000000100000" w:firstRow="0" w:lastRow="0" w:firstColumn="0" w:lastColumn="0" w:oddVBand="0" w:evenVBand="0" w:oddHBand="1" w:evenHBand="0" w:firstRowFirstColumn="0" w:firstRowLastColumn="0" w:lastRowFirstColumn="0" w:lastRowLastColumn="0"/>
            </w:pPr>
            <w:r w:rsidRPr="005A564D">
              <w:t>3</w:t>
            </w:r>
          </w:p>
        </w:tc>
        <w:tc>
          <w:tcPr>
            <w:tcW w:w="1606" w:type="dxa"/>
          </w:tcPr>
          <w:p w:rsidRPr="005A564D" w:rsidR="003755AA" w:rsidP="003755AA" w:rsidRDefault="003755AA" w14:paraId="3C9A47D1" w14:textId="1457D2D2">
            <w:pPr>
              <w:suppressAutoHyphens/>
              <w:cnfStyle w:val="000000100000" w:firstRow="0" w:lastRow="0" w:firstColumn="0" w:lastColumn="0" w:oddVBand="0" w:evenVBand="0" w:oddHBand="1" w:evenHBand="0" w:firstRowFirstColumn="0" w:firstRowLastColumn="0" w:lastRowFirstColumn="0" w:lastRowLastColumn="0"/>
            </w:pPr>
            <w:r w:rsidRPr="005A564D">
              <w:t>6.000</w:t>
            </w:r>
          </w:p>
        </w:tc>
      </w:tr>
      <w:tr w:rsidRPr="005A564D" w:rsidR="003755AA" w:rsidTr="003F46EB" w14:paraId="4FD3DDA4"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7BC5DEA6" w14:textId="0789DB60">
            <w:pPr>
              <w:pStyle w:val="Lijstalinea"/>
              <w:numPr>
                <w:ilvl w:val="0"/>
                <w:numId w:val="6"/>
              </w:numPr>
              <w:suppressAutoHyphens/>
              <w:rPr>
                <w:b w:val="0"/>
                <w:bCs w:val="0"/>
              </w:rPr>
            </w:pPr>
            <w:r w:rsidRPr="005A564D">
              <w:rPr>
                <w:b w:val="0"/>
                <w:bCs w:val="0"/>
              </w:rPr>
              <w:t>Invoering European Disability Card</w:t>
            </w:r>
          </w:p>
        </w:tc>
        <w:tc>
          <w:tcPr>
            <w:tcW w:w="1100" w:type="dxa"/>
          </w:tcPr>
          <w:p w:rsidRPr="005A564D" w:rsidR="003755AA" w:rsidP="003755AA" w:rsidRDefault="003755AA" w14:paraId="70FB8A1A" w14:textId="4EB1B0BD">
            <w:pPr>
              <w:suppressAutoHyphens/>
              <w:cnfStyle w:val="000000000000" w:firstRow="0" w:lastRow="0" w:firstColumn="0" w:lastColumn="0" w:oddVBand="0" w:evenVBand="0" w:oddHBand="0" w:evenHBand="0" w:firstRowFirstColumn="0" w:firstRowLastColumn="0" w:lastRowFirstColumn="0" w:lastRowLastColumn="0"/>
            </w:pPr>
            <w:r w:rsidRPr="005A564D">
              <w:t>3</w:t>
            </w:r>
          </w:p>
        </w:tc>
        <w:tc>
          <w:tcPr>
            <w:tcW w:w="1606" w:type="dxa"/>
          </w:tcPr>
          <w:p w:rsidRPr="005A564D" w:rsidR="003755AA" w:rsidP="003755AA" w:rsidRDefault="003755AA" w14:paraId="7CEDF4C3" w14:textId="6723DB1A">
            <w:pPr>
              <w:suppressAutoHyphens/>
              <w:cnfStyle w:val="000000000000" w:firstRow="0" w:lastRow="0" w:firstColumn="0" w:lastColumn="0" w:oddVBand="0" w:evenVBand="0" w:oddHBand="0" w:evenHBand="0" w:firstRowFirstColumn="0" w:firstRowLastColumn="0" w:lastRowFirstColumn="0" w:lastRowLastColumn="0"/>
            </w:pPr>
            <w:r w:rsidRPr="005A564D">
              <w:t>3.269</w:t>
            </w:r>
          </w:p>
        </w:tc>
      </w:tr>
      <w:tr w:rsidRPr="005A564D" w:rsidR="003755AA" w:rsidTr="003F46EB" w14:paraId="716E3C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0DEABFB6" w14:textId="65996583">
            <w:pPr>
              <w:pStyle w:val="Lijstalinea"/>
              <w:numPr>
                <w:ilvl w:val="0"/>
                <w:numId w:val="6"/>
              </w:numPr>
              <w:suppressAutoHyphens/>
              <w:rPr>
                <w:b w:val="0"/>
                <w:bCs w:val="0"/>
              </w:rPr>
            </w:pPr>
            <w:r w:rsidRPr="005A564D">
              <w:rPr>
                <w:b w:val="0"/>
                <w:bCs w:val="0"/>
              </w:rPr>
              <w:t>EU Richtlijn geweld tegen vrouwen en huiselijk geweld</w:t>
            </w:r>
          </w:p>
        </w:tc>
        <w:tc>
          <w:tcPr>
            <w:tcW w:w="1100" w:type="dxa"/>
          </w:tcPr>
          <w:p w:rsidRPr="005A564D" w:rsidR="003755AA" w:rsidP="003755AA" w:rsidRDefault="003755AA" w14:paraId="01C96883" w14:textId="48D8301A">
            <w:pPr>
              <w:suppressAutoHyphens/>
              <w:cnfStyle w:val="000000100000" w:firstRow="0" w:lastRow="0" w:firstColumn="0" w:lastColumn="0" w:oddVBand="0" w:evenVBand="0" w:oddHBand="1" w:evenHBand="0" w:firstRowFirstColumn="0" w:firstRowLastColumn="0" w:lastRowFirstColumn="0" w:lastRowLastColumn="0"/>
            </w:pPr>
            <w:r w:rsidRPr="005A564D">
              <w:t>3</w:t>
            </w:r>
          </w:p>
        </w:tc>
        <w:tc>
          <w:tcPr>
            <w:tcW w:w="1606" w:type="dxa"/>
          </w:tcPr>
          <w:p w:rsidRPr="005A564D" w:rsidR="003755AA" w:rsidP="003755AA" w:rsidRDefault="003755AA" w14:paraId="26BB1054" w14:textId="28BA234C">
            <w:pPr>
              <w:suppressAutoHyphens/>
              <w:cnfStyle w:val="000000100000" w:firstRow="0" w:lastRow="0" w:firstColumn="0" w:lastColumn="0" w:oddVBand="0" w:evenVBand="0" w:oddHBand="1" w:evenHBand="0" w:firstRowFirstColumn="0" w:firstRowLastColumn="0" w:lastRowFirstColumn="0" w:lastRowLastColumn="0"/>
            </w:pPr>
            <w:r w:rsidRPr="005A564D">
              <w:t>865</w:t>
            </w:r>
          </w:p>
        </w:tc>
      </w:tr>
      <w:tr w:rsidRPr="005A564D" w:rsidR="003755AA" w:rsidTr="003F46EB" w14:paraId="71A4EDAD"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2D20B1D0" w14:textId="07E8E9E3">
            <w:pPr>
              <w:pStyle w:val="Lijstalinea"/>
              <w:numPr>
                <w:ilvl w:val="0"/>
                <w:numId w:val="6"/>
              </w:numPr>
              <w:suppressAutoHyphens/>
              <w:rPr>
                <w:b w:val="0"/>
                <w:bCs w:val="0"/>
              </w:rPr>
            </w:pPr>
            <w:r w:rsidRPr="005A564D">
              <w:rPr>
                <w:b w:val="0"/>
                <w:bCs w:val="0"/>
              </w:rPr>
              <w:t>Hoofdlijnenakkoord Ouderen</w:t>
            </w:r>
          </w:p>
        </w:tc>
        <w:tc>
          <w:tcPr>
            <w:tcW w:w="1100" w:type="dxa"/>
          </w:tcPr>
          <w:p w:rsidRPr="005A564D" w:rsidR="003755AA" w:rsidP="003755AA" w:rsidRDefault="003755AA" w14:paraId="5A524AE8" w14:textId="0D6163B0">
            <w:pPr>
              <w:suppressAutoHyphens/>
              <w:cnfStyle w:val="000000000000" w:firstRow="0" w:lastRow="0" w:firstColumn="0" w:lastColumn="0" w:oddVBand="0" w:evenVBand="0" w:oddHBand="0" w:evenHBand="0" w:firstRowFirstColumn="0" w:firstRowLastColumn="0" w:lastRowFirstColumn="0" w:lastRowLastColumn="0"/>
            </w:pPr>
            <w:r w:rsidRPr="005A564D">
              <w:t>3</w:t>
            </w:r>
          </w:p>
        </w:tc>
        <w:tc>
          <w:tcPr>
            <w:tcW w:w="1606" w:type="dxa"/>
          </w:tcPr>
          <w:p w:rsidRPr="005A564D" w:rsidR="003755AA" w:rsidP="003755AA" w:rsidRDefault="003755AA" w14:paraId="22109806" w14:textId="6C3A0F95">
            <w:pPr>
              <w:suppressAutoHyphens/>
              <w:cnfStyle w:val="000000000000" w:firstRow="0" w:lastRow="0" w:firstColumn="0" w:lastColumn="0" w:oddVBand="0" w:evenVBand="0" w:oddHBand="0" w:evenHBand="0" w:firstRowFirstColumn="0" w:firstRowLastColumn="0" w:lastRowFirstColumn="0" w:lastRowLastColumn="0"/>
            </w:pPr>
            <w:r w:rsidRPr="005A564D">
              <w:t>39.000</w:t>
            </w:r>
          </w:p>
        </w:tc>
      </w:tr>
      <w:tr w:rsidRPr="005A564D" w:rsidR="003755AA" w:rsidTr="003755AA" w14:paraId="3038B4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hideMark/>
          </w:tcPr>
          <w:p w:rsidRPr="005A564D" w:rsidR="003755AA" w:rsidP="003755AA" w:rsidRDefault="003755AA" w14:paraId="5F3EFB55" w14:textId="77777777">
            <w:pPr>
              <w:pStyle w:val="Lijstalinea"/>
              <w:numPr>
                <w:ilvl w:val="0"/>
                <w:numId w:val="6"/>
              </w:numPr>
              <w:suppressAutoHyphens/>
              <w:rPr>
                <w:b w:val="0"/>
                <w:bCs w:val="0"/>
              </w:rPr>
            </w:pPr>
            <w:r w:rsidRPr="005A564D">
              <w:rPr>
                <w:b w:val="0"/>
                <w:bCs w:val="0"/>
              </w:rPr>
              <w:t>PGB2.0</w:t>
            </w:r>
          </w:p>
        </w:tc>
        <w:tc>
          <w:tcPr>
            <w:tcW w:w="1100" w:type="dxa"/>
            <w:hideMark/>
          </w:tcPr>
          <w:p w:rsidRPr="005A564D" w:rsidR="003755AA" w:rsidP="003755AA" w:rsidRDefault="003755AA" w14:paraId="0E3CE4E4" w14:textId="4B2DFE4D">
            <w:pPr>
              <w:suppressAutoHyphens/>
              <w:cnfStyle w:val="000000100000" w:firstRow="0" w:lastRow="0" w:firstColumn="0" w:lastColumn="0" w:oddVBand="0" w:evenVBand="0" w:oddHBand="1" w:evenHBand="0" w:firstRowFirstColumn="0" w:firstRowLastColumn="0" w:lastRowFirstColumn="0" w:lastRowLastColumn="0"/>
            </w:pPr>
            <w:r w:rsidRPr="005A564D">
              <w:t>3,10</w:t>
            </w:r>
          </w:p>
        </w:tc>
        <w:tc>
          <w:tcPr>
            <w:tcW w:w="1606" w:type="dxa"/>
            <w:hideMark/>
          </w:tcPr>
          <w:p w:rsidRPr="005A564D" w:rsidR="003755AA" w:rsidP="003755AA" w:rsidRDefault="003755AA" w14:paraId="5125BFB7" w14:textId="77777777">
            <w:pPr>
              <w:suppressAutoHyphens/>
              <w:cnfStyle w:val="000000100000" w:firstRow="0" w:lastRow="0" w:firstColumn="0" w:lastColumn="0" w:oddVBand="0" w:evenVBand="0" w:oddHBand="1" w:evenHBand="0" w:firstRowFirstColumn="0" w:firstRowLastColumn="0" w:lastRowFirstColumn="0" w:lastRowLastColumn="0"/>
            </w:pPr>
            <w:r w:rsidRPr="005A564D">
              <w:t>33.500</w:t>
            </w:r>
          </w:p>
        </w:tc>
      </w:tr>
      <w:tr w:rsidRPr="005A564D" w:rsidR="003755AA" w:rsidTr="003755AA" w14:paraId="4AB81778"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hideMark/>
          </w:tcPr>
          <w:p w:rsidRPr="005A564D" w:rsidR="003755AA" w:rsidP="003755AA" w:rsidRDefault="003755AA" w14:paraId="0A7F2C8C" w14:textId="77777777">
            <w:pPr>
              <w:pStyle w:val="Lijstalinea"/>
              <w:numPr>
                <w:ilvl w:val="0"/>
                <w:numId w:val="6"/>
              </w:numPr>
              <w:suppressAutoHyphens/>
              <w:rPr>
                <w:b w:val="0"/>
                <w:bCs w:val="0"/>
              </w:rPr>
            </w:pPr>
            <w:r w:rsidRPr="005A564D">
              <w:rPr>
                <w:b w:val="0"/>
                <w:bCs w:val="0"/>
              </w:rPr>
              <w:t>Zorguitgaven BES-eilanden</w:t>
            </w:r>
          </w:p>
        </w:tc>
        <w:tc>
          <w:tcPr>
            <w:tcW w:w="1100" w:type="dxa"/>
            <w:hideMark/>
          </w:tcPr>
          <w:p w:rsidRPr="005A564D" w:rsidR="003755AA" w:rsidP="003755AA" w:rsidRDefault="003755AA" w14:paraId="4BDCBB6B" w14:textId="77777777">
            <w:pPr>
              <w:suppressAutoHyphens/>
              <w:cnfStyle w:val="000000000000" w:firstRow="0" w:lastRow="0" w:firstColumn="0" w:lastColumn="0" w:oddVBand="0" w:evenVBand="0" w:oddHBand="0" w:evenHBand="0" w:firstRowFirstColumn="0" w:firstRowLastColumn="0" w:lastRowFirstColumn="0" w:lastRowLastColumn="0"/>
            </w:pPr>
            <w:r w:rsidRPr="005A564D">
              <w:t>4</w:t>
            </w:r>
          </w:p>
        </w:tc>
        <w:tc>
          <w:tcPr>
            <w:tcW w:w="1606" w:type="dxa"/>
            <w:hideMark/>
          </w:tcPr>
          <w:p w:rsidRPr="005A564D" w:rsidR="003755AA" w:rsidP="003755AA" w:rsidRDefault="003755AA" w14:paraId="6E0ED96D" w14:textId="77777777">
            <w:pPr>
              <w:suppressAutoHyphens/>
              <w:cnfStyle w:val="000000000000" w:firstRow="0" w:lastRow="0" w:firstColumn="0" w:lastColumn="0" w:oddVBand="0" w:evenVBand="0" w:oddHBand="0" w:evenHBand="0" w:firstRowFirstColumn="0" w:firstRowLastColumn="0" w:lastRowFirstColumn="0" w:lastRowLastColumn="0"/>
            </w:pPr>
            <w:r w:rsidRPr="005A564D">
              <w:t>22.114</w:t>
            </w:r>
          </w:p>
        </w:tc>
      </w:tr>
      <w:tr w:rsidRPr="005A564D" w:rsidR="003755AA" w:rsidTr="003F46EB" w14:paraId="073AFE11" w14:textId="77777777">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13692D97" w14:textId="0A74AD43">
            <w:pPr>
              <w:pStyle w:val="Lijstalinea"/>
              <w:numPr>
                <w:ilvl w:val="0"/>
                <w:numId w:val="6"/>
              </w:numPr>
              <w:suppressAutoHyphens/>
              <w:rPr>
                <w:b w:val="0"/>
                <w:bCs w:val="0"/>
              </w:rPr>
            </w:pPr>
            <w:r w:rsidRPr="005A564D">
              <w:rPr>
                <w:b w:val="0"/>
                <w:bCs w:val="0"/>
              </w:rPr>
              <w:t>Wisselkoers BES-eilanden</w:t>
            </w:r>
          </w:p>
        </w:tc>
        <w:tc>
          <w:tcPr>
            <w:tcW w:w="1100" w:type="dxa"/>
          </w:tcPr>
          <w:p w:rsidRPr="005A564D" w:rsidR="003755AA" w:rsidP="003755AA" w:rsidRDefault="003755AA" w14:paraId="4506A8E9" w14:textId="392786A2">
            <w:pPr>
              <w:suppressAutoHyphens/>
              <w:cnfStyle w:val="000000100000" w:firstRow="0" w:lastRow="0" w:firstColumn="0" w:lastColumn="0" w:oddVBand="0" w:evenVBand="0" w:oddHBand="1" w:evenHBand="0" w:firstRowFirstColumn="0" w:firstRowLastColumn="0" w:lastRowFirstColumn="0" w:lastRowLastColumn="0"/>
            </w:pPr>
            <w:r w:rsidRPr="005A564D">
              <w:t>4</w:t>
            </w:r>
          </w:p>
        </w:tc>
        <w:tc>
          <w:tcPr>
            <w:tcW w:w="1606" w:type="dxa"/>
          </w:tcPr>
          <w:p w:rsidRPr="005A564D" w:rsidR="003755AA" w:rsidP="003755AA" w:rsidRDefault="003755AA" w14:paraId="2B8ACF2F" w14:textId="3C64BD88">
            <w:pPr>
              <w:suppressAutoHyphens/>
              <w:cnfStyle w:val="000000100000" w:firstRow="0" w:lastRow="0" w:firstColumn="0" w:lastColumn="0" w:oddVBand="0" w:evenVBand="0" w:oddHBand="1" w:evenHBand="0" w:firstRowFirstColumn="0" w:firstRowLastColumn="0" w:lastRowFirstColumn="0" w:lastRowLastColumn="0"/>
            </w:pPr>
            <w:r w:rsidRPr="005A564D">
              <w:t>19.096</w:t>
            </w:r>
          </w:p>
        </w:tc>
      </w:tr>
      <w:tr w:rsidRPr="005A564D" w:rsidR="003755AA" w:rsidTr="003F46EB" w14:paraId="3DA48129"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51E9A4E6" w14:textId="7FC7EB96">
            <w:pPr>
              <w:pStyle w:val="Lijstalinea"/>
              <w:numPr>
                <w:ilvl w:val="0"/>
                <w:numId w:val="6"/>
              </w:numPr>
              <w:suppressAutoHyphens/>
              <w:rPr>
                <w:b w:val="0"/>
                <w:bCs w:val="0"/>
              </w:rPr>
            </w:pPr>
            <w:r w:rsidRPr="005A564D">
              <w:rPr>
                <w:b w:val="0"/>
                <w:bCs w:val="0"/>
              </w:rPr>
              <w:t>Staatscommissie Zorgstelsel</w:t>
            </w:r>
          </w:p>
        </w:tc>
        <w:tc>
          <w:tcPr>
            <w:tcW w:w="1100" w:type="dxa"/>
          </w:tcPr>
          <w:p w:rsidRPr="005A564D" w:rsidR="003755AA" w:rsidP="003755AA" w:rsidRDefault="003755AA" w14:paraId="0B67E4B9" w14:textId="56899CB3">
            <w:pPr>
              <w:suppressAutoHyphens/>
              <w:cnfStyle w:val="000000000000" w:firstRow="0" w:lastRow="0" w:firstColumn="0" w:lastColumn="0" w:oddVBand="0" w:evenVBand="0" w:oddHBand="0" w:evenHBand="0" w:firstRowFirstColumn="0" w:firstRowLastColumn="0" w:lastRowFirstColumn="0" w:lastRowLastColumn="0"/>
            </w:pPr>
            <w:r w:rsidRPr="005A564D">
              <w:t>4</w:t>
            </w:r>
          </w:p>
        </w:tc>
        <w:tc>
          <w:tcPr>
            <w:tcW w:w="1606" w:type="dxa"/>
          </w:tcPr>
          <w:p w:rsidRPr="005A564D" w:rsidR="003755AA" w:rsidP="003755AA" w:rsidRDefault="003755AA" w14:paraId="2BBE4687" w14:textId="4E05E3E7">
            <w:pPr>
              <w:suppressAutoHyphens/>
              <w:cnfStyle w:val="000000000000" w:firstRow="0" w:lastRow="0" w:firstColumn="0" w:lastColumn="0" w:oddVBand="0" w:evenVBand="0" w:oddHBand="0" w:evenHBand="0" w:firstRowFirstColumn="0" w:firstRowLastColumn="0" w:lastRowFirstColumn="0" w:lastRowLastColumn="0"/>
            </w:pPr>
            <w:r w:rsidRPr="005A564D">
              <w:t>955</w:t>
            </w:r>
          </w:p>
        </w:tc>
      </w:tr>
      <w:tr w:rsidRPr="005A564D" w:rsidR="003755AA" w:rsidTr="003F46EB" w14:paraId="091E7D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6AFBCCBF" w14:textId="5304E577">
            <w:pPr>
              <w:pStyle w:val="Lijstalinea"/>
              <w:numPr>
                <w:ilvl w:val="0"/>
                <w:numId w:val="6"/>
              </w:numPr>
              <w:suppressAutoHyphens/>
              <w:rPr>
                <w:b w:val="0"/>
                <w:bCs w:val="0"/>
              </w:rPr>
            </w:pPr>
            <w:r w:rsidRPr="005A564D">
              <w:rPr>
                <w:b w:val="0"/>
                <w:bCs w:val="0"/>
              </w:rPr>
              <w:t>DUTCH</w:t>
            </w:r>
          </w:p>
        </w:tc>
        <w:tc>
          <w:tcPr>
            <w:tcW w:w="1100" w:type="dxa"/>
          </w:tcPr>
          <w:p w:rsidRPr="005A564D" w:rsidR="003755AA" w:rsidP="003755AA" w:rsidRDefault="003755AA" w14:paraId="58EAA6D5" w14:textId="7DE3EA2E">
            <w:pPr>
              <w:suppressAutoHyphens/>
              <w:cnfStyle w:val="000000100000" w:firstRow="0" w:lastRow="0" w:firstColumn="0" w:lastColumn="0" w:oddVBand="0" w:evenVBand="0" w:oddHBand="1" w:evenHBand="0" w:firstRowFirstColumn="0" w:firstRowLastColumn="0" w:lastRowFirstColumn="0" w:lastRowLastColumn="0"/>
            </w:pPr>
            <w:r w:rsidRPr="005A564D">
              <w:t>4</w:t>
            </w:r>
          </w:p>
        </w:tc>
        <w:tc>
          <w:tcPr>
            <w:tcW w:w="1606" w:type="dxa"/>
          </w:tcPr>
          <w:p w:rsidRPr="005A564D" w:rsidR="003755AA" w:rsidP="003755AA" w:rsidRDefault="003755AA" w14:paraId="3D0F2580" w14:textId="2B9BF2C1">
            <w:pPr>
              <w:suppressAutoHyphens/>
              <w:cnfStyle w:val="000000100000" w:firstRow="0" w:lastRow="0" w:firstColumn="0" w:lastColumn="0" w:oddVBand="0" w:evenVBand="0" w:oddHBand="1" w:evenHBand="0" w:firstRowFirstColumn="0" w:firstRowLastColumn="0" w:lastRowFirstColumn="0" w:lastRowLastColumn="0"/>
            </w:pPr>
            <w:r w:rsidRPr="005A564D">
              <w:t>29.000</w:t>
            </w:r>
          </w:p>
        </w:tc>
      </w:tr>
      <w:tr w:rsidRPr="005A564D" w:rsidR="003755AA" w:rsidTr="003F46EB" w14:paraId="033D2B59"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05412A4F" w14:textId="18BC9C53">
            <w:pPr>
              <w:pStyle w:val="Lijstalinea"/>
              <w:numPr>
                <w:ilvl w:val="0"/>
                <w:numId w:val="6"/>
              </w:numPr>
              <w:suppressAutoHyphens/>
              <w:rPr>
                <w:b w:val="0"/>
                <w:bCs w:val="0"/>
              </w:rPr>
            </w:pPr>
            <w:r w:rsidRPr="005A564D">
              <w:rPr>
                <w:b w:val="0"/>
                <w:bCs w:val="0"/>
              </w:rPr>
              <w:lastRenderedPageBreak/>
              <w:t>Uitspraak kosten kinderopvang pleegouders</w:t>
            </w:r>
          </w:p>
        </w:tc>
        <w:tc>
          <w:tcPr>
            <w:tcW w:w="1100" w:type="dxa"/>
          </w:tcPr>
          <w:p w:rsidRPr="005A564D" w:rsidR="003755AA" w:rsidP="003755AA" w:rsidRDefault="003755AA" w14:paraId="3000C3DC" w14:textId="16C5D733">
            <w:pPr>
              <w:suppressAutoHyphens/>
              <w:cnfStyle w:val="000000000000" w:firstRow="0" w:lastRow="0" w:firstColumn="0" w:lastColumn="0" w:oddVBand="0" w:evenVBand="0" w:oddHBand="0" w:evenHBand="0" w:firstRowFirstColumn="0" w:firstRowLastColumn="0" w:lastRowFirstColumn="0" w:lastRowLastColumn="0"/>
            </w:pPr>
            <w:r w:rsidRPr="005A564D">
              <w:t>5</w:t>
            </w:r>
          </w:p>
        </w:tc>
        <w:tc>
          <w:tcPr>
            <w:tcW w:w="1606" w:type="dxa"/>
          </w:tcPr>
          <w:p w:rsidRPr="005A564D" w:rsidR="003755AA" w:rsidP="003755AA" w:rsidRDefault="003755AA" w14:paraId="28669A60" w14:textId="3EDD7819">
            <w:pPr>
              <w:suppressAutoHyphens/>
              <w:cnfStyle w:val="000000000000" w:firstRow="0" w:lastRow="0" w:firstColumn="0" w:lastColumn="0" w:oddVBand="0" w:evenVBand="0" w:oddHBand="0" w:evenHBand="0" w:firstRowFirstColumn="0" w:firstRowLastColumn="0" w:lastRowFirstColumn="0" w:lastRowLastColumn="0"/>
            </w:pPr>
            <w:r w:rsidRPr="005A564D">
              <w:t>7.300</w:t>
            </w:r>
          </w:p>
        </w:tc>
      </w:tr>
      <w:tr w:rsidRPr="005A564D" w:rsidR="003755AA" w:rsidTr="003F46EB" w14:paraId="169FAF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5CB499F8" w14:textId="5155363D">
            <w:pPr>
              <w:pStyle w:val="Lijstalinea"/>
              <w:numPr>
                <w:ilvl w:val="0"/>
                <w:numId w:val="6"/>
              </w:numPr>
              <w:suppressAutoHyphens/>
              <w:rPr>
                <w:b w:val="0"/>
                <w:bCs w:val="0"/>
              </w:rPr>
            </w:pPr>
            <w:r w:rsidRPr="005A564D">
              <w:rPr>
                <w:b w:val="0"/>
                <w:bCs w:val="0"/>
              </w:rPr>
              <w:t>Vernieuwingsplan Westerbork</w:t>
            </w:r>
          </w:p>
        </w:tc>
        <w:tc>
          <w:tcPr>
            <w:tcW w:w="1100" w:type="dxa"/>
          </w:tcPr>
          <w:p w:rsidRPr="005A564D" w:rsidR="003755AA" w:rsidP="003755AA" w:rsidRDefault="003755AA" w14:paraId="1783B87C" w14:textId="4D0EB639">
            <w:pPr>
              <w:suppressAutoHyphens/>
              <w:cnfStyle w:val="000000100000" w:firstRow="0" w:lastRow="0" w:firstColumn="0" w:lastColumn="0" w:oddVBand="0" w:evenVBand="0" w:oddHBand="1" w:evenHBand="0" w:firstRowFirstColumn="0" w:firstRowLastColumn="0" w:lastRowFirstColumn="0" w:lastRowLastColumn="0"/>
            </w:pPr>
            <w:r w:rsidRPr="005A564D">
              <w:t>7</w:t>
            </w:r>
          </w:p>
        </w:tc>
        <w:tc>
          <w:tcPr>
            <w:tcW w:w="1606" w:type="dxa"/>
          </w:tcPr>
          <w:p w:rsidRPr="005A564D" w:rsidR="003755AA" w:rsidP="003755AA" w:rsidRDefault="003755AA" w14:paraId="33491B0E" w14:textId="48719068">
            <w:pPr>
              <w:suppressAutoHyphens/>
              <w:cnfStyle w:val="000000100000" w:firstRow="0" w:lastRow="0" w:firstColumn="0" w:lastColumn="0" w:oddVBand="0" w:evenVBand="0" w:oddHBand="1" w:evenHBand="0" w:firstRowFirstColumn="0" w:firstRowLastColumn="0" w:lastRowFirstColumn="0" w:lastRowLastColumn="0"/>
            </w:pPr>
            <w:r w:rsidRPr="005A564D">
              <w:t>7.500</w:t>
            </w:r>
          </w:p>
        </w:tc>
      </w:tr>
      <w:tr w:rsidRPr="005A564D" w:rsidR="003755AA" w:rsidTr="003F46EB" w14:paraId="07DC64E5"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0727D212" w14:textId="47BDCE9B">
            <w:pPr>
              <w:pStyle w:val="Lijstalinea"/>
              <w:numPr>
                <w:ilvl w:val="0"/>
                <w:numId w:val="6"/>
              </w:numPr>
              <w:suppressAutoHyphens/>
              <w:rPr>
                <w:b w:val="0"/>
                <w:bCs w:val="0"/>
              </w:rPr>
            </w:pPr>
            <w:r w:rsidRPr="005A564D">
              <w:rPr>
                <w:b w:val="0"/>
                <w:bCs w:val="0"/>
              </w:rPr>
              <w:t>Bijdrage AI-fabriek</w:t>
            </w:r>
          </w:p>
        </w:tc>
        <w:tc>
          <w:tcPr>
            <w:tcW w:w="1100" w:type="dxa"/>
          </w:tcPr>
          <w:p w:rsidRPr="005A564D" w:rsidR="003755AA" w:rsidP="003755AA" w:rsidRDefault="003755AA" w14:paraId="1DB2AF6B" w14:textId="57ABEE91">
            <w:pPr>
              <w:suppressAutoHyphens/>
              <w:cnfStyle w:val="000000000000" w:firstRow="0" w:lastRow="0" w:firstColumn="0" w:lastColumn="0" w:oddVBand="0" w:evenVBand="0" w:oddHBand="0" w:evenHBand="0" w:firstRowFirstColumn="0" w:firstRowLastColumn="0" w:lastRowFirstColumn="0" w:lastRowLastColumn="0"/>
            </w:pPr>
            <w:r w:rsidRPr="005A564D">
              <w:t>10</w:t>
            </w:r>
          </w:p>
        </w:tc>
        <w:tc>
          <w:tcPr>
            <w:tcW w:w="1606" w:type="dxa"/>
          </w:tcPr>
          <w:p w:rsidRPr="005A564D" w:rsidR="003755AA" w:rsidP="003755AA" w:rsidRDefault="003755AA" w14:paraId="6B005C28" w14:textId="79EC1DD8">
            <w:pPr>
              <w:suppressAutoHyphens/>
              <w:cnfStyle w:val="000000000000" w:firstRow="0" w:lastRow="0" w:firstColumn="0" w:lastColumn="0" w:oddVBand="0" w:evenVBand="0" w:oddHBand="0" w:evenHBand="0" w:firstRowFirstColumn="0" w:firstRowLastColumn="0" w:lastRowFirstColumn="0" w:lastRowLastColumn="0"/>
            </w:pPr>
            <w:r w:rsidRPr="005A564D">
              <w:t>500</w:t>
            </w:r>
          </w:p>
        </w:tc>
      </w:tr>
      <w:tr w:rsidRPr="005A564D" w:rsidR="003755AA" w:rsidTr="003F46EB" w14:paraId="0E03C7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2D174A22" w14:textId="7241DA42">
            <w:pPr>
              <w:pStyle w:val="Lijstalinea"/>
              <w:numPr>
                <w:ilvl w:val="0"/>
                <w:numId w:val="6"/>
              </w:numPr>
              <w:suppressAutoHyphens/>
              <w:rPr>
                <w:b w:val="0"/>
                <w:bCs w:val="0"/>
              </w:rPr>
            </w:pPr>
            <w:r w:rsidRPr="005A564D">
              <w:rPr>
                <w:b w:val="0"/>
                <w:bCs w:val="0"/>
              </w:rPr>
              <w:t>Nieuwe directie Open Overheid</w:t>
            </w:r>
          </w:p>
        </w:tc>
        <w:tc>
          <w:tcPr>
            <w:tcW w:w="1100" w:type="dxa"/>
          </w:tcPr>
          <w:p w:rsidRPr="005A564D" w:rsidR="003755AA" w:rsidP="003755AA" w:rsidRDefault="003755AA" w14:paraId="7183C2E1" w14:textId="635EFA4E">
            <w:pPr>
              <w:suppressAutoHyphens/>
              <w:cnfStyle w:val="000000100000" w:firstRow="0" w:lastRow="0" w:firstColumn="0" w:lastColumn="0" w:oddVBand="0" w:evenVBand="0" w:oddHBand="1" w:evenHBand="0" w:firstRowFirstColumn="0" w:firstRowLastColumn="0" w:lastRowFirstColumn="0" w:lastRowLastColumn="0"/>
            </w:pPr>
            <w:r w:rsidRPr="005A564D">
              <w:t>10</w:t>
            </w:r>
          </w:p>
        </w:tc>
        <w:tc>
          <w:tcPr>
            <w:tcW w:w="1606" w:type="dxa"/>
          </w:tcPr>
          <w:p w:rsidRPr="005A564D" w:rsidR="003755AA" w:rsidP="003755AA" w:rsidRDefault="003755AA" w14:paraId="66D82B58" w14:textId="4DB56491">
            <w:pPr>
              <w:suppressAutoHyphens/>
              <w:cnfStyle w:val="000000100000" w:firstRow="0" w:lastRow="0" w:firstColumn="0" w:lastColumn="0" w:oddVBand="0" w:evenVBand="0" w:oddHBand="1" w:evenHBand="0" w:firstRowFirstColumn="0" w:firstRowLastColumn="0" w:lastRowFirstColumn="0" w:lastRowLastColumn="0"/>
            </w:pPr>
            <w:r w:rsidRPr="005A564D">
              <w:t>15.877</w:t>
            </w:r>
          </w:p>
        </w:tc>
      </w:tr>
      <w:tr w:rsidRPr="005A564D" w:rsidR="003755AA" w:rsidTr="003755AA" w14:paraId="02E81B08"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12D6C3D4" w14:textId="42DFED89">
            <w:pPr>
              <w:pStyle w:val="Lijstalinea"/>
              <w:numPr>
                <w:ilvl w:val="0"/>
                <w:numId w:val="6"/>
              </w:numPr>
              <w:suppressAutoHyphens/>
              <w:rPr>
                <w:b w:val="0"/>
                <w:bCs w:val="0"/>
              </w:rPr>
            </w:pPr>
            <w:r w:rsidRPr="005A564D">
              <w:rPr>
                <w:b w:val="0"/>
                <w:bCs w:val="0"/>
              </w:rPr>
              <w:t>Dekking OCW begroting</w:t>
            </w:r>
          </w:p>
        </w:tc>
        <w:tc>
          <w:tcPr>
            <w:tcW w:w="1100" w:type="dxa"/>
          </w:tcPr>
          <w:p w:rsidRPr="005A564D" w:rsidR="003755AA" w:rsidP="003755AA" w:rsidRDefault="003755AA" w14:paraId="542358EE" w14:textId="23A878F6">
            <w:pPr>
              <w:suppressAutoHyphens/>
              <w:cnfStyle w:val="000000000000" w:firstRow="0" w:lastRow="0" w:firstColumn="0" w:lastColumn="0" w:oddVBand="0" w:evenVBand="0" w:oddHBand="0" w:evenHBand="0" w:firstRowFirstColumn="0" w:firstRowLastColumn="0" w:lastRowFirstColumn="0" w:lastRowLastColumn="0"/>
            </w:pPr>
            <w:r w:rsidRPr="005A564D">
              <w:t>11</w:t>
            </w:r>
          </w:p>
        </w:tc>
        <w:tc>
          <w:tcPr>
            <w:tcW w:w="1606" w:type="dxa"/>
          </w:tcPr>
          <w:p w:rsidRPr="005A564D" w:rsidR="003755AA" w:rsidP="003755AA" w:rsidRDefault="003755AA" w14:paraId="6B179626" w14:textId="11354731">
            <w:pPr>
              <w:suppressAutoHyphens/>
              <w:cnfStyle w:val="000000000000" w:firstRow="0" w:lastRow="0" w:firstColumn="0" w:lastColumn="0" w:oddVBand="0" w:evenVBand="0" w:oddHBand="0" w:evenHBand="0" w:firstRowFirstColumn="0" w:firstRowLastColumn="0" w:lastRowFirstColumn="0" w:lastRowLastColumn="0"/>
            </w:pPr>
            <w:r w:rsidRPr="005A564D">
              <w:t>15.070</w:t>
            </w:r>
          </w:p>
        </w:tc>
      </w:tr>
      <w:tr w:rsidRPr="005A564D" w:rsidR="003755AA" w:rsidTr="003755AA" w14:paraId="659E9F8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63478782" w14:textId="43F8E3C4">
            <w:pPr>
              <w:pStyle w:val="Lijstalinea"/>
              <w:numPr>
                <w:ilvl w:val="0"/>
                <w:numId w:val="6"/>
              </w:numPr>
              <w:suppressAutoHyphens/>
              <w:rPr>
                <w:b w:val="0"/>
                <w:bCs w:val="0"/>
              </w:rPr>
            </w:pPr>
            <w:r w:rsidRPr="005A564D">
              <w:rPr>
                <w:b w:val="0"/>
                <w:bCs w:val="0"/>
              </w:rPr>
              <w:t>Uitstel vervanging abonnementstarief Wmo</w:t>
            </w:r>
          </w:p>
        </w:tc>
        <w:tc>
          <w:tcPr>
            <w:tcW w:w="1100" w:type="dxa"/>
          </w:tcPr>
          <w:p w:rsidRPr="005A564D" w:rsidR="003755AA" w:rsidP="003755AA" w:rsidRDefault="003755AA" w14:paraId="4A2684DB" w14:textId="3E469C30">
            <w:pPr>
              <w:suppressAutoHyphens/>
              <w:cnfStyle w:val="000000100000" w:firstRow="0" w:lastRow="0" w:firstColumn="0" w:lastColumn="0" w:oddVBand="0" w:evenVBand="0" w:oddHBand="1" w:evenHBand="0" w:firstRowFirstColumn="0" w:firstRowLastColumn="0" w:lastRowFirstColumn="0" w:lastRowLastColumn="0"/>
            </w:pPr>
            <w:r w:rsidRPr="005A564D">
              <w:t>11</w:t>
            </w:r>
          </w:p>
        </w:tc>
        <w:tc>
          <w:tcPr>
            <w:tcW w:w="1606" w:type="dxa"/>
          </w:tcPr>
          <w:p w:rsidRPr="005A564D" w:rsidR="003755AA" w:rsidP="003755AA" w:rsidRDefault="003755AA" w14:paraId="42C39E59" w14:textId="35E2A9F1">
            <w:pPr>
              <w:suppressAutoHyphens/>
              <w:cnfStyle w:val="000000100000" w:firstRow="0" w:lastRow="0" w:firstColumn="0" w:lastColumn="0" w:oddVBand="0" w:evenVBand="0" w:oddHBand="1" w:evenHBand="0" w:firstRowFirstColumn="0" w:firstRowLastColumn="0" w:lastRowFirstColumn="0" w:lastRowLastColumn="0"/>
            </w:pPr>
            <w:r w:rsidRPr="005A564D">
              <w:t>-225.000</w:t>
            </w:r>
          </w:p>
        </w:tc>
      </w:tr>
      <w:tr w:rsidRPr="005A564D" w:rsidR="003755AA" w:rsidTr="003755AA" w14:paraId="1B3510E3" w14:textId="77777777">
        <w:trPr>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65B34489" w14:textId="539E477C">
            <w:pPr>
              <w:pStyle w:val="Lijstalinea"/>
              <w:numPr>
                <w:ilvl w:val="0"/>
                <w:numId w:val="6"/>
              </w:numPr>
              <w:suppressAutoHyphens/>
              <w:rPr>
                <w:b w:val="0"/>
                <w:bCs w:val="0"/>
              </w:rPr>
            </w:pPr>
            <w:r w:rsidRPr="005A564D">
              <w:rPr>
                <w:b w:val="0"/>
                <w:bCs w:val="0"/>
              </w:rPr>
              <w:t>Backpay</w:t>
            </w:r>
          </w:p>
        </w:tc>
        <w:tc>
          <w:tcPr>
            <w:tcW w:w="1100" w:type="dxa"/>
          </w:tcPr>
          <w:p w:rsidRPr="005A564D" w:rsidR="003755AA" w:rsidP="003755AA" w:rsidRDefault="003755AA" w14:paraId="29592712" w14:textId="7A293E14">
            <w:pPr>
              <w:suppressAutoHyphens/>
              <w:cnfStyle w:val="000000000000" w:firstRow="0" w:lastRow="0" w:firstColumn="0" w:lastColumn="0" w:oddVBand="0" w:evenVBand="0" w:oddHBand="0" w:evenHBand="0" w:firstRowFirstColumn="0" w:firstRowLastColumn="0" w:lastRowFirstColumn="0" w:lastRowLastColumn="0"/>
            </w:pPr>
            <w:r w:rsidRPr="005A564D">
              <w:t>11</w:t>
            </w:r>
          </w:p>
        </w:tc>
        <w:tc>
          <w:tcPr>
            <w:tcW w:w="1606" w:type="dxa"/>
          </w:tcPr>
          <w:p w:rsidRPr="005A564D" w:rsidR="003755AA" w:rsidP="003755AA" w:rsidRDefault="003755AA" w14:paraId="5C3C9536" w14:textId="1B3F83E6">
            <w:pPr>
              <w:suppressAutoHyphens/>
              <w:cnfStyle w:val="000000000000" w:firstRow="0" w:lastRow="0" w:firstColumn="0" w:lastColumn="0" w:oddVBand="0" w:evenVBand="0" w:oddHBand="0" w:evenHBand="0" w:firstRowFirstColumn="0" w:firstRowLastColumn="0" w:lastRowFirstColumn="0" w:lastRowLastColumn="0"/>
            </w:pPr>
            <w:r w:rsidRPr="005A564D">
              <w:t>50.000</w:t>
            </w:r>
          </w:p>
        </w:tc>
      </w:tr>
      <w:tr w:rsidRPr="005A564D" w:rsidR="003755AA" w:rsidTr="003755AA" w14:paraId="151CA0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0" w:type="dxa"/>
          </w:tcPr>
          <w:p w:rsidRPr="005A564D" w:rsidR="003755AA" w:rsidP="003755AA" w:rsidRDefault="003755AA" w14:paraId="321D0648" w14:textId="1A362F5C">
            <w:pPr>
              <w:pStyle w:val="Lijstalinea"/>
              <w:numPr>
                <w:ilvl w:val="0"/>
                <w:numId w:val="6"/>
              </w:numPr>
              <w:suppressAutoHyphens/>
            </w:pPr>
            <w:r>
              <w:rPr>
                <w:b w:val="0"/>
                <w:bCs w:val="0"/>
              </w:rPr>
              <w:t xml:space="preserve">Vrouwenopvang </w:t>
            </w:r>
          </w:p>
        </w:tc>
        <w:tc>
          <w:tcPr>
            <w:tcW w:w="1100" w:type="dxa"/>
          </w:tcPr>
          <w:p w:rsidRPr="005A564D" w:rsidR="003755AA" w:rsidP="003755AA" w:rsidRDefault="003755AA" w14:paraId="1E86BEF7" w14:textId="2BC39AB0">
            <w:pPr>
              <w:suppressAutoHyphens/>
              <w:cnfStyle w:val="000000100000" w:firstRow="0" w:lastRow="0" w:firstColumn="0" w:lastColumn="0" w:oddVBand="0" w:evenVBand="0" w:oddHBand="1" w:evenHBand="0" w:firstRowFirstColumn="0" w:firstRowLastColumn="0" w:lastRowFirstColumn="0" w:lastRowLastColumn="0"/>
            </w:pPr>
            <w:r>
              <w:t>-</w:t>
            </w:r>
          </w:p>
        </w:tc>
        <w:tc>
          <w:tcPr>
            <w:tcW w:w="1606" w:type="dxa"/>
          </w:tcPr>
          <w:p w:rsidRPr="005A564D" w:rsidR="003755AA" w:rsidP="003755AA" w:rsidRDefault="003755AA" w14:paraId="3258D629" w14:textId="0A12299B">
            <w:pPr>
              <w:suppressAutoHyphens/>
              <w:cnfStyle w:val="000000100000" w:firstRow="0" w:lastRow="0" w:firstColumn="0" w:lastColumn="0" w:oddVBand="0" w:evenVBand="0" w:oddHBand="1" w:evenHBand="0" w:firstRowFirstColumn="0" w:firstRowLastColumn="0" w:lastRowFirstColumn="0" w:lastRowLastColumn="0"/>
            </w:pPr>
            <w:r>
              <w:t>-12.000</w:t>
            </w:r>
          </w:p>
        </w:tc>
      </w:tr>
    </w:tbl>
    <w:p w:rsidRPr="005A564D" w:rsidR="007275EB" w:rsidP="005A564D" w:rsidRDefault="007275EB" w14:paraId="0759CD05" w14:textId="77777777">
      <w:pPr>
        <w:suppressAutoHyphens/>
        <w:rPr>
          <w:i/>
          <w:iCs/>
        </w:rPr>
      </w:pPr>
    </w:p>
    <w:p w:rsidRPr="005A564D" w:rsidR="00E33B5C" w:rsidP="005A564D" w:rsidRDefault="00E33B5C" w14:paraId="04BA1F70" w14:textId="77777777">
      <w:pPr>
        <w:suppressAutoHyphens/>
      </w:pPr>
    </w:p>
    <w:p w:rsidRPr="005A564D" w:rsidR="007275EB" w:rsidP="005A564D" w:rsidRDefault="007275EB" w14:paraId="60D4C0D2" w14:textId="2C14620D">
      <w:pPr>
        <w:suppressAutoHyphens/>
        <w:rPr>
          <w:i/>
          <w:iCs/>
        </w:rPr>
      </w:pPr>
      <w:r w:rsidRPr="005A564D">
        <w:rPr>
          <w:i/>
          <w:iCs/>
        </w:rPr>
        <w:t>RSV-immunisatieprogramma</w:t>
      </w:r>
    </w:p>
    <w:p w:rsidR="007275EB" w:rsidP="005A564D" w:rsidRDefault="007275EB" w14:paraId="5103E8FE" w14:textId="6D9C8F18">
      <w:pPr>
        <w:suppressAutoHyphens/>
      </w:pPr>
      <w:r w:rsidRPr="005A564D">
        <w:t>Het streven is om in het najaar 2025 te starten met het vaccineren van baby’s in hun eerste levensjaar. De uitvoering en de kosten voor de vaccins zijn hoger uitgevallen dan van tevoren geraamd. De meerkosten hiervoor bedragen in 2026 € 26,2 miljoen, aflopend naar € 24 miljoen in 2030. Daarna is er structureel € 21,9 miljoen beschikbaar.</w:t>
      </w:r>
    </w:p>
    <w:p w:rsidRPr="005A564D" w:rsidR="003755AA" w:rsidP="003755AA" w:rsidRDefault="003755AA" w14:paraId="7119960E" w14:textId="77777777">
      <w:pPr>
        <w:suppressAutoHyphens/>
      </w:pPr>
    </w:p>
    <w:p w:rsidRPr="005A564D" w:rsidR="003755AA" w:rsidP="003755AA" w:rsidRDefault="003755AA" w14:paraId="7D9E7CFC" w14:textId="77777777">
      <w:pPr>
        <w:suppressAutoHyphens/>
        <w:rPr>
          <w:i/>
          <w:iCs/>
        </w:rPr>
      </w:pPr>
      <w:r w:rsidRPr="005A564D">
        <w:rPr>
          <w:i/>
          <w:iCs/>
        </w:rPr>
        <w:t>PAIS</w:t>
      </w:r>
    </w:p>
    <w:p w:rsidRPr="005A564D" w:rsidR="003755AA" w:rsidP="003755AA" w:rsidRDefault="003755AA" w14:paraId="442DD0F3" w14:textId="77777777">
      <w:pPr>
        <w:suppressAutoHyphens/>
      </w:pPr>
      <w:r w:rsidRPr="005A564D">
        <w:t xml:space="preserve">Om de mensen die lĳden aan een Post-Acuut Infectieus Syndroom (PAIS) te </w:t>
      </w:r>
    </w:p>
    <w:p w:rsidR="003755AA" w:rsidP="003755AA" w:rsidRDefault="003755AA" w14:paraId="2CB5C86E" w14:textId="77777777">
      <w:pPr>
        <w:suppressAutoHyphens/>
      </w:pPr>
      <w:r w:rsidRPr="005A564D">
        <w:t>kunnen blĳven ondersteunen, wordt in 2026 € 8,5 miljoen vrĳgemaakt.</w:t>
      </w:r>
    </w:p>
    <w:p w:rsidRPr="005A564D" w:rsidR="003755AA" w:rsidP="005A564D" w:rsidRDefault="003755AA" w14:paraId="76A423F0" w14:textId="77777777">
      <w:pPr>
        <w:suppressAutoHyphens/>
      </w:pPr>
    </w:p>
    <w:p w:rsidRPr="005A564D" w:rsidR="003755AA" w:rsidP="003755AA" w:rsidRDefault="003755AA" w14:paraId="62EEE3BE" w14:textId="77777777">
      <w:pPr>
        <w:suppressAutoHyphens/>
        <w:rPr>
          <w:i/>
          <w:iCs/>
        </w:rPr>
      </w:pPr>
      <w:r w:rsidRPr="005A564D">
        <w:rPr>
          <w:i/>
          <w:iCs/>
        </w:rPr>
        <w:t>COVID-19 vaccinatieprogramma</w:t>
      </w:r>
    </w:p>
    <w:p w:rsidR="003755AA" w:rsidP="003755AA" w:rsidRDefault="003755AA" w14:paraId="01A3DED9" w14:textId="77777777">
      <w:pPr>
        <w:suppressAutoHyphens/>
      </w:pPr>
      <w:r w:rsidRPr="005A564D">
        <w:t xml:space="preserve">Er worden middelen vrijgemaakt om </w:t>
      </w:r>
      <w:r>
        <w:t xml:space="preserve">ook </w:t>
      </w:r>
      <w:r w:rsidRPr="005A564D">
        <w:t xml:space="preserve">in 2026 uitvoering mogelijk te maken voor het COVID-19 vaccinatieprogramma. Dit kost incidenteel € 140 miljoen. </w:t>
      </w:r>
    </w:p>
    <w:p w:rsidR="000546F7" w:rsidP="003755AA" w:rsidRDefault="000546F7" w14:paraId="5EFE37B7" w14:textId="77777777">
      <w:pPr>
        <w:suppressAutoHyphens/>
      </w:pPr>
    </w:p>
    <w:p w:rsidRPr="005A564D" w:rsidR="000546F7" w:rsidP="000546F7" w:rsidRDefault="000546F7" w14:paraId="3CCE25AF" w14:textId="77777777">
      <w:pPr>
        <w:suppressAutoHyphens/>
        <w:rPr>
          <w:i/>
          <w:iCs/>
        </w:rPr>
      </w:pPr>
      <w:r w:rsidRPr="005A564D">
        <w:rPr>
          <w:i/>
          <w:iCs/>
        </w:rPr>
        <w:t>Stijgende aantallen abortussen</w:t>
      </w:r>
    </w:p>
    <w:p w:rsidR="000546F7" w:rsidP="000546F7" w:rsidRDefault="000546F7" w14:paraId="4B887282" w14:textId="77777777">
      <w:pPr>
        <w:suppressAutoHyphens/>
      </w:pPr>
      <w:r w:rsidRPr="005A564D">
        <w:t xml:space="preserve">Door een stijging in het aantal uitgevoerde zwangerschapsafbrekingen in abortusklinieken, nemen de totale kosten van de subsidieregeling abortusklinieken toe. </w:t>
      </w:r>
      <w:r>
        <w:t>H</w:t>
      </w:r>
      <w:r w:rsidRPr="005A564D">
        <w:t xml:space="preserve">et budget </w:t>
      </w:r>
      <w:r>
        <w:t xml:space="preserve">wordt </w:t>
      </w:r>
      <w:r w:rsidRPr="005A564D">
        <w:t>opgehoogd met structureel € 8,6 miljoen.</w:t>
      </w:r>
    </w:p>
    <w:p w:rsidR="000546F7" w:rsidP="000546F7" w:rsidRDefault="000546F7" w14:paraId="0AD4ED55" w14:textId="77777777">
      <w:pPr>
        <w:suppressAutoHyphens/>
      </w:pPr>
    </w:p>
    <w:p w:rsidRPr="005A564D" w:rsidR="000546F7" w:rsidP="000546F7" w:rsidRDefault="000546F7" w14:paraId="14FDD2FE" w14:textId="77777777">
      <w:pPr>
        <w:suppressAutoHyphens/>
      </w:pPr>
      <w:r w:rsidRPr="005A564D">
        <w:rPr>
          <w:i/>
          <w:iCs/>
        </w:rPr>
        <w:t>Aanvullend Zorg- en Welzijn Akkoord (AZWA)</w:t>
      </w:r>
    </w:p>
    <w:p w:rsidRPr="005A564D" w:rsidR="000546F7" w:rsidP="000546F7" w:rsidRDefault="000546F7" w14:paraId="68941E7E" w14:textId="77777777">
      <w:pPr>
        <w:suppressAutoHyphens/>
      </w:pPr>
      <w:r w:rsidRPr="005A564D">
        <w:t xml:space="preserve">Afgelopen juli is een onderhandelaarsakkoord bereikt over het AZWA. Met het AZWA wordt erop ingezet om de toegankelijkheid van zorg en ondersteuning gelijkwaardiger te maken. Ondanks dat het AZWA officieel in gaat in 2027, worden er in 2026 ook al middelen uitgegeven ter voorbereiding van de uitvoering van het AZWA. Dit zijn onder andere middelen voor opleidingen zorg en welzijnsbreed, bekostiging van arbitrage, een innovatieprogramma voor nieuwe medische technologie, een landelijke helpdesk digitale zorg, doorbraakprojecten die regeldruk verminderen, het opzetten van een vaccinatiecampagne gordelroos en overbrugginsmiddelen tussen het IZA, GALA en AZWA voor gemeenten. Hiervoor wordt op de VWS-begroting in 2026 € 125 miljoen beschikbaar gesteld. Deze investeringen lopen op tot structureel € 684 miljoen na 2030. </w:t>
      </w:r>
    </w:p>
    <w:p w:rsidRPr="005A564D" w:rsidR="007275EB" w:rsidP="005A564D" w:rsidRDefault="007275EB" w14:paraId="657F1281" w14:textId="77777777">
      <w:pPr>
        <w:suppressAutoHyphens/>
        <w:rPr>
          <w:i/>
          <w:iCs/>
        </w:rPr>
      </w:pPr>
    </w:p>
    <w:p w:rsidRPr="005A564D" w:rsidR="007275EB" w:rsidP="005A564D" w:rsidRDefault="007275EB" w14:paraId="23B1CDF6" w14:textId="005A9C0C">
      <w:pPr>
        <w:suppressAutoHyphens/>
        <w:rPr>
          <w:i/>
          <w:iCs/>
        </w:rPr>
      </w:pPr>
      <w:r w:rsidRPr="005A564D">
        <w:rPr>
          <w:i/>
          <w:iCs/>
        </w:rPr>
        <w:t>Subsidieregeling medisch noodzakelijke zorg aan onverzekerden (SOV)</w:t>
      </w:r>
    </w:p>
    <w:p w:rsidR="007275EB" w:rsidP="005A564D" w:rsidRDefault="007275EB" w14:paraId="27A3F685" w14:textId="41B230D0">
      <w:pPr>
        <w:suppressAutoHyphens/>
      </w:pPr>
      <w:r w:rsidRPr="005A564D">
        <w:t>Het CAK vergoedt zorgkosten aan zorgaanbieders die medisch noodzakelijke zorg verlenen aan onverzekerde personen. Op basis van de uitgavenrealisatie in 2024 verwacht het CAK dat deze uitgaven vanaf 2025 hoger uitvallen dan het beschikbare budget. Het budget voor 202</w:t>
      </w:r>
      <w:r w:rsidRPr="005A564D" w:rsidR="00236424">
        <w:t>6</w:t>
      </w:r>
      <w:r w:rsidRPr="005A564D">
        <w:t xml:space="preserve"> wordt met € 2</w:t>
      </w:r>
      <w:r w:rsidRPr="005A564D" w:rsidR="00236424">
        <w:t>7</w:t>
      </w:r>
      <w:r w:rsidRPr="005A564D">
        <w:t xml:space="preserve"> miljoen verhoogd. Structureel wordt het budget met € 25 miljoen verhoogd.</w:t>
      </w:r>
    </w:p>
    <w:p w:rsidR="000546F7" w:rsidP="005A564D" w:rsidRDefault="000546F7" w14:paraId="4BA3C26A" w14:textId="77777777">
      <w:pPr>
        <w:suppressAutoHyphens/>
      </w:pPr>
    </w:p>
    <w:p w:rsidRPr="005A564D" w:rsidR="000546F7" w:rsidP="000546F7" w:rsidRDefault="000546F7" w14:paraId="3BAB7061" w14:textId="77777777">
      <w:pPr>
        <w:suppressAutoHyphens/>
        <w:rPr>
          <w:i/>
          <w:iCs/>
        </w:rPr>
      </w:pPr>
      <w:r w:rsidRPr="005A564D">
        <w:rPr>
          <w:i/>
          <w:iCs/>
        </w:rPr>
        <w:t>Inzet vrijwilligers in de palliatieve terminale zorg</w:t>
      </w:r>
    </w:p>
    <w:p w:rsidRPr="005A564D" w:rsidR="000546F7" w:rsidP="000546F7" w:rsidRDefault="000546F7" w14:paraId="3B030B6F" w14:textId="77777777">
      <w:pPr>
        <w:suppressAutoHyphens/>
      </w:pPr>
      <w:r w:rsidRPr="005A564D">
        <w:t xml:space="preserve">Er wordt structureel € 17 miljoen toegevoegd aan de subsidieregeling om de tegemoetkoming voor de inzet, opleiding en coördinatie van de vrijwilligers in organisaties voor palliatieve terminale zorg te kunnen voortzetten. In 2026 is € 6 miljoen toegevoegd, oplopend naar € 17 miljoen in 2029. </w:t>
      </w:r>
    </w:p>
    <w:p w:rsidRPr="005A564D" w:rsidR="000546F7" w:rsidP="000546F7" w:rsidRDefault="000546F7" w14:paraId="161E2C66" w14:textId="77777777">
      <w:pPr>
        <w:suppressAutoHyphens/>
      </w:pPr>
    </w:p>
    <w:p w:rsidRPr="005A564D" w:rsidR="000546F7" w:rsidP="000546F7" w:rsidRDefault="000546F7" w14:paraId="1E9A0E43" w14:textId="77777777">
      <w:pPr>
        <w:suppressAutoHyphens/>
      </w:pPr>
      <w:r w:rsidRPr="005A564D">
        <w:rPr>
          <w:i/>
          <w:iCs/>
        </w:rPr>
        <w:t>Invoering European Disability Card</w:t>
      </w:r>
    </w:p>
    <w:p w:rsidR="000546F7" w:rsidP="000546F7" w:rsidRDefault="000546F7" w14:paraId="1721E594" w14:textId="77777777">
      <w:pPr>
        <w:suppressAutoHyphens/>
      </w:pPr>
      <w:r w:rsidRPr="005A564D">
        <w:t xml:space="preserve">Vanuit de Europese Commissie zijn richtlijnen voor een nieuwe Europese Gehandicaptenkaart gesteld. De kaart moet erkend worden door de gehele EU en het makkelijker maken voor personen met een beperking om door de EU te reizen en gebruik te maken van faciliteiten voor mensen met een beperking in andere EU-lidstaten. Hiervoor is voor 2026 € 3,3 miljoen beschikbaar gesteld. Structureel bedraagt dit € 5 miljoen. </w:t>
      </w:r>
    </w:p>
    <w:p w:rsidRPr="005A564D" w:rsidR="000546F7" w:rsidP="000546F7" w:rsidRDefault="000546F7" w14:paraId="1A146FB1" w14:textId="77777777">
      <w:pPr>
        <w:suppressAutoHyphens/>
      </w:pPr>
    </w:p>
    <w:p w:rsidRPr="005A564D" w:rsidR="000546F7" w:rsidP="000546F7" w:rsidRDefault="000546F7" w14:paraId="1322D251" w14:textId="77777777">
      <w:pPr>
        <w:suppressAutoHyphens/>
        <w:rPr>
          <w:i/>
          <w:iCs/>
        </w:rPr>
      </w:pPr>
      <w:r w:rsidRPr="005A564D">
        <w:rPr>
          <w:i/>
          <w:iCs/>
        </w:rPr>
        <w:t>EU-richtlijnen geweld tegen vrouwen en huiselijk geweld</w:t>
      </w:r>
    </w:p>
    <w:p w:rsidR="000546F7" w:rsidP="000546F7" w:rsidRDefault="000546F7" w14:paraId="39EB30C9" w14:textId="77777777">
      <w:pPr>
        <w:suppressAutoHyphens/>
      </w:pPr>
      <w:r w:rsidRPr="005A564D">
        <w:t xml:space="preserve">Richtlijn (EU) 2024/1385 inzake de bestrijding van geweld tegen vrouwen en huiselijk geweld is aangenomen en moet op 14 juni 2027 zijn geïmplementeerd. </w:t>
      </w:r>
    </w:p>
    <w:p w:rsidRPr="005A564D" w:rsidR="000546F7" w:rsidP="005A564D" w:rsidRDefault="000546F7" w14:paraId="56A6C7D9" w14:textId="6939C026">
      <w:pPr>
        <w:suppressAutoHyphens/>
      </w:pPr>
      <w:r w:rsidRPr="005A564D">
        <w:t>De richtlijn raakt alle onderdelen van de inzet op huiselijk geweld, geweld tegen vrouwen en ook kindermishandeling. In 2026 is hier € 0,9 miljoen voor gereserveerd. Structureel bedraagt dit € 3,3 miljoen.</w:t>
      </w:r>
    </w:p>
    <w:p w:rsidR="000546F7" w:rsidP="000546F7" w:rsidRDefault="000546F7" w14:paraId="17D4CCD2" w14:textId="77777777">
      <w:pPr>
        <w:suppressAutoHyphens/>
        <w:rPr>
          <w:i/>
          <w:iCs/>
        </w:rPr>
      </w:pPr>
    </w:p>
    <w:p w:rsidRPr="005A564D" w:rsidR="000546F7" w:rsidP="000546F7" w:rsidRDefault="000546F7" w14:paraId="59C24331" w14:textId="77777777">
      <w:pPr>
        <w:suppressAutoHyphens/>
      </w:pPr>
      <w:r w:rsidRPr="005A564D">
        <w:rPr>
          <w:i/>
          <w:iCs/>
        </w:rPr>
        <w:t>Hoofdlijnenakkoord Ouderenzorg (HLO)</w:t>
      </w:r>
    </w:p>
    <w:p w:rsidRPr="005A564D" w:rsidR="000546F7" w:rsidP="000546F7" w:rsidRDefault="000546F7" w14:paraId="0C98A3C4" w14:textId="77777777">
      <w:pPr>
        <w:suppressAutoHyphens/>
      </w:pPr>
      <w:r w:rsidRPr="005A564D">
        <w:t xml:space="preserve">Medio 2025 is het HLO afgesloten. In het HLO wordt ingezet op het terugdringen van de arbeidsmarkttekorten en het toegankelijk houden van de ouderenzorg en daarvoor benodigde ondersteuning. In 2026 is hiervoor € 39 miljoen gereserveerd en vanaf 2027 structureel € 60 miljoen. </w:t>
      </w:r>
    </w:p>
    <w:p w:rsidR="007275EB" w:rsidP="005A564D" w:rsidRDefault="007275EB" w14:paraId="394FFA8C" w14:textId="77777777">
      <w:pPr>
        <w:suppressAutoHyphens/>
      </w:pPr>
    </w:p>
    <w:p w:rsidRPr="005A564D" w:rsidR="000546F7" w:rsidP="000546F7" w:rsidRDefault="000546F7" w14:paraId="1B01227D" w14:textId="77777777">
      <w:pPr>
        <w:suppressAutoHyphens/>
        <w:rPr>
          <w:i/>
          <w:iCs/>
        </w:rPr>
      </w:pPr>
      <w:r w:rsidRPr="005A564D">
        <w:rPr>
          <w:i/>
          <w:iCs/>
        </w:rPr>
        <w:t>PGB2.0</w:t>
      </w:r>
    </w:p>
    <w:p w:rsidR="000546F7" w:rsidP="000546F7" w:rsidRDefault="000546F7" w14:paraId="1594DADF" w14:textId="77777777">
      <w:pPr>
        <w:suppressAutoHyphens/>
      </w:pPr>
      <w:r w:rsidRPr="005A564D">
        <w:t>Omdat PGB 2.0 in ieder geval tot en met 2027 in het beheer van VWS blijft, is budget voor personeel en het aanhouden van doorlopende contracten en licenties benodigd. Om de huidige werkzaamheden te kunnen blijven uitvoeren is hiervoor in 2026 en 2027 respectievelijk € 33,5 miljoen en € 32,5 miljoen benodigd.</w:t>
      </w:r>
    </w:p>
    <w:p w:rsidR="000546F7" w:rsidP="000546F7" w:rsidRDefault="000546F7" w14:paraId="58F9849E" w14:textId="77777777">
      <w:pPr>
        <w:suppressAutoHyphens/>
      </w:pPr>
    </w:p>
    <w:p w:rsidRPr="005A564D" w:rsidR="000546F7" w:rsidP="000546F7" w:rsidRDefault="000546F7" w14:paraId="0BDF1AE7" w14:textId="77777777">
      <w:pPr>
        <w:suppressAutoHyphens/>
        <w:rPr>
          <w:i/>
          <w:iCs/>
        </w:rPr>
      </w:pPr>
      <w:r w:rsidRPr="005A564D">
        <w:rPr>
          <w:i/>
          <w:iCs/>
        </w:rPr>
        <w:t>Zorguitgaven BES-eilanden</w:t>
      </w:r>
    </w:p>
    <w:p w:rsidRPr="005A564D" w:rsidR="000546F7" w:rsidP="000546F7" w:rsidRDefault="000546F7" w14:paraId="3CF806C9" w14:textId="5F97DD9C">
      <w:pPr>
        <w:suppressAutoHyphens/>
      </w:pPr>
      <w:r w:rsidRPr="005A564D">
        <w:t>Er komt extra budget beschikbaar voor de toegenomen zorguitgaven op de BES-eilanden, waarvan € 22 miljoen in 2026 en structureel € 21 miljoen vanaf 2030. Deze middelen zijn bedoeld voor zowel de prijsstijging als</w:t>
      </w:r>
      <w:r>
        <w:t xml:space="preserve"> gestegen kosten door een hogere zorgvraag</w:t>
      </w:r>
      <w:r w:rsidRPr="005A564D">
        <w:t>.</w:t>
      </w:r>
    </w:p>
    <w:p w:rsidRPr="005A564D" w:rsidR="000546F7" w:rsidP="005A564D" w:rsidRDefault="000546F7" w14:paraId="7CA70C4E" w14:textId="77777777">
      <w:pPr>
        <w:suppressAutoHyphens/>
      </w:pPr>
    </w:p>
    <w:p w:rsidRPr="005A564D" w:rsidR="007275EB" w:rsidP="005A564D" w:rsidRDefault="007275EB" w14:paraId="3CB033C9" w14:textId="77777777">
      <w:pPr>
        <w:suppressAutoHyphens/>
        <w:rPr>
          <w:i/>
          <w:iCs/>
        </w:rPr>
      </w:pPr>
      <w:r w:rsidRPr="005A564D">
        <w:rPr>
          <w:i/>
          <w:iCs/>
        </w:rPr>
        <w:t>Wisselkoers BES-eilanden</w:t>
      </w:r>
    </w:p>
    <w:p w:rsidRPr="005A564D" w:rsidR="007275EB" w:rsidP="005A564D" w:rsidRDefault="007275EB" w14:paraId="4EBF7298" w14:textId="4CEE10F7">
      <w:pPr>
        <w:suppressAutoHyphens/>
      </w:pPr>
      <w:r w:rsidRPr="005A564D">
        <w:t xml:space="preserve">Door een gewijzigd wisselkoerseffect met de BES-eilanden, is er een tegenvaller van € </w:t>
      </w:r>
      <w:r w:rsidRPr="005A564D" w:rsidR="00236424">
        <w:t>19,1</w:t>
      </w:r>
      <w:r w:rsidRPr="005A564D">
        <w:t xml:space="preserve"> miljoen in 202</w:t>
      </w:r>
      <w:r w:rsidRPr="005A564D" w:rsidR="00236424">
        <w:t>6</w:t>
      </w:r>
      <w:r w:rsidRPr="005A564D">
        <w:t>, aflopend naar € 13 miljoen in 2029. In 2030 leidt het tot een meevaller van € 5,1 miljoen.</w:t>
      </w:r>
    </w:p>
    <w:p w:rsidR="007275EB" w:rsidP="005A564D" w:rsidRDefault="007275EB" w14:paraId="59FE5844" w14:textId="77777777">
      <w:pPr>
        <w:suppressAutoHyphens/>
      </w:pPr>
    </w:p>
    <w:p w:rsidRPr="005A564D" w:rsidR="000546F7" w:rsidP="000546F7" w:rsidRDefault="000546F7" w14:paraId="082C1130" w14:textId="77777777">
      <w:pPr>
        <w:suppressAutoHyphens/>
      </w:pPr>
      <w:r w:rsidRPr="005A564D">
        <w:rPr>
          <w:i/>
          <w:iCs/>
        </w:rPr>
        <w:t>Staatscommissie Zorgstelsel</w:t>
      </w:r>
    </w:p>
    <w:p w:rsidRPr="005A564D" w:rsidR="000546F7" w:rsidP="000546F7" w:rsidRDefault="000546F7" w14:paraId="1D9C1CEE" w14:textId="77777777">
      <w:pPr>
        <w:suppressAutoHyphens/>
      </w:pPr>
      <w:r w:rsidRPr="005A564D">
        <w:t>Onlangs is een Kamermotie aangenomen om voorbereidingen te treffen voor een staatscommissie voor een toekomstbestendig en weerbaar zorgstelsel. Ter uitvoering van deze motie is er voor zowel 2026 als 2027 € 1 miljoen beschikbaar gesteld.</w:t>
      </w:r>
    </w:p>
    <w:p w:rsidRPr="005A564D" w:rsidR="000546F7" w:rsidP="005A564D" w:rsidRDefault="000546F7" w14:paraId="1FC82864" w14:textId="77777777">
      <w:pPr>
        <w:suppressAutoHyphens/>
      </w:pPr>
    </w:p>
    <w:p w:rsidRPr="005A564D" w:rsidR="000546F7" w:rsidP="000546F7" w:rsidRDefault="000546F7" w14:paraId="39C03721" w14:textId="678D712E">
      <w:pPr>
        <w:suppressAutoHyphens/>
      </w:pPr>
      <w:r w:rsidRPr="005A564D">
        <w:rPr>
          <w:i/>
          <w:iCs/>
        </w:rPr>
        <w:t>DUTCH</w:t>
      </w:r>
    </w:p>
    <w:p w:rsidRPr="005A564D" w:rsidR="000546F7" w:rsidP="000546F7" w:rsidRDefault="000546F7" w14:paraId="1E0FB30C" w14:textId="77777777">
      <w:pPr>
        <w:suppressAutoHyphens/>
      </w:pPr>
      <w:r w:rsidRPr="005A564D">
        <w:lastRenderedPageBreak/>
        <w:t xml:space="preserve">De Digital United Training Concept for Healthcare (DUTCH) is een Nationaal Groeifonds (NGF) programma dat werkt aan een nieuwe manier van opleiden en ontwikkelen van zorgprofessionals in de ziekenhuizen. </w:t>
      </w:r>
    </w:p>
    <w:p w:rsidRPr="005A564D" w:rsidR="000546F7" w:rsidP="000546F7" w:rsidRDefault="000546F7" w14:paraId="5B54A6D4" w14:textId="77777777">
      <w:pPr>
        <w:suppressAutoHyphens/>
      </w:pPr>
      <w:r w:rsidRPr="005A564D">
        <w:t>Vanuit de eerder voorwaardelijk toegekende middelen aan dit programma is voor 2026 een additioneel bedrag van € 29 miljoen beschikbaar gesteld, en voor 2027 € 5 miljoen.</w:t>
      </w:r>
    </w:p>
    <w:p w:rsidRPr="005A564D" w:rsidR="000546F7" w:rsidP="005A564D" w:rsidRDefault="000546F7" w14:paraId="666095F5" w14:textId="77777777">
      <w:pPr>
        <w:suppressAutoHyphens/>
      </w:pPr>
    </w:p>
    <w:p w:rsidRPr="005A564D" w:rsidR="007275EB" w:rsidP="005A564D" w:rsidRDefault="007275EB" w14:paraId="665F2701" w14:textId="77777777">
      <w:pPr>
        <w:suppressAutoHyphens/>
        <w:rPr>
          <w:i/>
          <w:iCs/>
        </w:rPr>
      </w:pPr>
      <w:r w:rsidRPr="005A564D">
        <w:rPr>
          <w:i/>
          <w:iCs/>
        </w:rPr>
        <w:t>Uitspraak kosten kinderopvang pleegouders</w:t>
      </w:r>
    </w:p>
    <w:p w:rsidRPr="005A564D" w:rsidR="007275EB" w:rsidP="005A564D" w:rsidRDefault="007275EB" w14:paraId="6B684D11" w14:textId="77777777">
      <w:pPr>
        <w:suppressAutoHyphens/>
      </w:pPr>
      <w:r w:rsidRPr="005A564D">
        <w:t>Een recente gerechtelijke uitspraak heeft bepaald dat pleegzorgaanbieders kosten voor kinderopvang als bijzondere kosten van pleegouders moeten vergoeden. Er wordt in de jaren 2025 tot en met 2027 € 7,3 miljoen toegevoegd aan het Gemeentefonds, zodat pleegzorgaanbieders deze kosten kunnen dekken. Structureel wordt vanaf 2028 € 0,4 miljoen toegevoegd aan het Gemeentefonds.</w:t>
      </w:r>
    </w:p>
    <w:p w:rsidRPr="005A564D" w:rsidR="007275EB" w:rsidP="005A564D" w:rsidRDefault="007275EB" w14:paraId="02B7723D" w14:textId="77777777">
      <w:pPr>
        <w:suppressAutoHyphens/>
      </w:pPr>
    </w:p>
    <w:p w:rsidRPr="005A564D" w:rsidR="000546F7" w:rsidP="000546F7" w:rsidRDefault="000546F7" w14:paraId="0D2488B8" w14:textId="77777777">
      <w:pPr>
        <w:suppressAutoHyphens/>
        <w:rPr>
          <w:i/>
          <w:iCs/>
        </w:rPr>
      </w:pPr>
      <w:r w:rsidRPr="005A564D">
        <w:rPr>
          <w:i/>
          <w:iCs/>
        </w:rPr>
        <w:t>Vernieuwingsplan Westerbork</w:t>
      </w:r>
    </w:p>
    <w:p w:rsidRPr="005A564D" w:rsidR="000546F7" w:rsidP="000546F7" w:rsidRDefault="000546F7" w14:paraId="4D9DC326" w14:textId="77777777">
      <w:pPr>
        <w:suppressAutoHyphens/>
      </w:pPr>
      <w:r w:rsidRPr="005A564D">
        <w:t xml:space="preserve">In 2026 en 2027 wordt in totaal € 15 miljoen (€ 7,5 miljoen per jaar) aan middelen vrijgemaakt om </w:t>
      </w:r>
      <w:r>
        <w:t xml:space="preserve">bij </w:t>
      </w:r>
      <w:r w:rsidRPr="005A564D">
        <w:t>te</w:t>
      </w:r>
      <w:r>
        <w:t xml:space="preserve"> dragen</w:t>
      </w:r>
      <w:r w:rsidRPr="005A564D">
        <w:t xml:space="preserve"> aan de realisatie van het vernieuwingstraject Kamp Westerbork.</w:t>
      </w:r>
    </w:p>
    <w:p w:rsidRPr="005A564D" w:rsidR="007275EB" w:rsidP="005A564D" w:rsidRDefault="007275EB" w14:paraId="4DACCD59" w14:textId="77777777">
      <w:pPr>
        <w:suppressAutoHyphens/>
      </w:pPr>
    </w:p>
    <w:p w:rsidRPr="005A564D" w:rsidR="007275EB" w:rsidP="005A564D" w:rsidRDefault="007275EB" w14:paraId="2F960F02" w14:textId="77777777">
      <w:pPr>
        <w:suppressAutoHyphens/>
        <w:rPr>
          <w:i/>
          <w:iCs/>
        </w:rPr>
      </w:pPr>
      <w:r w:rsidRPr="005A564D">
        <w:rPr>
          <w:i/>
          <w:iCs/>
        </w:rPr>
        <w:t>Nieuwe directie Open Overheid</w:t>
      </w:r>
    </w:p>
    <w:p w:rsidR="007275EB" w:rsidP="005A564D" w:rsidRDefault="007275EB" w14:paraId="2ACA96B8" w14:textId="328352D2">
      <w:pPr>
        <w:suppressAutoHyphens/>
      </w:pPr>
      <w:r w:rsidRPr="005A564D">
        <w:t xml:space="preserve">Ter financiering van de nieuwe directie Open Overheid </w:t>
      </w:r>
      <w:r w:rsidRPr="005A564D" w:rsidR="00A55429">
        <w:t>is bij de 1</w:t>
      </w:r>
      <w:r w:rsidRPr="005A564D" w:rsidR="00A55429">
        <w:rPr>
          <w:vertAlign w:val="superscript"/>
        </w:rPr>
        <w:t>e</w:t>
      </w:r>
      <w:r w:rsidRPr="005A564D" w:rsidR="00A55429">
        <w:t xml:space="preserve"> suppletoire begroting voor 2026 en 2027 € 18,3 en €19,0</w:t>
      </w:r>
      <w:r w:rsidR="007530F8">
        <w:t xml:space="preserve"> miljoen</w:t>
      </w:r>
      <w:r w:rsidRPr="005A564D" w:rsidR="00A55429">
        <w:t xml:space="preserve"> incidenteel vrijgemaakt en </w:t>
      </w:r>
      <w:r w:rsidRPr="005A564D" w:rsidR="0024779A">
        <w:t xml:space="preserve">vanaf 2028 </w:t>
      </w:r>
      <w:r w:rsidRPr="005A564D">
        <w:t>structureel € 9 miljoen</w:t>
      </w:r>
      <w:r w:rsidRPr="005A564D" w:rsidR="00A55429">
        <w:t xml:space="preserve">. Bij ontwerpbegroting 2026 is het budget voor 2026 met €2,5 miljoen verlaagd. </w:t>
      </w:r>
    </w:p>
    <w:p w:rsidR="000546F7" w:rsidP="005A564D" w:rsidRDefault="000546F7" w14:paraId="388B2AC8" w14:textId="77777777">
      <w:pPr>
        <w:suppressAutoHyphens/>
      </w:pPr>
    </w:p>
    <w:p w:rsidRPr="005A564D" w:rsidR="000546F7" w:rsidP="000546F7" w:rsidRDefault="000546F7" w14:paraId="3D50AB05" w14:textId="77777777">
      <w:pPr>
        <w:suppressAutoHyphens/>
        <w:rPr>
          <w:i/>
          <w:iCs/>
        </w:rPr>
      </w:pPr>
      <w:r w:rsidRPr="005A564D">
        <w:rPr>
          <w:i/>
          <w:iCs/>
        </w:rPr>
        <w:t>Dekking OCW begroting</w:t>
      </w:r>
    </w:p>
    <w:p w:rsidR="000546F7" w:rsidP="000546F7" w:rsidRDefault="000546F7" w14:paraId="5ABDB223" w14:textId="77777777">
      <w:pPr>
        <w:suppressAutoHyphens/>
      </w:pPr>
      <w:r w:rsidRPr="005A564D">
        <w:t>Ter dekking van de terugdraaiing van enkele bezuinigingen op de OCW-begroting (motie Bontenbal), heeft VWS een taakstelling op apparaatskosten gekregen van € 15,1 miljoen structureel. Deze taakstelling is structureel ingevuld bij de 1e suppletoire begroting van VWS.</w:t>
      </w:r>
    </w:p>
    <w:p w:rsidRPr="005A564D" w:rsidR="007275EB" w:rsidP="005A564D" w:rsidRDefault="007275EB" w14:paraId="3FDB52C9" w14:textId="77777777">
      <w:pPr>
        <w:suppressAutoHyphens/>
      </w:pPr>
    </w:p>
    <w:p w:rsidRPr="005A564D" w:rsidR="000546F7" w:rsidP="000546F7" w:rsidRDefault="000546F7" w14:paraId="7215ED46" w14:textId="77777777">
      <w:pPr>
        <w:suppressAutoHyphens/>
      </w:pPr>
      <w:r w:rsidRPr="005A564D">
        <w:rPr>
          <w:i/>
          <w:iCs/>
        </w:rPr>
        <w:t>Bijdrage AI-fabriek</w:t>
      </w:r>
    </w:p>
    <w:p w:rsidRPr="005A564D" w:rsidR="007275EB" w:rsidP="005A564D" w:rsidRDefault="000546F7" w14:paraId="1F2B5736" w14:textId="0E8E9C3D">
      <w:pPr>
        <w:suppressAutoHyphens/>
      </w:pPr>
      <w:r w:rsidRPr="005A564D">
        <w:t>Het consortium voor de nationale AI</w:t>
      </w:r>
      <w:r>
        <w:t>-</w:t>
      </w:r>
      <w:r w:rsidRPr="005A564D">
        <w:t>Factory heeft met steun van het kabinet in juni een aanvraag ingediend voor een nationale AI</w:t>
      </w:r>
      <w:r>
        <w:t>-</w:t>
      </w:r>
      <w:r w:rsidRPr="005A564D">
        <w:t>Fabriek indienen bij de Europese Commissie. Deze ontwikkeling sluit aan bij de VWS-ambities uit de NVS en de concept-AZWA afspraken om met inzet van AI administratieve lasten te verlichten, arbeidsproductiviteit te verhogen en werkdruk terug te dringen.</w:t>
      </w:r>
      <w:r>
        <w:t xml:space="preserve"> </w:t>
      </w:r>
      <w:r w:rsidRPr="005A564D" w:rsidR="007275EB">
        <w:t>Voor de AI</w:t>
      </w:r>
      <w:r w:rsidR="007530F8">
        <w:t>-</w:t>
      </w:r>
      <w:r w:rsidRPr="005A564D" w:rsidR="007275EB">
        <w:t xml:space="preserve">Fabriek wordt er in totaal € 2 miljoen vanuit de VWS-begroting </w:t>
      </w:r>
      <w:r w:rsidRPr="005A564D" w:rsidR="00585525">
        <w:t xml:space="preserve">naar de EZ-begroting </w:t>
      </w:r>
      <w:r w:rsidRPr="005A564D" w:rsidR="007275EB">
        <w:t>overgeheveld</w:t>
      </w:r>
      <w:r w:rsidRPr="005A564D" w:rsidR="00585525">
        <w:t xml:space="preserve">. Het </w:t>
      </w:r>
      <w:r w:rsidRPr="005A564D" w:rsidR="007275EB">
        <w:t xml:space="preserve">bedrag </w:t>
      </w:r>
      <w:r w:rsidRPr="005A564D" w:rsidR="00585525">
        <w:t xml:space="preserve">in </w:t>
      </w:r>
      <w:r w:rsidRPr="005A564D" w:rsidR="007275EB">
        <w:t xml:space="preserve">2026 </w:t>
      </w:r>
      <w:r w:rsidRPr="005A564D" w:rsidR="00585525">
        <w:t xml:space="preserve">is </w:t>
      </w:r>
      <w:r w:rsidRPr="005A564D" w:rsidR="007275EB">
        <w:t xml:space="preserve">€ 0,5 miljoen. </w:t>
      </w:r>
    </w:p>
    <w:p w:rsidR="000546F7" w:rsidP="000546F7" w:rsidRDefault="000546F7" w14:paraId="12EC6B2F" w14:textId="77777777">
      <w:pPr>
        <w:suppressAutoHyphens/>
      </w:pPr>
    </w:p>
    <w:p w:rsidRPr="005A564D" w:rsidR="000546F7" w:rsidP="000546F7" w:rsidRDefault="000546F7" w14:paraId="12D893F6" w14:textId="77777777">
      <w:pPr>
        <w:suppressAutoHyphens/>
        <w:rPr>
          <w:i/>
          <w:iCs/>
        </w:rPr>
      </w:pPr>
      <w:r w:rsidRPr="005A564D">
        <w:rPr>
          <w:i/>
          <w:iCs/>
        </w:rPr>
        <w:t>Uitstel vervanging abonnementstarief Wmo</w:t>
      </w:r>
    </w:p>
    <w:p w:rsidRPr="005A564D" w:rsidR="000546F7" w:rsidP="000546F7" w:rsidRDefault="000546F7" w14:paraId="19B10C73" w14:textId="77777777">
      <w:pPr>
        <w:suppressAutoHyphens/>
      </w:pPr>
      <w:r w:rsidRPr="005A564D">
        <w:t>De invoering van de inkomens- en vermogensafhankelĳke eigen bĳdrage Wmo 2015 kan niet eerder dan per 1 januari 2027 plaatsvinden. Dit leidt tot een besparingsverlies in het Gemeentefonds van € 225 miljoen euro. Dit</w:t>
      </w:r>
      <w:r>
        <w:t xml:space="preserve"> staat als min-bedrag genoteerd omdat het va</w:t>
      </w:r>
      <w:r w:rsidRPr="005A564D">
        <w:t>naf de VWS-begroting</w:t>
      </w:r>
      <w:r>
        <w:t xml:space="preserve"> wordt</w:t>
      </w:r>
      <w:r w:rsidRPr="005A564D">
        <w:t xml:space="preserve"> overgeheveld naar het Gemeentefonds.</w:t>
      </w:r>
    </w:p>
    <w:p w:rsidR="000546F7" w:rsidP="000546F7" w:rsidRDefault="000546F7" w14:paraId="5D5FDFD8" w14:textId="6629B60B">
      <w:pPr>
        <w:suppressAutoHyphens/>
      </w:pPr>
    </w:p>
    <w:p w:rsidRPr="005A564D" w:rsidR="000546F7" w:rsidP="000546F7" w:rsidRDefault="000546F7" w14:paraId="32CC6246" w14:textId="1D9E4F96">
      <w:pPr>
        <w:suppressAutoHyphens/>
      </w:pPr>
      <w:r w:rsidRPr="005A564D">
        <w:rPr>
          <w:i/>
          <w:iCs/>
        </w:rPr>
        <w:t>Backpay</w:t>
      </w:r>
    </w:p>
    <w:p w:rsidRPr="005A564D" w:rsidR="000546F7" w:rsidP="000546F7" w:rsidRDefault="000546F7" w14:paraId="65E2E893" w14:textId="77777777">
      <w:pPr>
        <w:suppressAutoHyphens/>
      </w:pPr>
      <w:r w:rsidRPr="005A564D">
        <w:t xml:space="preserve">In de Voorjaarsnota 2025 is een eenmalige reservering van 50 miljoen euro getroffen ten behoeve van de backpay voor weduwen van voormalig KNIL-militairen en ambtenaren in Nederlands-Indië. Met deze mutatie wordt </w:t>
      </w:r>
      <w:r w:rsidRPr="005A564D">
        <w:lastRenderedPageBreak/>
        <w:t>gewaarborgd dat deze middelen behouden blijven (in 2026), aangezien het niet haalbaar is om de regeling in 2025 al op te zetten.</w:t>
      </w:r>
    </w:p>
    <w:p w:rsidR="000546F7" w:rsidP="005A564D" w:rsidRDefault="000546F7" w14:paraId="1AECCCFB" w14:textId="77777777">
      <w:pPr>
        <w:suppressAutoHyphens/>
      </w:pPr>
    </w:p>
    <w:p w:rsidR="00CC45D9" w:rsidP="005A564D" w:rsidRDefault="00CC45D9" w14:paraId="3564B1FC" w14:textId="596E09DB">
      <w:pPr>
        <w:suppressAutoHyphens/>
        <w:rPr>
          <w:i/>
          <w:iCs/>
        </w:rPr>
      </w:pPr>
      <w:r>
        <w:rPr>
          <w:i/>
          <w:iCs/>
        </w:rPr>
        <w:t>Vrouwenopvang</w:t>
      </w:r>
    </w:p>
    <w:p w:rsidRPr="00CC45D9" w:rsidR="00CC45D9" w:rsidP="00CC45D9" w:rsidRDefault="00CC45D9" w14:paraId="036C8AC9" w14:textId="7DABEDDD">
      <w:pPr>
        <w:suppressAutoHyphens/>
      </w:pPr>
      <w:r w:rsidRPr="00CC45D9">
        <w:t xml:space="preserve">Vanaf 2026 wordt structureel € 12 miljoen toegevoegd aan de decentralisatie uitkering Vrouwenopvang ten behoeve van extra opvangplekken. Over de nadere afspraken en verdeling van deze middelen vindt nog gesprek plaats tussen Rijk en gemeenten. </w:t>
      </w:r>
      <w:r>
        <w:t>Er staat een min</w:t>
      </w:r>
      <w:r w:rsidR="007530F8">
        <w:t>-</w:t>
      </w:r>
      <w:r>
        <w:t>bedrag genoteerd omdat het een overheveling naar het Gemeentefonds betreft.</w:t>
      </w:r>
    </w:p>
    <w:p w:rsidRPr="005A564D" w:rsidR="00236424" w:rsidP="005A564D" w:rsidRDefault="00236424" w14:paraId="7CF01967" w14:textId="77777777">
      <w:pPr>
        <w:suppressAutoHyphens/>
      </w:pPr>
    </w:p>
    <w:p w:rsidRPr="005A564D" w:rsidR="00B16EF1" w:rsidP="005A564D" w:rsidRDefault="00877AE6" w14:paraId="26CB56F8" w14:textId="10B469C4">
      <w:pPr>
        <w:suppressAutoHyphens/>
      </w:pPr>
      <w:r w:rsidRPr="005A564D">
        <w:t>Ik hoop u hiermee voldoende geïnformeerd te hebben.</w:t>
      </w:r>
    </w:p>
    <w:p w:rsidRPr="005A564D" w:rsidR="0061163A" w:rsidP="005A564D" w:rsidRDefault="0061163A" w14:paraId="3AC2AE4B" w14:textId="77777777">
      <w:pPr>
        <w:suppressAutoHyphens/>
      </w:pPr>
    </w:p>
    <w:p w:rsidRPr="005A564D" w:rsidR="002560EB" w:rsidP="005A564D" w:rsidRDefault="002560EB" w14:paraId="3476BD98" w14:textId="5DC9AE7C">
      <w:pPr>
        <w:suppressAutoHyphens/>
      </w:pPr>
      <w:r w:rsidRPr="005A564D">
        <w:t>Hoogachtend,</w:t>
      </w:r>
    </w:p>
    <w:p w:rsidRPr="005A564D" w:rsidR="007E51E5" w:rsidP="005A564D" w:rsidRDefault="007E51E5" w14:paraId="2715AE8F" w14:textId="362755F7">
      <w:pPr>
        <w:suppressAutoHyphens/>
      </w:pPr>
    </w:p>
    <w:p w:rsidR="005A564D" w:rsidP="005A564D" w:rsidRDefault="005A564D" w14:paraId="022E3A5B" w14:textId="77777777">
      <w:pPr>
        <w:spacing w:line="276" w:lineRule="auto"/>
        <w:contextualSpacing/>
      </w:pPr>
      <w:r>
        <w:t>d</w:t>
      </w:r>
      <w:r w:rsidRPr="002961BE">
        <w:t>e m</w:t>
      </w:r>
      <w:r>
        <w:t>inister van Volksgezondheid,</w:t>
      </w:r>
    </w:p>
    <w:p w:rsidR="005A564D" w:rsidP="005A564D" w:rsidRDefault="005A564D" w14:paraId="42816DEE" w14:textId="15CD8314">
      <w:pPr>
        <w:spacing w:line="276" w:lineRule="auto"/>
        <w:contextualSpacing/>
      </w:pPr>
      <w:r>
        <w:t>Welzijn en Sport</w:t>
      </w:r>
      <w:r w:rsidR="00775EBE">
        <w:t>,</w:t>
      </w:r>
    </w:p>
    <w:p w:rsidR="005A564D" w:rsidP="005A564D" w:rsidRDefault="005A564D" w14:paraId="7A631821" w14:textId="77777777">
      <w:pPr>
        <w:spacing w:line="276" w:lineRule="auto"/>
        <w:contextualSpacing/>
      </w:pPr>
    </w:p>
    <w:p w:rsidR="005A564D" w:rsidP="005A564D" w:rsidRDefault="005A564D" w14:paraId="46A1A492" w14:textId="77777777">
      <w:pPr>
        <w:spacing w:line="276" w:lineRule="auto"/>
        <w:contextualSpacing/>
      </w:pPr>
    </w:p>
    <w:p w:rsidR="005A564D" w:rsidP="005A564D" w:rsidRDefault="005A564D" w14:paraId="4233552C" w14:textId="77777777">
      <w:pPr>
        <w:spacing w:line="276" w:lineRule="auto"/>
        <w:contextualSpacing/>
      </w:pPr>
    </w:p>
    <w:p w:rsidR="005A564D" w:rsidP="005A564D" w:rsidRDefault="005A564D" w14:paraId="4657548C" w14:textId="77777777">
      <w:pPr>
        <w:spacing w:line="276" w:lineRule="auto"/>
        <w:contextualSpacing/>
      </w:pPr>
    </w:p>
    <w:p w:rsidR="005A564D" w:rsidP="005A564D" w:rsidRDefault="005A564D" w14:paraId="1F53575A" w14:textId="77777777">
      <w:pPr>
        <w:spacing w:line="276" w:lineRule="auto"/>
        <w:contextualSpacing/>
      </w:pPr>
    </w:p>
    <w:p w:rsidRPr="002961BE" w:rsidR="005A564D" w:rsidP="005A564D" w:rsidRDefault="005A564D" w14:paraId="5B4ADF07" w14:textId="77777777">
      <w:pPr>
        <w:spacing w:line="276" w:lineRule="auto"/>
        <w:contextualSpacing/>
      </w:pPr>
    </w:p>
    <w:p w:rsidRPr="005A564D" w:rsidR="00B16EF1" w:rsidP="00775EBE" w:rsidRDefault="00775EBE" w14:paraId="7603C6EB" w14:textId="1ACBCB8F">
      <w:pPr>
        <w:spacing w:line="276" w:lineRule="auto"/>
        <w:contextualSpacing/>
      </w:pPr>
      <w:r w:rsidRPr="00775EBE">
        <w:t>Jan Anthonie Bruijn                                   </w:t>
      </w:r>
    </w:p>
    <w:sectPr w:rsidRPr="005A564D" w:rsidR="00B16EF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204C" w14:textId="77777777" w:rsidR="00CE4683" w:rsidRDefault="00CE4683">
      <w:pPr>
        <w:spacing w:line="240" w:lineRule="auto"/>
      </w:pPr>
      <w:r>
        <w:separator/>
      </w:r>
    </w:p>
  </w:endnote>
  <w:endnote w:type="continuationSeparator" w:id="0">
    <w:p w14:paraId="77F4F726" w14:textId="77777777" w:rsidR="00CE4683" w:rsidRDefault="00CE4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C242" w14:textId="77777777" w:rsidR="004D4D06" w:rsidRDefault="004D4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32AE" w14:textId="77777777" w:rsidR="00B16EF1" w:rsidRDefault="00B16EF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22AE" w14:textId="77777777" w:rsidR="004D4D06" w:rsidRDefault="004D4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CB7F" w14:textId="77777777" w:rsidR="00CE4683" w:rsidRDefault="00CE4683">
      <w:pPr>
        <w:spacing w:line="240" w:lineRule="auto"/>
      </w:pPr>
      <w:r>
        <w:separator/>
      </w:r>
    </w:p>
  </w:footnote>
  <w:footnote w:type="continuationSeparator" w:id="0">
    <w:p w14:paraId="3F449E68" w14:textId="77777777" w:rsidR="00CE4683" w:rsidRDefault="00CE4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0E0D" w14:textId="77777777" w:rsidR="004D4D06" w:rsidRDefault="004D4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CCE1" w14:textId="77777777" w:rsidR="00B16EF1" w:rsidRDefault="00BE4088">
    <w:r>
      <w:rPr>
        <w:noProof/>
      </w:rPr>
      <mc:AlternateContent>
        <mc:Choice Requires="wps">
          <w:drawing>
            <wp:anchor distT="0" distB="0" distL="0" distR="0" simplePos="0" relativeHeight="251652608" behindDoc="0" locked="1" layoutInCell="1" allowOverlap="1" wp14:anchorId="01133BAD" wp14:editId="59E5082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C48C45" w14:textId="77777777" w:rsidR="00C222C5" w:rsidRDefault="00C222C5" w:rsidP="00C222C5">
                          <w:pPr>
                            <w:pStyle w:val="Referentiegegevensbold"/>
                          </w:pPr>
                          <w:r>
                            <w:t>Kenmerk</w:t>
                          </w:r>
                        </w:p>
                        <w:p w14:paraId="1F420B61" w14:textId="66FBD09C" w:rsidR="00C222C5" w:rsidRDefault="00C222C5" w:rsidP="00C222C5">
                          <w:pPr>
                            <w:rPr>
                              <w:sz w:val="13"/>
                              <w:szCs w:val="13"/>
                              <w:lang w:val="de-DE"/>
                            </w:rPr>
                          </w:pPr>
                          <w:r w:rsidRPr="00C222C5">
                            <w:rPr>
                              <w:sz w:val="13"/>
                              <w:szCs w:val="13"/>
                              <w:lang w:val="de-DE"/>
                            </w:rPr>
                            <w:t>42034</w:t>
                          </w:r>
                          <w:r w:rsidR="005A564D">
                            <w:rPr>
                              <w:sz w:val="13"/>
                              <w:szCs w:val="13"/>
                              <w:lang w:val="de-DE"/>
                            </w:rPr>
                            <w:t>22</w:t>
                          </w:r>
                          <w:r w:rsidRPr="00C222C5">
                            <w:rPr>
                              <w:sz w:val="13"/>
                              <w:szCs w:val="13"/>
                              <w:lang w:val="de-DE"/>
                            </w:rPr>
                            <w:t>-1087221-FEZ</w:t>
                          </w:r>
                        </w:p>
                        <w:p w14:paraId="2147062C" w14:textId="77777777" w:rsidR="00C222C5" w:rsidRDefault="00C222C5">
                          <w:pPr>
                            <w:pStyle w:val="Referentiegegevensbold"/>
                          </w:pPr>
                        </w:p>
                      </w:txbxContent>
                    </wps:txbx>
                    <wps:bodyPr vert="horz" wrap="square" lIns="0" tIns="0" rIns="0" bIns="0" anchor="t" anchorCtr="0"/>
                  </wps:wsp>
                </a:graphicData>
              </a:graphic>
            </wp:anchor>
          </w:drawing>
        </mc:Choice>
        <mc:Fallback>
          <w:pict>
            <v:shapetype w14:anchorId="01133BA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CC48C45" w14:textId="77777777" w:rsidR="00C222C5" w:rsidRDefault="00C222C5" w:rsidP="00C222C5">
                    <w:pPr>
                      <w:pStyle w:val="Referentiegegevensbold"/>
                    </w:pPr>
                    <w:r>
                      <w:t>Kenmerk</w:t>
                    </w:r>
                  </w:p>
                  <w:p w14:paraId="1F420B61" w14:textId="66FBD09C" w:rsidR="00C222C5" w:rsidRDefault="00C222C5" w:rsidP="00C222C5">
                    <w:pPr>
                      <w:rPr>
                        <w:sz w:val="13"/>
                        <w:szCs w:val="13"/>
                        <w:lang w:val="de-DE"/>
                      </w:rPr>
                    </w:pPr>
                    <w:r w:rsidRPr="00C222C5">
                      <w:rPr>
                        <w:sz w:val="13"/>
                        <w:szCs w:val="13"/>
                        <w:lang w:val="de-DE"/>
                      </w:rPr>
                      <w:t>42034</w:t>
                    </w:r>
                    <w:r w:rsidR="005A564D">
                      <w:rPr>
                        <w:sz w:val="13"/>
                        <w:szCs w:val="13"/>
                        <w:lang w:val="de-DE"/>
                      </w:rPr>
                      <w:t>22</w:t>
                    </w:r>
                    <w:r w:rsidRPr="00C222C5">
                      <w:rPr>
                        <w:sz w:val="13"/>
                        <w:szCs w:val="13"/>
                        <w:lang w:val="de-DE"/>
                      </w:rPr>
                      <w:t>-1087221-FEZ</w:t>
                    </w:r>
                  </w:p>
                  <w:p w14:paraId="2147062C" w14:textId="77777777" w:rsidR="00C222C5" w:rsidRDefault="00C222C5">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75C13E" wp14:editId="3A83320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D07CAC" w14:textId="77777777" w:rsidR="00F27F6F" w:rsidRDefault="00F27F6F"/>
                      </w:txbxContent>
                    </wps:txbx>
                    <wps:bodyPr vert="horz" wrap="square" lIns="0" tIns="0" rIns="0" bIns="0" anchor="t" anchorCtr="0"/>
                  </wps:wsp>
                </a:graphicData>
              </a:graphic>
            </wp:anchor>
          </w:drawing>
        </mc:Choice>
        <mc:Fallback>
          <w:pict>
            <v:shape w14:anchorId="4275C13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D07CAC" w14:textId="77777777" w:rsidR="00F27F6F" w:rsidRDefault="00F27F6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62218F8" wp14:editId="7524BC4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64BFC8" w14:textId="59FD05E9" w:rsidR="00B16EF1" w:rsidRDefault="00BE4088">
                          <w:pPr>
                            <w:pStyle w:val="Referentiegegevens"/>
                          </w:pPr>
                          <w:r>
                            <w:t xml:space="preserve">Pagina </w:t>
                          </w:r>
                          <w:r>
                            <w:fldChar w:fldCharType="begin"/>
                          </w:r>
                          <w:r>
                            <w:instrText>PAGE</w:instrText>
                          </w:r>
                          <w:r>
                            <w:fldChar w:fldCharType="separate"/>
                          </w:r>
                          <w:r w:rsidR="00877AE6">
                            <w:rPr>
                              <w:noProof/>
                            </w:rPr>
                            <w:t>2</w:t>
                          </w:r>
                          <w:r>
                            <w:fldChar w:fldCharType="end"/>
                          </w:r>
                          <w:r>
                            <w:t xml:space="preserve"> van </w:t>
                          </w:r>
                          <w:r>
                            <w:fldChar w:fldCharType="begin"/>
                          </w:r>
                          <w:r>
                            <w:instrText>NUMPAGES</w:instrText>
                          </w:r>
                          <w:r>
                            <w:fldChar w:fldCharType="separate"/>
                          </w:r>
                          <w:r w:rsidR="00877AE6">
                            <w:rPr>
                              <w:noProof/>
                            </w:rPr>
                            <w:t>1</w:t>
                          </w:r>
                          <w:r>
                            <w:fldChar w:fldCharType="end"/>
                          </w:r>
                        </w:p>
                      </w:txbxContent>
                    </wps:txbx>
                    <wps:bodyPr vert="horz" wrap="square" lIns="0" tIns="0" rIns="0" bIns="0" anchor="t" anchorCtr="0"/>
                  </wps:wsp>
                </a:graphicData>
              </a:graphic>
            </wp:anchor>
          </w:drawing>
        </mc:Choice>
        <mc:Fallback>
          <w:pict>
            <v:shape w14:anchorId="562218F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C64BFC8" w14:textId="59FD05E9" w:rsidR="00B16EF1" w:rsidRDefault="00BE4088">
                    <w:pPr>
                      <w:pStyle w:val="Referentiegegevens"/>
                    </w:pPr>
                    <w:r>
                      <w:t xml:space="preserve">Pagina </w:t>
                    </w:r>
                    <w:r>
                      <w:fldChar w:fldCharType="begin"/>
                    </w:r>
                    <w:r>
                      <w:instrText>PAGE</w:instrText>
                    </w:r>
                    <w:r>
                      <w:fldChar w:fldCharType="separate"/>
                    </w:r>
                    <w:r w:rsidR="00877AE6">
                      <w:rPr>
                        <w:noProof/>
                      </w:rPr>
                      <w:t>2</w:t>
                    </w:r>
                    <w:r>
                      <w:fldChar w:fldCharType="end"/>
                    </w:r>
                    <w:r>
                      <w:t xml:space="preserve"> van </w:t>
                    </w:r>
                    <w:r>
                      <w:fldChar w:fldCharType="begin"/>
                    </w:r>
                    <w:r>
                      <w:instrText>NUMPAGES</w:instrText>
                    </w:r>
                    <w:r>
                      <w:fldChar w:fldCharType="separate"/>
                    </w:r>
                    <w:r w:rsidR="00877AE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BAB2" w14:textId="77777777" w:rsidR="00B16EF1" w:rsidRDefault="00BE4088">
    <w:pPr>
      <w:spacing w:after="6377" w:line="14" w:lineRule="exact"/>
    </w:pPr>
    <w:r>
      <w:rPr>
        <w:noProof/>
      </w:rPr>
      <mc:AlternateContent>
        <mc:Choice Requires="wps">
          <w:drawing>
            <wp:anchor distT="0" distB="0" distL="0" distR="0" simplePos="0" relativeHeight="251655680" behindDoc="0" locked="1" layoutInCell="1" allowOverlap="1" wp14:anchorId="1D58F0DA" wp14:editId="781CA00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E3C4D0" w14:textId="77777777" w:rsidR="005A564D" w:rsidRDefault="00BE4088">
                          <w:r>
                            <w:t>De Voorzitter van de Tweede Kamer</w:t>
                          </w:r>
                        </w:p>
                        <w:p w14:paraId="00A9A9D1" w14:textId="3502502E" w:rsidR="00B16EF1" w:rsidRDefault="00BE4088">
                          <w:r>
                            <w:t>der Staten-Generaal</w:t>
                          </w:r>
                        </w:p>
                        <w:p w14:paraId="07E45547" w14:textId="77777777" w:rsidR="00B16EF1" w:rsidRDefault="00BE4088">
                          <w:r>
                            <w:t xml:space="preserve">Postbus 20018 </w:t>
                          </w:r>
                        </w:p>
                        <w:p w14:paraId="5DA8278F" w14:textId="77777777" w:rsidR="00B16EF1" w:rsidRDefault="00BE4088">
                          <w:r>
                            <w:t>2500 EA  DEN HAAG</w:t>
                          </w:r>
                        </w:p>
                      </w:txbxContent>
                    </wps:txbx>
                    <wps:bodyPr vert="horz" wrap="square" lIns="0" tIns="0" rIns="0" bIns="0" anchor="t" anchorCtr="0"/>
                  </wps:wsp>
                </a:graphicData>
              </a:graphic>
            </wp:anchor>
          </w:drawing>
        </mc:Choice>
        <mc:Fallback>
          <w:pict>
            <v:shapetype w14:anchorId="1D58F0D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E3C4D0" w14:textId="77777777" w:rsidR="005A564D" w:rsidRDefault="00BE4088">
                    <w:r>
                      <w:t>De Voorzitter van de Tweede Kamer</w:t>
                    </w:r>
                  </w:p>
                  <w:p w14:paraId="00A9A9D1" w14:textId="3502502E" w:rsidR="00B16EF1" w:rsidRDefault="00BE4088">
                    <w:r>
                      <w:t>der Staten-Generaal</w:t>
                    </w:r>
                  </w:p>
                  <w:p w14:paraId="07E45547" w14:textId="77777777" w:rsidR="00B16EF1" w:rsidRDefault="00BE4088">
                    <w:r>
                      <w:t xml:space="preserve">Postbus 20018 </w:t>
                    </w:r>
                  </w:p>
                  <w:p w14:paraId="5DA8278F" w14:textId="77777777" w:rsidR="00B16EF1" w:rsidRDefault="00BE408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351026" wp14:editId="77B984B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6EF1" w14:paraId="13B7B2D1" w14:textId="77777777">
                            <w:trPr>
                              <w:trHeight w:val="240"/>
                            </w:trPr>
                            <w:tc>
                              <w:tcPr>
                                <w:tcW w:w="1140" w:type="dxa"/>
                              </w:tcPr>
                              <w:p w14:paraId="5751AA9E" w14:textId="77777777" w:rsidR="00B16EF1" w:rsidRDefault="00BE4088">
                                <w:r>
                                  <w:t>Datum</w:t>
                                </w:r>
                              </w:p>
                            </w:tc>
                            <w:tc>
                              <w:tcPr>
                                <w:tcW w:w="5918" w:type="dxa"/>
                              </w:tcPr>
                              <w:p w14:paraId="730B4DE1" w14:textId="6E4DC3AB" w:rsidR="00B16EF1" w:rsidRDefault="001F56AC">
                                <w:r>
                                  <w:t>16 september 2025</w:t>
                                </w:r>
                              </w:p>
                            </w:tc>
                          </w:tr>
                          <w:tr w:rsidR="00B16EF1" w14:paraId="3016CD61" w14:textId="77777777">
                            <w:trPr>
                              <w:trHeight w:val="240"/>
                            </w:trPr>
                            <w:tc>
                              <w:tcPr>
                                <w:tcW w:w="1140" w:type="dxa"/>
                              </w:tcPr>
                              <w:p w14:paraId="0953BBFE" w14:textId="77777777" w:rsidR="00B16EF1" w:rsidRDefault="00BE4088">
                                <w:r>
                                  <w:t>Betreft</w:t>
                                </w:r>
                              </w:p>
                            </w:tc>
                            <w:tc>
                              <w:tcPr>
                                <w:tcW w:w="5918" w:type="dxa"/>
                              </w:tcPr>
                              <w:p w14:paraId="6C5FBE5C" w14:textId="77777777" w:rsidR="00B16EF1" w:rsidRDefault="00BE4088">
                                <w:r>
                                  <w:t>Belangrijkste budgettaire wijzigingen Ontwerpbegroting 2026</w:t>
                                </w:r>
                              </w:p>
                            </w:tc>
                          </w:tr>
                        </w:tbl>
                        <w:p w14:paraId="75D1C2C0" w14:textId="77777777" w:rsidR="00F27F6F" w:rsidRDefault="00F27F6F"/>
                      </w:txbxContent>
                    </wps:txbx>
                    <wps:bodyPr vert="horz" wrap="square" lIns="0" tIns="0" rIns="0" bIns="0" anchor="t" anchorCtr="0"/>
                  </wps:wsp>
                </a:graphicData>
              </a:graphic>
            </wp:anchor>
          </w:drawing>
        </mc:Choice>
        <mc:Fallback>
          <w:pict>
            <v:shape w14:anchorId="7D35102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6EF1" w14:paraId="13B7B2D1" w14:textId="77777777">
                      <w:trPr>
                        <w:trHeight w:val="240"/>
                      </w:trPr>
                      <w:tc>
                        <w:tcPr>
                          <w:tcW w:w="1140" w:type="dxa"/>
                        </w:tcPr>
                        <w:p w14:paraId="5751AA9E" w14:textId="77777777" w:rsidR="00B16EF1" w:rsidRDefault="00BE4088">
                          <w:r>
                            <w:t>Datum</w:t>
                          </w:r>
                        </w:p>
                      </w:tc>
                      <w:tc>
                        <w:tcPr>
                          <w:tcW w:w="5918" w:type="dxa"/>
                        </w:tcPr>
                        <w:p w14:paraId="730B4DE1" w14:textId="6E4DC3AB" w:rsidR="00B16EF1" w:rsidRDefault="001F56AC">
                          <w:r>
                            <w:t>16 september 2025</w:t>
                          </w:r>
                        </w:p>
                      </w:tc>
                    </w:tr>
                    <w:tr w:rsidR="00B16EF1" w14:paraId="3016CD61" w14:textId="77777777">
                      <w:trPr>
                        <w:trHeight w:val="240"/>
                      </w:trPr>
                      <w:tc>
                        <w:tcPr>
                          <w:tcW w:w="1140" w:type="dxa"/>
                        </w:tcPr>
                        <w:p w14:paraId="0953BBFE" w14:textId="77777777" w:rsidR="00B16EF1" w:rsidRDefault="00BE4088">
                          <w:r>
                            <w:t>Betreft</w:t>
                          </w:r>
                        </w:p>
                      </w:tc>
                      <w:tc>
                        <w:tcPr>
                          <w:tcW w:w="5918" w:type="dxa"/>
                        </w:tcPr>
                        <w:p w14:paraId="6C5FBE5C" w14:textId="77777777" w:rsidR="00B16EF1" w:rsidRDefault="00BE4088">
                          <w:r>
                            <w:t>Belangrijkste budgettaire wijzigingen Ontwerpbegroting 2026</w:t>
                          </w:r>
                        </w:p>
                      </w:tc>
                    </w:tr>
                  </w:tbl>
                  <w:p w14:paraId="75D1C2C0" w14:textId="77777777" w:rsidR="00F27F6F" w:rsidRDefault="00F27F6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24D3D2" wp14:editId="56DEDE7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094D88" w14:textId="77777777" w:rsidR="00B16EF1" w:rsidRDefault="00BE4088">
                          <w:pPr>
                            <w:pStyle w:val="Referentiegegevens"/>
                          </w:pPr>
                          <w:r>
                            <w:t>Directie Financieel-Economische Zaken</w:t>
                          </w:r>
                        </w:p>
                        <w:p w14:paraId="10F04375" w14:textId="77777777" w:rsidR="00B16EF1" w:rsidRDefault="00B16EF1">
                          <w:pPr>
                            <w:pStyle w:val="WitregelW1"/>
                          </w:pPr>
                        </w:p>
                        <w:p w14:paraId="6C58AC4E" w14:textId="77777777" w:rsidR="00B16EF1" w:rsidRDefault="00BE4088">
                          <w:pPr>
                            <w:pStyle w:val="Referentiegegevens"/>
                          </w:pPr>
                          <w:r>
                            <w:t>Parnassusplein 5</w:t>
                          </w:r>
                        </w:p>
                        <w:p w14:paraId="20D70D25" w14:textId="77777777" w:rsidR="00B16EF1" w:rsidRPr="00877AE6" w:rsidRDefault="00BE4088">
                          <w:pPr>
                            <w:pStyle w:val="Referentiegegevens"/>
                            <w:rPr>
                              <w:lang w:val="de-DE"/>
                            </w:rPr>
                          </w:pPr>
                          <w:r w:rsidRPr="00877AE6">
                            <w:rPr>
                              <w:lang w:val="de-DE"/>
                            </w:rPr>
                            <w:t xml:space="preserve">2511 VX Den Haag  </w:t>
                          </w:r>
                        </w:p>
                        <w:p w14:paraId="752011FD" w14:textId="77777777" w:rsidR="00B16EF1" w:rsidRPr="00877AE6" w:rsidRDefault="00BE4088">
                          <w:pPr>
                            <w:pStyle w:val="Referentiegegevens"/>
                            <w:rPr>
                              <w:lang w:val="de-DE"/>
                            </w:rPr>
                          </w:pPr>
                          <w:r w:rsidRPr="00877AE6">
                            <w:rPr>
                              <w:lang w:val="de-DE"/>
                            </w:rPr>
                            <w:t>Postbus 20350</w:t>
                          </w:r>
                        </w:p>
                        <w:p w14:paraId="6A5F1709" w14:textId="77777777" w:rsidR="00B16EF1" w:rsidRPr="00877AE6" w:rsidRDefault="00BE4088">
                          <w:pPr>
                            <w:pStyle w:val="Referentiegegevens"/>
                            <w:rPr>
                              <w:lang w:val="de-DE"/>
                            </w:rPr>
                          </w:pPr>
                          <w:r w:rsidRPr="00877AE6">
                            <w:rPr>
                              <w:lang w:val="de-DE"/>
                            </w:rPr>
                            <w:t>2500 EJ  Den Haag</w:t>
                          </w:r>
                        </w:p>
                        <w:p w14:paraId="5D03A57C" w14:textId="77777777" w:rsidR="00B16EF1" w:rsidRPr="00877AE6" w:rsidRDefault="00BE4088">
                          <w:pPr>
                            <w:pStyle w:val="Referentiegegevens"/>
                            <w:rPr>
                              <w:lang w:val="de-DE"/>
                            </w:rPr>
                          </w:pPr>
                          <w:r w:rsidRPr="00877AE6">
                            <w:rPr>
                              <w:lang w:val="de-DE"/>
                            </w:rPr>
                            <w:t>www.rijksoverheid.nl</w:t>
                          </w:r>
                        </w:p>
                        <w:p w14:paraId="6FF0717E" w14:textId="77777777" w:rsidR="00B16EF1" w:rsidRDefault="00B16EF1">
                          <w:pPr>
                            <w:pStyle w:val="WitregelW2"/>
                            <w:rPr>
                              <w:lang w:val="de-DE"/>
                            </w:rPr>
                          </w:pPr>
                        </w:p>
                        <w:p w14:paraId="2C78347D" w14:textId="48F46B58" w:rsidR="00C222C5" w:rsidRDefault="00C222C5" w:rsidP="00C222C5">
                          <w:pPr>
                            <w:pStyle w:val="Referentiegegevensbold"/>
                          </w:pPr>
                          <w:r>
                            <w:t>Kenmerk</w:t>
                          </w:r>
                        </w:p>
                        <w:p w14:paraId="0F99F19B" w14:textId="339D5CF7" w:rsidR="00C222C5" w:rsidRDefault="00C222C5" w:rsidP="00C222C5">
                          <w:pPr>
                            <w:rPr>
                              <w:sz w:val="13"/>
                              <w:szCs w:val="13"/>
                              <w:lang w:val="de-DE"/>
                            </w:rPr>
                          </w:pPr>
                          <w:r w:rsidRPr="00C222C5">
                            <w:rPr>
                              <w:sz w:val="13"/>
                              <w:szCs w:val="13"/>
                              <w:lang w:val="de-DE"/>
                            </w:rPr>
                            <w:t>42034</w:t>
                          </w:r>
                          <w:r w:rsidR="005A564D">
                            <w:rPr>
                              <w:sz w:val="13"/>
                              <w:szCs w:val="13"/>
                              <w:lang w:val="de-DE"/>
                            </w:rPr>
                            <w:t>22</w:t>
                          </w:r>
                          <w:r w:rsidRPr="00C222C5">
                            <w:rPr>
                              <w:sz w:val="13"/>
                              <w:szCs w:val="13"/>
                              <w:lang w:val="de-DE"/>
                            </w:rPr>
                            <w:t>-1087221-FEZ</w:t>
                          </w:r>
                        </w:p>
                        <w:p w14:paraId="2FEC62C7" w14:textId="77777777" w:rsidR="00C222C5" w:rsidRPr="00C222C5" w:rsidRDefault="00C222C5" w:rsidP="00C222C5">
                          <w:pPr>
                            <w:rPr>
                              <w:sz w:val="13"/>
                              <w:szCs w:val="13"/>
                              <w:lang w:val="de-DE"/>
                            </w:rPr>
                          </w:pPr>
                        </w:p>
                        <w:p w14:paraId="763EDABE" w14:textId="77777777" w:rsidR="00B16EF1" w:rsidRDefault="00BE4088">
                          <w:pPr>
                            <w:pStyle w:val="Referentiegegevensbold"/>
                          </w:pPr>
                          <w:r>
                            <w:t>Onze referentie</w:t>
                          </w:r>
                        </w:p>
                        <w:p w14:paraId="645AA17C" w14:textId="02F01CAD" w:rsidR="00B16EF1" w:rsidRDefault="00BE408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2324D3D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5094D88" w14:textId="77777777" w:rsidR="00B16EF1" w:rsidRDefault="00BE4088">
                    <w:pPr>
                      <w:pStyle w:val="Referentiegegevens"/>
                    </w:pPr>
                    <w:r>
                      <w:t>Directie Financieel-Economische Zaken</w:t>
                    </w:r>
                  </w:p>
                  <w:p w14:paraId="10F04375" w14:textId="77777777" w:rsidR="00B16EF1" w:rsidRDefault="00B16EF1">
                    <w:pPr>
                      <w:pStyle w:val="WitregelW1"/>
                    </w:pPr>
                  </w:p>
                  <w:p w14:paraId="6C58AC4E" w14:textId="77777777" w:rsidR="00B16EF1" w:rsidRDefault="00BE4088">
                    <w:pPr>
                      <w:pStyle w:val="Referentiegegevens"/>
                    </w:pPr>
                    <w:r>
                      <w:t>Parnassusplein 5</w:t>
                    </w:r>
                  </w:p>
                  <w:p w14:paraId="20D70D25" w14:textId="77777777" w:rsidR="00B16EF1" w:rsidRPr="00877AE6" w:rsidRDefault="00BE4088">
                    <w:pPr>
                      <w:pStyle w:val="Referentiegegevens"/>
                      <w:rPr>
                        <w:lang w:val="de-DE"/>
                      </w:rPr>
                    </w:pPr>
                    <w:r w:rsidRPr="00877AE6">
                      <w:rPr>
                        <w:lang w:val="de-DE"/>
                      </w:rPr>
                      <w:t xml:space="preserve">2511 VX Den Haag  </w:t>
                    </w:r>
                  </w:p>
                  <w:p w14:paraId="752011FD" w14:textId="77777777" w:rsidR="00B16EF1" w:rsidRPr="00877AE6" w:rsidRDefault="00BE4088">
                    <w:pPr>
                      <w:pStyle w:val="Referentiegegevens"/>
                      <w:rPr>
                        <w:lang w:val="de-DE"/>
                      </w:rPr>
                    </w:pPr>
                    <w:r w:rsidRPr="00877AE6">
                      <w:rPr>
                        <w:lang w:val="de-DE"/>
                      </w:rPr>
                      <w:t>Postbus 20350</w:t>
                    </w:r>
                  </w:p>
                  <w:p w14:paraId="6A5F1709" w14:textId="77777777" w:rsidR="00B16EF1" w:rsidRPr="00877AE6" w:rsidRDefault="00BE4088">
                    <w:pPr>
                      <w:pStyle w:val="Referentiegegevens"/>
                      <w:rPr>
                        <w:lang w:val="de-DE"/>
                      </w:rPr>
                    </w:pPr>
                    <w:r w:rsidRPr="00877AE6">
                      <w:rPr>
                        <w:lang w:val="de-DE"/>
                      </w:rPr>
                      <w:t>2500 EJ  Den Haag</w:t>
                    </w:r>
                  </w:p>
                  <w:p w14:paraId="5D03A57C" w14:textId="77777777" w:rsidR="00B16EF1" w:rsidRPr="00877AE6" w:rsidRDefault="00BE4088">
                    <w:pPr>
                      <w:pStyle w:val="Referentiegegevens"/>
                      <w:rPr>
                        <w:lang w:val="de-DE"/>
                      </w:rPr>
                    </w:pPr>
                    <w:r w:rsidRPr="00877AE6">
                      <w:rPr>
                        <w:lang w:val="de-DE"/>
                      </w:rPr>
                      <w:t>www.rijksoverheid.nl</w:t>
                    </w:r>
                  </w:p>
                  <w:p w14:paraId="6FF0717E" w14:textId="77777777" w:rsidR="00B16EF1" w:rsidRDefault="00B16EF1">
                    <w:pPr>
                      <w:pStyle w:val="WitregelW2"/>
                      <w:rPr>
                        <w:lang w:val="de-DE"/>
                      </w:rPr>
                    </w:pPr>
                  </w:p>
                  <w:p w14:paraId="2C78347D" w14:textId="48F46B58" w:rsidR="00C222C5" w:rsidRDefault="00C222C5" w:rsidP="00C222C5">
                    <w:pPr>
                      <w:pStyle w:val="Referentiegegevensbold"/>
                    </w:pPr>
                    <w:r>
                      <w:t>Kenmerk</w:t>
                    </w:r>
                  </w:p>
                  <w:p w14:paraId="0F99F19B" w14:textId="339D5CF7" w:rsidR="00C222C5" w:rsidRDefault="00C222C5" w:rsidP="00C222C5">
                    <w:pPr>
                      <w:rPr>
                        <w:sz w:val="13"/>
                        <w:szCs w:val="13"/>
                        <w:lang w:val="de-DE"/>
                      </w:rPr>
                    </w:pPr>
                    <w:r w:rsidRPr="00C222C5">
                      <w:rPr>
                        <w:sz w:val="13"/>
                        <w:szCs w:val="13"/>
                        <w:lang w:val="de-DE"/>
                      </w:rPr>
                      <w:t>42034</w:t>
                    </w:r>
                    <w:r w:rsidR="005A564D">
                      <w:rPr>
                        <w:sz w:val="13"/>
                        <w:szCs w:val="13"/>
                        <w:lang w:val="de-DE"/>
                      </w:rPr>
                      <w:t>22</w:t>
                    </w:r>
                    <w:r w:rsidRPr="00C222C5">
                      <w:rPr>
                        <w:sz w:val="13"/>
                        <w:szCs w:val="13"/>
                        <w:lang w:val="de-DE"/>
                      </w:rPr>
                      <w:t>-1087221-FEZ</w:t>
                    </w:r>
                  </w:p>
                  <w:p w14:paraId="2FEC62C7" w14:textId="77777777" w:rsidR="00C222C5" w:rsidRPr="00C222C5" w:rsidRDefault="00C222C5" w:rsidP="00C222C5">
                    <w:pPr>
                      <w:rPr>
                        <w:sz w:val="13"/>
                        <w:szCs w:val="13"/>
                        <w:lang w:val="de-DE"/>
                      </w:rPr>
                    </w:pPr>
                  </w:p>
                  <w:p w14:paraId="763EDABE" w14:textId="77777777" w:rsidR="00B16EF1" w:rsidRDefault="00BE4088">
                    <w:pPr>
                      <w:pStyle w:val="Referentiegegevensbold"/>
                    </w:pPr>
                    <w:r>
                      <w:t>Onze referentie</w:t>
                    </w:r>
                  </w:p>
                  <w:p w14:paraId="645AA17C" w14:textId="02F01CAD" w:rsidR="00B16EF1" w:rsidRDefault="00BE408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08E6B3" wp14:editId="538743B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F5E97F" w14:textId="77777777" w:rsidR="00F27F6F" w:rsidRDefault="00F27F6F"/>
                      </w:txbxContent>
                    </wps:txbx>
                    <wps:bodyPr vert="horz" wrap="square" lIns="0" tIns="0" rIns="0" bIns="0" anchor="t" anchorCtr="0"/>
                  </wps:wsp>
                </a:graphicData>
              </a:graphic>
            </wp:anchor>
          </w:drawing>
        </mc:Choice>
        <mc:Fallback>
          <w:pict>
            <v:shape w14:anchorId="3F08E6B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3F5E97F" w14:textId="77777777" w:rsidR="00F27F6F" w:rsidRDefault="00F27F6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73D5910" wp14:editId="578E7A4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1D615C" w14:textId="77777777" w:rsidR="00B16EF1" w:rsidRDefault="00BE4088">
                          <w:pPr>
                            <w:pStyle w:val="Referentiegegevens"/>
                          </w:pPr>
                          <w:r>
                            <w:t xml:space="preserve">Pagina </w:t>
                          </w:r>
                          <w:r>
                            <w:fldChar w:fldCharType="begin"/>
                          </w:r>
                          <w:r>
                            <w:instrText>PAGE</w:instrText>
                          </w:r>
                          <w:r>
                            <w:fldChar w:fldCharType="separate"/>
                          </w:r>
                          <w:r w:rsidR="00877AE6">
                            <w:rPr>
                              <w:noProof/>
                            </w:rPr>
                            <w:t>1</w:t>
                          </w:r>
                          <w:r>
                            <w:fldChar w:fldCharType="end"/>
                          </w:r>
                          <w:r>
                            <w:t xml:space="preserve"> van </w:t>
                          </w:r>
                          <w:r>
                            <w:fldChar w:fldCharType="begin"/>
                          </w:r>
                          <w:r>
                            <w:instrText>NUMPAGES</w:instrText>
                          </w:r>
                          <w:r>
                            <w:fldChar w:fldCharType="separate"/>
                          </w:r>
                          <w:r w:rsidR="00877AE6">
                            <w:rPr>
                              <w:noProof/>
                            </w:rPr>
                            <w:t>1</w:t>
                          </w:r>
                          <w:r>
                            <w:fldChar w:fldCharType="end"/>
                          </w:r>
                        </w:p>
                      </w:txbxContent>
                    </wps:txbx>
                    <wps:bodyPr vert="horz" wrap="square" lIns="0" tIns="0" rIns="0" bIns="0" anchor="t" anchorCtr="0"/>
                  </wps:wsp>
                </a:graphicData>
              </a:graphic>
            </wp:anchor>
          </w:drawing>
        </mc:Choice>
        <mc:Fallback>
          <w:pict>
            <v:shape w14:anchorId="073D591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1D615C" w14:textId="77777777" w:rsidR="00B16EF1" w:rsidRDefault="00BE4088">
                    <w:pPr>
                      <w:pStyle w:val="Referentiegegevens"/>
                    </w:pPr>
                    <w:r>
                      <w:t xml:space="preserve">Pagina </w:t>
                    </w:r>
                    <w:r>
                      <w:fldChar w:fldCharType="begin"/>
                    </w:r>
                    <w:r>
                      <w:instrText>PAGE</w:instrText>
                    </w:r>
                    <w:r>
                      <w:fldChar w:fldCharType="separate"/>
                    </w:r>
                    <w:r w:rsidR="00877AE6">
                      <w:rPr>
                        <w:noProof/>
                      </w:rPr>
                      <w:t>1</w:t>
                    </w:r>
                    <w:r>
                      <w:fldChar w:fldCharType="end"/>
                    </w:r>
                    <w:r>
                      <w:t xml:space="preserve"> van </w:t>
                    </w:r>
                    <w:r>
                      <w:fldChar w:fldCharType="begin"/>
                    </w:r>
                    <w:r>
                      <w:instrText>NUMPAGES</w:instrText>
                    </w:r>
                    <w:r>
                      <w:fldChar w:fldCharType="separate"/>
                    </w:r>
                    <w:r w:rsidR="00877A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F5C9DE" wp14:editId="634DF57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11F9A2" w14:textId="41DA3882" w:rsidR="00B16EF1" w:rsidRDefault="00B16EF1">
                          <w:pPr>
                            <w:spacing w:line="240" w:lineRule="auto"/>
                          </w:pPr>
                        </w:p>
                      </w:txbxContent>
                    </wps:txbx>
                    <wps:bodyPr vert="horz" wrap="square" lIns="0" tIns="0" rIns="0" bIns="0" anchor="t" anchorCtr="0"/>
                  </wps:wsp>
                </a:graphicData>
              </a:graphic>
            </wp:anchor>
          </w:drawing>
        </mc:Choice>
        <mc:Fallback>
          <w:pict>
            <v:shape w14:anchorId="0FF5C9D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711F9A2" w14:textId="41DA3882" w:rsidR="00B16EF1" w:rsidRDefault="00B16EF1">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0CF537D" wp14:editId="6CC2BA2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37367B" w14:textId="77777777" w:rsidR="00B16EF1" w:rsidRDefault="00BE4088">
                          <w:pPr>
                            <w:spacing w:line="240" w:lineRule="auto"/>
                          </w:pPr>
                          <w:r>
                            <w:rPr>
                              <w:noProof/>
                            </w:rPr>
                            <w:drawing>
                              <wp:inline distT="0" distB="0" distL="0" distR="0" wp14:anchorId="64C440E9" wp14:editId="57FB086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CF537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B37367B" w14:textId="77777777" w:rsidR="00B16EF1" w:rsidRDefault="00BE4088">
                    <w:pPr>
                      <w:spacing w:line="240" w:lineRule="auto"/>
                    </w:pPr>
                    <w:r>
                      <w:rPr>
                        <w:noProof/>
                      </w:rPr>
                      <w:drawing>
                        <wp:inline distT="0" distB="0" distL="0" distR="0" wp14:anchorId="64C440E9" wp14:editId="57FB086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56C388C" wp14:editId="23C2065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A8ED74" w14:textId="77777777" w:rsidR="00B16EF1" w:rsidRDefault="00BE408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56C388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A8ED74" w14:textId="77777777" w:rsidR="00B16EF1" w:rsidRDefault="00BE4088">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10EF0"/>
    <w:multiLevelType w:val="multilevel"/>
    <w:tmpl w:val="0386A6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92D3490"/>
    <w:multiLevelType w:val="multilevel"/>
    <w:tmpl w:val="692CC8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268A613"/>
    <w:multiLevelType w:val="multilevel"/>
    <w:tmpl w:val="C5B7F0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4884DF"/>
    <w:multiLevelType w:val="multilevel"/>
    <w:tmpl w:val="4B117C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C5663D"/>
    <w:multiLevelType w:val="multilevel"/>
    <w:tmpl w:val="2F5821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5C46874"/>
    <w:multiLevelType w:val="hybridMultilevel"/>
    <w:tmpl w:val="2C88E040"/>
    <w:lvl w:ilvl="0" w:tplc="71A076C2">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5364900">
    <w:abstractNumId w:val="1"/>
  </w:num>
  <w:num w:numId="2" w16cid:durableId="496775602">
    <w:abstractNumId w:val="0"/>
  </w:num>
  <w:num w:numId="3" w16cid:durableId="998652259">
    <w:abstractNumId w:val="4"/>
  </w:num>
  <w:num w:numId="4" w16cid:durableId="576020901">
    <w:abstractNumId w:val="2"/>
  </w:num>
  <w:num w:numId="5" w16cid:durableId="1992783305">
    <w:abstractNumId w:val="3"/>
  </w:num>
  <w:num w:numId="6" w16cid:durableId="43131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E6"/>
    <w:rsid w:val="000546F7"/>
    <w:rsid w:val="00086E33"/>
    <w:rsid w:val="000C0CF4"/>
    <w:rsid w:val="001005FC"/>
    <w:rsid w:val="00121CF3"/>
    <w:rsid w:val="00174014"/>
    <w:rsid w:val="001B1DC5"/>
    <w:rsid w:val="001E2133"/>
    <w:rsid w:val="001F56AC"/>
    <w:rsid w:val="00227862"/>
    <w:rsid w:val="00236424"/>
    <w:rsid w:val="002450B7"/>
    <w:rsid w:val="0024779A"/>
    <w:rsid w:val="002560EB"/>
    <w:rsid w:val="0029090D"/>
    <w:rsid w:val="002931DB"/>
    <w:rsid w:val="00293EDD"/>
    <w:rsid w:val="002A2F52"/>
    <w:rsid w:val="002B1D0D"/>
    <w:rsid w:val="00317711"/>
    <w:rsid w:val="003755AA"/>
    <w:rsid w:val="003D2FA6"/>
    <w:rsid w:val="003F0653"/>
    <w:rsid w:val="003F46EB"/>
    <w:rsid w:val="00425C70"/>
    <w:rsid w:val="00436249"/>
    <w:rsid w:val="004809E1"/>
    <w:rsid w:val="004B2AC3"/>
    <w:rsid w:val="004D4D06"/>
    <w:rsid w:val="004D5C1F"/>
    <w:rsid w:val="004F46B4"/>
    <w:rsid w:val="005237E3"/>
    <w:rsid w:val="005425AB"/>
    <w:rsid w:val="00561E0D"/>
    <w:rsid w:val="00564CA2"/>
    <w:rsid w:val="00585525"/>
    <w:rsid w:val="005A564D"/>
    <w:rsid w:val="005F49B2"/>
    <w:rsid w:val="0061163A"/>
    <w:rsid w:val="00642671"/>
    <w:rsid w:val="0065636B"/>
    <w:rsid w:val="0069071E"/>
    <w:rsid w:val="007275EB"/>
    <w:rsid w:val="0073468A"/>
    <w:rsid w:val="007530F8"/>
    <w:rsid w:val="007658F3"/>
    <w:rsid w:val="00775EBE"/>
    <w:rsid w:val="00796AFF"/>
    <w:rsid w:val="007C708B"/>
    <w:rsid w:val="007E51E5"/>
    <w:rsid w:val="007E5BCB"/>
    <w:rsid w:val="007F637E"/>
    <w:rsid w:val="00876852"/>
    <w:rsid w:val="00877AE6"/>
    <w:rsid w:val="0088006F"/>
    <w:rsid w:val="008B7EEB"/>
    <w:rsid w:val="008C7D64"/>
    <w:rsid w:val="008E0CBE"/>
    <w:rsid w:val="00904779"/>
    <w:rsid w:val="00921345"/>
    <w:rsid w:val="00951284"/>
    <w:rsid w:val="00974F29"/>
    <w:rsid w:val="0097729C"/>
    <w:rsid w:val="009775E7"/>
    <w:rsid w:val="00A15F34"/>
    <w:rsid w:val="00A231AB"/>
    <w:rsid w:val="00A55429"/>
    <w:rsid w:val="00A90F01"/>
    <w:rsid w:val="00AC4F78"/>
    <w:rsid w:val="00B16EF1"/>
    <w:rsid w:val="00B4302B"/>
    <w:rsid w:val="00B67984"/>
    <w:rsid w:val="00BB638C"/>
    <w:rsid w:val="00BD7F1C"/>
    <w:rsid w:val="00BE4088"/>
    <w:rsid w:val="00C222C5"/>
    <w:rsid w:val="00C22777"/>
    <w:rsid w:val="00C33190"/>
    <w:rsid w:val="00C50BED"/>
    <w:rsid w:val="00CB41FD"/>
    <w:rsid w:val="00CC45D9"/>
    <w:rsid w:val="00CE4683"/>
    <w:rsid w:val="00D27D7E"/>
    <w:rsid w:val="00D72B4C"/>
    <w:rsid w:val="00D80D7A"/>
    <w:rsid w:val="00D8559B"/>
    <w:rsid w:val="00DA4E7D"/>
    <w:rsid w:val="00E33B5C"/>
    <w:rsid w:val="00F27235"/>
    <w:rsid w:val="00F27F6F"/>
    <w:rsid w:val="00F63628"/>
    <w:rsid w:val="00F716A3"/>
    <w:rsid w:val="00F97B30"/>
    <w:rsid w:val="00FD5F33"/>
    <w:rsid w:val="00FF6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208C"/>
  <w15:docId w15:val="{24A4B4F6-8472-4963-B35F-20AD02F1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table" w:styleId="Lijsttabel3-Accent4">
    <w:name w:val="List Table 3 Accent 4"/>
    <w:basedOn w:val="Standaardtabel"/>
    <w:uiPriority w:val="48"/>
    <w:rsid w:val="00877AE6"/>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Lijstalinea">
    <w:name w:val="List Paragraph"/>
    <w:basedOn w:val="Standaard"/>
    <w:uiPriority w:val="34"/>
    <w:semiHidden/>
    <w:rsid w:val="00236424"/>
    <w:pPr>
      <w:ind w:left="720"/>
      <w:contextualSpacing/>
    </w:pPr>
  </w:style>
  <w:style w:type="paragraph" w:styleId="Revisie">
    <w:name w:val="Revision"/>
    <w:hidden/>
    <w:uiPriority w:val="99"/>
    <w:semiHidden/>
    <w:rsid w:val="00DA4E7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A4E7D"/>
    <w:rPr>
      <w:sz w:val="16"/>
      <w:szCs w:val="16"/>
    </w:rPr>
  </w:style>
  <w:style w:type="paragraph" w:styleId="Tekstopmerking">
    <w:name w:val="annotation text"/>
    <w:basedOn w:val="Standaard"/>
    <w:link w:val="TekstopmerkingChar"/>
    <w:uiPriority w:val="99"/>
    <w:unhideWhenUsed/>
    <w:rsid w:val="00DA4E7D"/>
    <w:pPr>
      <w:spacing w:line="240" w:lineRule="auto"/>
    </w:pPr>
    <w:rPr>
      <w:sz w:val="20"/>
      <w:szCs w:val="20"/>
    </w:rPr>
  </w:style>
  <w:style w:type="character" w:customStyle="1" w:styleId="TekstopmerkingChar">
    <w:name w:val="Tekst opmerking Char"/>
    <w:basedOn w:val="Standaardalinea-lettertype"/>
    <w:link w:val="Tekstopmerking"/>
    <w:uiPriority w:val="99"/>
    <w:rsid w:val="00DA4E7D"/>
    <w:rPr>
      <w:rFonts w:ascii="Verdana" w:hAnsi="Verdana"/>
      <w:color w:val="000000"/>
    </w:rPr>
  </w:style>
  <w:style w:type="paragraph" w:styleId="Koptekst">
    <w:name w:val="header"/>
    <w:basedOn w:val="Standaard"/>
    <w:link w:val="KoptekstChar"/>
    <w:uiPriority w:val="99"/>
    <w:unhideWhenUsed/>
    <w:rsid w:val="00256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60EB"/>
    <w:rPr>
      <w:rFonts w:ascii="Verdana" w:hAnsi="Verdana"/>
      <w:color w:val="000000"/>
      <w:sz w:val="18"/>
      <w:szCs w:val="18"/>
    </w:rPr>
  </w:style>
  <w:style w:type="paragraph" w:styleId="Voettekst">
    <w:name w:val="footer"/>
    <w:basedOn w:val="Standaard"/>
    <w:link w:val="VoettekstChar"/>
    <w:uiPriority w:val="99"/>
    <w:unhideWhenUsed/>
    <w:rsid w:val="002560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60EB"/>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85525"/>
    <w:rPr>
      <w:b/>
      <w:bCs/>
    </w:rPr>
  </w:style>
  <w:style w:type="character" w:customStyle="1" w:styleId="OnderwerpvanopmerkingChar">
    <w:name w:val="Onderwerp van opmerking Char"/>
    <w:basedOn w:val="TekstopmerkingChar"/>
    <w:link w:val="Onderwerpvanopmerking"/>
    <w:uiPriority w:val="99"/>
    <w:semiHidden/>
    <w:rsid w:val="005855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8658">
      <w:bodyDiv w:val="1"/>
      <w:marLeft w:val="0"/>
      <w:marRight w:val="0"/>
      <w:marTop w:val="0"/>
      <w:marBottom w:val="0"/>
      <w:divBdr>
        <w:top w:val="none" w:sz="0" w:space="0" w:color="auto"/>
        <w:left w:val="none" w:sz="0" w:space="0" w:color="auto"/>
        <w:bottom w:val="none" w:sz="0" w:space="0" w:color="auto"/>
        <w:right w:val="none" w:sz="0" w:space="0" w:color="auto"/>
      </w:divBdr>
    </w:div>
    <w:div w:id="467824159">
      <w:bodyDiv w:val="1"/>
      <w:marLeft w:val="0"/>
      <w:marRight w:val="0"/>
      <w:marTop w:val="0"/>
      <w:marBottom w:val="0"/>
      <w:divBdr>
        <w:top w:val="none" w:sz="0" w:space="0" w:color="auto"/>
        <w:left w:val="none" w:sz="0" w:space="0" w:color="auto"/>
        <w:bottom w:val="none" w:sz="0" w:space="0" w:color="auto"/>
        <w:right w:val="none" w:sz="0" w:space="0" w:color="auto"/>
      </w:divBdr>
    </w:div>
    <w:div w:id="488400502">
      <w:bodyDiv w:val="1"/>
      <w:marLeft w:val="0"/>
      <w:marRight w:val="0"/>
      <w:marTop w:val="0"/>
      <w:marBottom w:val="0"/>
      <w:divBdr>
        <w:top w:val="none" w:sz="0" w:space="0" w:color="auto"/>
        <w:left w:val="none" w:sz="0" w:space="0" w:color="auto"/>
        <w:bottom w:val="none" w:sz="0" w:space="0" w:color="auto"/>
        <w:right w:val="none" w:sz="0" w:space="0" w:color="auto"/>
      </w:divBdr>
    </w:div>
    <w:div w:id="632908298">
      <w:bodyDiv w:val="1"/>
      <w:marLeft w:val="0"/>
      <w:marRight w:val="0"/>
      <w:marTop w:val="0"/>
      <w:marBottom w:val="0"/>
      <w:divBdr>
        <w:top w:val="none" w:sz="0" w:space="0" w:color="auto"/>
        <w:left w:val="none" w:sz="0" w:space="0" w:color="auto"/>
        <w:bottom w:val="none" w:sz="0" w:space="0" w:color="auto"/>
        <w:right w:val="none" w:sz="0" w:space="0" w:color="auto"/>
      </w:divBdr>
    </w:div>
    <w:div w:id="704908388">
      <w:bodyDiv w:val="1"/>
      <w:marLeft w:val="0"/>
      <w:marRight w:val="0"/>
      <w:marTop w:val="0"/>
      <w:marBottom w:val="0"/>
      <w:divBdr>
        <w:top w:val="none" w:sz="0" w:space="0" w:color="auto"/>
        <w:left w:val="none" w:sz="0" w:space="0" w:color="auto"/>
        <w:bottom w:val="none" w:sz="0" w:space="0" w:color="auto"/>
        <w:right w:val="none" w:sz="0" w:space="0" w:color="auto"/>
      </w:divBdr>
    </w:div>
    <w:div w:id="754016163">
      <w:bodyDiv w:val="1"/>
      <w:marLeft w:val="0"/>
      <w:marRight w:val="0"/>
      <w:marTop w:val="0"/>
      <w:marBottom w:val="0"/>
      <w:divBdr>
        <w:top w:val="none" w:sz="0" w:space="0" w:color="auto"/>
        <w:left w:val="none" w:sz="0" w:space="0" w:color="auto"/>
        <w:bottom w:val="none" w:sz="0" w:space="0" w:color="auto"/>
        <w:right w:val="none" w:sz="0" w:space="0" w:color="auto"/>
      </w:divBdr>
    </w:div>
    <w:div w:id="1010914557">
      <w:bodyDiv w:val="1"/>
      <w:marLeft w:val="0"/>
      <w:marRight w:val="0"/>
      <w:marTop w:val="0"/>
      <w:marBottom w:val="0"/>
      <w:divBdr>
        <w:top w:val="none" w:sz="0" w:space="0" w:color="auto"/>
        <w:left w:val="none" w:sz="0" w:space="0" w:color="auto"/>
        <w:bottom w:val="none" w:sz="0" w:space="0" w:color="auto"/>
        <w:right w:val="none" w:sz="0" w:space="0" w:color="auto"/>
      </w:divBdr>
    </w:div>
    <w:div w:id="1140534763">
      <w:bodyDiv w:val="1"/>
      <w:marLeft w:val="0"/>
      <w:marRight w:val="0"/>
      <w:marTop w:val="0"/>
      <w:marBottom w:val="0"/>
      <w:divBdr>
        <w:top w:val="none" w:sz="0" w:space="0" w:color="auto"/>
        <w:left w:val="none" w:sz="0" w:space="0" w:color="auto"/>
        <w:bottom w:val="none" w:sz="0" w:space="0" w:color="auto"/>
        <w:right w:val="none" w:sz="0" w:space="0" w:color="auto"/>
      </w:divBdr>
    </w:div>
    <w:div w:id="1279683457">
      <w:bodyDiv w:val="1"/>
      <w:marLeft w:val="0"/>
      <w:marRight w:val="0"/>
      <w:marTop w:val="0"/>
      <w:marBottom w:val="0"/>
      <w:divBdr>
        <w:top w:val="none" w:sz="0" w:space="0" w:color="auto"/>
        <w:left w:val="none" w:sz="0" w:space="0" w:color="auto"/>
        <w:bottom w:val="none" w:sz="0" w:space="0" w:color="auto"/>
        <w:right w:val="none" w:sz="0" w:space="0" w:color="auto"/>
      </w:divBdr>
    </w:div>
    <w:div w:id="1780680911">
      <w:bodyDiv w:val="1"/>
      <w:marLeft w:val="0"/>
      <w:marRight w:val="0"/>
      <w:marTop w:val="0"/>
      <w:marBottom w:val="0"/>
      <w:divBdr>
        <w:top w:val="none" w:sz="0" w:space="0" w:color="auto"/>
        <w:left w:val="none" w:sz="0" w:space="0" w:color="auto"/>
        <w:bottom w:val="none" w:sz="0" w:space="0" w:color="auto"/>
        <w:right w:val="none" w:sz="0" w:space="0" w:color="auto"/>
      </w:divBdr>
    </w:div>
    <w:div w:id="1829125309">
      <w:bodyDiv w:val="1"/>
      <w:marLeft w:val="0"/>
      <w:marRight w:val="0"/>
      <w:marTop w:val="0"/>
      <w:marBottom w:val="0"/>
      <w:divBdr>
        <w:top w:val="none" w:sz="0" w:space="0" w:color="auto"/>
        <w:left w:val="none" w:sz="0" w:space="0" w:color="auto"/>
        <w:bottom w:val="none" w:sz="0" w:space="0" w:color="auto"/>
        <w:right w:val="none" w:sz="0" w:space="0" w:color="auto"/>
      </w:divBdr>
    </w:div>
    <w:div w:id="2112898087">
      <w:bodyDiv w:val="1"/>
      <w:marLeft w:val="0"/>
      <w:marRight w:val="0"/>
      <w:marTop w:val="0"/>
      <w:marBottom w:val="0"/>
      <w:divBdr>
        <w:top w:val="none" w:sz="0" w:space="0" w:color="auto"/>
        <w:left w:val="none" w:sz="0" w:space="0" w:color="auto"/>
        <w:bottom w:val="none" w:sz="0" w:space="0" w:color="auto"/>
        <w:right w:val="none" w:sz="0" w:space="0" w:color="auto"/>
      </w:divBdr>
    </w:div>
    <w:div w:id="2137553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1512</ap:Words>
  <ap:Characters>8319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Belangrijkste budgettaire wijzigingen Ontwerpbegroting 2026</vt:lpstr>
    </vt:vector>
  </ap:TitlesOfParts>
  <ap:LinksUpToDate>false</ap:LinksUpToDate>
  <ap:CharactersWithSpaces>9812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2025-09-16T08:33:00.0000000Z</lastPrinted>
  <dcterms:created xsi:type="dcterms:W3CDTF">2025-09-16T08:33:00.0000000Z</dcterms:created>
  <dcterms:modified xsi:type="dcterms:W3CDTF">2025-09-16T08:33:00.0000000Z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Financieel-Economische Zaken</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augustus 2025</vt:lpwstr>
  </property>
  <property fmtid="{D5CDD505-2E9C-101B-9397-08002B2CF9AE}" pid="14" name="Opgesteld door, Naam">
    <vt:lpwstr>B. van den Kerkhoff</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MSIP_Label_35ad6b54-f757-49c9-8c83-ef7f8aa67172_Enabled">
    <vt:lpwstr>true</vt:lpwstr>
  </property>
  <property fmtid="{D5CDD505-2E9C-101B-9397-08002B2CF9AE}" pid="30" name="MSIP_Label_35ad6b54-f757-49c9-8c83-ef7f8aa67172_SetDate">
    <vt:lpwstr>2025-09-16T06:33:52Z</vt:lpwstr>
  </property>
  <property fmtid="{D5CDD505-2E9C-101B-9397-08002B2CF9AE}" pid="31" name="MSIP_Label_35ad6b54-f757-49c9-8c83-ef7f8aa67172_Method">
    <vt:lpwstr>Standard</vt:lpwstr>
  </property>
  <property fmtid="{D5CDD505-2E9C-101B-9397-08002B2CF9AE}" pid="32" name="MSIP_Label_35ad6b54-f757-49c9-8c83-ef7f8aa67172_Name">
    <vt:lpwstr>FIN-DGRB-Rijksoverheid</vt:lpwstr>
  </property>
  <property fmtid="{D5CDD505-2E9C-101B-9397-08002B2CF9AE}" pid="33" name="MSIP_Label_35ad6b54-f757-49c9-8c83-ef7f8aa67172_SiteId">
    <vt:lpwstr>84712536-f524-40a0-913b-5d25ba502732</vt:lpwstr>
  </property>
  <property fmtid="{D5CDD505-2E9C-101B-9397-08002B2CF9AE}" pid="34" name="MSIP_Label_35ad6b54-f757-49c9-8c83-ef7f8aa67172_ActionId">
    <vt:lpwstr>1239164a-fe12-4b04-9537-73d75b3dccbc</vt:lpwstr>
  </property>
  <property fmtid="{D5CDD505-2E9C-101B-9397-08002B2CF9AE}" pid="35" name="MSIP_Label_35ad6b54-f757-49c9-8c83-ef7f8aa67172_ContentBits">
    <vt:lpwstr>0</vt:lpwstr>
  </property>
</Properties>
</file>