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0ECA" w:rsidP="002822CA" w:rsidRDefault="000F6BBC" w14:paraId="30F24462" w14:textId="0EC027E4">
      <w:r>
        <w:t xml:space="preserve">Geachte </w:t>
      </w:r>
      <w:r w:rsidR="003C614E">
        <w:t>V</w:t>
      </w:r>
      <w:r>
        <w:t>oorzitter,</w:t>
      </w:r>
    </w:p>
    <w:p w:rsidR="00CC7790" w:rsidP="004D64D0" w:rsidRDefault="00CC7790" w14:paraId="57342D38" w14:textId="77777777">
      <w:pPr>
        <w:rPr>
          <w:szCs w:val="18"/>
        </w:rPr>
      </w:pPr>
    </w:p>
    <w:p w:rsidR="004D64D0" w:rsidP="004D64D0" w:rsidRDefault="00E50D07" w14:paraId="525B4D9D" w14:textId="506D2C7B">
      <w:r>
        <w:rPr>
          <w:szCs w:val="18"/>
        </w:rPr>
        <w:t>Middels deze brief informeer ik u over</w:t>
      </w:r>
      <w:r w:rsidRPr="00693925" w:rsidR="00A222BA">
        <w:rPr>
          <w:szCs w:val="18"/>
        </w:rPr>
        <w:t xml:space="preserve"> de nieuwe beleidsuitgaven in de Ontwerpbegroting 2026 van het </w:t>
      </w:r>
      <w:r w:rsidR="00A222BA">
        <w:rPr>
          <w:szCs w:val="18"/>
        </w:rPr>
        <w:t>Ministerie</w:t>
      </w:r>
      <w:r w:rsidRPr="00693925" w:rsidR="00A222BA">
        <w:rPr>
          <w:szCs w:val="18"/>
        </w:rPr>
        <w:t xml:space="preserve"> van </w:t>
      </w:r>
      <w:r w:rsidR="00A222BA">
        <w:rPr>
          <w:szCs w:val="18"/>
        </w:rPr>
        <w:t>Economische Zaken</w:t>
      </w:r>
      <w:r>
        <w:t>.</w:t>
      </w:r>
    </w:p>
    <w:p w:rsidR="00CC7790" w:rsidP="004D64D0" w:rsidRDefault="00CC7790" w14:paraId="5DDA56FD" w14:textId="77777777"/>
    <w:p w:rsidR="004D64D0" w:rsidP="004D64D0" w:rsidRDefault="00781B0E" w14:paraId="5D38017E" w14:textId="52D8151F">
      <w:r w:rsidRPr="00781B0E">
        <w:t>In de bijlage zijn alleen uitgaven voor 2026 opgenomen, omdat alleen deze uitgaven ingevolge artikel 105 van de Grondwet ter autorisatie aan het parlement worden voorgelegd</w:t>
      </w:r>
      <w:r w:rsidRPr="004D64D0" w:rsidR="0061501C">
        <w:t>.</w:t>
      </w:r>
      <w:r w:rsidR="006E0F8C">
        <w:t xml:space="preserve"> </w:t>
      </w:r>
      <w:r w:rsidRPr="001067F2" w:rsidR="00701868">
        <w:t xml:space="preserve">Het </w:t>
      </w:r>
      <w:r w:rsidR="00701868">
        <w:t>betreffen</w:t>
      </w:r>
      <w:r w:rsidRPr="001067F2" w:rsidR="00701868">
        <w:t xml:space="preserve"> kasuitgaven op de beleidsartikelen van nieuw beleid of significante aanvullingen op lopend beleid waarover sinds de 1e suppletoire </w:t>
      </w:r>
      <w:r w:rsidR="00701868">
        <w:t>begroting van EZ</w:t>
      </w:r>
      <w:r w:rsidRPr="001067F2" w:rsidR="00701868">
        <w:t xml:space="preserve"> door het kabinet is besloten.</w:t>
      </w:r>
      <w:r w:rsidR="00701868">
        <w:t xml:space="preserve"> In beginsel geldt voor deze onderwerpen dat deze zonder tijdige </w:t>
      </w:r>
      <w:r w:rsidR="004506D1">
        <w:t xml:space="preserve">autorisatie </w:t>
      </w:r>
      <w:r w:rsidR="00FF4D2A">
        <w:t>niet tot rechtmatige besteding kunnen komen</w:t>
      </w:r>
      <w:r w:rsidR="004506D1">
        <w:t xml:space="preserve">, ofwel er hier niet rechtmatig </w:t>
      </w:r>
      <w:r w:rsidR="00A222BA">
        <w:t>een verplichting</w:t>
      </w:r>
      <w:r w:rsidR="004506D1">
        <w:t xml:space="preserve"> voor </w:t>
      </w:r>
      <w:r w:rsidR="00A222BA">
        <w:t>kan</w:t>
      </w:r>
      <w:r w:rsidR="004506D1">
        <w:t xml:space="preserve"> worden aangegaan.</w:t>
      </w:r>
    </w:p>
    <w:p w:rsidR="004506D1" w:rsidP="004D64D0" w:rsidRDefault="004506D1" w14:paraId="66D76FDC" w14:textId="77777777"/>
    <w:p w:rsidRPr="0062503A" w:rsidR="004506D1" w:rsidP="004D64D0" w:rsidRDefault="0062503A" w14:paraId="36738950" w14:textId="4E8381A3">
      <w:pPr>
        <w:rPr>
          <w:i/>
          <w:iCs/>
        </w:rPr>
      </w:pPr>
      <w:r w:rsidRPr="0062503A">
        <w:rPr>
          <w:i/>
          <w:iCs/>
        </w:rPr>
        <w:t>Begroting Nationaal Groeifonds</w:t>
      </w:r>
      <w:r>
        <w:rPr>
          <w:i/>
          <w:iCs/>
        </w:rPr>
        <w:t xml:space="preserve"> (NGF)</w:t>
      </w:r>
    </w:p>
    <w:p w:rsidR="00C90702" w:rsidP="00093ED7" w:rsidRDefault="00F46E9F" w14:paraId="64F645B6" w14:textId="7B49FE69">
      <w:r w:rsidRPr="00F46E9F">
        <w:t>Vanaf de NGF-begroting worden geen daadwerkelijke uitgaven gedaan. Hierdoor kunnen er op de NGF-begroting geen onrechtmatigheden voordoen als gevolg van eventueel uitgestelde behandeling. Wel vinden er verschillende overhevelingen plaats naar de departementale begrotingen van OCW, VWS en EZ. Het gaat echter om overhevelingen van eerder voorwaardelijk toegekende middelen voor reeds bestaande projecten, waarmee dit wordt beschouwd als lopend beleid.</w:t>
      </w:r>
    </w:p>
    <w:p w:rsidR="0062503A" w:rsidP="007F510A" w:rsidRDefault="0062503A" w14:paraId="51DF1AB8" w14:textId="77777777">
      <w:pPr>
        <w:rPr>
          <w:szCs w:val="18"/>
        </w:rPr>
      </w:pPr>
    </w:p>
    <w:p w:rsidR="00322A1A" w:rsidP="007F510A" w:rsidRDefault="00322A1A" w14:paraId="729CC5AC" w14:textId="77777777">
      <w:pPr>
        <w:rPr>
          <w:szCs w:val="18"/>
        </w:rPr>
      </w:pPr>
    </w:p>
    <w:p w:rsidR="00B56A5E" w:rsidP="007F510A" w:rsidRDefault="00B56A5E" w14:paraId="0A97B069" w14:textId="77777777">
      <w:pPr>
        <w:rPr>
          <w:szCs w:val="18"/>
        </w:rPr>
      </w:pPr>
    </w:p>
    <w:p w:rsidR="004D0526" w:rsidP="007F510A" w:rsidRDefault="004D0526" w14:paraId="0B754832" w14:textId="77777777">
      <w:pPr>
        <w:rPr>
          <w:szCs w:val="18"/>
        </w:rPr>
      </w:pPr>
    </w:p>
    <w:p w:rsidR="004D0526" w:rsidP="007F510A" w:rsidRDefault="004D0526" w14:paraId="3E6762C4" w14:textId="77777777">
      <w:pPr>
        <w:rPr>
          <w:szCs w:val="18"/>
        </w:rPr>
      </w:pPr>
    </w:p>
    <w:p w:rsidR="00114EF6" w:rsidP="007F510A" w:rsidRDefault="00114EF6" w14:paraId="2F8FCE44" w14:textId="77777777">
      <w:pPr>
        <w:rPr>
          <w:szCs w:val="18"/>
        </w:rPr>
      </w:pPr>
    </w:p>
    <w:p w:rsidR="00A148E0" w:rsidP="007F510A" w:rsidRDefault="00A148E0" w14:paraId="42F5895A" w14:textId="77777777">
      <w:pPr>
        <w:rPr>
          <w:szCs w:val="18"/>
        </w:rPr>
      </w:pPr>
    </w:p>
    <w:p w:rsidR="007F2CA7" w:rsidP="007F510A" w:rsidRDefault="007F2CA7" w14:paraId="0A25C662" w14:textId="77777777">
      <w:pPr>
        <w:rPr>
          <w:szCs w:val="18"/>
        </w:rPr>
      </w:pPr>
    </w:p>
    <w:p w:rsidR="00C90702" w:rsidP="007F510A" w:rsidRDefault="00446931" w14:paraId="56DD3F91" w14:textId="0E3C67D1">
      <w:pPr>
        <w:rPr>
          <w:szCs w:val="18"/>
        </w:rPr>
      </w:pPr>
      <w:r>
        <w:rPr>
          <w:szCs w:val="18"/>
        </w:rPr>
        <w:t>Vincent Karremans</w:t>
      </w:r>
    </w:p>
    <w:p w:rsidRPr="00591E4A" w:rsidR="007F2CA7" w:rsidP="007F510A" w:rsidRDefault="007F2CA7" w14:paraId="56609902" w14:textId="1DD59CD2">
      <w:pPr>
        <w:rPr>
          <w:szCs w:val="18"/>
        </w:rPr>
      </w:pPr>
      <w:r w:rsidRPr="005C65B5">
        <w:t>Minister van Economische Zaken</w:t>
      </w:r>
    </w:p>
    <w:p w:rsidR="00446931" w:rsidP="00524FB4" w:rsidRDefault="00446931" w14:paraId="00DC7F76" w14:textId="6F8D749B"/>
    <w:p w:rsidR="00446931" w:rsidRDefault="00446931" w14:paraId="51222398" w14:textId="77777777">
      <w:pPr>
        <w:spacing w:line="240" w:lineRule="auto"/>
      </w:pPr>
      <w:r>
        <w:br w:type="page"/>
      </w:r>
    </w:p>
    <w:p w:rsidR="004425CC" w:rsidP="00810C93" w:rsidRDefault="004331D1" w14:paraId="0292C300" w14:textId="608E59CB">
      <w:pPr>
        <w:rPr>
          <w:b/>
          <w:bCs/>
        </w:rPr>
      </w:pPr>
      <w:r w:rsidRPr="004331D1">
        <w:rPr>
          <w:b/>
          <w:bCs/>
        </w:rPr>
        <w:lastRenderedPageBreak/>
        <w:t xml:space="preserve">Bijlage </w:t>
      </w:r>
      <w:r w:rsidR="00E85B44">
        <w:rPr>
          <w:b/>
          <w:bCs/>
        </w:rPr>
        <w:t>Overzicht nieuwe</w:t>
      </w:r>
      <w:r w:rsidRPr="004331D1">
        <w:rPr>
          <w:b/>
          <w:bCs/>
        </w:rPr>
        <w:t xml:space="preserve"> beleidsuitgaven EZ-begroting 2026</w:t>
      </w:r>
      <w:r w:rsidR="004D64D0">
        <w:rPr>
          <w:b/>
          <w:bCs/>
        </w:rPr>
        <w:t xml:space="preserve"> </w:t>
      </w:r>
    </w:p>
    <w:p w:rsidR="001067F2" w:rsidP="00810C93" w:rsidRDefault="001067F2" w14:paraId="376AE177" w14:textId="77777777">
      <w:pPr>
        <w:rPr>
          <w:b/>
          <w:bCs/>
        </w:rPr>
      </w:pPr>
    </w:p>
    <w:p w:rsidRPr="001067F2" w:rsidR="001067F2" w:rsidP="00096710" w:rsidRDefault="00781B0E" w14:paraId="354E46E7" w14:textId="1C07961F">
      <w:r>
        <w:t>In de tabel staan de</w:t>
      </w:r>
      <w:r w:rsidRPr="001067F2" w:rsidR="001067F2">
        <w:t xml:space="preserve"> kasuitgaven op de beleidsartikelen</w:t>
      </w:r>
      <w:r>
        <w:t xml:space="preserve"> </w:t>
      </w:r>
      <w:r w:rsidRPr="001067F2" w:rsidR="001067F2">
        <w:t xml:space="preserve">van nieuw beleid of significante aanvullingen op lopend beleid waarover sinds de 1e suppletoire </w:t>
      </w:r>
      <w:r w:rsidR="001067F2">
        <w:t>begroting van EZ</w:t>
      </w:r>
      <w:r w:rsidRPr="001067F2" w:rsidR="001067F2">
        <w:t xml:space="preserve"> </w:t>
      </w:r>
      <w:r w:rsidR="00B56A5E">
        <w:t xml:space="preserve">over 2025 </w:t>
      </w:r>
      <w:r w:rsidRPr="001067F2" w:rsidR="001067F2">
        <w:t>door het kabinet is besloten. In het overzicht zijn geen</w:t>
      </w:r>
      <w:r w:rsidR="000F1A28">
        <w:t xml:space="preserve"> </w:t>
      </w:r>
      <w:r w:rsidRPr="001067F2" w:rsidR="001067F2">
        <w:t xml:space="preserve">wijzigingen van lopend beleid opgenomen, zoals </w:t>
      </w:r>
      <w:r w:rsidR="000F1A28">
        <w:t xml:space="preserve">de </w:t>
      </w:r>
      <w:r w:rsidRPr="001067F2" w:rsidR="001067F2">
        <w:t>uitgekeerde loon- en prijsbijstelling of het verevenen van mee- en tegenvallers.</w:t>
      </w:r>
      <w:r w:rsidR="000F1A28">
        <w:t xml:space="preserve"> Ook zijn significante budgetverlagingen buiten beschouwing gelaten, bijvoorbeeld als gevolg van invulling van de bij Voorjaarsnota opgelegde </w:t>
      </w:r>
      <w:r w:rsidR="00B56A5E">
        <w:t xml:space="preserve">EZ-specifieke </w:t>
      </w:r>
      <w:r w:rsidR="000F1A28">
        <w:t>subsidietaakstelling</w:t>
      </w:r>
      <w:r w:rsidR="00B56A5E">
        <w:t xml:space="preserve"> van € 25 mln</w:t>
      </w:r>
      <w:r w:rsidR="000F1A28">
        <w:t>.</w:t>
      </w:r>
    </w:p>
    <w:p w:rsidR="004D64D0" w:rsidP="00810C93" w:rsidRDefault="004D64D0" w14:paraId="052E3E5D" w14:textId="77777777">
      <w:pPr>
        <w:rPr>
          <w:b/>
          <w:bCs/>
        </w:rPr>
      </w:pPr>
    </w:p>
    <w:tbl>
      <w:tblPr>
        <w:tblW w:w="7480" w:type="dxa"/>
        <w:tblInd w:w="70" w:type="dxa"/>
        <w:tblCellMar>
          <w:left w:w="70" w:type="dxa"/>
          <w:right w:w="70" w:type="dxa"/>
        </w:tblCellMar>
        <w:tblLook w:val="04A0" w:firstRow="1" w:lastRow="0" w:firstColumn="1" w:lastColumn="0" w:noHBand="0" w:noVBand="1"/>
      </w:tblPr>
      <w:tblGrid>
        <w:gridCol w:w="5160"/>
        <w:gridCol w:w="960"/>
        <w:gridCol w:w="1360"/>
      </w:tblGrid>
      <w:tr w:rsidRPr="00221BD6" w:rsidR="00221BD6" w:rsidTr="00221BD6" w14:paraId="50824E1A" w14:textId="77777777">
        <w:trPr>
          <w:trHeight w:val="288"/>
        </w:trPr>
        <w:tc>
          <w:tcPr>
            <w:tcW w:w="5160" w:type="dxa"/>
            <w:tcBorders>
              <w:top w:val="nil"/>
              <w:left w:val="nil"/>
              <w:bottom w:val="nil"/>
              <w:right w:val="nil"/>
            </w:tcBorders>
            <w:shd w:val="clear" w:color="000000" w:fill="00B0F0"/>
            <w:noWrap/>
            <w:vAlign w:val="center"/>
            <w:hideMark/>
          </w:tcPr>
          <w:p w:rsidRPr="00221BD6" w:rsidR="00221BD6" w:rsidP="00221BD6" w:rsidRDefault="00221BD6" w14:paraId="487D9052" w14:textId="77777777">
            <w:pPr>
              <w:spacing w:line="240" w:lineRule="auto"/>
              <w:rPr>
                <w:rFonts w:cs="Calibri"/>
                <w:b/>
                <w:bCs/>
                <w:color w:val="FFFFFF"/>
                <w:sz w:val="16"/>
                <w:szCs w:val="16"/>
              </w:rPr>
            </w:pPr>
            <w:r w:rsidRPr="00221BD6">
              <w:rPr>
                <w:rFonts w:cs="Calibri"/>
                <w:b/>
                <w:bCs/>
                <w:color w:val="FFFFFF"/>
                <w:sz w:val="16"/>
                <w:szCs w:val="16"/>
              </w:rPr>
              <w:t>Nieuwe beleidsuitgaven 2026 (bedrag x € 1.000)</w:t>
            </w:r>
          </w:p>
        </w:tc>
        <w:tc>
          <w:tcPr>
            <w:tcW w:w="960" w:type="dxa"/>
            <w:tcBorders>
              <w:top w:val="nil"/>
              <w:left w:val="nil"/>
              <w:bottom w:val="nil"/>
              <w:right w:val="nil"/>
            </w:tcBorders>
            <w:shd w:val="clear" w:color="000000" w:fill="00B0F0"/>
            <w:noWrap/>
            <w:vAlign w:val="bottom"/>
            <w:hideMark/>
          </w:tcPr>
          <w:p w:rsidRPr="00221BD6" w:rsidR="00221BD6" w:rsidP="00221BD6" w:rsidRDefault="00221BD6" w14:paraId="1416629F" w14:textId="77777777">
            <w:pPr>
              <w:spacing w:line="240" w:lineRule="auto"/>
              <w:rPr>
                <w:rFonts w:cs="Calibri"/>
                <w:color w:val="FFFFFF"/>
                <w:sz w:val="16"/>
                <w:szCs w:val="16"/>
              </w:rPr>
            </w:pPr>
            <w:r w:rsidRPr="00221BD6">
              <w:rPr>
                <w:rFonts w:cs="Calibri"/>
                <w:color w:val="FFFFFF"/>
                <w:sz w:val="16"/>
                <w:szCs w:val="16"/>
              </w:rPr>
              <w:t> </w:t>
            </w:r>
          </w:p>
        </w:tc>
        <w:tc>
          <w:tcPr>
            <w:tcW w:w="1360" w:type="dxa"/>
            <w:tcBorders>
              <w:top w:val="nil"/>
              <w:left w:val="nil"/>
              <w:bottom w:val="nil"/>
              <w:right w:val="nil"/>
            </w:tcBorders>
            <w:shd w:val="clear" w:color="000000" w:fill="00B0F0"/>
            <w:noWrap/>
            <w:vAlign w:val="bottom"/>
            <w:hideMark/>
          </w:tcPr>
          <w:p w:rsidRPr="00221BD6" w:rsidR="00221BD6" w:rsidP="00221BD6" w:rsidRDefault="00221BD6" w14:paraId="39D23685" w14:textId="77777777">
            <w:pPr>
              <w:spacing w:line="240" w:lineRule="auto"/>
              <w:rPr>
                <w:rFonts w:cs="Calibri"/>
                <w:color w:val="FFFFFF"/>
                <w:sz w:val="16"/>
                <w:szCs w:val="16"/>
              </w:rPr>
            </w:pPr>
            <w:r w:rsidRPr="00221BD6">
              <w:rPr>
                <w:rFonts w:cs="Calibri"/>
                <w:color w:val="FFFFFF"/>
                <w:sz w:val="16"/>
                <w:szCs w:val="16"/>
              </w:rPr>
              <w:t> </w:t>
            </w:r>
          </w:p>
        </w:tc>
      </w:tr>
      <w:tr w:rsidRPr="00221BD6" w:rsidR="00221BD6" w:rsidTr="00221BD6" w14:paraId="1B35BFE9" w14:textId="77777777">
        <w:trPr>
          <w:trHeight w:val="288"/>
        </w:trPr>
        <w:tc>
          <w:tcPr>
            <w:tcW w:w="5160" w:type="dxa"/>
            <w:tcBorders>
              <w:top w:val="nil"/>
              <w:left w:val="nil"/>
              <w:bottom w:val="single" w:color="00B0F0" w:sz="4" w:space="0"/>
              <w:right w:val="nil"/>
            </w:tcBorders>
            <w:shd w:val="clear" w:color="000000" w:fill="FFFFFF"/>
            <w:noWrap/>
            <w:vAlign w:val="center"/>
            <w:hideMark/>
          </w:tcPr>
          <w:p w:rsidRPr="00221BD6" w:rsidR="00221BD6" w:rsidP="00221BD6" w:rsidRDefault="00221BD6" w14:paraId="31FB27B8" w14:textId="77777777">
            <w:pPr>
              <w:spacing w:line="240" w:lineRule="auto"/>
              <w:rPr>
                <w:rFonts w:cs="Calibri"/>
                <w:color w:val="000000"/>
                <w:sz w:val="16"/>
                <w:szCs w:val="16"/>
              </w:rPr>
            </w:pPr>
            <w:r w:rsidRPr="00221BD6">
              <w:rPr>
                <w:rFonts w:cs="Calibri"/>
                <w:color w:val="000000"/>
                <w:sz w:val="16"/>
                <w:szCs w:val="16"/>
              </w:rPr>
              <w:t> </w:t>
            </w:r>
          </w:p>
        </w:tc>
        <w:tc>
          <w:tcPr>
            <w:tcW w:w="960" w:type="dxa"/>
            <w:tcBorders>
              <w:top w:val="nil"/>
              <w:left w:val="nil"/>
              <w:bottom w:val="single" w:color="00B0F0" w:sz="4" w:space="0"/>
              <w:right w:val="nil"/>
            </w:tcBorders>
            <w:shd w:val="clear" w:color="000000" w:fill="FFFFFF"/>
            <w:noWrap/>
            <w:vAlign w:val="center"/>
            <w:hideMark/>
          </w:tcPr>
          <w:p w:rsidRPr="00221BD6" w:rsidR="00221BD6" w:rsidP="00221BD6" w:rsidRDefault="00221BD6" w14:paraId="0B2F8361" w14:textId="77777777">
            <w:pPr>
              <w:spacing w:line="240" w:lineRule="auto"/>
              <w:jc w:val="center"/>
              <w:rPr>
                <w:rFonts w:cs="Calibri"/>
                <w:color w:val="000000"/>
                <w:sz w:val="16"/>
                <w:szCs w:val="16"/>
              </w:rPr>
            </w:pPr>
            <w:r w:rsidRPr="00221BD6">
              <w:rPr>
                <w:rFonts w:cs="Calibri"/>
                <w:color w:val="000000"/>
                <w:sz w:val="16"/>
                <w:szCs w:val="16"/>
              </w:rPr>
              <w:t>Artikel</w:t>
            </w:r>
          </w:p>
        </w:tc>
        <w:tc>
          <w:tcPr>
            <w:tcW w:w="1360" w:type="dxa"/>
            <w:tcBorders>
              <w:top w:val="nil"/>
              <w:left w:val="nil"/>
              <w:bottom w:val="single" w:color="00B0F0" w:sz="4" w:space="0"/>
              <w:right w:val="nil"/>
            </w:tcBorders>
            <w:shd w:val="clear" w:color="000000" w:fill="FFFFFF"/>
            <w:noWrap/>
            <w:vAlign w:val="center"/>
            <w:hideMark/>
          </w:tcPr>
          <w:p w:rsidRPr="00221BD6" w:rsidR="00221BD6" w:rsidP="00221BD6" w:rsidRDefault="00221BD6" w14:paraId="38CFE94B" w14:textId="77777777">
            <w:pPr>
              <w:spacing w:line="240" w:lineRule="auto"/>
              <w:jc w:val="right"/>
              <w:rPr>
                <w:rFonts w:cs="Calibri"/>
                <w:color w:val="000000"/>
                <w:sz w:val="16"/>
                <w:szCs w:val="16"/>
              </w:rPr>
            </w:pPr>
            <w:r w:rsidRPr="00221BD6">
              <w:rPr>
                <w:rFonts w:cs="Calibri"/>
                <w:color w:val="000000"/>
                <w:sz w:val="16"/>
                <w:szCs w:val="16"/>
              </w:rPr>
              <w:t>Kas</w:t>
            </w:r>
          </w:p>
        </w:tc>
      </w:tr>
      <w:tr w:rsidRPr="00221BD6" w:rsidR="00221BD6" w:rsidTr="00DA4163" w14:paraId="49B065F3" w14:textId="77777777">
        <w:trPr>
          <w:trHeight w:val="288"/>
        </w:trPr>
        <w:tc>
          <w:tcPr>
            <w:tcW w:w="5160" w:type="dxa"/>
            <w:tcBorders>
              <w:top w:val="nil"/>
              <w:left w:val="nil"/>
              <w:bottom w:val="single" w:color="00B0F0" w:sz="4" w:space="0"/>
              <w:right w:val="nil"/>
            </w:tcBorders>
            <w:shd w:val="clear" w:color="auto" w:fill="auto"/>
            <w:noWrap/>
            <w:vAlign w:val="center"/>
            <w:hideMark/>
          </w:tcPr>
          <w:p w:rsidRPr="00221BD6" w:rsidR="00221BD6" w:rsidP="00221BD6" w:rsidRDefault="00F72D39" w14:paraId="5D8E9199" w14:textId="01EE0D39">
            <w:pPr>
              <w:spacing w:line="240" w:lineRule="auto"/>
              <w:rPr>
                <w:rFonts w:cs="Calibri"/>
                <w:color w:val="000000"/>
                <w:sz w:val="16"/>
                <w:szCs w:val="16"/>
              </w:rPr>
            </w:pPr>
            <w:r>
              <w:rPr>
                <w:rFonts w:cs="Calibri"/>
                <w:color w:val="000000"/>
                <w:sz w:val="16"/>
                <w:szCs w:val="16"/>
              </w:rPr>
              <w:t>1</w:t>
            </w:r>
            <w:r w:rsidRPr="00221BD6" w:rsidR="00221BD6">
              <w:rPr>
                <w:rFonts w:cs="Calibri"/>
                <w:color w:val="000000"/>
                <w:sz w:val="16"/>
                <w:szCs w:val="16"/>
              </w:rPr>
              <w:t xml:space="preserve">) </w:t>
            </w:r>
            <w:r w:rsidR="00470938">
              <w:rPr>
                <w:rFonts w:cs="Calibri"/>
                <w:color w:val="000000"/>
                <w:sz w:val="16"/>
                <w:szCs w:val="16"/>
              </w:rPr>
              <w:t>(</w:t>
            </w:r>
            <w:r w:rsidRPr="00221BD6" w:rsidR="00221BD6">
              <w:rPr>
                <w:rFonts w:cs="Calibri"/>
                <w:color w:val="000000"/>
                <w:sz w:val="16"/>
                <w:szCs w:val="16"/>
              </w:rPr>
              <w:t xml:space="preserve">PEGA - </w:t>
            </w:r>
            <w:r w:rsidR="00470938">
              <w:rPr>
                <w:rFonts w:cs="Calibri"/>
                <w:color w:val="000000"/>
                <w:sz w:val="16"/>
                <w:szCs w:val="16"/>
              </w:rPr>
              <w:t>)</w:t>
            </w:r>
            <w:r w:rsidRPr="00221BD6" w:rsidR="00221BD6">
              <w:rPr>
                <w:rFonts w:cs="Calibri"/>
                <w:color w:val="000000"/>
                <w:sz w:val="16"/>
                <w:szCs w:val="16"/>
              </w:rPr>
              <w:t>AI-fabriek</w:t>
            </w:r>
          </w:p>
        </w:tc>
        <w:tc>
          <w:tcPr>
            <w:tcW w:w="960" w:type="dxa"/>
            <w:tcBorders>
              <w:top w:val="nil"/>
              <w:left w:val="nil"/>
              <w:bottom w:val="single" w:color="00B0F0" w:sz="4" w:space="0"/>
              <w:right w:val="nil"/>
            </w:tcBorders>
            <w:shd w:val="clear" w:color="auto" w:fill="auto"/>
            <w:noWrap/>
            <w:vAlign w:val="center"/>
            <w:hideMark/>
          </w:tcPr>
          <w:p w:rsidRPr="00221BD6" w:rsidR="00221BD6" w:rsidP="00221BD6" w:rsidRDefault="00221BD6" w14:paraId="41748E46" w14:textId="77777777">
            <w:pPr>
              <w:spacing w:line="240" w:lineRule="auto"/>
              <w:jc w:val="center"/>
              <w:rPr>
                <w:rFonts w:cs="Calibri"/>
                <w:color w:val="000000"/>
                <w:sz w:val="16"/>
                <w:szCs w:val="16"/>
              </w:rPr>
            </w:pPr>
            <w:r w:rsidRPr="00221BD6">
              <w:rPr>
                <w:rFonts w:cs="Calibri"/>
                <w:color w:val="000000"/>
                <w:sz w:val="16"/>
                <w:szCs w:val="16"/>
              </w:rPr>
              <w:t>1</w:t>
            </w:r>
          </w:p>
        </w:tc>
        <w:tc>
          <w:tcPr>
            <w:tcW w:w="1360" w:type="dxa"/>
            <w:tcBorders>
              <w:top w:val="nil"/>
              <w:left w:val="nil"/>
              <w:bottom w:val="single" w:color="00B0F0" w:sz="4" w:space="0"/>
              <w:right w:val="nil"/>
            </w:tcBorders>
            <w:shd w:val="clear" w:color="auto" w:fill="auto"/>
            <w:noWrap/>
            <w:vAlign w:val="center"/>
            <w:hideMark/>
          </w:tcPr>
          <w:p w:rsidRPr="00221BD6" w:rsidR="00221BD6" w:rsidP="00221BD6" w:rsidRDefault="00221BD6" w14:paraId="2F82D84A" w14:textId="0E4F1C06">
            <w:pPr>
              <w:spacing w:line="240" w:lineRule="auto"/>
              <w:jc w:val="right"/>
              <w:rPr>
                <w:rFonts w:cs="Calibri"/>
                <w:color w:val="000000"/>
                <w:sz w:val="16"/>
                <w:szCs w:val="16"/>
              </w:rPr>
            </w:pPr>
            <w:r w:rsidRPr="00221BD6">
              <w:rPr>
                <w:rFonts w:cs="Calibri"/>
                <w:color w:val="000000"/>
                <w:sz w:val="16"/>
                <w:szCs w:val="16"/>
              </w:rPr>
              <w:t>4</w:t>
            </w:r>
            <w:r w:rsidR="00F72D39">
              <w:rPr>
                <w:rFonts w:cs="Calibri"/>
                <w:color w:val="000000"/>
                <w:sz w:val="16"/>
                <w:szCs w:val="16"/>
              </w:rPr>
              <w:t>2</w:t>
            </w:r>
            <w:r w:rsidRPr="00221BD6">
              <w:rPr>
                <w:rFonts w:cs="Calibri"/>
                <w:color w:val="000000"/>
                <w:sz w:val="16"/>
                <w:szCs w:val="16"/>
              </w:rPr>
              <w:t>.</w:t>
            </w:r>
            <w:r w:rsidR="00F72D39">
              <w:rPr>
                <w:rFonts w:cs="Calibri"/>
                <w:color w:val="000000"/>
                <w:sz w:val="16"/>
                <w:szCs w:val="16"/>
              </w:rPr>
              <w:t>0</w:t>
            </w:r>
            <w:r w:rsidRPr="00221BD6">
              <w:rPr>
                <w:rFonts w:cs="Calibri"/>
                <w:color w:val="000000"/>
                <w:sz w:val="16"/>
                <w:szCs w:val="16"/>
              </w:rPr>
              <w:t>97</w:t>
            </w:r>
          </w:p>
        </w:tc>
      </w:tr>
      <w:tr w:rsidRPr="00221BD6" w:rsidR="00221BD6" w:rsidTr="00221BD6" w14:paraId="19DD1C15" w14:textId="77777777">
        <w:trPr>
          <w:trHeight w:val="288"/>
        </w:trPr>
        <w:tc>
          <w:tcPr>
            <w:tcW w:w="5160" w:type="dxa"/>
            <w:tcBorders>
              <w:top w:val="nil"/>
              <w:left w:val="nil"/>
              <w:bottom w:val="single" w:color="00B0F0" w:sz="4" w:space="0"/>
              <w:right w:val="nil"/>
            </w:tcBorders>
            <w:shd w:val="clear" w:color="000000" w:fill="FFFFFF"/>
            <w:noWrap/>
            <w:vAlign w:val="center"/>
            <w:hideMark/>
          </w:tcPr>
          <w:p w:rsidRPr="00221BD6" w:rsidR="00221BD6" w:rsidP="00221BD6" w:rsidRDefault="00F72D39" w14:paraId="0F43F7AB" w14:textId="53AF6E37">
            <w:pPr>
              <w:spacing w:line="240" w:lineRule="auto"/>
              <w:rPr>
                <w:rFonts w:cs="Calibri"/>
                <w:color w:val="000000"/>
                <w:sz w:val="16"/>
                <w:szCs w:val="16"/>
              </w:rPr>
            </w:pPr>
            <w:r>
              <w:rPr>
                <w:rFonts w:cs="Calibri"/>
                <w:color w:val="000000"/>
                <w:sz w:val="16"/>
                <w:szCs w:val="16"/>
              </w:rPr>
              <w:t>2</w:t>
            </w:r>
            <w:r w:rsidRPr="00221BD6" w:rsidR="00221BD6">
              <w:rPr>
                <w:rFonts w:cs="Calibri"/>
                <w:color w:val="000000"/>
                <w:sz w:val="16"/>
                <w:szCs w:val="16"/>
              </w:rPr>
              <w:t>) Onderzoek en opdrachten</w:t>
            </w:r>
          </w:p>
        </w:tc>
        <w:tc>
          <w:tcPr>
            <w:tcW w:w="960" w:type="dxa"/>
            <w:tcBorders>
              <w:top w:val="nil"/>
              <w:left w:val="nil"/>
              <w:bottom w:val="single" w:color="00B0F0" w:sz="4" w:space="0"/>
              <w:right w:val="nil"/>
            </w:tcBorders>
            <w:shd w:val="clear" w:color="000000" w:fill="FFFFFF"/>
            <w:noWrap/>
            <w:vAlign w:val="center"/>
            <w:hideMark/>
          </w:tcPr>
          <w:p w:rsidRPr="00221BD6" w:rsidR="00221BD6" w:rsidP="00221BD6" w:rsidRDefault="00221BD6" w14:paraId="3D810D2C" w14:textId="77777777">
            <w:pPr>
              <w:spacing w:line="240" w:lineRule="auto"/>
              <w:jc w:val="center"/>
              <w:rPr>
                <w:rFonts w:cs="Calibri"/>
                <w:color w:val="000000"/>
                <w:sz w:val="16"/>
                <w:szCs w:val="16"/>
              </w:rPr>
            </w:pPr>
            <w:r w:rsidRPr="00221BD6">
              <w:rPr>
                <w:rFonts w:cs="Calibri"/>
                <w:color w:val="000000"/>
                <w:sz w:val="16"/>
                <w:szCs w:val="16"/>
              </w:rPr>
              <w:t>1</w:t>
            </w:r>
          </w:p>
        </w:tc>
        <w:tc>
          <w:tcPr>
            <w:tcW w:w="1360" w:type="dxa"/>
            <w:tcBorders>
              <w:top w:val="nil"/>
              <w:left w:val="nil"/>
              <w:bottom w:val="single" w:color="00B0F0" w:sz="4" w:space="0"/>
              <w:right w:val="nil"/>
            </w:tcBorders>
            <w:shd w:val="clear" w:color="000000" w:fill="FFFFFF"/>
            <w:noWrap/>
            <w:vAlign w:val="center"/>
            <w:hideMark/>
          </w:tcPr>
          <w:p w:rsidRPr="00221BD6" w:rsidR="00221BD6" w:rsidP="00221BD6" w:rsidRDefault="00221BD6" w14:paraId="1AE337B7" w14:textId="77777777">
            <w:pPr>
              <w:spacing w:line="240" w:lineRule="auto"/>
              <w:jc w:val="right"/>
              <w:rPr>
                <w:rFonts w:cs="Calibri"/>
                <w:color w:val="000000"/>
                <w:sz w:val="16"/>
                <w:szCs w:val="16"/>
              </w:rPr>
            </w:pPr>
            <w:r w:rsidRPr="00221BD6">
              <w:rPr>
                <w:rFonts w:cs="Calibri"/>
                <w:color w:val="000000"/>
                <w:sz w:val="16"/>
                <w:szCs w:val="16"/>
              </w:rPr>
              <w:t>1.300</w:t>
            </w:r>
          </w:p>
        </w:tc>
      </w:tr>
      <w:tr w:rsidRPr="00221BD6" w:rsidR="00221BD6" w:rsidTr="00221BD6" w14:paraId="683C8240" w14:textId="77777777">
        <w:trPr>
          <w:trHeight w:val="288"/>
        </w:trPr>
        <w:tc>
          <w:tcPr>
            <w:tcW w:w="5160" w:type="dxa"/>
            <w:tcBorders>
              <w:top w:val="nil"/>
              <w:left w:val="nil"/>
              <w:bottom w:val="single" w:color="00B0F0" w:sz="4" w:space="0"/>
              <w:right w:val="nil"/>
            </w:tcBorders>
            <w:shd w:val="clear" w:color="000000" w:fill="FFFFFF"/>
            <w:noWrap/>
            <w:vAlign w:val="center"/>
            <w:hideMark/>
          </w:tcPr>
          <w:p w:rsidRPr="00221BD6" w:rsidR="00221BD6" w:rsidP="00221BD6" w:rsidRDefault="00F72D39" w14:paraId="528B18BC" w14:textId="6B293AB6">
            <w:pPr>
              <w:spacing w:line="240" w:lineRule="auto"/>
              <w:rPr>
                <w:rFonts w:cs="Calibri"/>
                <w:color w:val="000000"/>
                <w:sz w:val="16"/>
                <w:szCs w:val="16"/>
              </w:rPr>
            </w:pPr>
            <w:r>
              <w:rPr>
                <w:rFonts w:cs="Calibri"/>
                <w:color w:val="000000"/>
                <w:sz w:val="16"/>
                <w:szCs w:val="16"/>
              </w:rPr>
              <w:t>3</w:t>
            </w:r>
            <w:r w:rsidRPr="00221BD6" w:rsidR="00221BD6">
              <w:rPr>
                <w:rFonts w:cs="Calibri"/>
                <w:color w:val="000000"/>
                <w:sz w:val="16"/>
                <w:szCs w:val="16"/>
              </w:rPr>
              <w:t>) IPCEI Advanced Semiconductor Technologies</w:t>
            </w:r>
          </w:p>
        </w:tc>
        <w:tc>
          <w:tcPr>
            <w:tcW w:w="960" w:type="dxa"/>
            <w:tcBorders>
              <w:top w:val="nil"/>
              <w:left w:val="nil"/>
              <w:bottom w:val="single" w:color="00B0F0" w:sz="4" w:space="0"/>
              <w:right w:val="nil"/>
            </w:tcBorders>
            <w:shd w:val="clear" w:color="000000" w:fill="FFFFFF"/>
            <w:noWrap/>
            <w:vAlign w:val="center"/>
            <w:hideMark/>
          </w:tcPr>
          <w:p w:rsidRPr="00221BD6" w:rsidR="00221BD6" w:rsidP="00221BD6" w:rsidRDefault="00221BD6" w14:paraId="3D40CC99" w14:textId="77777777">
            <w:pPr>
              <w:spacing w:line="240" w:lineRule="auto"/>
              <w:jc w:val="center"/>
              <w:rPr>
                <w:rFonts w:cs="Calibri"/>
                <w:color w:val="000000"/>
                <w:sz w:val="16"/>
                <w:szCs w:val="16"/>
              </w:rPr>
            </w:pPr>
            <w:r w:rsidRPr="00221BD6">
              <w:rPr>
                <w:rFonts w:cs="Calibri"/>
                <w:color w:val="000000"/>
                <w:sz w:val="16"/>
                <w:szCs w:val="16"/>
              </w:rPr>
              <w:t>2/3</w:t>
            </w:r>
          </w:p>
        </w:tc>
        <w:tc>
          <w:tcPr>
            <w:tcW w:w="1360" w:type="dxa"/>
            <w:tcBorders>
              <w:top w:val="nil"/>
              <w:left w:val="nil"/>
              <w:bottom w:val="single" w:color="00B0F0" w:sz="4" w:space="0"/>
              <w:right w:val="nil"/>
            </w:tcBorders>
            <w:shd w:val="clear" w:color="000000" w:fill="FFFFFF"/>
            <w:noWrap/>
            <w:vAlign w:val="center"/>
            <w:hideMark/>
          </w:tcPr>
          <w:p w:rsidRPr="00221BD6" w:rsidR="00221BD6" w:rsidP="00221BD6" w:rsidRDefault="00221BD6" w14:paraId="79F5DD6C" w14:textId="77777777">
            <w:pPr>
              <w:spacing w:line="240" w:lineRule="auto"/>
              <w:jc w:val="right"/>
              <w:rPr>
                <w:rFonts w:cs="Calibri"/>
                <w:color w:val="000000"/>
                <w:sz w:val="16"/>
                <w:szCs w:val="16"/>
              </w:rPr>
            </w:pPr>
            <w:r w:rsidRPr="00221BD6">
              <w:rPr>
                <w:rFonts w:cs="Calibri"/>
                <w:color w:val="000000"/>
                <w:sz w:val="16"/>
                <w:szCs w:val="16"/>
              </w:rPr>
              <w:t>0</w:t>
            </w:r>
          </w:p>
        </w:tc>
      </w:tr>
      <w:tr w:rsidRPr="00221BD6" w:rsidR="00221BD6" w:rsidTr="00221BD6" w14:paraId="3F14479F" w14:textId="77777777">
        <w:trPr>
          <w:trHeight w:val="288"/>
        </w:trPr>
        <w:tc>
          <w:tcPr>
            <w:tcW w:w="5160" w:type="dxa"/>
            <w:tcBorders>
              <w:top w:val="nil"/>
              <w:left w:val="nil"/>
              <w:bottom w:val="single" w:color="00B0F0" w:sz="4" w:space="0"/>
              <w:right w:val="nil"/>
            </w:tcBorders>
            <w:shd w:val="clear" w:color="000000" w:fill="FFFFFF"/>
            <w:noWrap/>
            <w:vAlign w:val="center"/>
            <w:hideMark/>
          </w:tcPr>
          <w:p w:rsidRPr="00EA3458" w:rsidR="00221BD6" w:rsidP="00221BD6" w:rsidRDefault="00F72D39" w14:paraId="745DC191" w14:textId="6312A468">
            <w:pPr>
              <w:spacing w:line="240" w:lineRule="auto"/>
              <w:rPr>
                <w:rFonts w:cs="Calibri"/>
                <w:color w:val="000000"/>
                <w:sz w:val="16"/>
                <w:szCs w:val="16"/>
                <w:lang w:val="fr-FR"/>
              </w:rPr>
            </w:pPr>
            <w:r w:rsidRPr="00EA3458">
              <w:rPr>
                <w:rFonts w:cs="Calibri"/>
                <w:color w:val="000000"/>
                <w:sz w:val="16"/>
                <w:szCs w:val="16"/>
                <w:lang w:val="fr-FR"/>
              </w:rPr>
              <w:t>4</w:t>
            </w:r>
            <w:r w:rsidRPr="00EA3458" w:rsidR="00221BD6">
              <w:rPr>
                <w:rFonts w:cs="Calibri"/>
                <w:color w:val="000000"/>
                <w:sz w:val="16"/>
                <w:szCs w:val="16"/>
                <w:lang w:val="fr-FR"/>
              </w:rPr>
              <w:t>) European Tech Champions Initiative (ETCI)</w:t>
            </w:r>
          </w:p>
        </w:tc>
        <w:tc>
          <w:tcPr>
            <w:tcW w:w="960" w:type="dxa"/>
            <w:tcBorders>
              <w:top w:val="nil"/>
              <w:left w:val="nil"/>
              <w:bottom w:val="single" w:color="00B0F0" w:sz="4" w:space="0"/>
              <w:right w:val="nil"/>
            </w:tcBorders>
            <w:shd w:val="clear" w:color="000000" w:fill="FFFFFF"/>
            <w:noWrap/>
            <w:vAlign w:val="center"/>
            <w:hideMark/>
          </w:tcPr>
          <w:p w:rsidRPr="00221BD6" w:rsidR="00221BD6" w:rsidP="00221BD6" w:rsidRDefault="00221BD6" w14:paraId="4BD7BC3B" w14:textId="77777777">
            <w:pPr>
              <w:spacing w:line="240" w:lineRule="auto"/>
              <w:jc w:val="center"/>
              <w:rPr>
                <w:rFonts w:cs="Calibri"/>
                <w:color w:val="000000"/>
                <w:sz w:val="16"/>
                <w:szCs w:val="16"/>
              </w:rPr>
            </w:pPr>
            <w:r w:rsidRPr="00221BD6">
              <w:rPr>
                <w:rFonts w:cs="Calibri"/>
                <w:color w:val="000000"/>
                <w:sz w:val="16"/>
                <w:szCs w:val="16"/>
              </w:rPr>
              <w:t>3</w:t>
            </w:r>
          </w:p>
        </w:tc>
        <w:tc>
          <w:tcPr>
            <w:tcW w:w="1360" w:type="dxa"/>
            <w:tcBorders>
              <w:top w:val="nil"/>
              <w:left w:val="nil"/>
              <w:bottom w:val="single" w:color="00B0F0" w:sz="4" w:space="0"/>
              <w:right w:val="nil"/>
            </w:tcBorders>
            <w:shd w:val="clear" w:color="000000" w:fill="FFFFFF"/>
            <w:noWrap/>
            <w:vAlign w:val="center"/>
            <w:hideMark/>
          </w:tcPr>
          <w:p w:rsidRPr="00221BD6" w:rsidR="00221BD6" w:rsidP="00221BD6" w:rsidRDefault="00221BD6" w14:paraId="2E5CF448" w14:textId="77777777">
            <w:pPr>
              <w:spacing w:line="240" w:lineRule="auto"/>
              <w:jc w:val="right"/>
              <w:rPr>
                <w:rFonts w:cs="Calibri"/>
                <w:color w:val="000000"/>
                <w:sz w:val="16"/>
                <w:szCs w:val="16"/>
              </w:rPr>
            </w:pPr>
            <w:r w:rsidRPr="00221BD6">
              <w:rPr>
                <w:rFonts w:cs="Calibri"/>
                <w:color w:val="000000"/>
                <w:sz w:val="16"/>
                <w:szCs w:val="16"/>
              </w:rPr>
              <w:t>200.000</w:t>
            </w:r>
          </w:p>
        </w:tc>
      </w:tr>
      <w:tr w:rsidRPr="00221BD6" w:rsidR="00221BD6" w:rsidTr="00221BD6" w14:paraId="0F167A0A" w14:textId="77777777">
        <w:trPr>
          <w:trHeight w:val="288"/>
        </w:trPr>
        <w:tc>
          <w:tcPr>
            <w:tcW w:w="5160" w:type="dxa"/>
            <w:tcBorders>
              <w:top w:val="nil"/>
              <w:left w:val="nil"/>
              <w:bottom w:val="single" w:color="00B0F0" w:sz="4" w:space="0"/>
              <w:right w:val="nil"/>
            </w:tcBorders>
            <w:shd w:val="clear" w:color="000000" w:fill="FFFFFF"/>
            <w:noWrap/>
            <w:vAlign w:val="center"/>
            <w:hideMark/>
          </w:tcPr>
          <w:p w:rsidRPr="00221BD6" w:rsidR="00221BD6" w:rsidP="00221BD6" w:rsidRDefault="00F72D39" w14:paraId="080C73F5" w14:textId="0B1F6F32">
            <w:pPr>
              <w:spacing w:line="240" w:lineRule="auto"/>
              <w:rPr>
                <w:rFonts w:cs="Calibri"/>
                <w:color w:val="000000"/>
                <w:sz w:val="16"/>
                <w:szCs w:val="16"/>
              </w:rPr>
            </w:pPr>
            <w:r>
              <w:rPr>
                <w:rFonts w:cs="Calibri"/>
                <w:color w:val="000000"/>
                <w:sz w:val="16"/>
                <w:szCs w:val="16"/>
              </w:rPr>
              <w:t>5</w:t>
            </w:r>
            <w:r w:rsidRPr="00221BD6" w:rsidR="00221BD6">
              <w:rPr>
                <w:rFonts w:cs="Calibri"/>
                <w:color w:val="000000"/>
                <w:sz w:val="16"/>
                <w:szCs w:val="16"/>
              </w:rPr>
              <w:t>) Overhevelingen Nationaal Groeifonds</w:t>
            </w:r>
            <w:r w:rsidR="00F46E9F">
              <w:rPr>
                <w:rFonts w:cs="Calibri"/>
                <w:color w:val="000000"/>
                <w:sz w:val="16"/>
                <w:szCs w:val="16"/>
              </w:rPr>
              <w:t xml:space="preserve"> (NGF)</w:t>
            </w:r>
          </w:p>
        </w:tc>
        <w:tc>
          <w:tcPr>
            <w:tcW w:w="960" w:type="dxa"/>
            <w:tcBorders>
              <w:top w:val="nil"/>
              <w:left w:val="nil"/>
              <w:bottom w:val="single" w:color="00B0F0" w:sz="4" w:space="0"/>
              <w:right w:val="nil"/>
            </w:tcBorders>
            <w:shd w:val="clear" w:color="000000" w:fill="FFFFFF"/>
            <w:noWrap/>
            <w:vAlign w:val="center"/>
            <w:hideMark/>
          </w:tcPr>
          <w:p w:rsidRPr="00221BD6" w:rsidR="00221BD6" w:rsidP="00221BD6" w:rsidRDefault="00221BD6" w14:paraId="60C945A2" w14:textId="77777777">
            <w:pPr>
              <w:spacing w:line="240" w:lineRule="auto"/>
              <w:jc w:val="center"/>
              <w:rPr>
                <w:rFonts w:cs="Calibri"/>
                <w:color w:val="000000"/>
                <w:sz w:val="16"/>
                <w:szCs w:val="16"/>
              </w:rPr>
            </w:pPr>
            <w:r w:rsidRPr="00221BD6">
              <w:rPr>
                <w:rFonts w:cs="Calibri"/>
                <w:color w:val="000000"/>
                <w:sz w:val="16"/>
                <w:szCs w:val="16"/>
              </w:rPr>
              <w:t>1/2/40</w:t>
            </w:r>
          </w:p>
        </w:tc>
        <w:tc>
          <w:tcPr>
            <w:tcW w:w="1360" w:type="dxa"/>
            <w:tcBorders>
              <w:top w:val="nil"/>
              <w:left w:val="nil"/>
              <w:bottom w:val="single" w:color="00B0F0" w:sz="4" w:space="0"/>
              <w:right w:val="nil"/>
            </w:tcBorders>
            <w:shd w:val="clear" w:color="000000" w:fill="FFFFFF"/>
            <w:noWrap/>
            <w:vAlign w:val="center"/>
            <w:hideMark/>
          </w:tcPr>
          <w:p w:rsidRPr="00221BD6" w:rsidR="00221BD6" w:rsidP="00221BD6" w:rsidRDefault="00221BD6" w14:paraId="24814A92" w14:textId="77777777">
            <w:pPr>
              <w:spacing w:line="240" w:lineRule="auto"/>
              <w:jc w:val="right"/>
              <w:rPr>
                <w:rFonts w:cs="Calibri"/>
                <w:color w:val="000000"/>
                <w:sz w:val="16"/>
                <w:szCs w:val="16"/>
              </w:rPr>
            </w:pPr>
            <w:r w:rsidRPr="00221BD6">
              <w:rPr>
                <w:rFonts w:cs="Calibri"/>
                <w:color w:val="000000"/>
                <w:sz w:val="16"/>
                <w:szCs w:val="16"/>
              </w:rPr>
              <w:t>58.144</w:t>
            </w:r>
          </w:p>
        </w:tc>
      </w:tr>
    </w:tbl>
    <w:p w:rsidR="004D64D0" w:rsidP="00810C93" w:rsidRDefault="004D64D0" w14:paraId="536B0934" w14:textId="77777777">
      <w:pPr>
        <w:rPr>
          <w:b/>
          <w:bCs/>
        </w:rPr>
      </w:pPr>
    </w:p>
    <w:p w:rsidRPr="00CE7CC8" w:rsidR="008E27BD" w:rsidP="008E27BD" w:rsidRDefault="00F72D39" w14:paraId="07FC70E1" w14:textId="4E2C4CFD">
      <w:pPr>
        <w:pStyle w:val="Lijstalinea"/>
        <w:numPr>
          <w:ilvl w:val="0"/>
          <w:numId w:val="16"/>
        </w:numPr>
        <w:rPr>
          <w:i/>
          <w:iCs/>
        </w:rPr>
      </w:pPr>
      <w:r>
        <w:rPr>
          <w:i/>
          <w:iCs/>
        </w:rPr>
        <w:t>(</w:t>
      </w:r>
      <w:r w:rsidRPr="00CE7CC8" w:rsidR="008E27BD">
        <w:rPr>
          <w:i/>
          <w:iCs/>
        </w:rPr>
        <w:t xml:space="preserve">PEGA – </w:t>
      </w:r>
      <w:r>
        <w:rPr>
          <w:i/>
          <w:iCs/>
        </w:rPr>
        <w:t>)</w:t>
      </w:r>
      <w:r w:rsidRPr="00CE7CC8" w:rsidR="008E27BD">
        <w:rPr>
          <w:i/>
          <w:iCs/>
        </w:rPr>
        <w:t>AI-fabriek</w:t>
      </w:r>
    </w:p>
    <w:p w:rsidR="008E27BD" w:rsidP="00096710" w:rsidRDefault="008E27BD" w14:paraId="455ABD76" w14:textId="4358C076">
      <w:r>
        <w:t>Betreft middelen voor</w:t>
      </w:r>
      <w:r w:rsidRPr="008E27BD">
        <w:t xml:space="preserve"> de realisatie van een nationale AI-fabriek om bedrijven en onderzoekers gebruik te kunnen laten maken van rekenkracht bij een AI-supercomputer, expertise en data. Dit vergroot de basis voor kennis, innovatie en talent voor de verantwoorde toepassing van AI in het bedrijfsleven, de wetenschap, het onderwijs en de overheid en draagt bij aan de concurrentiepositie van Nederland en Europa.</w:t>
      </w:r>
      <w:r>
        <w:t xml:space="preserve"> Het gros van de verplichting wordt al in 2025 aangegaan, alsook een klein deel van de beoogde uitgaven. Tijdige autorisatie van de Suppletoire Begroting September (SBS) </w:t>
      </w:r>
      <w:r w:rsidR="004551F0">
        <w:t>zal er daarom</w:t>
      </w:r>
      <w:r>
        <w:t xml:space="preserve"> </w:t>
      </w:r>
      <w:r w:rsidR="004551F0">
        <w:t>voor zorgen</w:t>
      </w:r>
      <w:r>
        <w:t xml:space="preserve"> dat dit bij start van het begrotingsjaar 2026 als lopend beleid kan worden beschouwd en de </w:t>
      </w:r>
      <w:r w:rsidR="00CE47B2">
        <w:t xml:space="preserve">uitgaven voor </w:t>
      </w:r>
      <w:r>
        <w:t xml:space="preserve">verdere realisatie van de AI-fabriek </w:t>
      </w:r>
      <w:r w:rsidR="00CE47B2">
        <w:t xml:space="preserve">in 2026 </w:t>
      </w:r>
      <w:r>
        <w:t xml:space="preserve">ook zonder </w:t>
      </w:r>
      <w:r w:rsidR="00CE47B2">
        <w:t xml:space="preserve">tijdige </w:t>
      </w:r>
      <w:r>
        <w:t xml:space="preserve">autorisatie van de Ontwerpbegroting </w:t>
      </w:r>
      <w:r w:rsidR="00CE47B2">
        <w:t>gedaan kunnen worden, ware het met enige terughoudendheid.</w:t>
      </w:r>
      <w:r w:rsidR="00F72D39">
        <w:t xml:space="preserve"> </w:t>
      </w:r>
      <w:r w:rsidR="00DA1E91">
        <w:t xml:space="preserve">Bij tijdige autorisatie van de SBS lijken de gevolgen van een eventuele latere behandeling van de Ontwerpbegroting </w:t>
      </w:r>
      <w:r w:rsidR="00B56A5E">
        <w:t xml:space="preserve">voor deze uitgave </w:t>
      </w:r>
      <w:r w:rsidR="00DA1E91">
        <w:t xml:space="preserve">dus beperkt. </w:t>
      </w:r>
      <w:r w:rsidR="00F72D39">
        <w:t>Toch benoem ik de uitgaven voor de AI-fabriek in 2026 ook hier, omdat op moment van schrijven nog niet is ingestemd met de SBS.</w:t>
      </w:r>
    </w:p>
    <w:p w:rsidRPr="009C752D" w:rsidR="008E27BD" w:rsidP="008E27BD" w:rsidRDefault="008E27BD" w14:paraId="0D11F93C" w14:textId="77777777"/>
    <w:p w:rsidRPr="00CE7CC8" w:rsidR="00CE47B2" w:rsidP="00451131" w:rsidRDefault="009C752D" w14:paraId="3451B5FD" w14:textId="32AB8BF9">
      <w:pPr>
        <w:pStyle w:val="Lijstalinea"/>
        <w:numPr>
          <w:ilvl w:val="0"/>
          <w:numId w:val="16"/>
        </w:numPr>
        <w:rPr>
          <w:i/>
          <w:iCs/>
        </w:rPr>
      </w:pPr>
      <w:r w:rsidRPr="00CE7CC8">
        <w:rPr>
          <w:i/>
          <w:iCs/>
        </w:rPr>
        <w:t>Onderzoek en opdrachten</w:t>
      </w:r>
    </w:p>
    <w:p w:rsidR="00B5066B" w:rsidP="00A51F1A" w:rsidRDefault="00A51F1A" w14:paraId="03A4CC2C" w14:textId="6D5831AD">
      <w:r>
        <w:t xml:space="preserve">Betreft middelen </w:t>
      </w:r>
      <w:r w:rsidR="00B5066B">
        <w:t>voor de voorbereidingen van het toezicht</w:t>
      </w:r>
      <w:r w:rsidR="00006496">
        <w:t xml:space="preserve"> op en </w:t>
      </w:r>
      <w:r w:rsidR="00B5066B">
        <w:t xml:space="preserve">de </w:t>
      </w:r>
      <w:r w:rsidR="00006496">
        <w:t xml:space="preserve">uitvoering van de </w:t>
      </w:r>
      <w:r w:rsidR="00B5066B">
        <w:t xml:space="preserve">Europese Gigabit Infrastructure Act (GIA). De GIA heeft </w:t>
      </w:r>
      <w:r w:rsidRPr="00B5066B" w:rsidR="00B5066B">
        <w:t>als hoofddoel de toenemende digitale connectiviteitsbehoefte in de EU tegemoet te komen door bij te dragen aan de kostenefficiënte en tijdige uitrol van netwerken met zeer hoge capaciteit</w:t>
      </w:r>
      <w:r w:rsidR="00B5066B">
        <w:t xml:space="preserve"> (zoals glasvezel en 5G). </w:t>
      </w:r>
      <w:r w:rsidR="00B4466D">
        <w:t xml:space="preserve">Zonder tijdige autorisatie </w:t>
      </w:r>
      <w:r w:rsidR="00D8566B">
        <w:t>kunnen</w:t>
      </w:r>
      <w:r w:rsidR="00B5066B">
        <w:t xml:space="preserve"> de voorbereidingen vertraging oplopen.</w:t>
      </w:r>
    </w:p>
    <w:p w:rsidR="00006496" w:rsidP="00A51F1A" w:rsidRDefault="00006496" w14:paraId="4B09504B" w14:textId="77777777"/>
    <w:p w:rsidRPr="00CE7CC8" w:rsidR="009C752D" w:rsidP="009C752D" w:rsidRDefault="000B67D5" w14:paraId="4D0A288B" w14:textId="138A787B">
      <w:pPr>
        <w:pStyle w:val="Lijstalinea"/>
        <w:numPr>
          <w:ilvl w:val="0"/>
          <w:numId w:val="16"/>
        </w:numPr>
        <w:rPr>
          <w:i/>
          <w:iCs/>
        </w:rPr>
      </w:pPr>
      <w:r>
        <w:rPr>
          <w:i/>
          <w:iCs/>
        </w:rPr>
        <w:t>IPCEI Advanced Semiconductor Technologies</w:t>
      </w:r>
    </w:p>
    <w:p w:rsidR="00142C2C" w:rsidP="00EB4132" w:rsidRDefault="003071AF" w14:paraId="63A9FA1C" w14:textId="10782E18">
      <w:r>
        <w:t>Voor</w:t>
      </w:r>
      <w:r w:rsidRPr="000B67D5">
        <w:t xml:space="preserve"> Nederlandse deelname aan </w:t>
      </w:r>
      <w:r>
        <w:t>het</w:t>
      </w:r>
      <w:r w:rsidRPr="000B67D5">
        <w:t xml:space="preserve"> Important Project of Common European Interest (IPCEI) gericht op Advanced Semiconductor Technologies (AST) is € 230 </w:t>
      </w:r>
      <w:r w:rsidRPr="000B67D5">
        <w:lastRenderedPageBreak/>
        <w:t xml:space="preserve">mln beschikbaar gesteld. Onder de vlag van IPCEI AST wordt het innovatieve MKB (inclusief startups en scale-ups) de ruimte gegeven om ook met kleinere projecten mee te doen. Hiermee wordt onderzoek, ontwikkeling, en eerste toepassing in een productieomgeving van nieuwe generaties halfgeleiders, ontwerptechnieken, productietechnologieën en toepassingen ondersteunt. Het initiatief bevordert de samenwerking tussen verschillende Europese landen om gezamenlijk complexe technologische uitdagingen aan te pakken met als doel versterking van de industriële infrastructuur in Europa. </w:t>
      </w:r>
      <w:r>
        <w:t xml:space="preserve">De uitgaven hiervoor zijn voorzien in 2027 en verder, maar voor Nederlandse deelname zal in 2026 voor € 230 mln verplichtingen moeten worden aangegaan. Zonder </w:t>
      </w:r>
      <w:r w:rsidR="00D8566B">
        <w:t>(</w:t>
      </w:r>
      <w:r>
        <w:t>tijdige</w:t>
      </w:r>
      <w:r w:rsidR="00D8566B">
        <w:t>)</w:t>
      </w:r>
      <w:r>
        <w:t xml:space="preserve"> autorisatie kunnen de verplichtingen aan de deelnemende projecten niet worden aangegaan in samenspraak met de Europese Commissie en andere lidstaten en kan Nederland als trekker van deze IPCEI een vertragende factor zijn in het tijdig van start gaan van deze IPCEI. </w:t>
      </w:r>
    </w:p>
    <w:p w:rsidR="00EB4132" w:rsidP="00EB4132" w:rsidRDefault="00EB4132" w14:paraId="7C57A069" w14:textId="77777777"/>
    <w:p w:rsidRPr="00EA3458" w:rsidR="00AD4314" w:rsidP="00AD4314" w:rsidRDefault="00AD4314" w14:paraId="654FEABB" w14:textId="18506191">
      <w:pPr>
        <w:pStyle w:val="Lijstalinea"/>
        <w:numPr>
          <w:ilvl w:val="0"/>
          <w:numId w:val="16"/>
        </w:numPr>
        <w:rPr>
          <w:i/>
          <w:iCs/>
          <w:lang w:val="fr-FR"/>
        </w:rPr>
      </w:pPr>
      <w:r w:rsidRPr="00EA3458">
        <w:rPr>
          <w:i/>
          <w:iCs/>
          <w:lang w:val="fr-FR"/>
        </w:rPr>
        <w:t>European Tech Champions Initiative (ETCI)</w:t>
      </w:r>
    </w:p>
    <w:p w:rsidRPr="00AD4314" w:rsidR="000876A4" w:rsidP="000876A4" w:rsidRDefault="00AD4314" w14:paraId="47600C46" w14:textId="47134803">
      <w:r w:rsidRPr="00AD4314">
        <w:t xml:space="preserve">Betreft middelen voor Nederlandse deelname aan het European Tech Champions Initiative (ETCI). ETCI heeft als doel het vergroten van de slagkracht van Europese risicokapitaalfondsen, waardoor Europese innovatieve scale-ups minder afhankelijk worden van niet-Europees risicokapitaal. Na de positieve ervaringen van ETCI1.0, waar Nederland sinds 2023 aan deelneemt voor in totaal € 100 mln, wordt de Nederlandse inzet </w:t>
      </w:r>
      <w:r w:rsidR="00D8566B">
        <w:t>gecontinueerd</w:t>
      </w:r>
      <w:r w:rsidRPr="00AD4314">
        <w:t xml:space="preserve">. Daarvoor is € 200 mln beschikbaar gesteld om deel te nemen aan ETCI2.0. </w:t>
      </w:r>
      <w:r w:rsidR="00DA5548">
        <w:t xml:space="preserve">Het betreft een saldo-neutrale uitgave welke op termijn revolveert. </w:t>
      </w:r>
      <w:r w:rsidRPr="00AD4314">
        <w:t>Tijdige inschrijving voor ETCI2.0 geeft Nederland sterkere inspraak bij de vormgeving van ETCI2.0.</w:t>
      </w:r>
      <w:r w:rsidR="00DA7A5C">
        <w:t xml:space="preserve"> Bovendien zal het fonds in 2026 private investeerders aantrekken</w:t>
      </w:r>
      <w:r w:rsidR="00216DAB">
        <w:t xml:space="preserve">. </w:t>
      </w:r>
      <w:r w:rsidRPr="00186C7A" w:rsidR="00216DAB">
        <w:t>De publieke bijdrage vormt hiervoor de noodzakelijke basis. Zo wordt een gat tussen ETCI1.0 en 2.0 voorkomen en blijven continuïteit en vertrouwen in de markt gewaarborgd</w:t>
      </w:r>
      <w:r w:rsidR="00216DAB">
        <w:t>.</w:t>
      </w:r>
    </w:p>
    <w:p w:rsidR="000876A4" w:rsidP="000876A4" w:rsidRDefault="000876A4" w14:paraId="12F1E0F7" w14:textId="77777777"/>
    <w:p w:rsidRPr="00C33DE7" w:rsidR="00732C97" w:rsidP="00B3239F" w:rsidRDefault="009C752D" w14:paraId="42732CA0" w14:textId="1FCB5927">
      <w:pPr>
        <w:pStyle w:val="Lijstalinea"/>
        <w:numPr>
          <w:ilvl w:val="0"/>
          <w:numId w:val="16"/>
        </w:numPr>
        <w:rPr>
          <w:i/>
          <w:iCs/>
        </w:rPr>
      </w:pPr>
      <w:r w:rsidRPr="00C33DE7">
        <w:rPr>
          <w:i/>
          <w:iCs/>
        </w:rPr>
        <w:t>Overhevelingen Nationaal Groeifonds</w:t>
      </w:r>
      <w:r w:rsidR="00F46E9F">
        <w:rPr>
          <w:i/>
          <w:iCs/>
        </w:rPr>
        <w:t xml:space="preserve"> (NGF)</w:t>
      </w:r>
    </w:p>
    <w:p w:rsidRPr="000876A4" w:rsidR="00B3239F" w:rsidP="00B3239F" w:rsidRDefault="00F46E9F" w14:paraId="716415BF" w14:textId="3A893E1F">
      <w:r w:rsidRPr="00F46E9F">
        <w:t>Vanaf de NGF-begroting vinden overhevelingen plaats naar EZ, OCW en VWS voor in totaal zes NGF-projecten. In de tabel betreft het de middelen die worden overgeheveld naar de EZ-begroting voor de projecten Oncode-PACT en PhotonDelta, en NGF-uitvoeringskosten. Gegeven de significante omvang benoem ik de overheveling in deze brief, maar het gaat om overheveling van eerder voorwaardelijk toegekende middelen voor reeds bestaande projecten, waarmee dit wordt beschouwd als lopend beleid.</w:t>
      </w:r>
      <w:r w:rsidR="00251DA3">
        <w:t xml:space="preserve"> </w:t>
      </w:r>
    </w:p>
    <w:sectPr w:rsidRPr="000876A4" w:rsidR="00B3239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1F7C" w14:textId="77777777" w:rsidR="00C65A41" w:rsidRDefault="00C65A41">
      <w:r>
        <w:separator/>
      </w:r>
    </w:p>
    <w:p w14:paraId="6321AD9D" w14:textId="77777777" w:rsidR="00C65A41" w:rsidRDefault="00C65A41"/>
  </w:endnote>
  <w:endnote w:type="continuationSeparator" w:id="0">
    <w:p w14:paraId="254D3B57" w14:textId="77777777" w:rsidR="00C65A41" w:rsidRDefault="00C65A41">
      <w:r>
        <w:continuationSeparator/>
      </w:r>
    </w:p>
    <w:p w14:paraId="1EEA317A" w14:textId="77777777" w:rsidR="00C65A41" w:rsidRDefault="00C65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F56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E5F19" w14:paraId="6005A8E6" w14:textId="77777777" w:rsidTr="00CA6A25">
      <w:trPr>
        <w:trHeight w:hRule="exact" w:val="240"/>
      </w:trPr>
      <w:tc>
        <w:tcPr>
          <w:tcW w:w="7601" w:type="dxa"/>
          <w:shd w:val="clear" w:color="auto" w:fill="auto"/>
        </w:tcPr>
        <w:p w14:paraId="65D14FCD" w14:textId="77777777" w:rsidR="00527BD4" w:rsidRDefault="00527BD4" w:rsidP="003F1F6B">
          <w:pPr>
            <w:pStyle w:val="Huisstijl-Rubricering"/>
          </w:pPr>
        </w:p>
      </w:tc>
      <w:tc>
        <w:tcPr>
          <w:tcW w:w="2156" w:type="dxa"/>
        </w:tcPr>
        <w:p w14:paraId="29EF6515" w14:textId="7B7EAC75" w:rsidR="00527BD4" w:rsidRPr="00645414" w:rsidRDefault="0044693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003EC3">
            <w:t>3</w:t>
          </w:r>
          <w:r w:rsidR="004425CC">
            <w:fldChar w:fldCharType="end"/>
          </w:r>
        </w:p>
      </w:tc>
    </w:tr>
  </w:tbl>
  <w:p w14:paraId="542D6A5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E5F19" w14:paraId="3E758C7F" w14:textId="77777777" w:rsidTr="00CA6A25">
      <w:trPr>
        <w:trHeight w:hRule="exact" w:val="240"/>
      </w:trPr>
      <w:tc>
        <w:tcPr>
          <w:tcW w:w="7601" w:type="dxa"/>
          <w:shd w:val="clear" w:color="auto" w:fill="auto"/>
        </w:tcPr>
        <w:p w14:paraId="68D72975" w14:textId="77777777" w:rsidR="00527BD4" w:rsidRDefault="00527BD4" w:rsidP="008C356D">
          <w:pPr>
            <w:pStyle w:val="Huisstijl-Rubricering"/>
          </w:pPr>
        </w:p>
      </w:tc>
      <w:tc>
        <w:tcPr>
          <w:tcW w:w="2170" w:type="dxa"/>
        </w:tcPr>
        <w:p w14:paraId="215E6C82" w14:textId="75D65705" w:rsidR="00527BD4" w:rsidRPr="00ED539E" w:rsidRDefault="0044693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003EC3">
            <w:t>3</w:t>
          </w:r>
          <w:r w:rsidR="00643FAA">
            <w:fldChar w:fldCharType="end"/>
          </w:r>
        </w:p>
      </w:tc>
    </w:tr>
  </w:tbl>
  <w:p w14:paraId="3E9BB2BD" w14:textId="77777777" w:rsidR="00527BD4" w:rsidRPr="00BC3B53" w:rsidRDefault="00527BD4" w:rsidP="008C356D">
    <w:pPr>
      <w:pStyle w:val="Voettekst"/>
      <w:spacing w:line="240" w:lineRule="auto"/>
      <w:rPr>
        <w:sz w:val="2"/>
        <w:szCs w:val="2"/>
      </w:rPr>
    </w:pPr>
  </w:p>
  <w:p w14:paraId="7624C4E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D49A" w14:textId="77777777" w:rsidR="00C65A41" w:rsidRDefault="00C65A41">
      <w:r>
        <w:separator/>
      </w:r>
    </w:p>
    <w:p w14:paraId="6016EE43" w14:textId="77777777" w:rsidR="00C65A41" w:rsidRDefault="00C65A41"/>
  </w:footnote>
  <w:footnote w:type="continuationSeparator" w:id="0">
    <w:p w14:paraId="4B6357D4" w14:textId="77777777" w:rsidR="00C65A41" w:rsidRDefault="00C65A41">
      <w:r>
        <w:continuationSeparator/>
      </w:r>
    </w:p>
    <w:p w14:paraId="3D2D42FF" w14:textId="77777777" w:rsidR="00C65A41" w:rsidRDefault="00C65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E5F19" w14:paraId="7B2EF62E" w14:textId="77777777" w:rsidTr="00A50CF6">
      <w:tc>
        <w:tcPr>
          <w:tcW w:w="2156" w:type="dxa"/>
          <w:shd w:val="clear" w:color="auto" w:fill="auto"/>
        </w:tcPr>
        <w:p w14:paraId="15E7DDA6" w14:textId="77777777" w:rsidR="00527BD4" w:rsidRPr="005819CE" w:rsidRDefault="00446931" w:rsidP="00A50CF6">
          <w:pPr>
            <w:pStyle w:val="Huisstijl-Adres"/>
            <w:rPr>
              <w:b/>
            </w:rPr>
          </w:pPr>
          <w:r>
            <w:rPr>
              <w:b/>
            </w:rPr>
            <w:t>Directie Financieel Economische Zaken</w:t>
          </w:r>
          <w:r w:rsidRPr="005819CE">
            <w:rPr>
              <w:b/>
            </w:rPr>
            <w:br/>
          </w:r>
        </w:p>
      </w:tc>
    </w:tr>
    <w:tr w:rsidR="00DE5F19" w14:paraId="4F15C6EA" w14:textId="77777777" w:rsidTr="00A50CF6">
      <w:trPr>
        <w:trHeight w:hRule="exact" w:val="200"/>
      </w:trPr>
      <w:tc>
        <w:tcPr>
          <w:tcW w:w="2156" w:type="dxa"/>
          <w:shd w:val="clear" w:color="auto" w:fill="auto"/>
        </w:tcPr>
        <w:p w14:paraId="53A72A7C" w14:textId="77777777" w:rsidR="00527BD4" w:rsidRPr="005819CE" w:rsidRDefault="00527BD4" w:rsidP="00A50CF6"/>
      </w:tc>
    </w:tr>
    <w:tr w:rsidR="00DE5F19" w14:paraId="0C8823A7" w14:textId="77777777" w:rsidTr="00502512">
      <w:trPr>
        <w:trHeight w:hRule="exact" w:val="774"/>
      </w:trPr>
      <w:tc>
        <w:tcPr>
          <w:tcW w:w="2156" w:type="dxa"/>
          <w:shd w:val="clear" w:color="auto" w:fill="auto"/>
        </w:tcPr>
        <w:p w14:paraId="117CE01E" w14:textId="77777777" w:rsidR="00527BD4" w:rsidRDefault="00446931" w:rsidP="003A5290">
          <w:pPr>
            <w:pStyle w:val="Huisstijl-Kopje"/>
          </w:pPr>
          <w:r>
            <w:t>Ons kenmerk</w:t>
          </w:r>
        </w:p>
        <w:p w14:paraId="7EAEA1F5" w14:textId="77777777" w:rsidR="00527BD4" w:rsidRPr="005819CE" w:rsidRDefault="00446931" w:rsidP="004425CC">
          <w:pPr>
            <w:pStyle w:val="Huisstijl-Kopje"/>
          </w:pPr>
          <w:r>
            <w:rPr>
              <w:b w:val="0"/>
            </w:rPr>
            <w:t>FEZ</w:t>
          </w:r>
          <w:r w:rsidRPr="00502512">
            <w:rPr>
              <w:b w:val="0"/>
            </w:rPr>
            <w:t xml:space="preserve"> / </w:t>
          </w:r>
          <w:r>
            <w:rPr>
              <w:b w:val="0"/>
            </w:rPr>
            <w:t>100867252</w:t>
          </w:r>
        </w:p>
      </w:tc>
    </w:tr>
  </w:tbl>
  <w:p w14:paraId="5DCC63A8" w14:textId="77777777" w:rsidR="00527BD4" w:rsidRDefault="00527BD4" w:rsidP="008C356D">
    <w:pPr>
      <w:pStyle w:val="Koptekst"/>
      <w:rPr>
        <w:rFonts w:cs="Verdana-Bold"/>
        <w:b/>
        <w:bCs/>
        <w:smallCaps/>
        <w:szCs w:val="18"/>
      </w:rPr>
    </w:pPr>
  </w:p>
  <w:p w14:paraId="05180165" w14:textId="77777777" w:rsidR="00527BD4" w:rsidRDefault="00527BD4" w:rsidP="008C356D"/>
  <w:p w14:paraId="04FA3F9C" w14:textId="77777777" w:rsidR="00527BD4" w:rsidRPr="00740712" w:rsidRDefault="00527BD4" w:rsidP="008C356D"/>
  <w:p w14:paraId="0F66F4D4" w14:textId="77777777" w:rsidR="00527BD4" w:rsidRPr="00217880" w:rsidRDefault="00527BD4" w:rsidP="008C356D">
    <w:pPr>
      <w:spacing w:line="0" w:lineRule="atLeast"/>
      <w:rPr>
        <w:sz w:val="2"/>
        <w:szCs w:val="2"/>
      </w:rPr>
    </w:pPr>
  </w:p>
  <w:p w14:paraId="7BCB227B" w14:textId="77777777" w:rsidR="00527BD4" w:rsidRDefault="00527BD4" w:rsidP="004F44C2">
    <w:pPr>
      <w:pStyle w:val="Koptekst"/>
      <w:rPr>
        <w:rFonts w:cs="Verdana-Bold"/>
        <w:b/>
        <w:bCs/>
        <w:smallCaps/>
        <w:szCs w:val="18"/>
      </w:rPr>
    </w:pPr>
  </w:p>
  <w:p w14:paraId="3AF6D51A" w14:textId="77777777" w:rsidR="00527BD4" w:rsidRDefault="00527BD4" w:rsidP="004F44C2"/>
  <w:p w14:paraId="2A5A0935" w14:textId="77777777" w:rsidR="00527BD4" w:rsidRPr="00740712" w:rsidRDefault="00527BD4" w:rsidP="004F44C2"/>
  <w:p w14:paraId="5B200A0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E5F19" w14:paraId="59343E20" w14:textId="77777777" w:rsidTr="00751A6A">
      <w:trPr>
        <w:trHeight w:val="2636"/>
      </w:trPr>
      <w:tc>
        <w:tcPr>
          <w:tcW w:w="737" w:type="dxa"/>
          <w:shd w:val="clear" w:color="auto" w:fill="auto"/>
        </w:tcPr>
        <w:p w14:paraId="6DF3C97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C84B079" w14:textId="77777777" w:rsidR="00527BD4" w:rsidRDefault="0044693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0EEAC66" wp14:editId="4F58833F">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972EE7E" w14:textId="77777777" w:rsidR="007269E3" w:rsidRDefault="007269E3" w:rsidP="00651CEE">
          <w:pPr>
            <w:framePr w:w="6340" w:h="2750" w:hRule="exact" w:hSpace="180" w:wrap="around" w:vAnchor="page" w:hAnchor="text" w:x="3873" w:y="-140"/>
            <w:spacing w:line="240" w:lineRule="auto"/>
          </w:pPr>
        </w:p>
      </w:tc>
    </w:tr>
  </w:tbl>
  <w:p w14:paraId="4440301C" w14:textId="77777777" w:rsidR="00527BD4" w:rsidRDefault="00527BD4" w:rsidP="00D0609E">
    <w:pPr>
      <w:framePr w:w="6340" w:h="2750" w:hRule="exact" w:hSpace="180" w:wrap="around" w:vAnchor="page" w:hAnchor="text" w:x="3873" w:y="-140"/>
    </w:pPr>
  </w:p>
  <w:p w14:paraId="6D827DE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E5F19" w:rsidRPr="003C614E" w14:paraId="3F0E5D97" w14:textId="77777777" w:rsidTr="00A50CF6">
      <w:tc>
        <w:tcPr>
          <w:tcW w:w="2160" w:type="dxa"/>
          <w:shd w:val="clear" w:color="auto" w:fill="auto"/>
        </w:tcPr>
        <w:p w14:paraId="42242D87" w14:textId="77777777" w:rsidR="00527BD4" w:rsidRPr="005819CE" w:rsidRDefault="00446931" w:rsidP="00A50CF6">
          <w:pPr>
            <w:pStyle w:val="Huisstijl-Adres"/>
            <w:rPr>
              <w:b/>
            </w:rPr>
          </w:pPr>
          <w:r>
            <w:rPr>
              <w:b/>
            </w:rPr>
            <w:t>Directie Financieel Economische Zaken</w:t>
          </w:r>
          <w:r w:rsidRPr="005819CE">
            <w:rPr>
              <w:b/>
            </w:rPr>
            <w:br/>
          </w:r>
        </w:p>
        <w:p w14:paraId="00F37993" w14:textId="77777777" w:rsidR="00527BD4" w:rsidRPr="00BE5ED9" w:rsidRDefault="00446931" w:rsidP="00A50CF6">
          <w:pPr>
            <w:pStyle w:val="Huisstijl-Adres"/>
          </w:pPr>
          <w:r>
            <w:rPr>
              <w:b/>
            </w:rPr>
            <w:t>Bezoekadres</w:t>
          </w:r>
          <w:r>
            <w:rPr>
              <w:b/>
            </w:rPr>
            <w:br/>
          </w:r>
          <w:r>
            <w:t>Bezuidenhoutseweg 73</w:t>
          </w:r>
          <w:r w:rsidRPr="005819CE">
            <w:br/>
          </w:r>
          <w:r>
            <w:t>2594 AC Den Haag</w:t>
          </w:r>
        </w:p>
        <w:p w14:paraId="178BB49A" w14:textId="77777777" w:rsidR="00EF495B" w:rsidRDefault="00446931" w:rsidP="0098788A">
          <w:pPr>
            <w:pStyle w:val="Huisstijl-Adres"/>
          </w:pPr>
          <w:r>
            <w:rPr>
              <w:b/>
            </w:rPr>
            <w:t>Postadres</w:t>
          </w:r>
          <w:r>
            <w:rPr>
              <w:b/>
            </w:rPr>
            <w:br/>
          </w:r>
          <w:r>
            <w:t>Postbus 20401</w:t>
          </w:r>
          <w:r w:rsidRPr="005819CE">
            <w:br/>
            <w:t>2500 E</w:t>
          </w:r>
          <w:r>
            <w:t>K</w:t>
          </w:r>
          <w:r w:rsidRPr="005819CE">
            <w:t xml:space="preserve"> Den Haag</w:t>
          </w:r>
        </w:p>
        <w:p w14:paraId="659C3443" w14:textId="77777777" w:rsidR="00EF495B" w:rsidRPr="005B3814" w:rsidRDefault="00446931" w:rsidP="0098788A">
          <w:pPr>
            <w:pStyle w:val="Huisstijl-Adres"/>
          </w:pPr>
          <w:r>
            <w:rPr>
              <w:b/>
            </w:rPr>
            <w:t>Overheidsidentificatienr</w:t>
          </w:r>
          <w:r>
            <w:rPr>
              <w:b/>
            </w:rPr>
            <w:br/>
          </w:r>
          <w:r w:rsidRPr="005B3814">
            <w:t>00000001003214369000</w:t>
          </w:r>
        </w:p>
        <w:p w14:paraId="528E7AEB" w14:textId="62F3801C" w:rsidR="00527BD4" w:rsidRPr="003C614E" w:rsidRDefault="0044693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DE5F19" w14:paraId="3379EE63" w14:textId="77777777" w:rsidTr="00A50CF6">
      <w:tc>
        <w:tcPr>
          <w:tcW w:w="2160" w:type="dxa"/>
          <w:shd w:val="clear" w:color="auto" w:fill="auto"/>
        </w:tcPr>
        <w:p w14:paraId="251DDC73" w14:textId="77777777" w:rsidR="000C0163" w:rsidRPr="005819CE" w:rsidRDefault="00446931" w:rsidP="000C0163">
          <w:pPr>
            <w:pStyle w:val="Huisstijl-Kopje"/>
          </w:pPr>
          <w:r>
            <w:t>Ons kenmerk</w:t>
          </w:r>
          <w:r w:rsidRPr="005819CE">
            <w:t xml:space="preserve"> </w:t>
          </w:r>
        </w:p>
        <w:p w14:paraId="059EEF1D" w14:textId="77777777" w:rsidR="000C0163" w:rsidRPr="005819CE" w:rsidRDefault="00446931" w:rsidP="000C0163">
          <w:pPr>
            <w:pStyle w:val="Huisstijl-Gegeven"/>
          </w:pPr>
          <w:r>
            <w:t>FEZ</w:t>
          </w:r>
          <w:r w:rsidR="00926AE2">
            <w:t xml:space="preserve"> / </w:t>
          </w:r>
          <w:r>
            <w:t>100867252</w:t>
          </w:r>
        </w:p>
        <w:p w14:paraId="3A24519A" w14:textId="77777777" w:rsidR="00527BD4" w:rsidRPr="005819CE" w:rsidRDefault="00446931" w:rsidP="00A50CF6">
          <w:pPr>
            <w:pStyle w:val="Huisstijl-Kopje"/>
          </w:pPr>
          <w:r>
            <w:t>Bijlage(n)</w:t>
          </w:r>
        </w:p>
        <w:p w14:paraId="1E5B668D" w14:textId="18F31A9B" w:rsidR="00527BD4" w:rsidRPr="005819CE" w:rsidRDefault="00702E00" w:rsidP="00A50CF6">
          <w:pPr>
            <w:pStyle w:val="Huisstijl-Gegeven"/>
          </w:pPr>
          <w:r>
            <w:t>Overzicht nieuwe beleidsuitgaven EZ-begroting 2026</w:t>
          </w:r>
        </w:p>
      </w:tc>
    </w:tr>
  </w:tbl>
  <w:p w14:paraId="67BB2A8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E5F19" w14:paraId="50B460BA" w14:textId="77777777" w:rsidTr="007610AA">
      <w:trPr>
        <w:trHeight w:val="400"/>
      </w:trPr>
      <w:tc>
        <w:tcPr>
          <w:tcW w:w="7520" w:type="dxa"/>
          <w:gridSpan w:val="2"/>
          <w:shd w:val="clear" w:color="auto" w:fill="auto"/>
        </w:tcPr>
        <w:p w14:paraId="125B395D" w14:textId="77777777" w:rsidR="00527BD4" w:rsidRPr="00BC3B53" w:rsidRDefault="00446931" w:rsidP="00A50CF6">
          <w:pPr>
            <w:pStyle w:val="Huisstijl-Retouradres"/>
          </w:pPr>
          <w:r>
            <w:t>&gt; Retouradres Postbus 20401 2500 EK Den Haag</w:t>
          </w:r>
        </w:p>
      </w:tc>
    </w:tr>
    <w:tr w:rsidR="00DE5F19" w14:paraId="2EA90E20" w14:textId="77777777" w:rsidTr="007610AA">
      <w:tc>
        <w:tcPr>
          <w:tcW w:w="7520" w:type="dxa"/>
          <w:gridSpan w:val="2"/>
          <w:shd w:val="clear" w:color="auto" w:fill="auto"/>
        </w:tcPr>
        <w:p w14:paraId="32EFA566" w14:textId="77777777" w:rsidR="00527BD4" w:rsidRPr="00983E8F" w:rsidRDefault="00527BD4" w:rsidP="00A50CF6">
          <w:pPr>
            <w:pStyle w:val="Huisstijl-Rubricering"/>
          </w:pPr>
        </w:p>
      </w:tc>
    </w:tr>
    <w:tr w:rsidR="00DE5F19" w14:paraId="71F26317" w14:textId="77777777" w:rsidTr="007610AA">
      <w:trPr>
        <w:trHeight w:hRule="exact" w:val="2440"/>
      </w:trPr>
      <w:tc>
        <w:tcPr>
          <w:tcW w:w="7520" w:type="dxa"/>
          <w:gridSpan w:val="2"/>
          <w:shd w:val="clear" w:color="auto" w:fill="auto"/>
        </w:tcPr>
        <w:p w14:paraId="4FCF841A" w14:textId="50A5C151" w:rsidR="000F6BBC" w:rsidRDefault="003C614E" w:rsidP="00A50CF6">
          <w:pPr>
            <w:pStyle w:val="Huisstijl-NAW"/>
          </w:pPr>
          <w:r>
            <w:t xml:space="preserve">De </w:t>
          </w:r>
          <w:r w:rsidR="000F6BBC">
            <w:t xml:space="preserve">Voorzitter van de Tweede Kamer </w:t>
          </w:r>
        </w:p>
        <w:p w14:paraId="644821FC" w14:textId="1A036E15" w:rsidR="000F6BBC" w:rsidRDefault="000F6BBC" w:rsidP="00A50CF6">
          <w:pPr>
            <w:pStyle w:val="Huisstijl-NAW"/>
          </w:pPr>
          <w:r>
            <w:t>der Staten</w:t>
          </w:r>
          <w:r w:rsidR="006963BD">
            <w:t xml:space="preserve"> </w:t>
          </w:r>
          <w:r>
            <w:t>Generaal</w:t>
          </w:r>
        </w:p>
        <w:p w14:paraId="25F82C2D" w14:textId="77777777" w:rsidR="000F6BBC" w:rsidRDefault="000F6BBC" w:rsidP="00A50CF6">
          <w:pPr>
            <w:pStyle w:val="Huisstijl-NAW"/>
          </w:pPr>
          <w:r>
            <w:t>Prinses Irenestraat 6</w:t>
          </w:r>
        </w:p>
        <w:p w14:paraId="268FB3D3" w14:textId="74FE317D" w:rsidR="000F6BBC" w:rsidRDefault="000F6BBC" w:rsidP="00A50CF6">
          <w:pPr>
            <w:pStyle w:val="Huisstijl-NAW"/>
          </w:pPr>
          <w:r>
            <w:t xml:space="preserve">2595 BD </w:t>
          </w:r>
          <w:r w:rsidR="003C614E">
            <w:t xml:space="preserve"> DEN HAAG</w:t>
          </w:r>
        </w:p>
      </w:tc>
    </w:tr>
    <w:tr w:rsidR="00DE5F19" w14:paraId="281DE852" w14:textId="77777777" w:rsidTr="007610AA">
      <w:trPr>
        <w:trHeight w:hRule="exact" w:val="400"/>
      </w:trPr>
      <w:tc>
        <w:tcPr>
          <w:tcW w:w="7520" w:type="dxa"/>
          <w:gridSpan w:val="2"/>
          <w:shd w:val="clear" w:color="auto" w:fill="auto"/>
        </w:tcPr>
        <w:p w14:paraId="7AD0677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E5F19" w14:paraId="584E3134" w14:textId="77777777" w:rsidTr="007610AA">
      <w:trPr>
        <w:trHeight w:val="240"/>
      </w:trPr>
      <w:tc>
        <w:tcPr>
          <w:tcW w:w="900" w:type="dxa"/>
          <w:shd w:val="clear" w:color="auto" w:fill="auto"/>
        </w:tcPr>
        <w:p w14:paraId="1E664C29" w14:textId="77777777" w:rsidR="00527BD4" w:rsidRPr="007709EF" w:rsidRDefault="00446931" w:rsidP="00A50CF6">
          <w:pPr>
            <w:rPr>
              <w:szCs w:val="18"/>
            </w:rPr>
          </w:pPr>
          <w:r>
            <w:rPr>
              <w:szCs w:val="18"/>
            </w:rPr>
            <w:t>Datum</w:t>
          </w:r>
        </w:p>
      </w:tc>
      <w:tc>
        <w:tcPr>
          <w:tcW w:w="6620" w:type="dxa"/>
          <w:shd w:val="clear" w:color="auto" w:fill="auto"/>
        </w:tcPr>
        <w:p w14:paraId="5584877A" w14:textId="0EE55143" w:rsidR="00527BD4" w:rsidRPr="007709EF" w:rsidRDefault="00003EC3" w:rsidP="00A50CF6">
          <w:r>
            <w:t>16 september 2025</w:t>
          </w:r>
        </w:p>
      </w:tc>
    </w:tr>
    <w:tr w:rsidR="00DE5F19" w14:paraId="79E01059" w14:textId="77777777" w:rsidTr="007610AA">
      <w:trPr>
        <w:trHeight w:val="240"/>
      </w:trPr>
      <w:tc>
        <w:tcPr>
          <w:tcW w:w="900" w:type="dxa"/>
          <w:shd w:val="clear" w:color="auto" w:fill="auto"/>
        </w:tcPr>
        <w:p w14:paraId="4AC28895" w14:textId="77777777" w:rsidR="00527BD4" w:rsidRPr="007709EF" w:rsidRDefault="00446931" w:rsidP="00A50CF6">
          <w:pPr>
            <w:rPr>
              <w:szCs w:val="18"/>
            </w:rPr>
          </w:pPr>
          <w:r>
            <w:rPr>
              <w:szCs w:val="18"/>
            </w:rPr>
            <w:t>Betreft</w:t>
          </w:r>
        </w:p>
      </w:tc>
      <w:tc>
        <w:tcPr>
          <w:tcW w:w="6620" w:type="dxa"/>
          <w:shd w:val="clear" w:color="auto" w:fill="auto"/>
        </w:tcPr>
        <w:p w14:paraId="23FE9D2A" w14:textId="5D1F9195" w:rsidR="00527BD4" w:rsidRPr="007709EF" w:rsidRDefault="000F6BBC" w:rsidP="00A50CF6">
          <w:r>
            <w:t>Nieuwe beleidsuitgaven Economische Zaken 2026</w:t>
          </w:r>
        </w:p>
      </w:tc>
    </w:tr>
  </w:tbl>
  <w:p w14:paraId="23E01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5B65C46">
      <w:start w:val="1"/>
      <w:numFmt w:val="bullet"/>
      <w:pStyle w:val="Lijstopsomteken"/>
      <w:lvlText w:val="•"/>
      <w:lvlJc w:val="left"/>
      <w:pPr>
        <w:tabs>
          <w:tab w:val="num" w:pos="227"/>
        </w:tabs>
        <w:ind w:left="227" w:hanging="227"/>
      </w:pPr>
      <w:rPr>
        <w:rFonts w:ascii="Verdana" w:hAnsi="Verdana" w:hint="default"/>
        <w:sz w:val="18"/>
        <w:szCs w:val="18"/>
      </w:rPr>
    </w:lvl>
    <w:lvl w:ilvl="1" w:tplc="5FD29974" w:tentative="1">
      <w:start w:val="1"/>
      <w:numFmt w:val="bullet"/>
      <w:lvlText w:val="o"/>
      <w:lvlJc w:val="left"/>
      <w:pPr>
        <w:tabs>
          <w:tab w:val="num" w:pos="1440"/>
        </w:tabs>
        <w:ind w:left="1440" w:hanging="360"/>
      </w:pPr>
      <w:rPr>
        <w:rFonts w:ascii="Courier New" w:hAnsi="Courier New" w:cs="Courier New" w:hint="default"/>
      </w:rPr>
    </w:lvl>
    <w:lvl w:ilvl="2" w:tplc="A4A49A9C" w:tentative="1">
      <w:start w:val="1"/>
      <w:numFmt w:val="bullet"/>
      <w:lvlText w:val=""/>
      <w:lvlJc w:val="left"/>
      <w:pPr>
        <w:tabs>
          <w:tab w:val="num" w:pos="2160"/>
        </w:tabs>
        <w:ind w:left="2160" w:hanging="360"/>
      </w:pPr>
      <w:rPr>
        <w:rFonts w:ascii="Wingdings" w:hAnsi="Wingdings" w:hint="default"/>
      </w:rPr>
    </w:lvl>
    <w:lvl w:ilvl="3" w:tplc="DD98BCA2" w:tentative="1">
      <w:start w:val="1"/>
      <w:numFmt w:val="bullet"/>
      <w:lvlText w:val=""/>
      <w:lvlJc w:val="left"/>
      <w:pPr>
        <w:tabs>
          <w:tab w:val="num" w:pos="2880"/>
        </w:tabs>
        <w:ind w:left="2880" w:hanging="360"/>
      </w:pPr>
      <w:rPr>
        <w:rFonts w:ascii="Symbol" w:hAnsi="Symbol" w:hint="default"/>
      </w:rPr>
    </w:lvl>
    <w:lvl w:ilvl="4" w:tplc="07E06D50" w:tentative="1">
      <w:start w:val="1"/>
      <w:numFmt w:val="bullet"/>
      <w:lvlText w:val="o"/>
      <w:lvlJc w:val="left"/>
      <w:pPr>
        <w:tabs>
          <w:tab w:val="num" w:pos="3600"/>
        </w:tabs>
        <w:ind w:left="3600" w:hanging="360"/>
      </w:pPr>
      <w:rPr>
        <w:rFonts w:ascii="Courier New" w:hAnsi="Courier New" w:cs="Courier New" w:hint="default"/>
      </w:rPr>
    </w:lvl>
    <w:lvl w:ilvl="5" w:tplc="332ED1DE" w:tentative="1">
      <w:start w:val="1"/>
      <w:numFmt w:val="bullet"/>
      <w:lvlText w:val=""/>
      <w:lvlJc w:val="left"/>
      <w:pPr>
        <w:tabs>
          <w:tab w:val="num" w:pos="4320"/>
        </w:tabs>
        <w:ind w:left="4320" w:hanging="360"/>
      </w:pPr>
      <w:rPr>
        <w:rFonts w:ascii="Wingdings" w:hAnsi="Wingdings" w:hint="default"/>
      </w:rPr>
    </w:lvl>
    <w:lvl w:ilvl="6" w:tplc="F2683DC8" w:tentative="1">
      <w:start w:val="1"/>
      <w:numFmt w:val="bullet"/>
      <w:lvlText w:val=""/>
      <w:lvlJc w:val="left"/>
      <w:pPr>
        <w:tabs>
          <w:tab w:val="num" w:pos="5040"/>
        </w:tabs>
        <w:ind w:left="5040" w:hanging="360"/>
      </w:pPr>
      <w:rPr>
        <w:rFonts w:ascii="Symbol" w:hAnsi="Symbol" w:hint="default"/>
      </w:rPr>
    </w:lvl>
    <w:lvl w:ilvl="7" w:tplc="8516FBC2" w:tentative="1">
      <w:start w:val="1"/>
      <w:numFmt w:val="bullet"/>
      <w:lvlText w:val="o"/>
      <w:lvlJc w:val="left"/>
      <w:pPr>
        <w:tabs>
          <w:tab w:val="num" w:pos="5760"/>
        </w:tabs>
        <w:ind w:left="5760" w:hanging="360"/>
      </w:pPr>
      <w:rPr>
        <w:rFonts w:ascii="Courier New" w:hAnsi="Courier New" w:cs="Courier New" w:hint="default"/>
      </w:rPr>
    </w:lvl>
    <w:lvl w:ilvl="8" w:tplc="0EF405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C187B08">
      <w:start w:val="1"/>
      <w:numFmt w:val="bullet"/>
      <w:pStyle w:val="Lijstopsomteken2"/>
      <w:lvlText w:val="–"/>
      <w:lvlJc w:val="left"/>
      <w:pPr>
        <w:tabs>
          <w:tab w:val="num" w:pos="227"/>
        </w:tabs>
        <w:ind w:left="227" w:firstLine="0"/>
      </w:pPr>
      <w:rPr>
        <w:rFonts w:ascii="Verdana" w:hAnsi="Verdana" w:hint="default"/>
      </w:rPr>
    </w:lvl>
    <w:lvl w:ilvl="1" w:tplc="794265DC" w:tentative="1">
      <w:start w:val="1"/>
      <w:numFmt w:val="bullet"/>
      <w:lvlText w:val="o"/>
      <w:lvlJc w:val="left"/>
      <w:pPr>
        <w:tabs>
          <w:tab w:val="num" w:pos="1440"/>
        </w:tabs>
        <w:ind w:left="1440" w:hanging="360"/>
      </w:pPr>
      <w:rPr>
        <w:rFonts w:ascii="Courier New" w:hAnsi="Courier New" w:cs="Courier New" w:hint="default"/>
      </w:rPr>
    </w:lvl>
    <w:lvl w:ilvl="2" w:tplc="0CBE2FD2" w:tentative="1">
      <w:start w:val="1"/>
      <w:numFmt w:val="bullet"/>
      <w:lvlText w:val=""/>
      <w:lvlJc w:val="left"/>
      <w:pPr>
        <w:tabs>
          <w:tab w:val="num" w:pos="2160"/>
        </w:tabs>
        <w:ind w:left="2160" w:hanging="360"/>
      </w:pPr>
      <w:rPr>
        <w:rFonts w:ascii="Wingdings" w:hAnsi="Wingdings" w:hint="default"/>
      </w:rPr>
    </w:lvl>
    <w:lvl w:ilvl="3" w:tplc="18ACE666" w:tentative="1">
      <w:start w:val="1"/>
      <w:numFmt w:val="bullet"/>
      <w:lvlText w:val=""/>
      <w:lvlJc w:val="left"/>
      <w:pPr>
        <w:tabs>
          <w:tab w:val="num" w:pos="2880"/>
        </w:tabs>
        <w:ind w:left="2880" w:hanging="360"/>
      </w:pPr>
      <w:rPr>
        <w:rFonts w:ascii="Symbol" w:hAnsi="Symbol" w:hint="default"/>
      </w:rPr>
    </w:lvl>
    <w:lvl w:ilvl="4" w:tplc="70B2ED18" w:tentative="1">
      <w:start w:val="1"/>
      <w:numFmt w:val="bullet"/>
      <w:lvlText w:val="o"/>
      <w:lvlJc w:val="left"/>
      <w:pPr>
        <w:tabs>
          <w:tab w:val="num" w:pos="3600"/>
        </w:tabs>
        <w:ind w:left="3600" w:hanging="360"/>
      </w:pPr>
      <w:rPr>
        <w:rFonts w:ascii="Courier New" w:hAnsi="Courier New" w:cs="Courier New" w:hint="default"/>
      </w:rPr>
    </w:lvl>
    <w:lvl w:ilvl="5" w:tplc="38568BB6" w:tentative="1">
      <w:start w:val="1"/>
      <w:numFmt w:val="bullet"/>
      <w:lvlText w:val=""/>
      <w:lvlJc w:val="left"/>
      <w:pPr>
        <w:tabs>
          <w:tab w:val="num" w:pos="4320"/>
        </w:tabs>
        <w:ind w:left="4320" w:hanging="360"/>
      </w:pPr>
      <w:rPr>
        <w:rFonts w:ascii="Wingdings" w:hAnsi="Wingdings" w:hint="default"/>
      </w:rPr>
    </w:lvl>
    <w:lvl w:ilvl="6" w:tplc="4AD070C8" w:tentative="1">
      <w:start w:val="1"/>
      <w:numFmt w:val="bullet"/>
      <w:lvlText w:val=""/>
      <w:lvlJc w:val="left"/>
      <w:pPr>
        <w:tabs>
          <w:tab w:val="num" w:pos="5040"/>
        </w:tabs>
        <w:ind w:left="5040" w:hanging="360"/>
      </w:pPr>
      <w:rPr>
        <w:rFonts w:ascii="Symbol" w:hAnsi="Symbol" w:hint="default"/>
      </w:rPr>
    </w:lvl>
    <w:lvl w:ilvl="7" w:tplc="1ACC5812" w:tentative="1">
      <w:start w:val="1"/>
      <w:numFmt w:val="bullet"/>
      <w:lvlText w:val="o"/>
      <w:lvlJc w:val="left"/>
      <w:pPr>
        <w:tabs>
          <w:tab w:val="num" w:pos="5760"/>
        </w:tabs>
        <w:ind w:left="5760" w:hanging="360"/>
      </w:pPr>
      <w:rPr>
        <w:rFonts w:ascii="Courier New" w:hAnsi="Courier New" w:cs="Courier New" w:hint="default"/>
      </w:rPr>
    </w:lvl>
    <w:lvl w:ilvl="8" w:tplc="30964B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6B24C9"/>
    <w:multiLevelType w:val="hybridMultilevel"/>
    <w:tmpl w:val="264486FE"/>
    <w:lvl w:ilvl="0" w:tplc="3B327D52">
      <w:start w:val="1"/>
      <w:numFmt w:val="decimal"/>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768FF"/>
    <w:multiLevelType w:val="hybridMultilevel"/>
    <w:tmpl w:val="FB601A8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3421316">
    <w:abstractNumId w:val="10"/>
  </w:num>
  <w:num w:numId="2" w16cid:durableId="981496855">
    <w:abstractNumId w:val="7"/>
  </w:num>
  <w:num w:numId="3" w16cid:durableId="926614071">
    <w:abstractNumId w:val="6"/>
  </w:num>
  <w:num w:numId="4" w16cid:durableId="153184832">
    <w:abstractNumId w:val="5"/>
  </w:num>
  <w:num w:numId="5" w16cid:durableId="913317291">
    <w:abstractNumId w:val="4"/>
  </w:num>
  <w:num w:numId="6" w16cid:durableId="671950933">
    <w:abstractNumId w:val="8"/>
  </w:num>
  <w:num w:numId="7" w16cid:durableId="1376150771">
    <w:abstractNumId w:val="3"/>
  </w:num>
  <w:num w:numId="8" w16cid:durableId="252132435">
    <w:abstractNumId w:val="2"/>
  </w:num>
  <w:num w:numId="9" w16cid:durableId="433478670">
    <w:abstractNumId w:val="1"/>
  </w:num>
  <w:num w:numId="10" w16cid:durableId="1882090179">
    <w:abstractNumId w:val="0"/>
  </w:num>
  <w:num w:numId="11" w16cid:durableId="1737625183">
    <w:abstractNumId w:val="9"/>
  </w:num>
  <w:num w:numId="12" w16cid:durableId="1114910719">
    <w:abstractNumId w:val="11"/>
  </w:num>
  <w:num w:numId="13" w16cid:durableId="222445811">
    <w:abstractNumId w:val="14"/>
  </w:num>
  <w:num w:numId="14" w16cid:durableId="695811106">
    <w:abstractNumId w:val="12"/>
  </w:num>
  <w:num w:numId="15" w16cid:durableId="610086103">
    <w:abstractNumId w:val="15"/>
  </w:num>
  <w:num w:numId="16" w16cid:durableId="378478222">
    <w:abstractNumId w:val="13"/>
  </w:num>
  <w:num w:numId="17" w16cid:durableId="127378064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EC3"/>
    <w:rsid w:val="00004551"/>
    <w:rsid w:val="000049FB"/>
    <w:rsid w:val="00006496"/>
    <w:rsid w:val="000108EE"/>
    <w:rsid w:val="00012B4F"/>
    <w:rsid w:val="00013862"/>
    <w:rsid w:val="00013F6D"/>
    <w:rsid w:val="00016012"/>
    <w:rsid w:val="00020189"/>
    <w:rsid w:val="00020EE4"/>
    <w:rsid w:val="00023E9A"/>
    <w:rsid w:val="00027195"/>
    <w:rsid w:val="00033CDD"/>
    <w:rsid w:val="00034A84"/>
    <w:rsid w:val="00035E67"/>
    <w:rsid w:val="000366F3"/>
    <w:rsid w:val="0004065B"/>
    <w:rsid w:val="00045DA0"/>
    <w:rsid w:val="0006024D"/>
    <w:rsid w:val="00071F28"/>
    <w:rsid w:val="00074079"/>
    <w:rsid w:val="000876A4"/>
    <w:rsid w:val="00087D96"/>
    <w:rsid w:val="00092799"/>
    <w:rsid w:val="00092C5F"/>
    <w:rsid w:val="00092E43"/>
    <w:rsid w:val="00093ED7"/>
    <w:rsid w:val="00096680"/>
    <w:rsid w:val="00096710"/>
    <w:rsid w:val="000A0F36"/>
    <w:rsid w:val="000A174A"/>
    <w:rsid w:val="000A3E0A"/>
    <w:rsid w:val="000A65AC"/>
    <w:rsid w:val="000A7159"/>
    <w:rsid w:val="000B67D5"/>
    <w:rsid w:val="000B7281"/>
    <w:rsid w:val="000B7FAB"/>
    <w:rsid w:val="000C0163"/>
    <w:rsid w:val="000C1BA1"/>
    <w:rsid w:val="000C29B1"/>
    <w:rsid w:val="000C3DEB"/>
    <w:rsid w:val="000C3EA9"/>
    <w:rsid w:val="000D0225"/>
    <w:rsid w:val="000E7895"/>
    <w:rsid w:val="000F13A8"/>
    <w:rsid w:val="000F161D"/>
    <w:rsid w:val="000F1A28"/>
    <w:rsid w:val="000F3CAA"/>
    <w:rsid w:val="000F6BBC"/>
    <w:rsid w:val="00102ABB"/>
    <w:rsid w:val="001067F2"/>
    <w:rsid w:val="00114EF6"/>
    <w:rsid w:val="001212A7"/>
    <w:rsid w:val="00121410"/>
    <w:rsid w:val="00121BF0"/>
    <w:rsid w:val="00123704"/>
    <w:rsid w:val="00124462"/>
    <w:rsid w:val="001270C7"/>
    <w:rsid w:val="00132540"/>
    <w:rsid w:val="00133F0F"/>
    <w:rsid w:val="001363E4"/>
    <w:rsid w:val="00142C2C"/>
    <w:rsid w:val="001476AD"/>
    <w:rsid w:val="0014786A"/>
    <w:rsid w:val="001516A4"/>
    <w:rsid w:val="00151E5F"/>
    <w:rsid w:val="00153E28"/>
    <w:rsid w:val="001569AB"/>
    <w:rsid w:val="00164D63"/>
    <w:rsid w:val="00165E1B"/>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56FD"/>
    <w:rsid w:val="00216DAB"/>
    <w:rsid w:val="00217880"/>
    <w:rsid w:val="00221BD6"/>
    <w:rsid w:val="00222D66"/>
    <w:rsid w:val="00224A8A"/>
    <w:rsid w:val="002266A7"/>
    <w:rsid w:val="00227FBE"/>
    <w:rsid w:val="002309A8"/>
    <w:rsid w:val="00232063"/>
    <w:rsid w:val="00235706"/>
    <w:rsid w:val="002369BF"/>
    <w:rsid w:val="00236CFE"/>
    <w:rsid w:val="00242627"/>
    <w:rsid w:val="002428E3"/>
    <w:rsid w:val="00243031"/>
    <w:rsid w:val="00251DA3"/>
    <w:rsid w:val="00260BAF"/>
    <w:rsid w:val="002650F7"/>
    <w:rsid w:val="00265A35"/>
    <w:rsid w:val="00273F3B"/>
    <w:rsid w:val="00274DB7"/>
    <w:rsid w:val="00275984"/>
    <w:rsid w:val="00280F74"/>
    <w:rsid w:val="002822CA"/>
    <w:rsid w:val="00286998"/>
    <w:rsid w:val="00291AB7"/>
    <w:rsid w:val="00292EB2"/>
    <w:rsid w:val="0029422B"/>
    <w:rsid w:val="002A0938"/>
    <w:rsid w:val="002A2AF7"/>
    <w:rsid w:val="002A631C"/>
    <w:rsid w:val="002A795D"/>
    <w:rsid w:val="002B153C"/>
    <w:rsid w:val="002B52FC"/>
    <w:rsid w:val="002C2830"/>
    <w:rsid w:val="002D001A"/>
    <w:rsid w:val="002D28E2"/>
    <w:rsid w:val="002D317B"/>
    <w:rsid w:val="002D3587"/>
    <w:rsid w:val="002D502D"/>
    <w:rsid w:val="002E0F69"/>
    <w:rsid w:val="002F5147"/>
    <w:rsid w:val="002F7ABD"/>
    <w:rsid w:val="003045B1"/>
    <w:rsid w:val="00304D3C"/>
    <w:rsid w:val="003071AF"/>
    <w:rsid w:val="00312597"/>
    <w:rsid w:val="003168D5"/>
    <w:rsid w:val="00322A1A"/>
    <w:rsid w:val="00327BA5"/>
    <w:rsid w:val="00327D62"/>
    <w:rsid w:val="0033326F"/>
    <w:rsid w:val="00334154"/>
    <w:rsid w:val="00335920"/>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A06C8"/>
    <w:rsid w:val="003A0D7C"/>
    <w:rsid w:val="003A115B"/>
    <w:rsid w:val="003A5290"/>
    <w:rsid w:val="003A6F84"/>
    <w:rsid w:val="003B0155"/>
    <w:rsid w:val="003B7EE7"/>
    <w:rsid w:val="003C2CCB"/>
    <w:rsid w:val="003C614E"/>
    <w:rsid w:val="003D1067"/>
    <w:rsid w:val="003D39EC"/>
    <w:rsid w:val="003D5DED"/>
    <w:rsid w:val="003D5E39"/>
    <w:rsid w:val="003E3DD5"/>
    <w:rsid w:val="003E43E7"/>
    <w:rsid w:val="003F07C6"/>
    <w:rsid w:val="003F1F6B"/>
    <w:rsid w:val="003F3757"/>
    <w:rsid w:val="003F38BD"/>
    <w:rsid w:val="003F44B7"/>
    <w:rsid w:val="004008E9"/>
    <w:rsid w:val="0041384A"/>
    <w:rsid w:val="00413D48"/>
    <w:rsid w:val="004331D1"/>
    <w:rsid w:val="00441AC2"/>
    <w:rsid w:val="0044249B"/>
    <w:rsid w:val="004425CC"/>
    <w:rsid w:val="00446931"/>
    <w:rsid w:val="00446F18"/>
    <w:rsid w:val="0045023C"/>
    <w:rsid w:val="004506D1"/>
    <w:rsid w:val="00451A5B"/>
    <w:rsid w:val="00452BCD"/>
    <w:rsid w:val="00452CEA"/>
    <w:rsid w:val="004551F0"/>
    <w:rsid w:val="00465B52"/>
    <w:rsid w:val="0046708E"/>
    <w:rsid w:val="00470938"/>
    <w:rsid w:val="00471B02"/>
    <w:rsid w:val="00472A65"/>
    <w:rsid w:val="00474463"/>
    <w:rsid w:val="00474B75"/>
    <w:rsid w:val="00483F0B"/>
    <w:rsid w:val="00496319"/>
    <w:rsid w:val="00497279"/>
    <w:rsid w:val="004A163B"/>
    <w:rsid w:val="004A670A"/>
    <w:rsid w:val="004B5465"/>
    <w:rsid w:val="004B70F0"/>
    <w:rsid w:val="004C21A8"/>
    <w:rsid w:val="004D0526"/>
    <w:rsid w:val="004D505E"/>
    <w:rsid w:val="004D64D0"/>
    <w:rsid w:val="004D7091"/>
    <w:rsid w:val="004D72CA"/>
    <w:rsid w:val="004E2242"/>
    <w:rsid w:val="004E505E"/>
    <w:rsid w:val="004F36A0"/>
    <w:rsid w:val="004F42FF"/>
    <w:rsid w:val="004F44C2"/>
    <w:rsid w:val="00500F12"/>
    <w:rsid w:val="00502512"/>
    <w:rsid w:val="00503FD2"/>
    <w:rsid w:val="00505262"/>
    <w:rsid w:val="00516022"/>
    <w:rsid w:val="00521CEE"/>
    <w:rsid w:val="00524FB4"/>
    <w:rsid w:val="00527BD4"/>
    <w:rsid w:val="00537095"/>
    <w:rsid w:val="005403C8"/>
    <w:rsid w:val="005429DC"/>
    <w:rsid w:val="00543710"/>
    <w:rsid w:val="00554AEF"/>
    <w:rsid w:val="005565F9"/>
    <w:rsid w:val="005604DD"/>
    <w:rsid w:val="00573041"/>
    <w:rsid w:val="00575B80"/>
    <w:rsid w:val="0057620F"/>
    <w:rsid w:val="005819CE"/>
    <w:rsid w:val="0058298D"/>
    <w:rsid w:val="00584C1A"/>
    <w:rsid w:val="00591E4A"/>
    <w:rsid w:val="00593C2B"/>
    <w:rsid w:val="00595231"/>
    <w:rsid w:val="00596166"/>
    <w:rsid w:val="00597F64"/>
    <w:rsid w:val="005A207F"/>
    <w:rsid w:val="005A2F35"/>
    <w:rsid w:val="005A6BCD"/>
    <w:rsid w:val="005B3814"/>
    <w:rsid w:val="005B463E"/>
    <w:rsid w:val="005C34E1"/>
    <w:rsid w:val="005C3FE0"/>
    <w:rsid w:val="005C527C"/>
    <w:rsid w:val="005C65B5"/>
    <w:rsid w:val="005C740C"/>
    <w:rsid w:val="005D625B"/>
    <w:rsid w:val="005F168F"/>
    <w:rsid w:val="005F62D3"/>
    <w:rsid w:val="005F6D11"/>
    <w:rsid w:val="00600CF0"/>
    <w:rsid w:val="006048F4"/>
    <w:rsid w:val="0060660A"/>
    <w:rsid w:val="00610F51"/>
    <w:rsid w:val="00613B1D"/>
    <w:rsid w:val="0061501C"/>
    <w:rsid w:val="00617A44"/>
    <w:rsid w:val="006202B6"/>
    <w:rsid w:val="0062503A"/>
    <w:rsid w:val="006253E8"/>
    <w:rsid w:val="00625CD0"/>
    <w:rsid w:val="0062627D"/>
    <w:rsid w:val="00627432"/>
    <w:rsid w:val="00643FAA"/>
    <w:rsid w:val="006448E4"/>
    <w:rsid w:val="00645414"/>
    <w:rsid w:val="00651CEE"/>
    <w:rsid w:val="00653606"/>
    <w:rsid w:val="006610E9"/>
    <w:rsid w:val="00661591"/>
    <w:rsid w:val="00663172"/>
    <w:rsid w:val="00664678"/>
    <w:rsid w:val="0066632F"/>
    <w:rsid w:val="00674A89"/>
    <w:rsid w:val="00674F3D"/>
    <w:rsid w:val="00685545"/>
    <w:rsid w:val="006864B3"/>
    <w:rsid w:val="00692D64"/>
    <w:rsid w:val="006963BD"/>
    <w:rsid w:val="006A10F8"/>
    <w:rsid w:val="006A2100"/>
    <w:rsid w:val="006A5C3B"/>
    <w:rsid w:val="006A72E0"/>
    <w:rsid w:val="006B0BF3"/>
    <w:rsid w:val="006B4CA7"/>
    <w:rsid w:val="006B775E"/>
    <w:rsid w:val="006B7BC7"/>
    <w:rsid w:val="006C2535"/>
    <w:rsid w:val="006C441E"/>
    <w:rsid w:val="006C4B90"/>
    <w:rsid w:val="006D1016"/>
    <w:rsid w:val="006D17F2"/>
    <w:rsid w:val="006E0F8C"/>
    <w:rsid w:val="006E3546"/>
    <w:rsid w:val="006E3FA9"/>
    <w:rsid w:val="006E7D82"/>
    <w:rsid w:val="006F038F"/>
    <w:rsid w:val="006F0F93"/>
    <w:rsid w:val="006F1016"/>
    <w:rsid w:val="006F31F2"/>
    <w:rsid w:val="006F7494"/>
    <w:rsid w:val="006F751F"/>
    <w:rsid w:val="00701868"/>
    <w:rsid w:val="00702E00"/>
    <w:rsid w:val="00705433"/>
    <w:rsid w:val="00714DC5"/>
    <w:rsid w:val="00715237"/>
    <w:rsid w:val="00721AE1"/>
    <w:rsid w:val="007254A5"/>
    <w:rsid w:val="00725748"/>
    <w:rsid w:val="007269E3"/>
    <w:rsid w:val="00732C97"/>
    <w:rsid w:val="00735D88"/>
    <w:rsid w:val="0073720D"/>
    <w:rsid w:val="00737507"/>
    <w:rsid w:val="00740712"/>
    <w:rsid w:val="00742AB9"/>
    <w:rsid w:val="00746C31"/>
    <w:rsid w:val="00750E3B"/>
    <w:rsid w:val="00751A6A"/>
    <w:rsid w:val="00754FBF"/>
    <w:rsid w:val="007610AA"/>
    <w:rsid w:val="007709EF"/>
    <w:rsid w:val="007718FE"/>
    <w:rsid w:val="00781B0E"/>
    <w:rsid w:val="00782701"/>
    <w:rsid w:val="00783559"/>
    <w:rsid w:val="00785AF7"/>
    <w:rsid w:val="0079551B"/>
    <w:rsid w:val="00797AA5"/>
    <w:rsid w:val="007A26BD"/>
    <w:rsid w:val="007A4105"/>
    <w:rsid w:val="007B1015"/>
    <w:rsid w:val="007B4503"/>
    <w:rsid w:val="007C406E"/>
    <w:rsid w:val="007C4F0C"/>
    <w:rsid w:val="007C5183"/>
    <w:rsid w:val="007C7573"/>
    <w:rsid w:val="007E2B20"/>
    <w:rsid w:val="007F1FE4"/>
    <w:rsid w:val="007F2CA7"/>
    <w:rsid w:val="007F35BD"/>
    <w:rsid w:val="007F439C"/>
    <w:rsid w:val="007F510A"/>
    <w:rsid w:val="007F5331"/>
    <w:rsid w:val="00800CCA"/>
    <w:rsid w:val="00806120"/>
    <w:rsid w:val="00806F63"/>
    <w:rsid w:val="00810C93"/>
    <w:rsid w:val="00812028"/>
    <w:rsid w:val="00812DD8"/>
    <w:rsid w:val="00813082"/>
    <w:rsid w:val="00814D03"/>
    <w:rsid w:val="00820371"/>
    <w:rsid w:val="00820C6D"/>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243"/>
    <w:rsid w:val="00857FEB"/>
    <w:rsid w:val="008601AF"/>
    <w:rsid w:val="0086249D"/>
    <w:rsid w:val="00866251"/>
    <w:rsid w:val="00872271"/>
    <w:rsid w:val="00875118"/>
    <w:rsid w:val="00883137"/>
    <w:rsid w:val="00894A3B"/>
    <w:rsid w:val="008A0090"/>
    <w:rsid w:val="008A1F5D"/>
    <w:rsid w:val="008A28F5"/>
    <w:rsid w:val="008B1198"/>
    <w:rsid w:val="008B3471"/>
    <w:rsid w:val="008B3929"/>
    <w:rsid w:val="008B3C8F"/>
    <w:rsid w:val="008B4125"/>
    <w:rsid w:val="008B4CB3"/>
    <w:rsid w:val="008B567B"/>
    <w:rsid w:val="008B7B24"/>
    <w:rsid w:val="008B7D1F"/>
    <w:rsid w:val="008C356D"/>
    <w:rsid w:val="008D43B5"/>
    <w:rsid w:val="008E0B3F"/>
    <w:rsid w:val="008E27BD"/>
    <w:rsid w:val="008E49AD"/>
    <w:rsid w:val="008E4AFB"/>
    <w:rsid w:val="008E698E"/>
    <w:rsid w:val="008F2584"/>
    <w:rsid w:val="008F3246"/>
    <w:rsid w:val="008F3C1B"/>
    <w:rsid w:val="008F508C"/>
    <w:rsid w:val="008F5247"/>
    <w:rsid w:val="008F7E50"/>
    <w:rsid w:val="00901BE9"/>
    <w:rsid w:val="00901FDC"/>
    <w:rsid w:val="0090271B"/>
    <w:rsid w:val="00902F26"/>
    <w:rsid w:val="00903B02"/>
    <w:rsid w:val="00906C2E"/>
    <w:rsid w:val="00910642"/>
    <w:rsid w:val="00910DDF"/>
    <w:rsid w:val="00922290"/>
    <w:rsid w:val="00926AE2"/>
    <w:rsid w:val="00930B13"/>
    <w:rsid w:val="009311C8"/>
    <w:rsid w:val="00933376"/>
    <w:rsid w:val="00933A2F"/>
    <w:rsid w:val="00933B52"/>
    <w:rsid w:val="00945B34"/>
    <w:rsid w:val="009716D8"/>
    <w:rsid w:val="009718F9"/>
    <w:rsid w:val="00971F42"/>
    <w:rsid w:val="00972FB9"/>
    <w:rsid w:val="00975112"/>
    <w:rsid w:val="00981768"/>
    <w:rsid w:val="00981B71"/>
    <w:rsid w:val="00983E8F"/>
    <w:rsid w:val="0098788A"/>
    <w:rsid w:val="00994873"/>
    <w:rsid w:val="00994FDA"/>
    <w:rsid w:val="009A0CF3"/>
    <w:rsid w:val="009A31BF"/>
    <w:rsid w:val="009A3B71"/>
    <w:rsid w:val="009A61BC"/>
    <w:rsid w:val="009B0138"/>
    <w:rsid w:val="009B0FE9"/>
    <w:rsid w:val="009B173A"/>
    <w:rsid w:val="009C3F20"/>
    <w:rsid w:val="009C752D"/>
    <w:rsid w:val="009C7CA1"/>
    <w:rsid w:val="009D043D"/>
    <w:rsid w:val="009D6B80"/>
    <w:rsid w:val="009E3C59"/>
    <w:rsid w:val="009F3259"/>
    <w:rsid w:val="00A02592"/>
    <w:rsid w:val="00A037D5"/>
    <w:rsid w:val="00A056DE"/>
    <w:rsid w:val="00A128AD"/>
    <w:rsid w:val="00A148E0"/>
    <w:rsid w:val="00A14E51"/>
    <w:rsid w:val="00A16D7E"/>
    <w:rsid w:val="00A217FD"/>
    <w:rsid w:val="00A21E76"/>
    <w:rsid w:val="00A222BA"/>
    <w:rsid w:val="00A23BC8"/>
    <w:rsid w:val="00A245F8"/>
    <w:rsid w:val="00A30E68"/>
    <w:rsid w:val="00A31933"/>
    <w:rsid w:val="00A329D2"/>
    <w:rsid w:val="00A34AA0"/>
    <w:rsid w:val="00A3715C"/>
    <w:rsid w:val="00A40893"/>
    <w:rsid w:val="00A413B4"/>
    <w:rsid w:val="00A41FE2"/>
    <w:rsid w:val="00A46FEF"/>
    <w:rsid w:val="00A47948"/>
    <w:rsid w:val="00A50CF6"/>
    <w:rsid w:val="00A51F1A"/>
    <w:rsid w:val="00A5584E"/>
    <w:rsid w:val="00A56946"/>
    <w:rsid w:val="00A56A01"/>
    <w:rsid w:val="00A6170E"/>
    <w:rsid w:val="00A61DCA"/>
    <w:rsid w:val="00A63B8C"/>
    <w:rsid w:val="00A715F8"/>
    <w:rsid w:val="00A77F6F"/>
    <w:rsid w:val="00A831FD"/>
    <w:rsid w:val="00A83352"/>
    <w:rsid w:val="00A850A2"/>
    <w:rsid w:val="00A91FA3"/>
    <w:rsid w:val="00A927D3"/>
    <w:rsid w:val="00AA7FC9"/>
    <w:rsid w:val="00AB0FFC"/>
    <w:rsid w:val="00AB237D"/>
    <w:rsid w:val="00AB5933"/>
    <w:rsid w:val="00AD4314"/>
    <w:rsid w:val="00AE013D"/>
    <w:rsid w:val="00AE11B7"/>
    <w:rsid w:val="00AE7F68"/>
    <w:rsid w:val="00AF2321"/>
    <w:rsid w:val="00AF4322"/>
    <w:rsid w:val="00AF52F6"/>
    <w:rsid w:val="00AF52FD"/>
    <w:rsid w:val="00AF54A8"/>
    <w:rsid w:val="00AF7237"/>
    <w:rsid w:val="00B0043A"/>
    <w:rsid w:val="00B00D75"/>
    <w:rsid w:val="00B070CB"/>
    <w:rsid w:val="00B12456"/>
    <w:rsid w:val="00B145F0"/>
    <w:rsid w:val="00B259C8"/>
    <w:rsid w:val="00B26CCF"/>
    <w:rsid w:val="00B30FC2"/>
    <w:rsid w:val="00B31EED"/>
    <w:rsid w:val="00B3239F"/>
    <w:rsid w:val="00B330D9"/>
    <w:rsid w:val="00B331A2"/>
    <w:rsid w:val="00B425F0"/>
    <w:rsid w:val="00B42DFA"/>
    <w:rsid w:val="00B4466D"/>
    <w:rsid w:val="00B5066B"/>
    <w:rsid w:val="00B531DD"/>
    <w:rsid w:val="00B55014"/>
    <w:rsid w:val="00B56A5E"/>
    <w:rsid w:val="00B62232"/>
    <w:rsid w:val="00B655C3"/>
    <w:rsid w:val="00B70BF3"/>
    <w:rsid w:val="00B71DC2"/>
    <w:rsid w:val="00B74BE8"/>
    <w:rsid w:val="00B849F5"/>
    <w:rsid w:val="00B91891"/>
    <w:rsid w:val="00B91CFC"/>
    <w:rsid w:val="00B93893"/>
    <w:rsid w:val="00B94B6A"/>
    <w:rsid w:val="00BA1397"/>
    <w:rsid w:val="00BA7E0A"/>
    <w:rsid w:val="00BB49AA"/>
    <w:rsid w:val="00BC2C00"/>
    <w:rsid w:val="00BC3B53"/>
    <w:rsid w:val="00BC3B96"/>
    <w:rsid w:val="00BC4AE3"/>
    <w:rsid w:val="00BC5B28"/>
    <w:rsid w:val="00BD2370"/>
    <w:rsid w:val="00BE3F88"/>
    <w:rsid w:val="00BE4756"/>
    <w:rsid w:val="00BE5ED9"/>
    <w:rsid w:val="00BE7B41"/>
    <w:rsid w:val="00C01E44"/>
    <w:rsid w:val="00C15A91"/>
    <w:rsid w:val="00C15DE0"/>
    <w:rsid w:val="00C206F1"/>
    <w:rsid w:val="00C217E1"/>
    <w:rsid w:val="00C219B1"/>
    <w:rsid w:val="00C30E39"/>
    <w:rsid w:val="00C33DE7"/>
    <w:rsid w:val="00C4015B"/>
    <w:rsid w:val="00C409DB"/>
    <w:rsid w:val="00C40C60"/>
    <w:rsid w:val="00C43FE6"/>
    <w:rsid w:val="00C5258E"/>
    <w:rsid w:val="00C530C9"/>
    <w:rsid w:val="00C55EAB"/>
    <w:rsid w:val="00C568D4"/>
    <w:rsid w:val="00C619A7"/>
    <w:rsid w:val="00C65A41"/>
    <w:rsid w:val="00C73D5F"/>
    <w:rsid w:val="00C82AFE"/>
    <w:rsid w:val="00C83DBC"/>
    <w:rsid w:val="00C905A6"/>
    <w:rsid w:val="00C90702"/>
    <w:rsid w:val="00C918DC"/>
    <w:rsid w:val="00C97C80"/>
    <w:rsid w:val="00CA12DE"/>
    <w:rsid w:val="00CA47D3"/>
    <w:rsid w:val="00CA6533"/>
    <w:rsid w:val="00CA6A25"/>
    <w:rsid w:val="00CA6A3F"/>
    <w:rsid w:val="00CA7C99"/>
    <w:rsid w:val="00CB2C92"/>
    <w:rsid w:val="00CC6290"/>
    <w:rsid w:val="00CC6947"/>
    <w:rsid w:val="00CC7790"/>
    <w:rsid w:val="00CD233D"/>
    <w:rsid w:val="00CD3499"/>
    <w:rsid w:val="00CD362D"/>
    <w:rsid w:val="00CE101D"/>
    <w:rsid w:val="00CE1814"/>
    <w:rsid w:val="00CE1A95"/>
    <w:rsid w:val="00CE1C84"/>
    <w:rsid w:val="00CE47B2"/>
    <w:rsid w:val="00CE5055"/>
    <w:rsid w:val="00CE7CC8"/>
    <w:rsid w:val="00CF053F"/>
    <w:rsid w:val="00CF1A17"/>
    <w:rsid w:val="00CF203E"/>
    <w:rsid w:val="00CF590E"/>
    <w:rsid w:val="00CF65AC"/>
    <w:rsid w:val="00D0375A"/>
    <w:rsid w:val="00D0609E"/>
    <w:rsid w:val="00D078E1"/>
    <w:rsid w:val="00D100E9"/>
    <w:rsid w:val="00D17320"/>
    <w:rsid w:val="00D17942"/>
    <w:rsid w:val="00D21E4B"/>
    <w:rsid w:val="00D22441"/>
    <w:rsid w:val="00D23522"/>
    <w:rsid w:val="00D264D6"/>
    <w:rsid w:val="00D33BF0"/>
    <w:rsid w:val="00D33DE0"/>
    <w:rsid w:val="00D363EA"/>
    <w:rsid w:val="00D36447"/>
    <w:rsid w:val="00D40A1C"/>
    <w:rsid w:val="00D43A3C"/>
    <w:rsid w:val="00D516BE"/>
    <w:rsid w:val="00D5423B"/>
    <w:rsid w:val="00D54E6A"/>
    <w:rsid w:val="00D54F4E"/>
    <w:rsid w:val="00D56E01"/>
    <w:rsid w:val="00D57A56"/>
    <w:rsid w:val="00D604B3"/>
    <w:rsid w:val="00D60BA4"/>
    <w:rsid w:val="00D62419"/>
    <w:rsid w:val="00D77870"/>
    <w:rsid w:val="00D80977"/>
    <w:rsid w:val="00D80CCE"/>
    <w:rsid w:val="00D8566B"/>
    <w:rsid w:val="00D86EEA"/>
    <w:rsid w:val="00D87D03"/>
    <w:rsid w:val="00D9360B"/>
    <w:rsid w:val="00D95C88"/>
    <w:rsid w:val="00D96AA8"/>
    <w:rsid w:val="00D97B2E"/>
    <w:rsid w:val="00DA1E91"/>
    <w:rsid w:val="00DA241E"/>
    <w:rsid w:val="00DA2A88"/>
    <w:rsid w:val="00DA4163"/>
    <w:rsid w:val="00DA5548"/>
    <w:rsid w:val="00DA6516"/>
    <w:rsid w:val="00DA7A5C"/>
    <w:rsid w:val="00DB36FE"/>
    <w:rsid w:val="00DB533A"/>
    <w:rsid w:val="00DB60AE"/>
    <w:rsid w:val="00DB6307"/>
    <w:rsid w:val="00DD1DCD"/>
    <w:rsid w:val="00DD338F"/>
    <w:rsid w:val="00DD66F2"/>
    <w:rsid w:val="00DD6F51"/>
    <w:rsid w:val="00DE3FE0"/>
    <w:rsid w:val="00DE578A"/>
    <w:rsid w:val="00DE5F19"/>
    <w:rsid w:val="00DF2583"/>
    <w:rsid w:val="00DF4D3C"/>
    <w:rsid w:val="00DF54D9"/>
    <w:rsid w:val="00DF7283"/>
    <w:rsid w:val="00E01A59"/>
    <w:rsid w:val="00E10DC6"/>
    <w:rsid w:val="00E11F8E"/>
    <w:rsid w:val="00E15881"/>
    <w:rsid w:val="00E16A8F"/>
    <w:rsid w:val="00E21DE3"/>
    <w:rsid w:val="00E228C4"/>
    <w:rsid w:val="00E273C5"/>
    <w:rsid w:val="00E306FD"/>
    <w:rsid w:val="00E307D1"/>
    <w:rsid w:val="00E308A8"/>
    <w:rsid w:val="00E3731D"/>
    <w:rsid w:val="00E44ED5"/>
    <w:rsid w:val="00E50D07"/>
    <w:rsid w:val="00E51469"/>
    <w:rsid w:val="00E61679"/>
    <w:rsid w:val="00E634E3"/>
    <w:rsid w:val="00E717C4"/>
    <w:rsid w:val="00E767E5"/>
    <w:rsid w:val="00E77E18"/>
    <w:rsid w:val="00E77F89"/>
    <w:rsid w:val="00E80330"/>
    <w:rsid w:val="00E806C5"/>
    <w:rsid w:val="00E80E71"/>
    <w:rsid w:val="00E850D3"/>
    <w:rsid w:val="00E853D6"/>
    <w:rsid w:val="00E85B44"/>
    <w:rsid w:val="00E876B9"/>
    <w:rsid w:val="00EA3458"/>
    <w:rsid w:val="00EB4132"/>
    <w:rsid w:val="00EC0DFF"/>
    <w:rsid w:val="00EC237D"/>
    <w:rsid w:val="00EC2918"/>
    <w:rsid w:val="00EC4D0E"/>
    <w:rsid w:val="00EC4E2B"/>
    <w:rsid w:val="00ED072A"/>
    <w:rsid w:val="00ED539E"/>
    <w:rsid w:val="00EE1B28"/>
    <w:rsid w:val="00EE4A1F"/>
    <w:rsid w:val="00EE4C2D"/>
    <w:rsid w:val="00EF020D"/>
    <w:rsid w:val="00EF1B5A"/>
    <w:rsid w:val="00EF24FB"/>
    <w:rsid w:val="00EF2CCA"/>
    <w:rsid w:val="00EF495B"/>
    <w:rsid w:val="00EF60DC"/>
    <w:rsid w:val="00F00F54"/>
    <w:rsid w:val="00F01575"/>
    <w:rsid w:val="00F03963"/>
    <w:rsid w:val="00F11068"/>
    <w:rsid w:val="00F1256D"/>
    <w:rsid w:val="00F13A4E"/>
    <w:rsid w:val="00F172BB"/>
    <w:rsid w:val="00F17B10"/>
    <w:rsid w:val="00F21BEF"/>
    <w:rsid w:val="00F2315B"/>
    <w:rsid w:val="00F26516"/>
    <w:rsid w:val="00F323E1"/>
    <w:rsid w:val="00F3442B"/>
    <w:rsid w:val="00F34805"/>
    <w:rsid w:val="00F400C9"/>
    <w:rsid w:val="00F41A6F"/>
    <w:rsid w:val="00F45A25"/>
    <w:rsid w:val="00F46E9F"/>
    <w:rsid w:val="00F50F86"/>
    <w:rsid w:val="00F53F91"/>
    <w:rsid w:val="00F61569"/>
    <w:rsid w:val="00F61A72"/>
    <w:rsid w:val="00F62B67"/>
    <w:rsid w:val="00F66F13"/>
    <w:rsid w:val="00F72D39"/>
    <w:rsid w:val="00F74073"/>
    <w:rsid w:val="00F75603"/>
    <w:rsid w:val="00F76CE6"/>
    <w:rsid w:val="00F77599"/>
    <w:rsid w:val="00F845B4"/>
    <w:rsid w:val="00F85106"/>
    <w:rsid w:val="00F8713B"/>
    <w:rsid w:val="00F93F9E"/>
    <w:rsid w:val="00FA2CD7"/>
    <w:rsid w:val="00FB06ED"/>
    <w:rsid w:val="00FB3082"/>
    <w:rsid w:val="00FC2311"/>
    <w:rsid w:val="00FC3165"/>
    <w:rsid w:val="00FC36AB"/>
    <w:rsid w:val="00FC4300"/>
    <w:rsid w:val="00FC7F66"/>
    <w:rsid w:val="00FD5776"/>
    <w:rsid w:val="00FE1CB6"/>
    <w:rsid w:val="00FE3765"/>
    <w:rsid w:val="00FE486B"/>
    <w:rsid w:val="00FE4F08"/>
    <w:rsid w:val="00FF192E"/>
    <w:rsid w:val="00FF4D2A"/>
    <w:rsid w:val="00FF5C42"/>
    <w:rsid w:val="00FF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4BE06"/>
  <w15:docId w15:val="{511A0211-28B9-4516-A8A5-536379F9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9C752D"/>
    <w:pPr>
      <w:ind w:left="720"/>
      <w:contextualSpacing/>
    </w:pPr>
  </w:style>
  <w:style w:type="character" w:styleId="Verwijzingopmerking">
    <w:name w:val="annotation reference"/>
    <w:basedOn w:val="Standaardalinea-lettertype"/>
    <w:semiHidden/>
    <w:unhideWhenUsed/>
    <w:rsid w:val="000876A4"/>
    <w:rPr>
      <w:sz w:val="16"/>
      <w:szCs w:val="16"/>
    </w:rPr>
  </w:style>
  <w:style w:type="paragraph" w:styleId="Tekstopmerking">
    <w:name w:val="annotation text"/>
    <w:basedOn w:val="Standaard"/>
    <w:link w:val="TekstopmerkingChar"/>
    <w:unhideWhenUsed/>
    <w:rsid w:val="000876A4"/>
    <w:pPr>
      <w:spacing w:line="240" w:lineRule="auto"/>
    </w:pPr>
    <w:rPr>
      <w:sz w:val="20"/>
      <w:szCs w:val="20"/>
    </w:rPr>
  </w:style>
  <w:style w:type="character" w:customStyle="1" w:styleId="TekstopmerkingChar">
    <w:name w:val="Tekst opmerking Char"/>
    <w:basedOn w:val="Standaardalinea-lettertype"/>
    <w:link w:val="Tekstopmerking"/>
    <w:rsid w:val="000876A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876A4"/>
    <w:rPr>
      <w:b/>
      <w:bCs/>
    </w:rPr>
  </w:style>
  <w:style w:type="character" w:customStyle="1" w:styleId="OnderwerpvanopmerkingChar">
    <w:name w:val="Onderwerp van opmerking Char"/>
    <w:basedOn w:val="TekstopmerkingChar"/>
    <w:link w:val="Onderwerpvanopmerking"/>
    <w:semiHidden/>
    <w:rsid w:val="000876A4"/>
    <w:rPr>
      <w:rFonts w:ascii="Verdana" w:hAnsi="Verdana"/>
      <w:b/>
      <w:bCs/>
      <w:lang w:val="nl-NL" w:eastAsia="nl-NL"/>
    </w:rPr>
  </w:style>
  <w:style w:type="paragraph" w:styleId="Revisie">
    <w:name w:val="Revision"/>
    <w:hidden/>
    <w:uiPriority w:val="99"/>
    <w:semiHidden/>
    <w:rsid w:val="00B56A5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8590">
      <w:bodyDiv w:val="1"/>
      <w:marLeft w:val="0"/>
      <w:marRight w:val="0"/>
      <w:marTop w:val="0"/>
      <w:marBottom w:val="0"/>
      <w:divBdr>
        <w:top w:val="none" w:sz="0" w:space="0" w:color="auto"/>
        <w:left w:val="none" w:sz="0" w:space="0" w:color="auto"/>
        <w:bottom w:val="none" w:sz="0" w:space="0" w:color="auto"/>
        <w:right w:val="none" w:sz="0" w:space="0" w:color="auto"/>
      </w:divBdr>
    </w:div>
    <w:div w:id="202332499">
      <w:bodyDiv w:val="1"/>
      <w:marLeft w:val="0"/>
      <w:marRight w:val="0"/>
      <w:marTop w:val="0"/>
      <w:marBottom w:val="0"/>
      <w:divBdr>
        <w:top w:val="none" w:sz="0" w:space="0" w:color="auto"/>
        <w:left w:val="none" w:sz="0" w:space="0" w:color="auto"/>
        <w:bottom w:val="none" w:sz="0" w:space="0" w:color="auto"/>
        <w:right w:val="none" w:sz="0" w:space="0" w:color="auto"/>
      </w:divBdr>
    </w:div>
    <w:div w:id="223951294">
      <w:bodyDiv w:val="1"/>
      <w:marLeft w:val="0"/>
      <w:marRight w:val="0"/>
      <w:marTop w:val="0"/>
      <w:marBottom w:val="0"/>
      <w:divBdr>
        <w:top w:val="none" w:sz="0" w:space="0" w:color="auto"/>
        <w:left w:val="none" w:sz="0" w:space="0" w:color="auto"/>
        <w:bottom w:val="none" w:sz="0" w:space="0" w:color="auto"/>
        <w:right w:val="none" w:sz="0" w:space="0" w:color="auto"/>
      </w:divBdr>
    </w:div>
    <w:div w:id="309865095">
      <w:bodyDiv w:val="1"/>
      <w:marLeft w:val="0"/>
      <w:marRight w:val="0"/>
      <w:marTop w:val="0"/>
      <w:marBottom w:val="0"/>
      <w:divBdr>
        <w:top w:val="none" w:sz="0" w:space="0" w:color="auto"/>
        <w:left w:val="none" w:sz="0" w:space="0" w:color="auto"/>
        <w:bottom w:val="none" w:sz="0" w:space="0" w:color="auto"/>
        <w:right w:val="none" w:sz="0" w:space="0" w:color="auto"/>
      </w:divBdr>
    </w:div>
    <w:div w:id="429198823">
      <w:bodyDiv w:val="1"/>
      <w:marLeft w:val="0"/>
      <w:marRight w:val="0"/>
      <w:marTop w:val="0"/>
      <w:marBottom w:val="0"/>
      <w:divBdr>
        <w:top w:val="none" w:sz="0" w:space="0" w:color="auto"/>
        <w:left w:val="none" w:sz="0" w:space="0" w:color="auto"/>
        <w:bottom w:val="none" w:sz="0" w:space="0" w:color="auto"/>
        <w:right w:val="none" w:sz="0" w:space="0" w:color="auto"/>
      </w:divBdr>
    </w:div>
    <w:div w:id="561645734">
      <w:bodyDiv w:val="1"/>
      <w:marLeft w:val="0"/>
      <w:marRight w:val="0"/>
      <w:marTop w:val="0"/>
      <w:marBottom w:val="0"/>
      <w:divBdr>
        <w:top w:val="none" w:sz="0" w:space="0" w:color="auto"/>
        <w:left w:val="none" w:sz="0" w:space="0" w:color="auto"/>
        <w:bottom w:val="none" w:sz="0" w:space="0" w:color="auto"/>
        <w:right w:val="none" w:sz="0" w:space="0" w:color="auto"/>
      </w:divBdr>
    </w:div>
    <w:div w:id="638340877">
      <w:bodyDiv w:val="1"/>
      <w:marLeft w:val="0"/>
      <w:marRight w:val="0"/>
      <w:marTop w:val="0"/>
      <w:marBottom w:val="0"/>
      <w:divBdr>
        <w:top w:val="none" w:sz="0" w:space="0" w:color="auto"/>
        <w:left w:val="none" w:sz="0" w:space="0" w:color="auto"/>
        <w:bottom w:val="none" w:sz="0" w:space="0" w:color="auto"/>
        <w:right w:val="none" w:sz="0" w:space="0" w:color="auto"/>
      </w:divBdr>
    </w:div>
    <w:div w:id="831876280">
      <w:bodyDiv w:val="1"/>
      <w:marLeft w:val="0"/>
      <w:marRight w:val="0"/>
      <w:marTop w:val="0"/>
      <w:marBottom w:val="0"/>
      <w:divBdr>
        <w:top w:val="none" w:sz="0" w:space="0" w:color="auto"/>
        <w:left w:val="none" w:sz="0" w:space="0" w:color="auto"/>
        <w:bottom w:val="none" w:sz="0" w:space="0" w:color="auto"/>
        <w:right w:val="none" w:sz="0" w:space="0" w:color="auto"/>
      </w:divBdr>
    </w:div>
    <w:div w:id="1240360663">
      <w:bodyDiv w:val="1"/>
      <w:marLeft w:val="0"/>
      <w:marRight w:val="0"/>
      <w:marTop w:val="0"/>
      <w:marBottom w:val="0"/>
      <w:divBdr>
        <w:top w:val="none" w:sz="0" w:space="0" w:color="auto"/>
        <w:left w:val="none" w:sz="0" w:space="0" w:color="auto"/>
        <w:bottom w:val="none" w:sz="0" w:space="0" w:color="auto"/>
        <w:right w:val="none" w:sz="0" w:space="0" w:color="auto"/>
      </w:divBdr>
    </w:div>
    <w:div w:id="1516918395">
      <w:bodyDiv w:val="1"/>
      <w:marLeft w:val="0"/>
      <w:marRight w:val="0"/>
      <w:marTop w:val="0"/>
      <w:marBottom w:val="0"/>
      <w:divBdr>
        <w:top w:val="none" w:sz="0" w:space="0" w:color="auto"/>
        <w:left w:val="none" w:sz="0" w:space="0" w:color="auto"/>
        <w:bottom w:val="none" w:sz="0" w:space="0" w:color="auto"/>
        <w:right w:val="none" w:sz="0" w:space="0" w:color="auto"/>
      </w:divBdr>
    </w:div>
    <w:div w:id="1708677049">
      <w:bodyDiv w:val="1"/>
      <w:marLeft w:val="0"/>
      <w:marRight w:val="0"/>
      <w:marTop w:val="0"/>
      <w:marBottom w:val="0"/>
      <w:divBdr>
        <w:top w:val="none" w:sz="0" w:space="0" w:color="auto"/>
        <w:left w:val="none" w:sz="0" w:space="0" w:color="auto"/>
        <w:bottom w:val="none" w:sz="0" w:space="0" w:color="auto"/>
        <w:right w:val="none" w:sz="0" w:space="0" w:color="auto"/>
      </w:divBdr>
    </w:div>
    <w:div w:id="1914271227">
      <w:bodyDiv w:val="1"/>
      <w:marLeft w:val="0"/>
      <w:marRight w:val="0"/>
      <w:marTop w:val="0"/>
      <w:marBottom w:val="0"/>
      <w:divBdr>
        <w:top w:val="none" w:sz="0" w:space="0" w:color="auto"/>
        <w:left w:val="none" w:sz="0" w:space="0" w:color="auto"/>
        <w:bottom w:val="none" w:sz="0" w:space="0" w:color="auto"/>
        <w:right w:val="none" w:sz="0" w:space="0" w:color="auto"/>
      </w:divBdr>
    </w:div>
    <w:div w:id="2058628842">
      <w:bodyDiv w:val="1"/>
      <w:marLeft w:val="0"/>
      <w:marRight w:val="0"/>
      <w:marTop w:val="0"/>
      <w:marBottom w:val="0"/>
      <w:divBdr>
        <w:top w:val="none" w:sz="0" w:space="0" w:color="auto"/>
        <w:left w:val="none" w:sz="0" w:space="0" w:color="auto"/>
        <w:bottom w:val="none" w:sz="0" w:space="0" w:color="auto"/>
        <w:right w:val="none" w:sz="0" w:space="0" w:color="auto"/>
      </w:divBdr>
    </w:div>
    <w:div w:id="211609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999</ap:Words>
  <ap:Characters>5498</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2025-09-16T08:56:00.0000000Z</dcterms:created>
  <dcterms:modified xsi:type="dcterms:W3CDTF">2025-09-16T08:56:00.0000000Z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raaijw</vt:lpwstr>
  </property>
  <property fmtid="{D5CDD505-2E9C-101B-9397-08002B2CF9AE}" pid="3" name="AUTHOR_ID">
    <vt:lpwstr>raaijw</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raaijw</vt:lpwstr>
  </property>
  <property fmtid="{D5CDD505-2E9C-101B-9397-08002B2CF9AE}" pid="16" name="ContentTypeId">
    <vt:lpwstr>0x010100B16FD3810CAF3841ABC475024D241355</vt:lpwstr>
  </property>
  <property fmtid="{D5CDD505-2E9C-101B-9397-08002B2CF9AE}" pid="17" name="MSIP_Label_35ad6b54-f757-49c9-8c83-ef7f8aa67172_Enabled">
    <vt:lpwstr>true</vt:lpwstr>
  </property>
  <property fmtid="{D5CDD505-2E9C-101B-9397-08002B2CF9AE}" pid="18" name="MSIP_Label_35ad6b54-f757-49c9-8c83-ef7f8aa67172_SetDate">
    <vt:lpwstr>2025-09-15T20:04:49Z</vt:lpwstr>
  </property>
  <property fmtid="{D5CDD505-2E9C-101B-9397-08002B2CF9AE}" pid="19" name="MSIP_Label_35ad6b54-f757-49c9-8c83-ef7f8aa67172_Method">
    <vt:lpwstr>Standard</vt:lpwstr>
  </property>
  <property fmtid="{D5CDD505-2E9C-101B-9397-08002B2CF9AE}" pid="20" name="MSIP_Label_35ad6b54-f757-49c9-8c83-ef7f8aa67172_Name">
    <vt:lpwstr>FIN-DGRB-Rijksoverheid</vt:lpwstr>
  </property>
  <property fmtid="{D5CDD505-2E9C-101B-9397-08002B2CF9AE}" pid="21" name="MSIP_Label_35ad6b54-f757-49c9-8c83-ef7f8aa67172_SiteId">
    <vt:lpwstr>84712536-f524-40a0-913b-5d25ba502732</vt:lpwstr>
  </property>
  <property fmtid="{D5CDD505-2E9C-101B-9397-08002B2CF9AE}" pid="22" name="MSIP_Label_35ad6b54-f757-49c9-8c83-ef7f8aa67172_ActionId">
    <vt:lpwstr>e0e97892-e0a8-4433-99d3-beec6f678682</vt:lpwstr>
  </property>
  <property fmtid="{D5CDD505-2E9C-101B-9397-08002B2CF9AE}" pid="23" name="MSIP_Label_35ad6b54-f757-49c9-8c83-ef7f8aa67172_ContentBits">
    <vt:lpwstr>0</vt:lpwstr>
  </property>
</Properties>
</file>