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965" w:rsidRDefault="006B6965" w14:paraId="21F0A19D"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6B6965" w14:paraId="2102900B"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6B6965" w:rsidRDefault="003A166B" w14:paraId="2774B7CE"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6B6965" w:rsidRDefault="003A166B" w14:paraId="43BC11C5" w14:textId="77777777">
            <w:pPr>
              <w:pStyle w:val="kamernummer-p"/>
            </w:pPr>
            <w:r>
              <w:t>2</w:t>
            </w:r>
          </w:p>
        </w:tc>
      </w:tr>
      <w:tr w:rsidR="006B6965" w14:paraId="506B324B"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6B6965" w:rsidRDefault="003A166B" w14:paraId="7A5CAD24" w14:textId="77777777">
            <w:pPr>
              <w:pStyle w:val="vergaderjaar-p"/>
            </w:pPr>
            <w:r>
              <w:rPr>
                <w:rStyle w:val="vergaderjaar-text"/>
              </w:rPr>
              <w:t>Vergaderjaar 2024‒2025</w:t>
            </w:r>
          </w:p>
        </w:tc>
      </w:tr>
    </w:tbl>
    <w:p w:rsidR="006B6965" w:rsidRDefault="006B6965" w14:paraId="3B753699" w14:textId="77777777"/>
    <w:p w:rsidR="006B6965" w:rsidRDefault="006B6965" w14:paraId="1ABC4CC6"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6B6965" w:rsidTr="003A166B" w14:paraId="760883FF"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006B6965" w:rsidRDefault="003A166B" w14:paraId="44D9FC74" w14:textId="6E1466ED">
            <w:r>
              <w:rPr>
                <w:rStyle w:val="begrotingshoofdstuk-text"/>
              </w:rPr>
              <w:t>36 820 X</w:t>
            </w:r>
            <w:r>
              <w:rPr>
                <w:rStyle w:val="begrotingshoofdstuk-text"/>
              </w:rPr>
              <w:t>II</w:t>
            </w:r>
          </w:p>
        </w:tc>
        <w:tc>
          <w:tcPr>
            <w:tcW w:w="6377" w:type="dxa"/>
            <w:tcBorders>
              <w:top w:val="single" w:color="000000" w:sz="4" w:space="0"/>
            </w:tcBorders>
            <w:tcMar>
              <w:top w:w="0" w:type="dxa"/>
              <w:left w:w="0" w:type="dxa"/>
              <w:bottom w:w="0" w:type="dxa"/>
              <w:right w:w="108" w:type="dxa"/>
            </w:tcMar>
          </w:tcPr>
          <w:p w:rsidR="006B6965" w:rsidRDefault="003A166B" w14:paraId="79B6D4A4" w14:textId="3D7527B2">
            <w:pPr>
              <w:pStyle w:val="title-cell-text"/>
            </w:pPr>
            <w:r w:rsidRPr="003A166B">
              <w:rPr>
                <w:rStyle w:val="begrotingshoofdstuk-text"/>
              </w:rPr>
              <w:t>Wijziging van de begrotingsstaten van het Ministerie van Infrastructuur en Waterstaat (XII) voor het jaar 2025 (wijziging samenhangende met de Miljoenennota)</w:t>
            </w:r>
          </w:p>
        </w:tc>
      </w:tr>
      <w:tr w:rsidR="006B6965" w:rsidTr="003A166B" w14:paraId="76CC082C" w14:textId="77777777">
        <w:tblPrEx>
          <w:tblCellMar>
            <w:top w:w="0" w:type="dxa"/>
            <w:bottom w:w="0" w:type="dxa"/>
          </w:tblCellMar>
        </w:tblPrEx>
        <w:tc>
          <w:tcPr>
            <w:tcW w:w="3317" w:type="dxa"/>
            <w:tcMar>
              <w:top w:w="0" w:type="dxa"/>
              <w:left w:w="108" w:type="dxa"/>
              <w:bottom w:w="0" w:type="dxa"/>
              <w:right w:w="108" w:type="dxa"/>
            </w:tcMar>
          </w:tcPr>
          <w:p w:rsidR="006B6965" w:rsidRDefault="003A166B" w14:paraId="2B1E51A9" w14:textId="77777777">
            <w:pPr>
              <w:pStyle w:val="stuknr-p"/>
            </w:pPr>
            <w:r>
              <w:t>Nr. 2</w:t>
            </w:r>
          </w:p>
        </w:tc>
        <w:tc>
          <w:tcPr>
            <w:tcW w:w="6377" w:type="dxa"/>
            <w:tcMar>
              <w:top w:w="0" w:type="dxa"/>
              <w:left w:w="0" w:type="dxa"/>
              <w:bottom w:w="0" w:type="dxa"/>
              <w:right w:w="108" w:type="dxa"/>
            </w:tcMar>
          </w:tcPr>
          <w:p w:rsidR="006B6965" w:rsidRDefault="003A166B" w14:paraId="452F816F" w14:textId="77777777">
            <w:pPr>
              <w:pStyle w:val="titel-p"/>
            </w:pPr>
            <w:r>
              <w:t xml:space="preserve">MEMORIE VAN </w:t>
            </w:r>
            <w:r>
              <w:t>TOELICHTING</w:t>
            </w:r>
          </w:p>
          <w:p w:rsidR="006B6965" w:rsidRDefault="006B6965" w14:paraId="4A854C46" w14:textId="77777777"/>
        </w:tc>
      </w:tr>
    </w:tbl>
    <w:p w:rsidR="003A166B" w:rsidRDefault="003A166B" w14:paraId="276AEF07" w14:textId="77777777">
      <w:pPr>
        <w:pStyle w:val="section-title-1"/>
      </w:pPr>
      <w:bookmarkStart w:name="97583667962191" w:id="0"/>
    </w:p>
    <w:p w:rsidR="006B6965" w:rsidRDefault="003A166B" w14:paraId="36C8E69F" w14:textId="37EA0267">
      <w:pPr>
        <w:pStyle w:val="section-title-1"/>
      </w:pPr>
      <w:r>
        <w:t>A. ARTIKELSGEWIJZE TOELICHTING BIJ HET WETSVOORSTEL</w:t>
      </w:r>
      <w:bookmarkEnd w:id="0"/>
    </w:p>
    <w:p w:rsidR="006B6965" w:rsidRDefault="003A166B" w14:paraId="54442C64" w14:textId="77777777">
      <w:pPr>
        <w:pStyle w:val="p"/>
      </w:pPr>
      <w:r>
        <w:t>Wetsartikelen 1 en 2</w:t>
      </w:r>
    </w:p>
    <w:p w:rsidR="006B6965" w:rsidRDefault="003A166B" w14:paraId="5667CEDF" w14:textId="77777777">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w:t>
      </w:r>
    </w:p>
    <w:p w:rsidR="006B6965" w:rsidRDefault="003A166B" w14:paraId="677812FB" w14:textId="77777777">
      <w:pPr>
        <w:pStyle w:val="ol-p-l1"/>
      </w:pPr>
      <w:r>
        <w:rPr>
          <w:rStyle w:val="ol-text"/>
        </w:rPr>
        <w:t>de departementale begrotingsstaat van het Ministerie van Infrastructuur en Waterstaat;</w:t>
      </w:r>
    </w:p>
    <w:p w:rsidR="006B6965" w:rsidRDefault="003A166B" w14:paraId="047D1C73" w14:textId="77777777">
      <w:pPr>
        <w:pStyle w:val="ol-p-l1"/>
      </w:pPr>
      <w:r>
        <w:rPr>
          <w:rStyle w:val="ol-text"/>
        </w:rPr>
        <w:t>de begrotingsstaat inzake de agentschappen van dit ministerie;</w:t>
      </w:r>
    </w:p>
    <w:p w:rsidR="006B6965" w:rsidRDefault="006B6965" w14:paraId="4EB92585" w14:textId="77777777"/>
    <w:p w:rsidR="006B6965" w:rsidRDefault="003A166B" w14:paraId="2FE12C92" w14:textId="77777777">
      <w:pPr>
        <w:pStyle w:val="p"/>
      </w:pPr>
      <w:r>
        <w:t>De in de begrotingsstaten opgenomen begrotingsartikelen worden in onderdeel B van deze memorie van toelichting toegelicht (de zgn. begrotingstoelichting).</w:t>
      </w:r>
    </w:p>
    <w:p w:rsidR="006B6965" w:rsidRDefault="003A166B" w14:paraId="6C779AED" w14:textId="77777777">
      <w:pPr>
        <w:pStyle w:val="functie"/>
      </w:pPr>
      <w:r>
        <w:t>De Minister van Infrastructuur en Waterstaat,</w:t>
      </w:r>
    </w:p>
    <w:p w:rsidR="006B6965" w:rsidRDefault="003A166B" w14:paraId="0C1DF765" w14:textId="4C60AF91">
      <w:pPr>
        <w:pStyle w:val="naam"/>
      </w:pPr>
      <w:r>
        <w:t>R</w:t>
      </w:r>
      <w:r>
        <w:t xml:space="preserve">. </w:t>
      </w:r>
      <w:r>
        <w:t>Tieman</w:t>
      </w:r>
    </w:p>
    <w:p w:rsidR="006B6965" w:rsidRDefault="006B6965" w14:paraId="74A89A3B" w14:textId="77777777"/>
    <w:p w:rsidR="006B6965" w:rsidRDefault="006B6965" w14:paraId="0331C0A6" w14:textId="77777777">
      <w:pPr>
        <w:pStyle w:val="page-break"/>
      </w:pPr>
    </w:p>
    <w:p w:rsidR="006B6965" w:rsidRDefault="003A166B" w14:paraId="26B8537C" w14:textId="77777777">
      <w:pPr>
        <w:pStyle w:val="section-title-1"/>
      </w:pPr>
      <w:bookmarkStart w:name="97584187962194" w:id="1"/>
      <w:r>
        <w:t>B. BEGROTINGSTOELICHTING</w:t>
      </w:r>
      <w:bookmarkEnd w:id="1"/>
    </w:p>
    <w:p w:rsidR="006B6965" w:rsidRDefault="003A166B" w14:paraId="086771DA" w14:textId="77777777">
      <w:pPr>
        <w:pStyle w:val="section-title-2"/>
      </w:pPr>
      <w:bookmarkStart w:name="97599947962284" w:id="2"/>
      <w:r>
        <w:t>1 Leeswijzer</w:t>
      </w:r>
      <w:bookmarkEnd w:id="2"/>
    </w:p>
    <w:p w:rsidR="006B6965" w:rsidRDefault="003A166B" w14:paraId="03876C59" w14:textId="77777777">
      <w:pPr>
        <w:pStyle w:val="header-h1"/>
      </w:pPr>
      <w:r>
        <w:t>Algemeen</w:t>
      </w:r>
    </w:p>
    <w:p w:rsidR="006B6965" w:rsidRDefault="003A166B" w14:paraId="7D5455FD" w14:textId="77777777">
      <w:pPr>
        <w:pStyle w:val="p"/>
      </w:pPr>
      <w:r>
        <w:t xml:space="preserve">De opzet en structuur van de onderliggende suppletoire </w:t>
      </w:r>
      <w:r>
        <w:t>begroting voor Hoofdstuk XII is gebaseerd op de Rijksbegrotingsvoorschriften van het Ministerie van Financiën.</w:t>
      </w:r>
    </w:p>
    <w:p w:rsidR="006B6965" w:rsidRDefault="003A166B" w14:paraId="2773CBF0" w14:textId="77777777">
      <w:pPr>
        <w:pStyle w:val="p"/>
      </w:pPr>
      <w:r>
        <w:t xml:space="preserve">Naar aanleiding van de aanbevelingen van het Bureau Onderzoek en Rijksuitgaven (BOR) (Kamerstukken II, 2014–2015, </w:t>
      </w:r>
      <w:hyperlink w:history="1" r:id="rId8">
        <w:r>
          <w:rPr>
            <w:color w:val="548DD4"/>
            <w:u w:val="single"/>
          </w:rPr>
          <w:t>31 865, nr. 66</w:t>
        </w:r>
      </w:hyperlink>
      <w:r>
        <w:t xml:space="preserve">) zijn in de Rijksbegrotingsvoorschriften 2025 de onderstaande uniforme ondergrenzen opgenomen, die worden gehanteerd bij het toelichten van de budgettaire gevolgen van beleid. De beleidsmatige mutaties en technische mutaties groter dan of gelijk aan onderstaande tabel worden op het niveau van de totale verplichtingen en de financiële instrumenten toegelicht. Dit houdt in dat financiële instrumenten waarbij het verschil kleiner is dan de aangegeven norm niet worden toegelicht, tenzij deze beleidsmatig toch </w:t>
      </w:r>
      <w:r>
        <w:t>relevant zijn.</w:t>
      </w:r>
    </w:p>
    <w:tbl>
      <w:tblPr>
        <w:tblW w:w="5000" w:type="pct"/>
        <w:tblCellMar>
          <w:left w:w="10" w:type="dxa"/>
          <w:right w:w="10" w:type="dxa"/>
        </w:tblCellMar>
        <w:tblLook w:val="04A0" w:firstRow="1" w:lastRow="0" w:firstColumn="1" w:lastColumn="0" w:noHBand="0" w:noVBand="1"/>
      </w:tblPr>
      <w:tblGrid>
        <w:gridCol w:w="2168"/>
        <w:gridCol w:w="2105"/>
        <w:gridCol w:w="2105"/>
      </w:tblGrid>
      <w:tr w:rsidR="006B6965" w14:paraId="2562BC2F" w14:textId="77777777">
        <w:tblPrEx>
          <w:tblCellMar>
            <w:top w:w="0" w:type="dxa"/>
            <w:bottom w:w="0" w:type="dxa"/>
          </w:tblCellMar>
        </w:tblPrEx>
        <w:trPr>
          <w:tblHeader/>
        </w:trPr>
        <w:tc>
          <w:tcPr>
            <w:tcW w:w="5509" w:type="dxa"/>
            <w:gridSpan w:val="3"/>
            <w:tcMar>
              <w:top w:w="22" w:type="dxa"/>
              <w:left w:w="113" w:type="dxa"/>
              <w:bottom w:w="22" w:type="dxa"/>
            </w:tcMar>
          </w:tcPr>
          <w:p w:rsidR="006B6965" w:rsidRDefault="003A166B" w14:paraId="206387F0" w14:textId="77777777">
            <w:pPr>
              <w:pStyle w:val="kio2-table-title"/>
            </w:pPr>
            <w:r>
              <w:t>Tabel 1 Ondergrenzen conform RBV</w:t>
            </w:r>
          </w:p>
        </w:tc>
      </w:tr>
      <w:tr w:rsidR="006B6965" w14:paraId="17EB3598"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vAlign w:val="bottom"/>
          </w:tcPr>
          <w:p w:rsidR="006B6965" w:rsidRDefault="003A166B" w14:paraId="57DA212D"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6637ADD6"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006B6965" w:rsidRDefault="003A166B" w14:paraId="0114D991" w14:textId="77777777">
            <w:pPr>
              <w:pStyle w:val="p-table"/>
              <w:rPr>
                <w:color w:val="000000"/>
                <w:sz w:val="17"/>
              </w:rPr>
            </w:pPr>
            <w:r>
              <w:rPr>
                <w:color w:val="000000"/>
                <w:sz w:val="17"/>
              </w:rPr>
              <w:t>Technische mutaties (ondergrens in € miljoen)</w:t>
            </w:r>
          </w:p>
        </w:tc>
      </w:tr>
      <w:tr w:rsidR="006B6965" w14:paraId="5F499B08"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6B6965" w:rsidRDefault="003A166B" w14:paraId="3573B840" w14:textId="77777777">
            <w:pPr>
              <w:pStyle w:val="p-table"/>
              <w:rPr>
                <w:sz w:val="17"/>
              </w:rPr>
            </w:pPr>
            <w:r>
              <w:rPr>
                <w:sz w:val="17"/>
              </w:rPr>
              <w:t>&lt; 50</w:t>
            </w:r>
          </w:p>
        </w:tc>
        <w:tc>
          <w:tcPr>
            <w:tcW w:w="1818" w:type="dxa"/>
            <w:tcBorders>
              <w:bottom w:val="single" w:color="009EE0" w:sz="2" w:space="0"/>
            </w:tcBorders>
            <w:tcMar>
              <w:top w:w="22" w:type="dxa"/>
              <w:left w:w="28" w:type="dxa"/>
              <w:bottom w:w="22" w:type="dxa"/>
              <w:right w:w="28" w:type="dxa"/>
            </w:tcMar>
          </w:tcPr>
          <w:p w:rsidR="006B6965" w:rsidRDefault="003A166B" w14:paraId="33703ECA" w14:textId="77777777">
            <w:pPr>
              <w:pStyle w:val="p-table"/>
              <w:rPr>
                <w:sz w:val="17"/>
              </w:rPr>
            </w:pPr>
            <w:r>
              <w:rPr>
                <w:sz w:val="17"/>
              </w:rPr>
              <w:t>1</w:t>
            </w:r>
          </w:p>
        </w:tc>
        <w:tc>
          <w:tcPr>
            <w:tcW w:w="1818" w:type="dxa"/>
            <w:tcBorders>
              <w:bottom w:val="single" w:color="009EE0" w:sz="2" w:space="0"/>
            </w:tcBorders>
            <w:tcMar>
              <w:top w:w="22" w:type="dxa"/>
              <w:left w:w="28" w:type="dxa"/>
              <w:bottom w:w="22" w:type="dxa"/>
              <w:right w:w="28" w:type="dxa"/>
            </w:tcMar>
          </w:tcPr>
          <w:p w:rsidR="006B6965" w:rsidRDefault="003A166B" w14:paraId="74258AC5" w14:textId="77777777">
            <w:pPr>
              <w:pStyle w:val="p-table"/>
              <w:rPr>
                <w:sz w:val="17"/>
              </w:rPr>
            </w:pPr>
            <w:r>
              <w:rPr>
                <w:sz w:val="17"/>
              </w:rPr>
              <w:t>2</w:t>
            </w:r>
          </w:p>
        </w:tc>
      </w:tr>
      <w:tr w:rsidR="006B6965" w14:paraId="7D93D500"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6B6965" w:rsidRDefault="003A166B" w14:paraId="25CD584D" w14:textId="77777777">
            <w:pPr>
              <w:pStyle w:val="p-table"/>
              <w:rPr>
                <w:sz w:val="17"/>
              </w:rPr>
            </w:pPr>
            <w:r>
              <w:rPr>
                <w:sz w:val="17"/>
              </w:rPr>
              <w:t>=&gt; 50 en &lt; 200</w:t>
            </w:r>
          </w:p>
        </w:tc>
        <w:tc>
          <w:tcPr>
            <w:tcW w:w="1818" w:type="dxa"/>
            <w:tcBorders>
              <w:bottom w:val="single" w:color="009EE0" w:sz="2" w:space="0"/>
            </w:tcBorders>
            <w:tcMar>
              <w:top w:w="22" w:type="dxa"/>
              <w:left w:w="28" w:type="dxa"/>
              <w:bottom w:w="22" w:type="dxa"/>
              <w:right w:w="28" w:type="dxa"/>
            </w:tcMar>
          </w:tcPr>
          <w:p w:rsidR="006B6965" w:rsidRDefault="003A166B" w14:paraId="51C14602" w14:textId="77777777">
            <w:pPr>
              <w:pStyle w:val="p-table"/>
              <w:rPr>
                <w:sz w:val="17"/>
              </w:rPr>
            </w:pPr>
            <w:r>
              <w:rPr>
                <w:sz w:val="17"/>
              </w:rPr>
              <w:t>2</w:t>
            </w:r>
          </w:p>
        </w:tc>
        <w:tc>
          <w:tcPr>
            <w:tcW w:w="1818" w:type="dxa"/>
            <w:tcBorders>
              <w:bottom w:val="single" w:color="009EE0" w:sz="2" w:space="0"/>
            </w:tcBorders>
            <w:tcMar>
              <w:top w:w="22" w:type="dxa"/>
              <w:left w:w="28" w:type="dxa"/>
              <w:bottom w:w="22" w:type="dxa"/>
              <w:right w:w="28" w:type="dxa"/>
            </w:tcMar>
          </w:tcPr>
          <w:p w:rsidR="006B6965" w:rsidRDefault="003A166B" w14:paraId="7EA791DD" w14:textId="77777777">
            <w:pPr>
              <w:pStyle w:val="p-table"/>
              <w:rPr>
                <w:sz w:val="17"/>
              </w:rPr>
            </w:pPr>
            <w:r>
              <w:rPr>
                <w:sz w:val="17"/>
              </w:rPr>
              <w:t>4</w:t>
            </w:r>
          </w:p>
        </w:tc>
      </w:tr>
      <w:tr w:rsidR="006B6965" w14:paraId="41A69CE8"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6B6965" w:rsidRDefault="003A166B" w14:paraId="2B5F5BCF" w14:textId="77777777">
            <w:pPr>
              <w:pStyle w:val="p-table"/>
              <w:rPr>
                <w:sz w:val="17"/>
              </w:rPr>
            </w:pPr>
            <w:r>
              <w:rPr>
                <w:sz w:val="17"/>
              </w:rPr>
              <w:t>=&gt; 200 &lt; 1000</w:t>
            </w:r>
          </w:p>
        </w:tc>
        <w:tc>
          <w:tcPr>
            <w:tcW w:w="1818" w:type="dxa"/>
            <w:tcBorders>
              <w:bottom w:val="single" w:color="009EE0" w:sz="2" w:space="0"/>
            </w:tcBorders>
            <w:tcMar>
              <w:top w:w="22" w:type="dxa"/>
              <w:left w:w="28" w:type="dxa"/>
              <w:bottom w:w="22" w:type="dxa"/>
              <w:right w:w="28" w:type="dxa"/>
            </w:tcMar>
          </w:tcPr>
          <w:p w:rsidR="006B6965" w:rsidRDefault="003A166B" w14:paraId="0451E2F4"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tcPr>
          <w:p w:rsidR="006B6965" w:rsidRDefault="003A166B" w14:paraId="547C5A72" w14:textId="77777777">
            <w:pPr>
              <w:pStyle w:val="p-table"/>
              <w:rPr>
                <w:sz w:val="17"/>
              </w:rPr>
            </w:pPr>
            <w:r>
              <w:rPr>
                <w:sz w:val="17"/>
              </w:rPr>
              <w:t>10</w:t>
            </w:r>
          </w:p>
        </w:tc>
      </w:tr>
      <w:tr w:rsidR="006B6965" w14:paraId="246E5084"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6B6965" w:rsidRDefault="003A166B" w14:paraId="2FDE53CA" w14:textId="77777777">
            <w:pPr>
              <w:pStyle w:val="p-table"/>
              <w:rPr>
                <w:sz w:val="17"/>
              </w:rPr>
            </w:pPr>
            <w:r>
              <w:rPr>
                <w:sz w:val="17"/>
              </w:rPr>
              <w:t>=&gt; 1000</w:t>
            </w:r>
          </w:p>
        </w:tc>
        <w:tc>
          <w:tcPr>
            <w:tcW w:w="1818" w:type="dxa"/>
            <w:tcBorders>
              <w:bottom w:val="single" w:color="009EE0" w:sz="2" w:space="0"/>
            </w:tcBorders>
            <w:tcMar>
              <w:top w:w="22" w:type="dxa"/>
              <w:left w:w="28" w:type="dxa"/>
              <w:bottom w:w="22" w:type="dxa"/>
              <w:right w:w="28" w:type="dxa"/>
            </w:tcMar>
          </w:tcPr>
          <w:p w:rsidR="006B6965" w:rsidRDefault="003A166B" w14:paraId="7F41283F" w14:textId="77777777">
            <w:pPr>
              <w:pStyle w:val="p-table"/>
              <w:rPr>
                <w:sz w:val="17"/>
              </w:rPr>
            </w:pPr>
            <w:r>
              <w:rPr>
                <w:sz w:val="17"/>
              </w:rPr>
              <w:t>10</w:t>
            </w:r>
          </w:p>
        </w:tc>
        <w:tc>
          <w:tcPr>
            <w:tcW w:w="1818" w:type="dxa"/>
            <w:tcBorders>
              <w:bottom w:val="single" w:color="009EE0" w:sz="2" w:space="0"/>
            </w:tcBorders>
            <w:tcMar>
              <w:top w:w="22" w:type="dxa"/>
              <w:left w:w="28" w:type="dxa"/>
              <w:bottom w:w="22" w:type="dxa"/>
              <w:right w:w="28" w:type="dxa"/>
            </w:tcMar>
          </w:tcPr>
          <w:p w:rsidR="006B6965" w:rsidRDefault="003A166B" w14:paraId="01B1FE1D" w14:textId="77777777">
            <w:pPr>
              <w:pStyle w:val="p-table"/>
              <w:rPr>
                <w:sz w:val="17"/>
              </w:rPr>
            </w:pPr>
            <w:r>
              <w:rPr>
                <w:sz w:val="17"/>
              </w:rPr>
              <w:t>20</w:t>
            </w:r>
          </w:p>
        </w:tc>
      </w:tr>
    </w:tbl>
    <w:p w:rsidR="006B6965" w:rsidRDefault="006B6965" w14:paraId="3713915A" w14:textId="77777777">
      <w:pPr>
        <w:pStyle w:val="p-marginbottom"/>
      </w:pPr>
    </w:p>
    <w:p w:rsidR="006B6965" w:rsidRDefault="003A166B" w14:paraId="04BBF96C" w14:textId="77777777">
      <w:pPr>
        <w:pStyle w:val="section-title-2"/>
      </w:pPr>
      <w:bookmarkStart w:name="97605698708551" w:id="3"/>
      <w:r>
        <w:t>2 Overzicht belangrijkste uitgaven- en ontvangstenmutaties</w:t>
      </w:r>
      <w:bookmarkEnd w:id="3"/>
    </w:p>
    <w:p w:rsidR="006B6965" w:rsidRDefault="003A166B" w14:paraId="3A5C61E7" w14:textId="77777777">
      <w:pPr>
        <w:pStyle w:val="p"/>
      </w:pPr>
      <w:r>
        <w:t xml:space="preserve">De onderstaande tabellen geven de </w:t>
      </w:r>
      <w:proofErr w:type="spellStart"/>
      <w:r>
        <w:t>belangrĳkste</w:t>
      </w:r>
      <w:proofErr w:type="spellEnd"/>
      <w:r>
        <w:t xml:space="preserve"> uitgaven- en </w:t>
      </w:r>
      <w:r>
        <w:t xml:space="preserve">ontvangstenmutaties van de Suppletoire Begroting September 2025 weer. Een meer gedetailleerd overzicht van de mutaties per artikel is te vinden </w:t>
      </w:r>
      <w:proofErr w:type="spellStart"/>
      <w:r>
        <w:t>bĳ</w:t>
      </w:r>
      <w:proofErr w:type="spellEnd"/>
      <w:r>
        <w:t xml:space="preserve"> de budgettaire gevolgen van beleid in en .</w:t>
      </w:r>
    </w:p>
    <w:tbl>
      <w:tblPr>
        <w:tblW w:w="9694" w:type="dxa"/>
        <w:tblInd w:w="-3317" w:type="dxa"/>
        <w:tblCellMar>
          <w:left w:w="10" w:type="dxa"/>
          <w:right w:w="10" w:type="dxa"/>
        </w:tblCellMar>
        <w:tblLook w:val="04A0" w:firstRow="1" w:lastRow="0" w:firstColumn="1" w:lastColumn="0" w:noHBand="0" w:noVBand="1"/>
      </w:tblPr>
      <w:tblGrid>
        <w:gridCol w:w="485"/>
        <w:gridCol w:w="6301"/>
        <w:gridCol w:w="1454"/>
        <w:gridCol w:w="1454"/>
      </w:tblGrid>
      <w:tr w:rsidR="006B6965" w14:paraId="694909E6" w14:textId="77777777">
        <w:tblPrEx>
          <w:tblCellMar>
            <w:top w:w="0" w:type="dxa"/>
            <w:bottom w:w="0" w:type="dxa"/>
          </w:tblCellMar>
        </w:tblPrEx>
        <w:trPr>
          <w:tblHeader/>
        </w:trPr>
        <w:tc>
          <w:tcPr>
            <w:tcW w:w="9180" w:type="dxa"/>
            <w:gridSpan w:val="4"/>
            <w:tcMar>
              <w:top w:w="22" w:type="dxa"/>
              <w:left w:w="113" w:type="dxa"/>
              <w:bottom w:w="22" w:type="dxa"/>
            </w:tcMar>
          </w:tcPr>
          <w:p w:rsidR="006B6965" w:rsidRDefault="003A166B" w14:paraId="0524A134" w14:textId="77777777">
            <w:pPr>
              <w:pStyle w:val="kio2-table-title"/>
            </w:pPr>
            <w:r>
              <w:t>Tabel 2 Overzicht belangrijkste suppletoire uitgavenmutaties 2025 (Suppletoire begroting September) (bedragen x €1.000)</w:t>
            </w:r>
          </w:p>
        </w:tc>
      </w:tr>
      <w:tr w:rsidR="006B6965" w14:paraId="03E866F5"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320DBDBB" w14:textId="77777777">
            <w:pPr>
              <w:pStyle w:val="p-table"/>
              <w:rPr>
                <w:color w:val="000000"/>
                <w:sz w:val="17"/>
              </w:rPr>
            </w:pPr>
          </w:p>
        </w:tc>
        <w:tc>
          <w:tcPr>
            <w:tcW w:w="5967" w:type="dxa"/>
            <w:tcBorders>
              <w:top w:val="single" w:color="000000" w:sz="2" w:space="0"/>
              <w:bottom w:val="single" w:color="009EE0" w:sz="2" w:space="0"/>
            </w:tcBorders>
            <w:tcMar>
              <w:top w:w="28" w:type="dxa"/>
              <w:left w:w="28" w:type="dxa"/>
              <w:bottom w:w="28" w:type="dxa"/>
              <w:right w:w="28" w:type="dxa"/>
            </w:tcMar>
          </w:tcPr>
          <w:p w:rsidR="006B6965" w:rsidRDefault="006B6965" w14:paraId="54348E77"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7F4A5BC5" w14:textId="77777777">
            <w:pPr>
              <w:pStyle w:val="p-table"/>
              <w:rPr>
                <w:color w:val="000000"/>
                <w:sz w:val="17"/>
              </w:rPr>
            </w:pPr>
            <w:r>
              <w:rPr>
                <w:color w:val="000000"/>
                <w:sz w:val="17"/>
              </w:rPr>
              <w:t>Artikel</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62AF8E06" w14:textId="77777777">
            <w:pPr>
              <w:pStyle w:val="p-table"/>
              <w:jc w:val="right"/>
              <w:rPr>
                <w:color w:val="000000"/>
                <w:sz w:val="17"/>
              </w:rPr>
            </w:pPr>
            <w:r>
              <w:rPr>
                <w:color w:val="000000"/>
                <w:sz w:val="17"/>
              </w:rPr>
              <w:t>Uitgaven 2025</w:t>
            </w:r>
          </w:p>
        </w:tc>
      </w:tr>
      <w:tr w:rsidR="006B6965" w14:paraId="414C549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5C27244"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0FA64318" w14:textId="77777777">
            <w:pPr>
              <w:pStyle w:val="p-table"/>
              <w:rPr>
                <w:sz w:val="17"/>
              </w:rPr>
            </w:pPr>
            <w:r>
              <w:rPr>
                <w:b/>
                <w:sz w:val="17"/>
              </w:rPr>
              <w:t>Vastgestelde begroting 2025</w:t>
            </w:r>
          </w:p>
        </w:tc>
        <w:tc>
          <w:tcPr>
            <w:tcW w:w="1377" w:type="dxa"/>
            <w:tcBorders>
              <w:bottom w:val="single" w:color="009EE0" w:sz="2" w:space="0"/>
            </w:tcBorders>
            <w:tcMar>
              <w:top w:w="22" w:type="dxa"/>
              <w:left w:w="28" w:type="dxa"/>
              <w:bottom w:w="22" w:type="dxa"/>
              <w:right w:w="28" w:type="dxa"/>
            </w:tcMar>
          </w:tcPr>
          <w:p w:rsidR="006B6965" w:rsidRDefault="006B6965" w14:paraId="78689F85"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6B6965" w:rsidRDefault="003A166B" w14:paraId="60BCAD2C" w14:textId="77777777">
            <w:pPr>
              <w:pStyle w:val="p-table"/>
              <w:jc w:val="right"/>
              <w:rPr>
                <w:sz w:val="17"/>
              </w:rPr>
            </w:pPr>
            <w:r>
              <w:rPr>
                <w:b/>
                <w:sz w:val="17"/>
              </w:rPr>
              <w:t>14.091.734</w:t>
            </w:r>
          </w:p>
        </w:tc>
      </w:tr>
      <w:tr w:rsidR="006B6965" w14:paraId="0A48284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8550183"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6027D954" w14:textId="77777777">
            <w:pPr>
              <w:pStyle w:val="p-table"/>
              <w:rPr>
                <w:sz w:val="17"/>
              </w:rPr>
            </w:pPr>
            <w:r>
              <w:rPr>
                <w:b/>
                <w:sz w:val="17"/>
              </w:rPr>
              <w:t>Stand 1e suppletoire begroting 2025</w:t>
            </w:r>
          </w:p>
        </w:tc>
        <w:tc>
          <w:tcPr>
            <w:tcW w:w="1377" w:type="dxa"/>
            <w:tcBorders>
              <w:bottom w:val="single" w:color="009EE0" w:sz="2" w:space="0"/>
            </w:tcBorders>
            <w:tcMar>
              <w:top w:w="22" w:type="dxa"/>
              <w:left w:w="28" w:type="dxa"/>
              <w:bottom w:w="22" w:type="dxa"/>
              <w:right w:w="28" w:type="dxa"/>
            </w:tcMar>
          </w:tcPr>
          <w:p w:rsidR="006B6965" w:rsidRDefault="006B6965" w14:paraId="73C9441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6B6965" w:rsidRDefault="003A166B" w14:paraId="0B45A7EF" w14:textId="77777777">
            <w:pPr>
              <w:pStyle w:val="p-table"/>
              <w:jc w:val="right"/>
              <w:rPr>
                <w:sz w:val="17"/>
              </w:rPr>
            </w:pPr>
            <w:r>
              <w:rPr>
                <w:b/>
                <w:sz w:val="17"/>
              </w:rPr>
              <w:t>14.180.808</w:t>
            </w:r>
          </w:p>
        </w:tc>
      </w:tr>
      <w:tr w:rsidR="006B6965" w14:paraId="02B5C58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D3D3ACE"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0105A79D" w14:textId="77777777">
            <w:pPr>
              <w:pStyle w:val="p-table"/>
              <w:rPr>
                <w:sz w:val="17"/>
              </w:rPr>
            </w:pPr>
            <w:r>
              <w:rPr>
                <w:sz w:val="17"/>
              </w:rPr>
              <w:t>Belangrijkste suppletoire mutaties</w:t>
            </w:r>
          </w:p>
        </w:tc>
        <w:tc>
          <w:tcPr>
            <w:tcW w:w="1377" w:type="dxa"/>
            <w:tcBorders>
              <w:bottom w:val="single" w:color="009EE0" w:sz="2" w:space="0"/>
            </w:tcBorders>
            <w:tcMar>
              <w:top w:w="22" w:type="dxa"/>
              <w:left w:w="28" w:type="dxa"/>
              <w:bottom w:w="22" w:type="dxa"/>
              <w:right w:w="28" w:type="dxa"/>
            </w:tcMar>
          </w:tcPr>
          <w:p w:rsidR="006B6965" w:rsidRDefault="006B6965" w14:paraId="50FBDD0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95BD2E0" w14:textId="77777777">
            <w:pPr>
              <w:pStyle w:val="p-table"/>
              <w:rPr>
                <w:sz w:val="17"/>
              </w:rPr>
            </w:pPr>
          </w:p>
        </w:tc>
      </w:tr>
      <w:tr w:rsidR="006B6965" w14:paraId="589112F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12687476" w14:textId="77777777">
            <w:pPr>
              <w:pStyle w:val="p-table"/>
              <w:rPr>
                <w:sz w:val="17"/>
              </w:rPr>
            </w:pPr>
            <w:r>
              <w:rPr>
                <w:sz w:val="17"/>
              </w:rPr>
              <w:t>1.</w:t>
            </w:r>
          </w:p>
        </w:tc>
        <w:tc>
          <w:tcPr>
            <w:tcW w:w="5967" w:type="dxa"/>
            <w:tcBorders>
              <w:bottom w:val="single" w:color="009EE0" w:sz="2" w:space="0"/>
            </w:tcBorders>
            <w:tcMar>
              <w:top w:w="22" w:type="dxa"/>
              <w:left w:w="28" w:type="dxa"/>
              <w:bottom w:w="22" w:type="dxa"/>
              <w:right w:w="28" w:type="dxa"/>
            </w:tcMar>
          </w:tcPr>
          <w:p w:rsidR="006B6965" w:rsidRDefault="003A166B" w14:paraId="4C489C39" w14:textId="77777777">
            <w:pPr>
              <w:pStyle w:val="p-table"/>
              <w:rPr>
                <w:sz w:val="17"/>
              </w:rPr>
            </w:pPr>
            <w:r>
              <w:rPr>
                <w:sz w:val="17"/>
              </w:rPr>
              <w:t>Overboekingen Ministeries</w:t>
            </w:r>
          </w:p>
        </w:tc>
        <w:tc>
          <w:tcPr>
            <w:tcW w:w="1377" w:type="dxa"/>
            <w:tcBorders>
              <w:bottom w:val="single" w:color="009EE0" w:sz="2" w:space="0"/>
            </w:tcBorders>
            <w:tcMar>
              <w:top w:w="22" w:type="dxa"/>
              <w:left w:w="28" w:type="dxa"/>
              <w:bottom w:w="22" w:type="dxa"/>
              <w:right w:w="28" w:type="dxa"/>
            </w:tcMar>
          </w:tcPr>
          <w:p w:rsidR="006B6965" w:rsidRDefault="006B6965" w14:paraId="189E20E2"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6B6965" w:rsidRDefault="003A166B" w14:paraId="05604058" w14:textId="77777777">
            <w:pPr>
              <w:pStyle w:val="p-table"/>
              <w:jc w:val="right"/>
              <w:rPr>
                <w:sz w:val="17"/>
              </w:rPr>
            </w:pPr>
            <w:r>
              <w:rPr>
                <w:sz w:val="17"/>
              </w:rPr>
              <w:t>‒</w:t>
            </w:r>
            <w:r>
              <w:rPr>
                <w:sz w:val="17"/>
              </w:rPr>
              <w:t xml:space="preserve"> 14.549</w:t>
            </w:r>
          </w:p>
        </w:tc>
      </w:tr>
      <w:tr w:rsidR="006B6965" w14:paraId="435BFE20"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6B6965" w:rsidRDefault="003A166B" w14:paraId="50913A89" w14:textId="77777777">
            <w:pPr>
              <w:pStyle w:val="p-table"/>
              <w:rPr>
                <w:sz w:val="17"/>
              </w:rPr>
            </w:pPr>
            <w:r>
              <w:rPr>
                <w:sz w:val="17"/>
              </w:rPr>
              <w:t>2.</w:t>
            </w:r>
          </w:p>
        </w:tc>
        <w:tc>
          <w:tcPr>
            <w:tcW w:w="5967" w:type="dxa"/>
            <w:tcBorders>
              <w:bottom w:val="single" w:color="009EE0" w:sz="2" w:space="0"/>
            </w:tcBorders>
            <w:tcMar>
              <w:top w:w="22" w:type="dxa"/>
              <w:left w:w="28" w:type="dxa"/>
              <w:bottom w:w="22" w:type="dxa"/>
              <w:right w:w="28" w:type="dxa"/>
            </w:tcMar>
          </w:tcPr>
          <w:p w:rsidR="006B6965" w:rsidRDefault="003A166B" w14:paraId="6E7F8B6F" w14:textId="77777777">
            <w:pPr>
              <w:pStyle w:val="p-table"/>
              <w:rPr>
                <w:sz w:val="17"/>
              </w:rPr>
            </w:pPr>
            <w:r>
              <w:rPr>
                <w:sz w:val="17"/>
              </w:rPr>
              <w:t>Kasschuiven</w:t>
            </w:r>
          </w:p>
        </w:tc>
        <w:tc>
          <w:tcPr>
            <w:tcW w:w="1377" w:type="dxa"/>
            <w:tcBorders>
              <w:bottom w:val="single" w:color="009EE0" w:sz="2" w:space="0"/>
            </w:tcBorders>
            <w:tcMar>
              <w:top w:w="22" w:type="dxa"/>
              <w:left w:w="28" w:type="dxa"/>
              <w:bottom w:w="22" w:type="dxa"/>
              <w:right w:w="28" w:type="dxa"/>
            </w:tcMar>
          </w:tcPr>
          <w:p w:rsidR="006B6965" w:rsidRDefault="006B6965" w14:paraId="2E151038"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6B6965" w:rsidRDefault="003A166B" w14:paraId="791C0796" w14:textId="77777777">
            <w:pPr>
              <w:pStyle w:val="p-table"/>
              <w:jc w:val="right"/>
              <w:rPr>
                <w:sz w:val="17"/>
              </w:rPr>
            </w:pPr>
            <w:r>
              <w:rPr>
                <w:sz w:val="17"/>
              </w:rPr>
              <w:t>‒</w:t>
            </w:r>
            <w:r>
              <w:rPr>
                <w:sz w:val="17"/>
              </w:rPr>
              <w:t xml:space="preserve"> 51.633</w:t>
            </w:r>
          </w:p>
        </w:tc>
      </w:tr>
      <w:tr w:rsidR="006B6965" w14:paraId="5BA13BF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B30FC8C"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6155686A" w14:textId="77777777">
            <w:pPr>
              <w:pStyle w:val="p-table"/>
              <w:rPr>
                <w:sz w:val="17"/>
              </w:rPr>
            </w:pPr>
            <w:r>
              <w:rPr>
                <w:sz w:val="17"/>
              </w:rPr>
              <w:t>- Regulier</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24939761" w14:textId="77777777">
            <w:pPr>
              <w:pStyle w:val="p-table"/>
              <w:rPr>
                <w:sz w:val="17"/>
              </w:rPr>
            </w:pPr>
            <w:r>
              <w:rPr>
                <w:sz w:val="17"/>
              </w:rPr>
              <w:t>Diversen</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4D233B28" w14:textId="77777777">
            <w:pPr>
              <w:pStyle w:val="p-table"/>
              <w:jc w:val="right"/>
              <w:rPr>
                <w:sz w:val="17"/>
              </w:rPr>
            </w:pPr>
            <w:r>
              <w:rPr>
                <w:sz w:val="17"/>
              </w:rPr>
              <w:t>‒</w:t>
            </w:r>
            <w:r>
              <w:rPr>
                <w:sz w:val="17"/>
              </w:rPr>
              <w:t xml:space="preserve"> 26.211</w:t>
            </w:r>
          </w:p>
        </w:tc>
      </w:tr>
      <w:tr w:rsidR="006B6965" w14:paraId="46EF124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386ECD7"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7A38DA14" w14:textId="77777777">
            <w:pPr>
              <w:pStyle w:val="p-table"/>
              <w:rPr>
                <w:sz w:val="17"/>
              </w:rPr>
            </w:pPr>
            <w:r>
              <w:rPr>
                <w:sz w:val="17"/>
              </w:rPr>
              <w:t>- Klimaatfonds</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721339A2" w14:textId="77777777">
            <w:pPr>
              <w:pStyle w:val="p-table"/>
              <w:rPr>
                <w:sz w:val="17"/>
              </w:rPr>
            </w:pPr>
            <w:r>
              <w:rPr>
                <w:sz w:val="17"/>
              </w:rPr>
              <w:t>Diversen</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6696EC2B" w14:textId="77777777">
            <w:pPr>
              <w:pStyle w:val="p-table"/>
              <w:jc w:val="right"/>
              <w:rPr>
                <w:sz w:val="17"/>
              </w:rPr>
            </w:pPr>
            <w:r>
              <w:rPr>
                <w:sz w:val="17"/>
              </w:rPr>
              <w:t>‒</w:t>
            </w:r>
            <w:r>
              <w:rPr>
                <w:sz w:val="17"/>
              </w:rPr>
              <w:t xml:space="preserve"> 15.131</w:t>
            </w:r>
          </w:p>
        </w:tc>
      </w:tr>
      <w:tr w:rsidR="006B6965" w14:paraId="53DA27D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C9BF8EA"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66A916C7" w14:textId="77777777">
            <w:pPr>
              <w:pStyle w:val="p-table"/>
              <w:rPr>
                <w:sz w:val="17"/>
              </w:rPr>
            </w:pPr>
            <w:r>
              <w:rPr>
                <w:sz w:val="17"/>
              </w:rPr>
              <w:t>- Nationaal Groeifonds</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7FDBAE1A" w14:textId="77777777">
            <w:pPr>
              <w:pStyle w:val="p-table"/>
              <w:rPr>
                <w:sz w:val="17"/>
              </w:rPr>
            </w:pPr>
            <w:r>
              <w:rPr>
                <w:sz w:val="17"/>
              </w:rPr>
              <w:t>Diversen</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29B3052C" w14:textId="77777777">
            <w:pPr>
              <w:pStyle w:val="p-table"/>
              <w:jc w:val="right"/>
              <w:rPr>
                <w:sz w:val="17"/>
              </w:rPr>
            </w:pPr>
            <w:r>
              <w:rPr>
                <w:sz w:val="17"/>
              </w:rPr>
              <w:t>‒</w:t>
            </w:r>
            <w:r>
              <w:rPr>
                <w:sz w:val="17"/>
              </w:rPr>
              <w:t xml:space="preserve"> 10.291</w:t>
            </w:r>
          </w:p>
        </w:tc>
      </w:tr>
      <w:tr w:rsidR="006B6965" w14:paraId="646119EA"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6B6965" w:rsidRDefault="003A166B" w14:paraId="733798E1" w14:textId="77777777">
            <w:pPr>
              <w:pStyle w:val="p-table"/>
              <w:rPr>
                <w:sz w:val="17"/>
              </w:rPr>
            </w:pPr>
            <w:r>
              <w:rPr>
                <w:sz w:val="17"/>
              </w:rPr>
              <w:t>3.</w:t>
            </w:r>
          </w:p>
        </w:tc>
        <w:tc>
          <w:tcPr>
            <w:tcW w:w="5967" w:type="dxa"/>
            <w:tcBorders>
              <w:bottom w:val="single" w:color="009EE0" w:sz="2" w:space="0"/>
            </w:tcBorders>
            <w:tcMar>
              <w:top w:w="22" w:type="dxa"/>
              <w:left w:w="28" w:type="dxa"/>
              <w:bottom w:w="22" w:type="dxa"/>
              <w:right w:w="28" w:type="dxa"/>
            </w:tcMar>
          </w:tcPr>
          <w:p w:rsidR="006B6965" w:rsidRDefault="003A166B" w14:paraId="36F0E2E7" w14:textId="77777777">
            <w:pPr>
              <w:pStyle w:val="p-table"/>
              <w:rPr>
                <w:sz w:val="17"/>
              </w:rPr>
            </w:pPr>
            <w:r>
              <w:rPr>
                <w:sz w:val="17"/>
              </w:rPr>
              <w:t>Verrekening NS</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523D98CD" w14:textId="77777777">
            <w:pPr>
              <w:pStyle w:val="p-table"/>
              <w:rPr>
                <w:sz w:val="17"/>
              </w:rPr>
            </w:pPr>
            <w:r>
              <w:rPr>
                <w:sz w:val="17"/>
              </w:rPr>
              <w:t>16</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201BC4FE" w14:textId="77777777">
            <w:pPr>
              <w:pStyle w:val="p-table"/>
              <w:jc w:val="right"/>
              <w:rPr>
                <w:sz w:val="17"/>
              </w:rPr>
            </w:pPr>
            <w:r>
              <w:rPr>
                <w:sz w:val="17"/>
              </w:rPr>
              <w:t>50.000</w:t>
            </w:r>
          </w:p>
        </w:tc>
      </w:tr>
      <w:tr w:rsidR="006B6965" w14:paraId="09FFE8FC"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6B6965" w:rsidRDefault="003A166B" w14:paraId="7C2C1772" w14:textId="77777777">
            <w:pPr>
              <w:pStyle w:val="p-table"/>
              <w:rPr>
                <w:sz w:val="17"/>
              </w:rPr>
            </w:pPr>
            <w:r>
              <w:rPr>
                <w:sz w:val="17"/>
              </w:rPr>
              <w:t>4.</w:t>
            </w:r>
          </w:p>
        </w:tc>
        <w:tc>
          <w:tcPr>
            <w:tcW w:w="5967" w:type="dxa"/>
            <w:tcBorders>
              <w:bottom w:val="single" w:color="009EE0" w:sz="2" w:space="0"/>
            </w:tcBorders>
            <w:tcMar>
              <w:top w:w="22" w:type="dxa"/>
              <w:left w:w="28" w:type="dxa"/>
              <w:bottom w:w="22" w:type="dxa"/>
              <w:right w:w="28" w:type="dxa"/>
            </w:tcMar>
          </w:tcPr>
          <w:p w:rsidR="006B6965" w:rsidRDefault="003A166B" w14:paraId="428C70C4" w14:textId="77777777">
            <w:pPr>
              <w:pStyle w:val="p-table"/>
              <w:rPr>
                <w:sz w:val="17"/>
              </w:rPr>
            </w:pPr>
            <w:r>
              <w:rPr>
                <w:sz w:val="17"/>
              </w:rPr>
              <w:t>Overboekingen HXII/Fondsen</w:t>
            </w:r>
          </w:p>
        </w:tc>
        <w:tc>
          <w:tcPr>
            <w:tcW w:w="1377" w:type="dxa"/>
            <w:tcBorders>
              <w:bottom w:val="single" w:color="009EE0" w:sz="2" w:space="0"/>
            </w:tcBorders>
            <w:tcMar>
              <w:top w:w="22" w:type="dxa"/>
              <w:left w:w="28" w:type="dxa"/>
              <w:bottom w:w="22" w:type="dxa"/>
              <w:right w:w="28" w:type="dxa"/>
            </w:tcMar>
          </w:tcPr>
          <w:p w:rsidR="006B6965" w:rsidRDefault="006B6965" w14:paraId="20CEEEE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6B6965" w:rsidRDefault="003A166B" w14:paraId="3DAF5295" w14:textId="77777777">
            <w:pPr>
              <w:pStyle w:val="p-table"/>
              <w:jc w:val="right"/>
              <w:rPr>
                <w:sz w:val="17"/>
              </w:rPr>
            </w:pPr>
            <w:r>
              <w:rPr>
                <w:sz w:val="17"/>
              </w:rPr>
              <w:t>167.086</w:t>
            </w:r>
          </w:p>
        </w:tc>
      </w:tr>
      <w:tr w:rsidR="006B6965" w14:paraId="0C1A606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999D0A2"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5CE59C75" w14:textId="77777777">
            <w:pPr>
              <w:pStyle w:val="p-table"/>
              <w:rPr>
                <w:sz w:val="17"/>
              </w:rPr>
            </w:pPr>
            <w:r>
              <w:rPr>
                <w:sz w:val="17"/>
              </w:rPr>
              <w:t>- Mobiliteitsfonds</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6FB02AE3" w14:textId="77777777">
            <w:pPr>
              <w:pStyle w:val="p-table"/>
              <w:rPr>
                <w:sz w:val="17"/>
              </w:rPr>
            </w:pPr>
            <w:r>
              <w:rPr>
                <w:sz w:val="17"/>
              </w:rPr>
              <w:t>26</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546A465E" w14:textId="77777777">
            <w:pPr>
              <w:pStyle w:val="p-table"/>
              <w:jc w:val="right"/>
              <w:rPr>
                <w:sz w:val="17"/>
              </w:rPr>
            </w:pPr>
            <w:r>
              <w:rPr>
                <w:sz w:val="17"/>
              </w:rPr>
              <w:t>‒</w:t>
            </w:r>
            <w:r>
              <w:rPr>
                <w:sz w:val="17"/>
              </w:rPr>
              <w:t xml:space="preserve"> 138.655</w:t>
            </w:r>
          </w:p>
        </w:tc>
      </w:tr>
      <w:tr w:rsidR="006B6965" w14:paraId="08CF8B2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AF08071"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277C5E05" w14:textId="77777777">
            <w:pPr>
              <w:pStyle w:val="p-table"/>
              <w:rPr>
                <w:sz w:val="17"/>
              </w:rPr>
            </w:pPr>
            <w:r>
              <w:rPr>
                <w:sz w:val="17"/>
              </w:rPr>
              <w:t xml:space="preserve">- </w:t>
            </w:r>
            <w:r>
              <w:rPr>
                <w:sz w:val="17"/>
              </w:rPr>
              <w:t>Deltafonds</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692FC01A" w14:textId="77777777">
            <w:pPr>
              <w:pStyle w:val="p-table"/>
              <w:rPr>
                <w:sz w:val="17"/>
              </w:rPr>
            </w:pPr>
            <w:r>
              <w:rPr>
                <w:sz w:val="17"/>
              </w:rPr>
              <w:t>26</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67E9A0ED" w14:textId="77777777">
            <w:pPr>
              <w:pStyle w:val="p-table"/>
              <w:jc w:val="right"/>
              <w:rPr>
                <w:sz w:val="17"/>
              </w:rPr>
            </w:pPr>
            <w:r>
              <w:rPr>
                <w:sz w:val="17"/>
              </w:rPr>
              <w:t>‒</w:t>
            </w:r>
            <w:r>
              <w:rPr>
                <w:sz w:val="17"/>
              </w:rPr>
              <w:t xml:space="preserve"> 28.431</w:t>
            </w:r>
          </w:p>
        </w:tc>
      </w:tr>
      <w:tr w:rsidR="006B6965" w14:paraId="355DCBCD"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6B6965" w:rsidRDefault="003A166B" w14:paraId="1D191B1A" w14:textId="77777777">
            <w:pPr>
              <w:pStyle w:val="p-table"/>
              <w:rPr>
                <w:sz w:val="17"/>
              </w:rPr>
            </w:pPr>
            <w:r>
              <w:rPr>
                <w:sz w:val="17"/>
              </w:rPr>
              <w:t>5.</w:t>
            </w:r>
          </w:p>
        </w:tc>
        <w:tc>
          <w:tcPr>
            <w:tcW w:w="5967" w:type="dxa"/>
            <w:tcBorders>
              <w:bottom w:val="single" w:color="009EE0" w:sz="2" w:space="0"/>
            </w:tcBorders>
            <w:tcMar>
              <w:top w:w="22" w:type="dxa"/>
              <w:left w:w="28" w:type="dxa"/>
              <w:bottom w:w="22" w:type="dxa"/>
              <w:right w:w="28" w:type="dxa"/>
            </w:tcMar>
          </w:tcPr>
          <w:p w:rsidR="006B6965" w:rsidRDefault="003A166B" w14:paraId="67316B11" w14:textId="77777777">
            <w:pPr>
              <w:pStyle w:val="p-table"/>
              <w:rPr>
                <w:sz w:val="17"/>
              </w:rPr>
            </w:pPr>
            <w:r>
              <w:rPr>
                <w:sz w:val="17"/>
              </w:rPr>
              <w:t>Overige mutaties</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6DE554F9" w14:textId="77777777">
            <w:pPr>
              <w:pStyle w:val="p-table"/>
              <w:rPr>
                <w:sz w:val="17"/>
              </w:rPr>
            </w:pPr>
            <w:r>
              <w:rPr>
                <w:sz w:val="17"/>
              </w:rPr>
              <w:t>Diversen</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11F9C095" w14:textId="77777777">
            <w:pPr>
              <w:pStyle w:val="p-table"/>
              <w:jc w:val="right"/>
              <w:rPr>
                <w:sz w:val="17"/>
              </w:rPr>
            </w:pPr>
            <w:r>
              <w:rPr>
                <w:sz w:val="17"/>
              </w:rPr>
              <w:t>‒</w:t>
            </w:r>
            <w:r>
              <w:rPr>
                <w:sz w:val="17"/>
              </w:rPr>
              <w:t xml:space="preserve"> 13.519</w:t>
            </w:r>
          </w:p>
        </w:tc>
      </w:tr>
      <w:tr w:rsidR="006B6965" w14:paraId="007C364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A604FBC"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6B6965" w14:paraId="0BDFDE7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665C4F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942BDE8" w14:textId="77777777">
            <w:pPr>
              <w:pStyle w:val="p-table"/>
              <w:rPr>
                <w:sz w:val="17"/>
              </w:rPr>
            </w:pPr>
          </w:p>
        </w:tc>
      </w:tr>
      <w:tr w:rsidR="006B6965" w14:paraId="10EB0C0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83A7F08" w14:textId="77777777">
            <w:pPr>
              <w:pStyle w:val="p-table"/>
              <w:rPr>
                <w:sz w:val="17"/>
              </w:rPr>
            </w:pPr>
          </w:p>
        </w:tc>
        <w:tc>
          <w:tcPr>
            <w:tcW w:w="5967" w:type="dxa"/>
            <w:tcBorders>
              <w:bottom w:val="single" w:color="009EE0" w:sz="2" w:space="0"/>
            </w:tcBorders>
            <w:tcMar>
              <w:top w:w="22" w:type="dxa"/>
              <w:left w:w="28" w:type="dxa"/>
              <w:bottom w:w="22" w:type="dxa"/>
              <w:right w:w="28" w:type="dxa"/>
            </w:tcMar>
            <w:vAlign w:val="bottom"/>
          </w:tcPr>
          <w:p w:rsidR="006B6965" w:rsidRDefault="003A166B" w14:paraId="372835D1" w14:textId="77777777">
            <w:pPr>
              <w:pStyle w:val="p-table"/>
              <w:rPr>
                <w:sz w:val="17"/>
              </w:rPr>
            </w:pPr>
            <w:r>
              <w:rPr>
                <w:b/>
                <w:sz w:val="17"/>
              </w:rPr>
              <w:t>Stand suppletoire begroting september 2025</w:t>
            </w:r>
          </w:p>
        </w:tc>
        <w:tc>
          <w:tcPr>
            <w:tcW w:w="1377" w:type="dxa"/>
            <w:tcBorders>
              <w:bottom w:val="single" w:color="009EE0" w:sz="2" w:space="0"/>
            </w:tcBorders>
            <w:tcMar>
              <w:top w:w="22" w:type="dxa"/>
              <w:left w:w="28" w:type="dxa"/>
              <w:bottom w:w="22" w:type="dxa"/>
              <w:right w:w="28" w:type="dxa"/>
            </w:tcMar>
          </w:tcPr>
          <w:p w:rsidR="006B6965" w:rsidRDefault="006B6965" w14:paraId="1CA5650D"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6B6965" w:rsidRDefault="003A166B" w14:paraId="10225A33" w14:textId="77777777">
            <w:pPr>
              <w:pStyle w:val="p-table"/>
              <w:jc w:val="right"/>
              <w:rPr>
                <w:sz w:val="17"/>
              </w:rPr>
            </w:pPr>
            <w:r>
              <w:rPr>
                <w:b/>
                <w:sz w:val="17"/>
              </w:rPr>
              <w:t>14.182.158</w:t>
            </w:r>
          </w:p>
        </w:tc>
      </w:tr>
    </w:tbl>
    <w:p w:rsidR="006B6965" w:rsidRDefault="006B6965" w14:paraId="2439368C" w14:textId="77777777">
      <w:pPr>
        <w:pStyle w:val="p-marginbottom"/>
      </w:pPr>
    </w:p>
    <w:p w:rsidR="006B6965" w:rsidRDefault="003A166B" w14:paraId="41EE4FB5" w14:textId="77777777">
      <w:pPr>
        <w:pStyle w:val="header-h1"/>
      </w:pPr>
      <w:r>
        <w:t>Toelichting</w:t>
      </w:r>
    </w:p>
    <w:p w:rsidR="006B6965" w:rsidRDefault="003A166B" w14:paraId="6E74AB18" w14:textId="77777777">
      <w:pPr>
        <w:pStyle w:val="ol-p-l1"/>
        <w:numPr>
          <w:ilvl w:val="0"/>
          <w:numId w:val="7"/>
        </w:numPr>
      </w:pPr>
      <w:r>
        <w:rPr>
          <w:rStyle w:val="ol-text"/>
        </w:rPr>
        <w:t xml:space="preserve">Dit betreft de overboekingen van en naar andere begrotingshoofdstukken binnen de Rijksbegroting. De grootste </w:t>
      </w:r>
      <w:r>
        <w:rPr>
          <w:rStyle w:val="ol-text"/>
        </w:rPr>
        <w:t>zijn:</w:t>
      </w:r>
    </w:p>
    <w:p w:rsidR="006B6965" w:rsidRDefault="003A166B" w14:paraId="0CD4977B" w14:textId="77777777">
      <w:pPr>
        <w:pStyle w:val="ol-p-l1"/>
      </w:pPr>
      <w:r>
        <w:rPr>
          <w:rStyle w:val="ol-text"/>
        </w:rPr>
        <w:t xml:space="preserve">Een overboeking naar het Provinciefonds van € 1,9 miljoen voor de </w:t>
      </w:r>
      <w:proofErr w:type="spellStart"/>
      <w:r>
        <w:rPr>
          <w:rStyle w:val="ol-text"/>
        </w:rPr>
        <w:lastRenderedPageBreak/>
        <w:t>Meerjarenagenda</w:t>
      </w:r>
      <w:proofErr w:type="spellEnd"/>
      <w:r>
        <w:rPr>
          <w:rStyle w:val="ol-text"/>
        </w:rPr>
        <w:t xml:space="preserve"> Versterking Omgevingsveiligheid (MVO) voor het uitvoeren van decentrale structurele en wettelijke taken en voor de financiering van innovatie en projecten voor besluit risico zware ongevallen (BRZO+) en publieksreeks gevaarlijke stoffen (PGS).</w:t>
      </w:r>
    </w:p>
    <w:p w:rsidR="006B6965" w:rsidRDefault="003A166B" w14:paraId="52C4028E" w14:textId="77777777">
      <w:pPr>
        <w:pStyle w:val="ol-p-l1"/>
      </w:pPr>
      <w:r>
        <w:rPr>
          <w:rStyle w:val="ol-text"/>
        </w:rPr>
        <w:t xml:space="preserve">Een overboeking naar het Gemeentefonds van € 3,9 miljoen voor de </w:t>
      </w:r>
      <w:proofErr w:type="spellStart"/>
      <w:r>
        <w:rPr>
          <w:rStyle w:val="ol-text"/>
        </w:rPr>
        <w:t>Meerjarenagenda</w:t>
      </w:r>
      <w:proofErr w:type="spellEnd"/>
      <w:r>
        <w:rPr>
          <w:rStyle w:val="ol-text"/>
        </w:rPr>
        <w:t xml:space="preserve"> Versterking Omgevingsveiligheid (MVO) voor het uitvoeren van decentrale structurele taken en voor de financiering van innovatie en projecten voor het Register Externe veiligheid.</w:t>
      </w:r>
    </w:p>
    <w:p w:rsidR="006B6965" w:rsidRDefault="006B6965" w14:paraId="44A2D641" w14:textId="77777777"/>
    <w:p w:rsidR="006B6965" w:rsidRDefault="003A166B" w14:paraId="36025F32" w14:textId="77777777">
      <w:pPr>
        <w:pStyle w:val="ol-p-l1"/>
      </w:pPr>
      <w:r>
        <w:rPr>
          <w:rStyle w:val="ol-text"/>
        </w:rPr>
        <w:t>Er wordt in totaal € 51,7 miljoen uit 2025 naar latere jaren geschoven waarvan de grootste kasschuiven zijn:</w:t>
      </w:r>
    </w:p>
    <w:p w:rsidR="006B6965" w:rsidRDefault="003A166B" w14:paraId="140AC401" w14:textId="77777777">
      <w:pPr>
        <w:pStyle w:val="ol-p-l1"/>
      </w:pPr>
      <w:r>
        <w:rPr>
          <w:rStyle w:val="ol-text"/>
        </w:rPr>
        <w:t xml:space="preserve">Op artikel 11 is voor het NGF project </w:t>
      </w:r>
      <w:proofErr w:type="spellStart"/>
      <w:r>
        <w:rPr>
          <w:rStyle w:val="ol-text"/>
        </w:rPr>
        <w:t>UPPwater</w:t>
      </w:r>
      <w:proofErr w:type="spellEnd"/>
      <w:r>
        <w:rPr>
          <w:rStyle w:val="ol-text"/>
        </w:rPr>
        <w:t xml:space="preserve"> € 9,9 miljoen vanuit 2025 naar 2026 geschoven. Drie subsidieregelingen worden pas medio Q4 opgesteld. Rekening houdende met de doorlooptijden worden de kasmiddelen in het juiste ritme geplaats.</w:t>
      </w:r>
    </w:p>
    <w:p w:rsidR="006B6965" w:rsidRDefault="003A166B" w14:paraId="7C0E0EBC" w14:textId="77777777">
      <w:pPr>
        <w:pStyle w:val="ol-p-l1"/>
      </w:pPr>
      <w:r>
        <w:rPr>
          <w:rStyle w:val="ol-text"/>
        </w:rPr>
        <w:t xml:space="preserve">Op artikel 14 is € 8,1 miljoen naar </w:t>
      </w:r>
      <w:proofErr w:type="spellStart"/>
      <w:r>
        <w:rPr>
          <w:rStyle w:val="ol-text"/>
        </w:rPr>
        <w:t>lateren</w:t>
      </w:r>
      <w:proofErr w:type="spellEnd"/>
      <w:r>
        <w:rPr>
          <w:rStyle w:val="ol-text"/>
        </w:rPr>
        <w:t xml:space="preserve"> jaren doorgeschoven. Het Rijksvastgoedbedrijf (RVB) ontvangt middelen in het kader van Schoon en </w:t>
      </w:r>
      <w:proofErr w:type="spellStart"/>
      <w:r>
        <w:rPr>
          <w:rStyle w:val="ol-text"/>
        </w:rPr>
        <w:t>Emissieloos</w:t>
      </w:r>
      <w:proofErr w:type="spellEnd"/>
      <w:r>
        <w:rPr>
          <w:rStyle w:val="ol-text"/>
        </w:rPr>
        <w:t xml:space="preserve"> Bouwen. In eerste instantie werd aangenomen dat het RVB deze middelen in één keer op zou vragen, maar ze vragen het verdeeld over de jaren op. De middelen worden in overeenstemming gebracht met de reeks waarin het RVB zal factureren.</w:t>
      </w:r>
    </w:p>
    <w:p w:rsidR="006B6965" w:rsidRDefault="006B6965" w14:paraId="4258413A" w14:textId="77777777"/>
    <w:p w:rsidR="006B6965" w:rsidRDefault="003A166B" w14:paraId="4ECB1C85" w14:textId="77777777">
      <w:pPr>
        <w:pStyle w:val="ol-p-l1"/>
      </w:pPr>
      <w:r>
        <w:rPr>
          <w:rStyle w:val="ol-text"/>
        </w:rPr>
        <w:t xml:space="preserve">Verrekening NS: Het hogere uitgavenbudget hangt samen met de afwikkeling van enkele openstaande financiële verplichtingen tussen </w:t>
      </w:r>
      <w:proofErr w:type="spellStart"/>
      <w:r>
        <w:rPr>
          <w:rStyle w:val="ol-text"/>
        </w:rPr>
        <w:t>IenW</w:t>
      </w:r>
      <w:proofErr w:type="spellEnd"/>
      <w:r>
        <w:rPr>
          <w:rStyle w:val="ol-text"/>
        </w:rPr>
        <w:t xml:space="preserve"> en NS uit de vorige concessieperiode. </w:t>
      </w:r>
      <w:proofErr w:type="spellStart"/>
      <w:r>
        <w:rPr>
          <w:rStyle w:val="ol-text"/>
        </w:rPr>
        <w:t>IenW</w:t>
      </w:r>
      <w:proofErr w:type="spellEnd"/>
      <w:r>
        <w:rPr>
          <w:rStyle w:val="ol-text"/>
        </w:rPr>
        <w:t xml:space="preserve"> en NS stellen de vergoeding voor de door </w:t>
      </w:r>
      <w:proofErr w:type="spellStart"/>
      <w:r>
        <w:rPr>
          <w:rStyle w:val="ol-text"/>
        </w:rPr>
        <w:t>IenW</w:t>
      </w:r>
      <w:proofErr w:type="spellEnd"/>
      <w:r>
        <w:rPr>
          <w:rStyle w:val="ol-text"/>
        </w:rPr>
        <w:t xml:space="preserve"> gestelde spoorstaafschade op de </w:t>
      </w:r>
      <w:proofErr w:type="spellStart"/>
      <w:r>
        <w:rPr>
          <w:rStyle w:val="ol-text"/>
        </w:rPr>
        <w:t>HSLinfrastructuur</w:t>
      </w:r>
      <w:proofErr w:type="spellEnd"/>
      <w:r>
        <w:rPr>
          <w:rStyle w:val="ol-text"/>
        </w:rPr>
        <w:t xml:space="preserve"> tot en met 2024 vast op een bedrag van € 50 miljoen. </w:t>
      </w:r>
      <w:proofErr w:type="spellStart"/>
      <w:r>
        <w:rPr>
          <w:rStyle w:val="ol-text"/>
        </w:rPr>
        <w:t>IenW</w:t>
      </w:r>
      <w:proofErr w:type="spellEnd"/>
      <w:r>
        <w:rPr>
          <w:rStyle w:val="ol-text"/>
        </w:rPr>
        <w:t xml:space="preserve"> en NS stellen de door NS aangevraagde vergoeding voor het op orde houden van de dienstregeling tijdens de coronapandemie vast op hetzelfde bedrag. Deze verrekening zal zonder betaling plaatsvinden vanwege de gelijke omvang van de verplichtingen. De vastlegging in de begroting vindt plaats via een desaldering.</w:t>
      </w:r>
    </w:p>
    <w:p w:rsidR="006B6965" w:rsidRDefault="003A166B" w14:paraId="6111FAF9" w14:textId="77777777">
      <w:pPr>
        <w:pStyle w:val="ol-p-l1"/>
      </w:pPr>
      <w:r>
        <w:rPr>
          <w:rStyle w:val="ol-text"/>
        </w:rPr>
        <w:t>Per saldo is € 167,1 </w:t>
      </w:r>
      <w:proofErr w:type="spellStart"/>
      <w:r>
        <w:rPr>
          <w:rStyle w:val="ol-text"/>
        </w:rPr>
        <w:t>miljoenover</w:t>
      </w:r>
      <w:proofErr w:type="spellEnd"/>
      <w:r>
        <w:rPr>
          <w:rStyle w:val="ol-text"/>
        </w:rPr>
        <w:t xml:space="preserve"> geboekt vanuit Hoofdstuk XII naar het </w:t>
      </w:r>
      <w:r>
        <w:rPr>
          <w:rStyle w:val="ol-text"/>
        </w:rPr>
        <w:t>Mobiliteitsfonds en Deltafonds. Voor beide fondsen gaat het met name om de toedeling van de loon- en prijsbijstelling. Dit geld was met de 1ste suppletoire begroting ontvangen op artikel 99 en wordt nu overgeboekt naar het Mobiliteitsfonds.</w:t>
      </w:r>
    </w:p>
    <w:p w:rsidR="006B6965" w:rsidRDefault="003A166B" w14:paraId="09D60870" w14:textId="77777777">
      <w:pPr>
        <w:pStyle w:val="ol-p-l1"/>
      </w:pPr>
      <w:r>
        <w:rPr>
          <w:rStyle w:val="ol-text"/>
        </w:rPr>
        <w:t>Dit betreft diverse kleinere mutaties.</w:t>
      </w:r>
    </w:p>
    <w:p w:rsidR="006B6965" w:rsidRDefault="006B6965" w14:paraId="730E6C54" w14:textId="77777777"/>
    <w:tbl>
      <w:tblPr>
        <w:tblW w:w="9694" w:type="dxa"/>
        <w:tblInd w:w="-3317" w:type="dxa"/>
        <w:tblCellMar>
          <w:left w:w="10" w:type="dxa"/>
          <w:right w:w="10" w:type="dxa"/>
        </w:tblCellMar>
        <w:tblLook w:val="04A0" w:firstRow="1" w:lastRow="0" w:firstColumn="1" w:lastColumn="0" w:noHBand="0" w:noVBand="1"/>
      </w:tblPr>
      <w:tblGrid>
        <w:gridCol w:w="485"/>
        <w:gridCol w:w="6301"/>
        <w:gridCol w:w="1454"/>
        <w:gridCol w:w="1454"/>
      </w:tblGrid>
      <w:tr w:rsidR="006B6965" w14:paraId="4D654A02" w14:textId="77777777">
        <w:tblPrEx>
          <w:tblCellMar>
            <w:top w:w="0" w:type="dxa"/>
            <w:bottom w:w="0" w:type="dxa"/>
          </w:tblCellMar>
        </w:tblPrEx>
        <w:trPr>
          <w:tblHeader/>
        </w:trPr>
        <w:tc>
          <w:tcPr>
            <w:tcW w:w="9180" w:type="dxa"/>
            <w:gridSpan w:val="4"/>
            <w:tcMar>
              <w:top w:w="22" w:type="dxa"/>
              <w:left w:w="113" w:type="dxa"/>
              <w:bottom w:w="22" w:type="dxa"/>
            </w:tcMar>
          </w:tcPr>
          <w:p w:rsidR="006B6965" w:rsidRDefault="003A166B" w14:paraId="0B5EC2D6" w14:textId="77777777">
            <w:pPr>
              <w:pStyle w:val="kio2-table-title"/>
            </w:pPr>
            <w:r>
              <w:t>Tabel 3 Overzicht belangrijkste suppletoire ontvangstenmutaties 2025 (Suppletoire begroting September) (bedragen x €1.000)</w:t>
            </w:r>
          </w:p>
        </w:tc>
      </w:tr>
      <w:tr w:rsidR="006B6965" w14:paraId="481A3E60"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41D50665" w14:textId="77777777">
            <w:pPr>
              <w:pStyle w:val="p-table"/>
              <w:rPr>
                <w:color w:val="000000"/>
                <w:sz w:val="17"/>
              </w:rPr>
            </w:pPr>
          </w:p>
        </w:tc>
        <w:tc>
          <w:tcPr>
            <w:tcW w:w="5967" w:type="dxa"/>
            <w:tcBorders>
              <w:top w:val="single" w:color="000000" w:sz="2" w:space="0"/>
              <w:bottom w:val="single" w:color="009EE0" w:sz="2" w:space="0"/>
            </w:tcBorders>
            <w:tcMar>
              <w:top w:w="28" w:type="dxa"/>
              <w:left w:w="28" w:type="dxa"/>
              <w:bottom w:w="28" w:type="dxa"/>
              <w:right w:w="28" w:type="dxa"/>
            </w:tcMar>
          </w:tcPr>
          <w:p w:rsidR="006B6965" w:rsidRDefault="006B6965" w14:paraId="2463181A"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6B6965" w14:paraId="08A054E5"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6B6965" w14:paraId="09E5988E" w14:textId="77777777">
            <w:pPr>
              <w:pStyle w:val="p-table"/>
              <w:rPr>
                <w:color w:val="000000"/>
                <w:sz w:val="17"/>
              </w:rPr>
            </w:pPr>
          </w:p>
        </w:tc>
      </w:tr>
      <w:tr w:rsidR="006B6965" w14:paraId="544E71D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1D7CAF5"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3E91E9ED" w14:textId="77777777">
            <w:pPr>
              <w:pStyle w:val="p-table"/>
              <w:rPr>
                <w:sz w:val="17"/>
              </w:rPr>
            </w:pPr>
            <w:r>
              <w:rPr>
                <w:b/>
                <w:sz w:val="17"/>
              </w:rPr>
              <w:t>Vastgestelde begroting 2025</w:t>
            </w:r>
          </w:p>
        </w:tc>
        <w:tc>
          <w:tcPr>
            <w:tcW w:w="1377" w:type="dxa"/>
            <w:tcBorders>
              <w:bottom w:val="single" w:color="009EE0" w:sz="2" w:space="0"/>
            </w:tcBorders>
            <w:tcMar>
              <w:top w:w="22" w:type="dxa"/>
              <w:left w:w="28" w:type="dxa"/>
              <w:bottom w:w="22" w:type="dxa"/>
              <w:right w:w="28" w:type="dxa"/>
            </w:tcMar>
          </w:tcPr>
          <w:p w:rsidR="006B6965" w:rsidRDefault="006B6965" w14:paraId="7EC80987"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6B6965" w:rsidRDefault="003A166B" w14:paraId="5B22777A" w14:textId="77777777">
            <w:pPr>
              <w:pStyle w:val="p-table"/>
              <w:jc w:val="right"/>
              <w:rPr>
                <w:sz w:val="17"/>
              </w:rPr>
            </w:pPr>
            <w:r>
              <w:rPr>
                <w:b/>
                <w:sz w:val="17"/>
              </w:rPr>
              <w:t>41.090</w:t>
            </w:r>
          </w:p>
        </w:tc>
      </w:tr>
      <w:tr w:rsidR="006B6965" w14:paraId="3F70723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0721BDF"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14A420E4" w14:textId="77777777">
            <w:pPr>
              <w:pStyle w:val="p-table"/>
              <w:rPr>
                <w:sz w:val="17"/>
              </w:rPr>
            </w:pPr>
            <w:r>
              <w:rPr>
                <w:b/>
                <w:sz w:val="17"/>
              </w:rPr>
              <w:t>Stand 1e suppletoire begroting 2025</w:t>
            </w:r>
          </w:p>
        </w:tc>
        <w:tc>
          <w:tcPr>
            <w:tcW w:w="1377" w:type="dxa"/>
            <w:tcBorders>
              <w:bottom w:val="single" w:color="009EE0" w:sz="2" w:space="0"/>
            </w:tcBorders>
            <w:tcMar>
              <w:top w:w="22" w:type="dxa"/>
              <w:left w:w="28" w:type="dxa"/>
              <w:bottom w:w="22" w:type="dxa"/>
              <w:right w:w="28" w:type="dxa"/>
            </w:tcMar>
          </w:tcPr>
          <w:p w:rsidR="006B6965" w:rsidRDefault="006B6965" w14:paraId="778E8D5D"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6B6965" w:rsidRDefault="003A166B" w14:paraId="32D20E04" w14:textId="77777777">
            <w:pPr>
              <w:pStyle w:val="p-table"/>
              <w:jc w:val="right"/>
              <w:rPr>
                <w:sz w:val="17"/>
              </w:rPr>
            </w:pPr>
            <w:r>
              <w:rPr>
                <w:b/>
                <w:sz w:val="17"/>
              </w:rPr>
              <w:t>111.266</w:t>
            </w:r>
          </w:p>
        </w:tc>
      </w:tr>
      <w:tr w:rsidR="006B6965" w14:paraId="7E4FA44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7DA7BC0"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73CA516F" w14:textId="77777777">
            <w:pPr>
              <w:pStyle w:val="p-table"/>
              <w:rPr>
                <w:sz w:val="17"/>
              </w:rPr>
            </w:pPr>
            <w:r>
              <w:rPr>
                <w:sz w:val="17"/>
              </w:rPr>
              <w:t>Belangrijkste suppletoire mutaties</w:t>
            </w:r>
          </w:p>
        </w:tc>
        <w:tc>
          <w:tcPr>
            <w:tcW w:w="1377" w:type="dxa"/>
            <w:tcBorders>
              <w:bottom w:val="single" w:color="009EE0" w:sz="2" w:space="0"/>
            </w:tcBorders>
            <w:tcMar>
              <w:top w:w="22" w:type="dxa"/>
              <w:left w:w="28" w:type="dxa"/>
              <w:bottom w:w="22" w:type="dxa"/>
              <w:right w:w="28" w:type="dxa"/>
            </w:tcMar>
          </w:tcPr>
          <w:p w:rsidR="006B6965" w:rsidRDefault="006B6965" w14:paraId="33A3039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FCE7448" w14:textId="77777777">
            <w:pPr>
              <w:pStyle w:val="p-table"/>
              <w:rPr>
                <w:sz w:val="17"/>
              </w:rPr>
            </w:pPr>
          </w:p>
        </w:tc>
      </w:tr>
      <w:tr w:rsidR="006B6965" w14:paraId="2F2B05E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505D30FF" w14:textId="77777777">
            <w:pPr>
              <w:pStyle w:val="p-table"/>
              <w:rPr>
                <w:sz w:val="17"/>
              </w:rPr>
            </w:pPr>
            <w:r>
              <w:rPr>
                <w:sz w:val="17"/>
              </w:rPr>
              <w:t>1.</w:t>
            </w:r>
          </w:p>
        </w:tc>
        <w:tc>
          <w:tcPr>
            <w:tcW w:w="5967" w:type="dxa"/>
            <w:tcBorders>
              <w:bottom w:val="single" w:color="009EE0" w:sz="2" w:space="0"/>
            </w:tcBorders>
            <w:tcMar>
              <w:top w:w="22" w:type="dxa"/>
              <w:left w:w="28" w:type="dxa"/>
              <w:bottom w:w="22" w:type="dxa"/>
              <w:right w:w="28" w:type="dxa"/>
            </w:tcMar>
          </w:tcPr>
          <w:p w:rsidR="006B6965" w:rsidRDefault="003A166B" w14:paraId="222D8952" w14:textId="77777777">
            <w:pPr>
              <w:pStyle w:val="p-table"/>
              <w:rPr>
                <w:sz w:val="17"/>
              </w:rPr>
            </w:pPr>
            <w:r>
              <w:rPr>
                <w:sz w:val="17"/>
              </w:rPr>
              <w:t>Verrekening NS</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47F9CABB" w14:textId="77777777">
            <w:pPr>
              <w:pStyle w:val="p-table"/>
              <w:rPr>
                <w:sz w:val="17"/>
              </w:rPr>
            </w:pPr>
            <w:r>
              <w:rPr>
                <w:sz w:val="17"/>
              </w:rPr>
              <w:t>16</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54E34DC3" w14:textId="77777777">
            <w:pPr>
              <w:pStyle w:val="p-table"/>
              <w:jc w:val="right"/>
              <w:rPr>
                <w:sz w:val="17"/>
              </w:rPr>
            </w:pPr>
            <w:r>
              <w:rPr>
                <w:sz w:val="17"/>
              </w:rPr>
              <w:t>50.000</w:t>
            </w:r>
          </w:p>
        </w:tc>
      </w:tr>
      <w:tr w:rsidR="006B6965" w14:paraId="7C4B6D4B"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6B6965" w:rsidRDefault="003A166B" w14:paraId="208E8DD8" w14:textId="77777777">
            <w:pPr>
              <w:pStyle w:val="p-table"/>
              <w:rPr>
                <w:sz w:val="17"/>
              </w:rPr>
            </w:pPr>
            <w:r>
              <w:rPr>
                <w:sz w:val="17"/>
              </w:rPr>
              <w:t>2.</w:t>
            </w:r>
          </w:p>
        </w:tc>
        <w:tc>
          <w:tcPr>
            <w:tcW w:w="5967" w:type="dxa"/>
            <w:tcBorders>
              <w:bottom w:val="single" w:color="009EE0" w:sz="2" w:space="0"/>
            </w:tcBorders>
            <w:tcMar>
              <w:top w:w="22" w:type="dxa"/>
              <w:left w:w="28" w:type="dxa"/>
              <w:bottom w:w="22" w:type="dxa"/>
              <w:right w:w="28" w:type="dxa"/>
            </w:tcMar>
          </w:tcPr>
          <w:p w:rsidR="006B6965" w:rsidRDefault="003A166B" w14:paraId="17E454EA" w14:textId="77777777">
            <w:pPr>
              <w:pStyle w:val="p-table"/>
              <w:rPr>
                <w:sz w:val="17"/>
              </w:rPr>
            </w:pPr>
            <w:proofErr w:type="spellStart"/>
            <w:r>
              <w:rPr>
                <w:sz w:val="17"/>
              </w:rPr>
              <w:t>Terugontvangsten</w:t>
            </w:r>
            <w:proofErr w:type="spellEnd"/>
            <w:r>
              <w:rPr>
                <w:sz w:val="17"/>
              </w:rPr>
              <w:t xml:space="preserve"> subsidies</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2D9A4663" w14:textId="77777777">
            <w:pPr>
              <w:pStyle w:val="p-table"/>
              <w:rPr>
                <w:sz w:val="17"/>
              </w:rPr>
            </w:pPr>
            <w:r>
              <w:rPr>
                <w:sz w:val="17"/>
              </w:rPr>
              <w:t>Diversen</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128B1258" w14:textId="77777777">
            <w:pPr>
              <w:pStyle w:val="p-table"/>
              <w:jc w:val="right"/>
              <w:rPr>
                <w:sz w:val="17"/>
              </w:rPr>
            </w:pPr>
            <w:r>
              <w:rPr>
                <w:sz w:val="17"/>
              </w:rPr>
              <w:t>10.261</w:t>
            </w:r>
          </w:p>
        </w:tc>
      </w:tr>
      <w:tr w:rsidR="006B6965" w14:paraId="0685E3A0" w14:textId="77777777">
        <w:tblPrEx>
          <w:tblCellMar>
            <w:top w:w="0" w:type="dxa"/>
            <w:bottom w:w="0" w:type="dxa"/>
          </w:tblCellMar>
        </w:tblPrEx>
        <w:tc>
          <w:tcPr>
            <w:tcW w:w="459" w:type="dxa"/>
            <w:tcBorders>
              <w:bottom w:val="single" w:color="009EE0" w:sz="2" w:space="0"/>
            </w:tcBorders>
            <w:tcMar>
              <w:top w:w="22" w:type="dxa"/>
              <w:bottom w:w="22" w:type="dxa"/>
              <w:right w:w="28" w:type="dxa"/>
            </w:tcMar>
            <w:vAlign w:val="bottom"/>
          </w:tcPr>
          <w:p w:rsidR="006B6965" w:rsidRDefault="003A166B" w14:paraId="74ACC057" w14:textId="77777777">
            <w:pPr>
              <w:pStyle w:val="p-table"/>
              <w:rPr>
                <w:sz w:val="17"/>
              </w:rPr>
            </w:pPr>
            <w:r>
              <w:rPr>
                <w:sz w:val="17"/>
              </w:rPr>
              <w:t>3.</w:t>
            </w:r>
          </w:p>
        </w:tc>
        <w:tc>
          <w:tcPr>
            <w:tcW w:w="5967" w:type="dxa"/>
            <w:tcBorders>
              <w:bottom w:val="single" w:color="009EE0" w:sz="2" w:space="0"/>
            </w:tcBorders>
            <w:tcMar>
              <w:top w:w="22" w:type="dxa"/>
              <w:left w:w="28" w:type="dxa"/>
              <w:bottom w:w="22" w:type="dxa"/>
              <w:right w:w="28" w:type="dxa"/>
            </w:tcMar>
          </w:tcPr>
          <w:p w:rsidR="006B6965" w:rsidRDefault="003A166B" w14:paraId="225BD19A" w14:textId="77777777">
            <w:pPr>
              <w:pStyle w:val="p-table"/>
              <w:rPr>
                <w:sz w:val="17"/>
              </w:rPr>
            </w:pPr>
            <w:r>
              <w:rPr>
                <w:sz w:val="17"/>
              </w:rPr>
              <w:t>Overige mutaties</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3784CE7F" w14:textId="77777777">
            <w:pPr>
              <w:pStyle w:val="p-table"/>
              <w:rPr>
                <w:sz w:val="17"/>
              </w:rPr>
            </w:pPr>
            <w:r>
              <w:rPr>
                <w:sz w:val="17"/>
              </w:rPr>
              <w:t>Diversen</w:t>
            </w:r>
          </w:p>
        </w:tc>
        <w:tc>
          <w:tcPr>
            <w:tcW w:w="1377" w:type="dxa"/>
            <w:tcBorders>
              <w:bottom w:val="single" w:color="009EE0" w:sz="2" w:space="0"/>
            </w:tcBorders>
            <w:tcMar>
              <w:top w:w="22" w:type="dxa"/>
              <w:left w:w="28" w:type="dxa"/>
              <w:bottom w:w="22" w:type="dxa"/>
              <w:right w:w="28" w:type="dxa"/>
            </w:tcMar>
            <w:vAlign w:val="center"/>
          </w:tcPr>
          <w:p w:rsidR="006B6965" w:rsidRDefault="003A166B" w14:paraId="7CF2B7E6" w14:textId="77777777">
            <w:pPr>
              <w:pStyle w:val="p-table"/>
              <w:jc w:val="right"/>
              <w:rPr>
                <w:sz w:val="17"/>
              </w:rPr>
            </w:pPr>
            <w:r>
              <w:rPr>
                <w:sz w:val="17"/>
              </w:rPr>
              <w:t>5.595</w:t>
            </w:r>
          </w:p>
        </w:tc>
      </w:tr>
      <w:tr w:rsidR="006B6965" w14:paraId="6D7036D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97A2859"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6B6965" w14:paraId="3E6AB32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E67AA5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9FDECC0" w14:textId="77777777">
            <w:pPr>
              <w:pStyle w:val="p-table"/>
              <w:rPr>
                <w:sz w:val="17"/>
              </w:rPr>
            </w:pPr>
          </w:p>
        </w:tc>
      </w:tr>
      <w:tr w:rsidR="006B6965" w14:paraId="358F536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4F600E7"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3A166B" w14:paraId="6C8D4301" w14:textId="77777777">
            <w:pPr>
              <w:pStyle w:val="p-table"/>
              <w:rPr>
                <w:sz w:val="17"/>
              </w:rPr>
            </w:pPr>
            <w:r>
              <w:rPr>
                <w:b/>
                <w:sz w:val="17"/>
              </w:rPr>
              <w:t>Stand suppletoire begroting September 2025</w:t>
            </w:r>
          </w:p>
        </w:tc>
        <w:tc>
          <w:tcPr>
            <w:tcW w:w="1377" w:type="dxa"/>
            <w:tcBorders>
              <w:bottom w:val="single" w:color="009EE0" w:sz="2" w:space="0"/>
            </w:tcBorders>
            <w:tcMar>
              <w:top w:w="22" w:type="dxa"/>
              <w:left w:w="28" w:type="dxa"/>
              <w:bottom w:w="22" w:type="dxa"/>
              <w:right w:w="28" w:type="dxa"/>
            </w:tcMar>
          </w:tcPr>
          <w:p w:rsidR="006B6965" w:rsidRDefault="006B6965" w14:paraId="02507A33"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center"/>
          </w:tcPr>
          <w:p w:rsidR="006B6965" w:rsidRDefault="003A166B" w14:paraId="646C9B51" w14:textId="77777777">
            <w:pPr>
              <w:pStyle w:val="p-table"/>
              <w:jc w:val="right"/>
              <w:rPr>
                <w:sz w:val="17"/>
              </w:rPr>
            </w:pPr>
            <w:r>
              <w:rPr>
                <w:b/>
                <w:sz w:val="17"/>
              </w:rPr>
              <w:t>177.122</w:t>
            </w:r>
          </w:p>
        </w:tc>
      </w:tr>
      <w:tr w:rsidR="006B6965" w14:paraId="1A149A5B" w14:textId="77777777">
        <w:tblPrEx>
          <w:tblCellMar>
            <w:top w:w="0" w:type="dxa"/>
            <w:bottom w:w="0" w:type="dxa"/>
          </w:tblCellMar>
        </w:tblPrEx>
        <w:tc>
          <w:tcPr>
            <w:tcW w:w="459" w:type="dxa"/>
            <w:tcMar>
              <w:top w:w="22" w:type="dxa"/>
              <w:bottom w:w="22" w:type="dxa"/>
              <w:right w:w="28" w:type="dxa"/>
            </w:tcMar>
          </w:tcPr>
          <w:p w:rsidR="006B6965" w:rsidRDefault="006B6965" w14:paraId="567EC917" w14:textId="77777777">
            <w:pPr>
              <w:pStyle w:val="p-table"/>
              <w:rPr>
                <w:sz w:val="17"/>
              </w:rPr>
            </w:pPr>
          </w:p>
        </w:tc>
        <w:tc>
          <w:tcPr>
            <w:tcW w:w="5967" w:type="dxa"/>
            <w:tcMar>
              <w:top w:w="22" w:type="dxa"/>
              <w:left w:w="28" w:type="dxa"/>
              <w:bottom w:w="22" w:type="dxa"/>
              <w:right w:w="28" w:type="dxa"/>
            </w:tcMar>
          </w:tcPr>
          <w:p w:rsidR="006B6965" w:rsidRDefault="006B6965" w14:paraId="58F5662C" w14:textId="77777777">
            <w:pPr>
              <w:pStyle w:val="p-table"/>
              <w:rPr>
                <w:sz w:val="17"/>
              </w:rPr>
            </w:pPr>
          </w:p>
        </w:tc>
        <w:tc>
          <w:tcPr>
            <w:tcW w:w="1377" w:type="dxa"/>
            <w:tcMar>
              <w:top w:w="22" w:type="dxa"/>
              <w:left w:w="28" w:type="dxa"/>
              <w:bottom w:w="22" w:type="dxa"/>
              <w:right w:w="28" w:type="dxa"/>
            </w:tcMar>
          </w:tcPr>
          <w:p w:rsidR="006B6965" w:rsidRDefault="006B6965" w14:paraId="595D98A0" w14:textId="77777777">
            <w:pPr>
              <w:pStyle w:val="p-table"/>
              <w:rPr>
                <w:sz w:val="17"/>
              </w:rPr>
            </w:pPr>
          </w:p>
        </w:tc>
        <w:tc>
          <w:tcPr>
            <w:tcW w:w="1377" w:type="dxa"/>
            <w:tcMar>
              <w:top w:w="22" w:type="dxa"/>
              <w:left w:w="28" w:type="dxa"/>
              <w:bottom w:w="22" w:type="dxa"/>
              <w:right w:w="28" w:type="dxa"/>
            </w:tcMar>
          </w:tcPr>
          <w:p w:rsidR="006B6965" w:rsidRDefault="006B6965" w14:paraId="76B50884" w14:textId="77777777">
            <w:pPr>
              <w:pStyle w:val="p-table"/>
              <w:rPr>
                <w:sz w:val="17"/>
              </w:rPr>
            </w:pPr>
          </w:p>
        </w:tc>
      </w:tr>
      <w:tr w:rsidR="006B6965" w14:paraId="4AD53C2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37245D7" w14:textId="77777777">
            <w:pPr>
              <w:pStyle w:val="p-table"/>
              <w:rPr>
                <w:sz w:val="17"/>
              </w:rPr>
            </w:pPr>
          </w:p>
        </w:tc>
        <w:tc>
          <w:tcPr>
            <w:tcW w:w="5967" w:type="dxa"/>
            <w:tcBorders>
              <w:bottom w:val="single" w:color="009EE0" w:sz="2" w:space="0"/>
            </w:tcBorders>
            <w:tcMar>
              <w:top w:w="22" w:type="dxa"/>
              <w:left w:w="28" w:type="dxa"/>
              <w:bottom w:w="22" w:type="dxa"/>
              <w:right w:w="28" w:type="dxa"/>
            </w:tcMar>
          </w:tcPr>
          <w:p w:rsidR="006B6965" w:rsidRDefault="006B6965" w14:paraId="71EE061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36CC16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E43670E" w14:textId="77777777">
            <w:pPr>
              <w:pStyle w:val="p-table"/>
              <w:rPr>
                <w:sz w:val="17"/>
              </w:rPr>
            </w:pPr>
          </w:p>
        </w:tc>
      </w:tr>
    </w:tbl>
    <w:p w:rsidR="006B6965" w:rsidRDefault="006B6965" w14:paraId="7170B918" w14:textId="77777777">
      <w:pPr>
        <w:pStyle w:val="p-marginbottom"/>
      </w:pPr>
    </w:p>
    <w:p w:rsidR="006B6965" w:rsidRDefault="003A166B" w14:paraId="0C79B845" w14:textId="77777777">
      <w:pPr>
        <w:pStyle w:val="header-h1"/>
      </w:pPr>
      <w:r>
        <w:t>Toelichting</w:t>
      </w:r>
    </w:p>
    <w:p w:rsidR="006B6965" w:rsidRDefault="003A166B" w14:paraId="349EEDEF" w14:textId="77777777">
      <w:pPr>
        <w:pStyle w:val="ol-p-l1"/>
        <w:numPr>
          <w:ilvl w:val="0"/>
          <w:numId w:val="8"/>
        </w:numPr>
      </w:pPr>
      <w:r>
        <w:rPr>
          <w:rStyle w:val="ol-text"/>
        </w:rPr>
        <w:t xml:space="preserve">Verrekening NS: Het </w:t>
      </w:r>
      <w:r>
        <w:rPr>
          <w:rStyle w:val="ol-text"/>
        </w:rPr>
        <w:t xml:space="preserve">hogere uitgavenbudget hangt samen met de afwikkeling van enkele openstaande financiële verplichtingen tussen </w:t>
      </w:r>
      <w:proofErr w:type="spellStart"/>
      <w:r>
        <w:rPr>
          <w:rStyle w:val="ol-text"/>
        </w:rPr>
        <w:t>IenW</w:t>
      </w:r>
      <w:proofErr w:type="spellEnd"/>
      <w:r>
        <w:rPr>
          <w:rStyle w:val="ol-text"/>
        </w:rPr>
        <w:t xml:space="preserve"> en NS uit de vorige concessieperiode. </w:t>
      </w:r>
      <w:proofErr w:type="spellStart"/>
      <w:r>
        <w:rPr>
          <w:rStyle w:val="ol-text"/>
        </w:rPr>
        <w:t>IenW</w:t>
      </w:r>
      <w:proofErr w:type="spellEnd"/>
      <w:r>
        <w:rPr>
          <w:rStyle w:val="ol-text"/>
        </w:rPr>
        <w:t xml:space="preserve"> en NS stellen de vergoeding voor de door </w:t>
      </w:r>
      <w:proofErr w:type="spellStart"/>
      <w:r>
        <w:rPr>
          <w:rStyle w:val="ol-text"/>
        </w:rPr>
        <w:t>IenW</w:t>
      </w:r>
      <w:proofErr w:type="spellEnd"/>
      <w:r>
        <w:rPr>
          <w:rStyle w:val="ol-text"/>
        </w:rPr>
        <w:t xml:space="preserve"> gestelde spoorstaafschade op de </w:t>
      </w:r>
      <w:proofErr w:type="spellStart"/>
      <w:r>
        <w:rPr>
          <w:rStyle w:val="ol-text"/>
        </w:rPr>
        <w:lastRenderedPageBreak/>
        <w:t>HSLinfrastructuur</w:t>
      </w:r>
      <w:proofErr w:type="spellEnd"/>
      <w:r>
        <w:rPr>
          <w:rStyle w:val="ol-text"/>
        </w:rPr>
        <w:t xml:space="preserve"> tot en met 2024 vast op een bedrag van € 50 miljoen. </w:t>
      </w:r>
      <w:proofErr w:type="spellStart"/>
      <w:r>
        <w:rPr>
          <w:rStyle w:val="ol-text"/>
        </w:rPr>
        <w:t>IenW</w:t>
      </w:r>
      <w:proofErr w:type="spellEnd"/>
      <w:r>
        <w:rPr>
          <w:rStyle w:val="ol-text"/>
        </w:rPr>
        <w:t xml:space="preserve"> en NS stellen de door NS aangevraagde vergoeding voor het op orde houden van de dienstregeling tijdens de coronapandemie vast op hetzelfde bedrag. Deze verrekening zal zonder betaling plaatsvinden vanw</w:t>
      </w:r>
      <w:r>
        <w:rPr>
          <w:rStyle w:val="ol-text"/>
        </w:rPr>
        <w:t>ege de gelijke omvang van de verplichtingen. De vastlegging in de begroting vindt plaats via een desaldering.</w:t>
      </w:r>
    </w:p>
    <w:p w:rsidR="006B6965" w:rsidRDefault="003A166B" w14:paraId="501AAC82" w14:textId="77777777">
      <w:pPr>
        <w:pStyle w:val="ol-p-l1"/>
      </w:pPr>
      <w:r>
        <w:rPr>
          <w:rStyle w:val="ol-text"/>
        </w:rPr>
        <w:t xml:space="preserve">Voor verschillende subsidies die de afgelopen jaren zijn uitgevoerd door RVO hebben we een eindafrekening ontvangen. De eindafrekeningen vallen € 10,3 miljoen lager dan aan RVO betaald is. Dit bedrag ontvangt </w:t>
      </w:r>
      <w:proofErr w:type="spellStart"/>
      <w:r>
        <w:rPr>
          <w:rStyle w:val="ol-text"/>
        </w:rPr>
        <w:t>IenW</w:t>
      </w:r>
      <w:proofErr w:type="spellEnd"/>
      <w:r>
        <w:rPr>
          <w:rStyle w:val="ol-text"/>
        </w:rPr>
        <w:t xml:space="preserve"> in 2025 weer terug.</w:t>
      </w:r>
    </w:p>
    <w:p w:rsidR="006B6965" w:rsidRDefault="003A166B" w14:paraId="2A58EA65" w14:textId="77777777">
      <w:pPr>
        <w:pStyle w:val="ol-p-l1"/>
      </w:pPr>
      <w:r>
        <w:rPr>
          <w:rStyle w:val="ol-text"/>
        </w:rPr>
        <w:t>Dit betreft diverse kleinere mutaties.</w:t>
      </w:r>
    </w:p>
    <w:p w:rsidR="006B6965" w:rsidRDefault="006B6965" w14:paraId="3024DF23" w14:textId="77777777"/>
    <w:p w:rsidR="006B6965" w:rsidRDefault="006B6965" w14:paraId="11910F45" w14:textId="77777777">
      <w:pPr>
        <w:pStyle w:val="page-break"/>
      </w:pPr>
    </w:p>
    <w:p w:rsidR="006B6965" w:rsidRDefault="003A166B" w14:paraId="05037D79" w14:textId="77777777">
      <w:pPr>
        <w:pStyle w:val="section-title-2"/>
      </w:pPr>
      <w:bookmarkStart w:name="97584707962197" w:id="4"/>
      <w:r>
        <w:t>3 Beleidsartikelen</w:t>
      </w:r>
      <w:bookmarkEnd w:id="4"/>
    </w:p>
    <w:p w:rsidR="006B6965" w:rsidRDefault="003A166B" w14:paraId="71F12F4B" w14:textId="77777777">
      <w:pPr>
        <w:pStyle w:val="section-title-3"/>
      </w:pPr>
      <w:r>
        <w:t>3.1 Artikel 11 Integraal Waterbeleid</w:t>
      </w:r>
    </w:p>
    <w:p w:rsidR="006B6965" w:rsidRDefault="003A166B" w14:paraId="4CB0541F"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17EFE2D0"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2397F71D" w14:textId="77777777">
            <w:pPr>
              <w:pStyle w:val="kio2-table-title"/>
            </w:pPr>
            <w:r>
              <w:t>Tabel 4 Budgettaire gevolgen van beleid artikel 11 Integraal Waterbeleid (bedragen x € 1.000)</w:t>
            </w:r>
          </w:p>
        </w:tc>
      </w:tr>
      <w:tr w:rsidR="006B6965" w14:paraId="7D4A9D06"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68DCFFC8"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014D7AAB"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1467B1E3"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69201B0B"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0FBA6894" w14:textId="77777777">
            <w:pPr>
              <w:pStyle w:val="p-table"/>
              <w:jc w:val="center"/>
              <w:rPr>
                <w:color w:val="000000"/>
                <w:sz w:val="17"/>
              </w:rPr>
            </w:pPr>
            <w:r>
              <w:rPr>
                <w:color w:val="000000"/>
                <w:sz w:val="17"/>
              </w:rPr>
              <w:t>Stand suppletoire begroting september (3) = (1) + (2)</w:t>
            </w:r>
          </w:p>
        </w:tc>
      </w:tr>
      <w:tr w:rsidR="006B6965" w14:paraId="0F406D7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3276F647"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18D2C874"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6960C8A1" w14:textId="77777777">
            <w:pPr>
              <w:pStyle w:val="p-table"/>
              <w:jc w:val="right"/>
              <w:rPr>
                <w:sz w:val="17"/>
              </w:rPr>
            </w:pPr>
            <w:r>
              <w:rPr>
                <w:b/>
                <w:sz w:val="17"/>
              </w:rPr>
              <w:t>67.703</w:t>
            </w:r>
          </w:p>
        </w:tc>
        <w:tc>
          <w:tcPr>
            <w:tcW w:w="1377" w:type="dxa"/>
            <w:tcBorders>
              <w:bottom w:val="single" w:color="009EE0" w:sz="2" w:space="0"/>
            </w:tcBorders>
            <w:tcMar>
              <w:top w:w="22" w:type="dxa"/>
              <w:left w:w="28" w:type="dxa"/>
              <w:bottom w:w="22" w:type="dxa"/>
              <w:right w:w="28" w:type="dxa"/>
            </w:tcMar>
          </w:tcPr>
          <w:p w:rsidR="006B6965" w:rsidRDefault="003A166B" w14:paraId="40FDB50F" w14:textId="77777777">
            <w:pPr>
              <w:pStyle w:val="p-table"/>
              <w:jc w:val="right"/>
              <w:rPr>
                <w:sz w:val="17"/>
              </w:rPr>
            </w:pPr>
            <w:r>
              <w:rPr>
                <w:b/>
                <w:sz w:val="17"/>
              </w:rPr>
              <w:t>‒</w:t>
            </w:r>
            <w:r>
              <w:rPr>
                <w:b/>
                <w:sz w:val="17"/>
              </w:rPr>
              <w:t xml:space="preserve"> 15.392</w:t>
            </w:r>
          </w:p>
        </w:tc>
        <w:tc>
          <w:tcPr>
            <w:tcW w:w="1377" w:type="dxa"/>
            <w:tcBorders>
              <w:bottom w:val="single" w:color="009EE0" w:sz="2" w:space="0"/>
            </w:tcBorders>
            <w:tcMar>
              <w:top w:w="22" w:type="dxa"/>
              <w:left w:w="28" w:type="dxa"/>
              <w:bottom w:w="22" w:type="dxa"/>
              <w:right w:w="28" w:type="dxa"/>
            </w:tcMar>
          </w:tcPr>
          <w:p w:rsidR="006B6965" w:rsidRDefault="003A166B" w14:paraId="6017E1DB" w14:textId="77777777">
            <w:pPr>
              <w:pStyle w:val="p-table"/>
              <w:jc w:val="right"/>
              <w:rPr>
                <w:sz w:val="17"/>
              </w:rPr>
            </w:pPr>
            <w:r>
              <w:rPr>
                <w:b/>
                <w:sz w:val="17"/>
              </w:rPr>
              <w:t>52.311</w:t>
            </w:r>
          </w:p>
        </w:tc>
      </w:tr>
      <w:tr w:rsidR="006B6965" w14:paraId="347124B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5B559E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0947F38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856436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063C91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F254912" w14:textId="77777777">
            <w:pPr>
              <w:pStyle w:val="p-table"/>
              <w:rPr>
                <w:sz w:val="17"/>
              </w:rPr>
            </w:pPr>
          </w:p>
        </w:tc>
      </w:tr>
      <w:tr w:rsidR="006B6965" w14:paraId="78DDECA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39A268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BC586D2"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63D22EE2" w14:textId="77777777">
            <w:pPr>
              <w:pStyle w:val="p-table"/>
              <w:jc w:val="right"/>
              <w:rPr>
                <w:sz w:val="17"/>
              </w:rPr>
            </w:pPr>
            <w:r>
              <w:rPr>
                <w:b/>
                <w:sz w:val="17"/>
              </w:rPr>
              <w:t>90.303</w:t>
            </w:r>
          </w:p>
        </w:tc>
        <w:tc>
          <w:tcPr>
            <w:tcW w:w="1377" w:type="dxa"/>
            <w:tcBorders>
              <w:bottom w:val="single" w:color="009EE0" w:sz="2" w:space="0"/>
            </w:tcBorders>
            <w:tcMar>
              <w:top w:w="22" w:type="dxa"/>
              <w:left w:w="28" w:type="dxa"/>
              <w:bottom w:w="22" w:type="dxa"/>
              <w:right w:w="28" w:type="dxa"/>
            </w:tcMar>
          </w:tcPr>
          <w:p w:rsidR="006B6965" w:rsidRDefault="003A166B" w14:paraId="115D730A" w14:textId="77777777">
            <w:pPr>
              <w:pStyle w:val="p-table"/>
              <w:jc w:val="right"/>
              <w:rPr>
                <w:sz w:val="17"/>
              </w:rPr>
            </w:pPr>
            <w:r>
              <w:rPr>
                <w:b/>
                <w:sz w:val="17"/>
              </w:rPr>
              <w:t>‒</w:t>
            </w:r>
            <w:r>
              <w:rPr>
                <w:b/>
                <w:sz w:val="17"/>
              </w:rPr>
              <w:t xml:space="preserve"> 8.683</w:t>
            </w:r>
          </w:p>
        </w:tc>
        <w:tc>
          <w:tcPr>
            <w:tcW w:w="1377" w:type="dxa"/>
            <w:tcBorders>
              <w:bottom w:val="single" w:color="009EE0" w:sz="2" w:space="0"/>
            </w:tcBorders>
            <w:tcMar>
              <w:top w:w="22" w:type="dxa"/>
              <w:left w:w="28" w:type="dxa"/>
              <w:bottom w:w="22" w:type="dxa"/>
              <w:right w:w="28" w:type="dxa"/>
            </w:tcMar>
          </w:tcPr>
          <w:p w:rsidR="006B6965" w:rsidRDefault="003A166B" w14:paraId="4912FF6E" w14:textId="77777777">
            <w:pPr>
              <w:pStyle w:val="p-table"/>
              <w:jc w:val="right"/>
              <w:rPr>
                <w:sz w:val="17"/>
              </w:rPr>
            </w:pPr>
            <w:r>
              <w:rPr>
                <w:b/>
                <w:sz w:val="17"/>
              </w:rPr>
              <w:t>81.620</w:t>
            </w:r>
          </w:p>
        </w:tc>
      </w:tr>
      <w:tr w:rsidR="006B6965" w14:paraId="0099055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4CCF71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76303C8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38F7ED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3017F3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B7AC9B6" w14:textId="77777777">
            <w:pPr>
              <w:pStyle w:val="p-table"/>
              <w:rPr>
                <w:sz w:val="17"/>
              </w:rPr>
            </w:pPr>
          </w:p>
        </w:tc>
      </w:tr>
      <w:tr w:rsidR="006B6965" w14:paraId="25484D7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096E9341" w14:textId="77777777">
            <w:pPr>
              <w:pStyle w:val="p-table"/>
              <w:rPr>
                <w:sz w:val="17"/>
              </w:rPr>
            </w:pPr>
            <w:r>
              <w:rPr>
                <w:b/>
                <w:sz w:val="17"/>
              </w:rPr>
              <w:t>11.1</w:t>
            </w:r>
          </w:p>
        </w:tc>
        <w:tc>
          <w:tcPr>
            <w:tcW w:w="4590" w:type="dxa"/>
            <w:tcBorders>
              <w:bottom w:val="single" w:color="009EE0" w:sz="2" w:space="0"/>
            </w:tcBorders>
            <w:tcMar>
              <w:top w:w="22" w:type="dxa"/>
              <w:left w:w="28" w:type="dxa"/>
              <w:bottom w:w="22" w:type="dxa"/>
              <w:right w:w="28" w:type="dxa"/>
            </w:tcMar>
          </w:tcPr>
          <w:p w:rsidR="006B6965" w:rsidRDefault="003A166B" w14:paraId="7213E460" w14:textId="77777777">
            <w:pPr>
              <w:pStyle w:val="p-table"/>
              <w:rPr>
                <w:sz w:val="17"/>
              </w:rPr>
            </w:pPr>
            <w:r>
              <w:rPr>
                <w:b/>
                <w:sz w:val="17"/>
              </w:rPr>
              <w:t>Algemeen waterbeleid</w:t>
            </w:r>
          </w:p>
        </w:tc>
        <w:tc>
          <w:tcPr>
            <w:tcW w:w="1377" w:type="dxa"/>
            <w:tcBorders>
              <w:bottom w:val="single" w:color="009EE0" w:sz="2" w:space="0"/>
            </w:tcBorders>
            <w:tcMar>
              <w:top w:w="22" w:type="dxa"/>
              <w:left w:w="28" w:type="dxa"/>
              <w:bottom w:w="22" w:type="dxa"/>
              <w:right w:w="28" w:type="dxa"/>
            </w:tcMar>
          </w:tcPr>
          <w:p w:rsidR="006B6965" w:rsidRDefault="003A166B" w14:paraId="002D3253" w14:textId="77777777">
            <w:pPr>
              <w:pStyle w:val="p-table"/>
              <w:jc w:val="right"/>
              <w:rPr>
                <w:sz w:val="17"/>
              </w:rPr>
            </w:pPr>
            <w:r>
              <w:rPr>
                <w:b/>
                <w:sz w:val="17"/>
              </w:rPr>
              <w:t>59.543</w:t>
            </w:r>
          </w:p>
        </w:tc>
        <w:tc>
          <w:tcPr>
            <w:tcW w:w="1377" w:type="dxa"/>
            <w:tcBorders>
              <w:bottom w:val="single" w:color="009EE0" w:sz="2" w:space="0"/>
            </w:tcBorders>
            <w:tcMar>
              <w:top w:w="22" w:type="dxa"/>
              <w:left w:w="28" w:type="dxa"/>
              <w:bottom w:w="22" w:type="dxa"/>
              <w:right w:w="28" w:type="dxa"/>
            </w:tcMar>
          </w:tcPr>
          <w:p w:rsidR="006B6965" w:rsidRDefault="003A166B" w14:paraId="60F0442F" w14:textId="77777777">
            <w:pPr>
              <w:pStyle w:val="p-table"/>
              <w:jc w:val="right"/>
              <w:rPr>
                <w:sz w:val="17"/>
              </w:rPr>
            </w:pPr>
            <w:r>
              <w:rPr>
                <w:b/>
                <w:sz w:val="17"/>
              </w:rPr>
              <w:t>‒</w:t>
            </w:r>
            <w:r>
              <w:rPr>
                <w:b/>
                <w:sz w:val="17"/>
              </w:rPr>
              <w:t xml:space="preserve"> 181</w:t>
            </w:r>
          </w:p>
        </w:tc>
        <w:tc>
          <w:tcPr>
            <w:tcW w:w="1377" w:type="dxa"/>
            <w:tcBorders>
              <w:bottom w:val="single" w:color="009EE0" w:sz="2" w:space="0"/>
            </w:tcBorders>
            <w:tcMar>
              <w:top w:w="22" w:type="dxa"/>
              <w:left w:w="28" w:type="dxa"/>
              <w:bottom w:w="22" w:type="dxa"/>
              <w:right w:w="28" w:type="dxa"/>
            </w:tcMar>
          </w:tcPr>
          <w:p w:rsidR="006B6965" w:rsidRDefault="003A166B" w14:paraId="7C74BB74" w14:textId="77777777">
            <w:pPr>
              <w:pStyle w:val="p-table"/>
              <w:jc w:val="right"/>
              <w:rPr>
                <w:sz w:val="17"/>
              </w:rPr>
            </w:pPr>
            <w:r>
              <w:rPr>
                <w:b/>
                <w:sz w:val="17"/>
              </w:rPr>
              <w:t>59.362</w:t>
            </w:r>
          </w:p>
        </w:tc>
      </w:tr>
      <w:tr w:rsidR="006B6965" w14:paraId="40570CE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1CFF57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207C087"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7E71B1AA" w14:textId="77777777">
            <w:pPr>
              <w:pStyle w:val="p-table"/>
              <w:jc w:val="right"/>
              <w:rPr>
                <w:sz w:val="17"/>
              </w:rPr>
            </w:pPr>
            <w:r>
              <w:rPr>
                <w:i/>
                <w:sz w:val="17"/>
              </w:rPr>
              <w:t>18.941</w:t>
            </w:r>
          </w:p>
        </w:tc>
        <w:tc>
          <w:tcPr>
            <w:tcW w:w="1377" w:type="dxa"/>
            <w:tcBorders>
              <w:bottom w:val="single" w:color="009EE0" w:sz="2" w:space="0"/>
            </w:tcBorders>
            <w:tcMar>
              <w:top w:w="22" w:type="dxa"/>
              <w:left w:w="28" w:type="dxa"/>
              <w:bottom w:w="22" w:type="dxa"/>
              <w:right w:w="28" w:type="dxa"/>
            </w:tcMar>
          </w:tcPr>
          <w:p w:rsidR="006B6965" w:rsidRDefault="003A166B" w14:paraId="6AB9B08E" w14:textId="77777777">
            <w:pPr>
              <w:pStyle w:val="p-table"/>
              <w:jc w:val="right"/>
              <w:rPr>
                <w:sz w:val="17"/>
              </w:rPr>
            </w:pPr>
            <w:r>
              <w:rPr>
                <w:i/>
                <w:sz w:val="17"/>
              </w:rPr>
              <w:t>‒</w:t>
            </w:r>
            <w:r>
              <w:rPr>
                <w:i/>
                <w:sz w:val="17"/>
              </w:rPr>
              <w:t xml:space="preserve"> 4.218</w:t>
            </w:r>
          </w:p>
        </w:tc>
        <w:tc>
          <w:tcPr>
            <w:tcW w:w="1377" w:type="dxa"/>
            <w:tcBorders>
              <w:bottom w:val="single" w:color="009EE0" w:sz="2" w:space="0"/>
            </w:tcBorders>
            <w:tcMar>
              <w:top w:w="22" w:type="dxa"/>
              <w:left w:w="28" w:type="dxa"/>
              <w:bottom w:w="22" w:type="dxa"/>
              <w:right w:w="28" w:type="dxa"/>
            </w:tcMar>
          </w:tcPr>
          <w:p w:rsidR="006B6965" w:rsidRDefault="003A166B" w14:paraId="70B73AC8" w14:textId="77777777">
            <w:pPr>
              <w:pStyle w:val="p-table"/>
              <w:jc w:val="right"/>
              <w:rPr>
                <w:sz w:val="17"/>
              </w:rPr>
            </w:pPr>
            <w:r>
              <w:rPr>
                <w:i/>
                <w:sz w:val="17"/>
              </w:rPr>
              <w:t>14.723</w:t>
            </w:r>
          </w:p>
        </w:tc>
      </w:tr>
      <w:tr w:rsidR="006B6965" w14:paraId="2D6EA1B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696084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4C76A66" w14:textId="77777777">
            <w:pPr>
              <w:pStyle w:val="p-table"/>
              <w:rPr>
                <w:sz w:val="17"/>
              </w:rPr>
            </w:pPr>
            <w:r>
              <w:rPr>
                <w:sz w:val="17"/>
              </w:rPr>
              <w:t>Partners voor Water (HGIS)</w:t>
            </w:r>
          </w:p>
        </w:tc>
        <w:tc>
          <w:tcPr>
            <w:tcW w:w="1377" w:type="dxa"/>
            <w:tcBorders>
              <w:bottom w:val="single" w:color="009EE0" w:sz="2" w:space="0"/>
            </w:tcBorders>
            <w:tcMar>
              <w:top w:w="22" w:type="dxa"/>
              <w:left w:w="28" w:type="dxa"/>
              <w:bottom w:w="22" w:type="dxa"/>
              <w:right w:w="28" w:type="dxa"/>
            </w:tcMar>
          </w:tcPr>
          <w:p w:rsidR="006B6965" w:rsidRDefault="003A166B" w14:paraId="11499B28" w14:textId="77777777">
            <w:pPr>
              <w:pStyle w:val="p-table"/>
              <w:jc w:val="right"/>
              <w:rPr>
                <w:sz w:val="17"/>
              </w:rPr>
            </w:pPr>
            <w:r>
              <w:rPr>
                <w:sz w:val="17"/>
              </w:rPr>
              <w:t>11.835</w:t>
            </w:r>
          </w:p>
        </w:tc>
        <w:tc>
          <w:tcPr>
            <w:tcW w:w="1377" w:type="dxa"/>
            <w:tcBorders>
              <w:bottom w:val="single" w:color="009EE0" w:sz="2" w:space="0"/>
            </w:tcBorders>
            <w:tcMar>
              <w:top w:w="22" w:type="dxa"/>
              <w:left w:w="28" w:type="dxa"/>
              <w:bottom w:w="22" w:type="dxa"/>
              <w:right w:w="28" w:type="dxa"/>
            </w:tcMar>
          </w:tcPr>
          <w:p w:rsidR="006B6965" w:rsidRDefault="003A166B" w14:paraId="4FD207AD" w14:textId="77777777">
            <w:pPr>
              <w:pStyle w:val="p-table"/>
              <w:jc w:val="right"/>
              <w:rPr>
                <w:sz w:val="17"/>
              </w:rPr>
            </w:pPr>
            <w:r>
              <w:rPr>
                <w:sz w:val="17"/>
              </w:rPr>
              <w:t>‒</w:t>
            </w:r>
            <w:r>
              <w:rPr>
                <w:sz w:val="17"/>
              </w:rPr>
              <w:t xml:space="preserve"> 3.010</w:t>
            </w:r>
          </w:p>
        </w:tc>
        <w:tc>
          <w:tcPr>
            <w:tcW w:w="1377" w:type="dxa"/>
            <w:tcBorders>
              <w:bottom w:val="single" w:color="009EE0" w:sz="2" w:space="0"/>
            </w:tcBorders>
            <w:tcMar>
              <w:top w:w="22" w:type="dxa"/>
              <w:left w:w="28" w:type="dxa"/>
              <w:bottom w:w="22" w:type="dxa"/>
              <w:right w:w="28" w:type="dxa"/>
            </w:tcMar>
          </w:tcPr>
          <w:p w:rsidR="006B6965" w:rsidRDefault="003A166B" w14:paraId="477D4FE3" w14:textId="77777777">
            <w:pPr>
              <w:pStyle w:val="p-table"/>
              <w:jc w:val="right"/>
              <w:rPr>
                <w:sz w:val="17"/>
              </w:rPr>
            </w:pPr>
            <w:r>
              <w:rPr>
                <w:sz w:val="17"/>
              </w:rPr>
              <w:t>8.825</w:t>
            </w:r>
          </w:p>
        </w:tc>
      </w:tr>
      <w:tr w:rsidR="006B6965" w14:paraId="61F4FA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83EB2B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859CF2B" w14:textId="77777777">
            <w:pPr>
              <w:pStyle w:val="p-table"/>
              <w:rPr>
                <w:sz w:val="17"/>
              </w:rPr>
            </w:pPr>
            <w:r>
              <w:rPr>
                <w:sz w:val="17"/>
              </w:rPr>
              <w:t>Overige HGIS opdrachten</w:t>
            </w:r>
          </w:p>
        </w:tc>
        <w:tc>
          <w:tcPr>
            <w:tcW w:w="1377" w:type="dxa"/>
            <w:tcBorders>
              <w:bottom w:val="single" w:color="009EE0" w:sz="2" w:space="0"/>
            </w:tcBorders>
            <w:tcMar>
              <w:top w:w="22" w:type="dxa"/>
              <w:left w:w="28" w:type="dxa"/>
              <w:bottom w:w="22" w:type="dxa"/>
              <w:right w:w="28" w:type="dxa"/>
            </w:tcMar>
          </w:tcPr>
          <w:p w:rsidR="006B6965" w:rsidRDefault="003A166B" w14:paraId="586D9E87" w14:textId="77777777">
            <w:pPr>
              <w:pStyle w:val="p-table"/>
              <w:jc w:val="right"/>
              <w:rPr>
                <w:sz w:val="17"/>
              </w:rPr>
            </w:pPr>
            <w:r>
              <w:rPr>
                <w:sz w:val="17"/>
              </w:rPr>
              <w:t>679</w:t>
            </w:r>
          </w:p>
        </w:tc>
        <w:tc>
          <w:tcPr>
            <w:tcW w:w="1377" w:type="dxa"/>
            <w:tcBorders>
              <w:bottom w:val="single" w:color="009EE0" w:sz="2" w:space="0"/>
            </w:tcBorders>
            <w:tcMar>
              <w:top w:w="22" w:type="dxa"/>
              <w:left w:w="28" w:type="dxa"/>
              <w:bottom w:w="22" w:type="dxa"/>
              <w:right w:w="28" w:type="dxa"/>
            </w:tcMar>
          </w:tcPr>
          <w:p w:rsidR="006B6965" w:rsidRDefault="003A166B" w14:paraId="00678F3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FECFEBA" w14:textId="77777777">
            <w:pPr>
              <w:pStyle w:val="p-table"/>
              <w:jc w:val="right"/>
              <w:rPr>
                <w:sz w:val="17"/>
              </w:rPr>
            </w:pPr>
            <w:r>
              <w:rPr>
                <w:sz w:val="17"/>
              </w:rPr>
              <w:t>679</w:t>
            </w:r>
          </w:p>
        </w:tc>
      </w:tr>
      <w:tr w:rsidR="006B6965" w14:paraId="2C692DE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E42275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AEC7360" w14:textId="77777777">
            <w:pPr>
              <w:pStyle w:val="p-table"/>
              <w:rPr>
                <w:sz w:val="17"/>
              </w:rPr>
            </w:pPr>
            <w:r>
              <w:rPr>
                <w:sz w:val="17"/>
              </w:rPr>
              <w:t>Regie Innovatie</w:t>
            </w:r>
          </w:p>
        </w:tc>
        <w:tc>
          <w:tcPr>
            <w:tcW w:w="1377" w:type="dxa"/>
            <w:tcBorders>
              <w:bottom w:val="single" w:color="009EE0" w:sz="2" w:space="0"/>
            </w:tcBorders>
            <w:tcMar>
              <w:top w:w="22" w:type="dxa"/>
              <w:left w:w="28" w:type="dxa"/>
              <w:bottom w:w="22" w:type="dxa"/>
              <w:right w:w="28" w:type="dxa"/>
            </w:tcMar>
          </w:tcPr>
          <w:p w:rsidR="006B6965" w:rsidRDefault="003A166B" w14:paraId="7C12EEE1" w14:textId="77777777">
            <w:pPr>
              <w:pStyle w:val="p-table"/>
              <w:jc w:val="right"/>
              <w:rPr>
                <w:sz w:val="17"/>
              </w:rPr>
            </w:pPr>
            <w:r>
              <w:rPr>
                <w:sz w:val="17"/>
              </w:rPr>
              <w:t>911</w:t>
            </w:r>
          </w:p>
        </w:tc>
        <w:tc>
          <w:tcPr>
            <w:tcW w:w="1377" w:type="dxa"/>
            <w:tcBorders>
              <w:bottom w:val="single" w:color="009EE0" w:sz="2" w:space="0"/>
            </w:tcBorders>
            <w:tcMar>
              <w:top w:w="22" w:type="dxa"/>
              <w:left w:w="28" w:type="dxa"/>
              <w:bottom w:w="22" w:type="dxa"/>
              <w:right w:w="28" w:type="dxa"/>
            </w:tcMar>
          </w:tcPr>
          <w:p w:rsidR="006B6965" w:rsidRDefault="003A166B" w14:paraId="7D63391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29294F4" w14:textId="77777777">
            <w:pPr>
              <w:pStyle w:val="p-table"/>
              <w:jc w:val="right"/>
              <w:rPr>
                <w:sz w:val="17"/>
              </w:rPr>
            </w:pPr>
            <w:r>
              <w:rPr>
                <w:sz w:val="17"/>
              </w:rPr>
              <w:t>911</w:t>
            </w:r>
          </w:p>
        </w:tc>
      </w:tr>
      <w:tr w:rsidR="006B6965" w14:paraId="491D810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11F76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E4C8B52"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5989BA61" w14:textId="77777777">
            <w:pPr>
              <w:pStyle w:val="p-table"/>
              <w:jc w:val="right"/>
              <w:rPr>
                <w:sz w:val="17"/>
              </w:rPr>
            </w:pPr>
            <w:r>
              <w:rPr>
                <w:sz w:val="17"/>
              </w:rPr>
              <w:t>5.516</w:t>
            </w:r>
          </w:p>
        </w:tc>
        <w:tc>
          <w:tcPr>
            <w:tcW w:w="1377" w:type="dxa"/>
            <w:tcBorders>
              <w:bottom w:val="single" w:color="009EE0" w:sz="2" w:space="0"/>
            </w:tcBorders>
            <w:tcMar>
              <w:top w:w="22" w:type="dxa"/>
              <w:left w:w="28" w:type="dxa"/>
              <w:bottom w:w="22" w:type="dxa"/>
              <w:right w:w="28" w:type="dxa"/>
            </w:tcMar>
          </w:tcPr>
          <w:p w:rsidR="006B6965" w:rsidRDefault="003A166B" w14:paraId="13C0032B" w14:textId="77777777">
            <w:pPr>
              <w:pStyle w:val="p-table"/>
              <w:jc w:val="right"/>
              <w:rPr>
                <w:sz w:val="17"/>
              </w:rPr>
            </w:pPr>
            <w:r>
              <w:rPr>
                <w:sz w:val="17"/>
              </w:rPr>
              <w:t>‒</w:t>
            </w:r>
            <w:r>
              <w:rPr>
                <w:sz w:val="17"/>
              </w:rPr>
              <w:t xml:space="preserve"> 1.208</w:t>
            </w:r>
          </w:p>
        </w:tc>
        <w:tc>
          <w:tcPr>
            <w:tcW w:w="1377" w:type="dxa"/>
            <w:tcBorders>
              <w:bottom w:val="single" w:color="009EE0" w:sz="2" w:space="0"/>
            </w:tcBorders>
            <w:tcMar>
              <w:top w:w="22" w:type="dxa"/>
              <w:left w:w="28" w:type="dxa"/>
              <w:bottom w:w="22" w:type="dxa"/>
              <w:right w:w="28" w:type="dxa"/>
            </w:tcMar>
          </w:tcPr>
          <w:p w:rsidR="006B6965" w:rsidRDefault="003A166B" w14:paraId="484639A0" w14:textId="77777777">
            <w:pPr>
              <w:pStyle w:val="p-table"/>
              <w:jc w:val="right"/>
              <w:rPr>
                <w:sz w:val="17"/>
              </w:rPr>
            </w:pPr>
            <w:r>
              <w:rPr>
                <w:sz w:val="17"/>
              </w:rPr>
              <w:t>4.308</w:t>
            </w:r>
          </w:p>
        </w:tc>
      </w:tr>
      <w:tr w:rsidR="006B6965" w14:paraId="54BC67D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BEB8B1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6449965"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70BDAAEE" w14:textId="77777777">
            <w:pPr>
              <w:pStyle w:val="p-table"/>
              <w:jc w:val="right"/>
              <w:rPr>
                <w:sz w:val="17"/>
              </w:rPr>
            </w:pPr>
            <w:r>
              <w:rPr>
                <w:i/>
                <w:sz w:val="17"/>
              </w:rPr>
              <w:t>18.315</w:t>
            </w:r>
          </w:p>
        </w:tc>
        <w:tc>
          <w:tcPr>
            <w:tcW w:w="1377" w:type="dxa"/>
            <w:tcBorders>
              <w:bottom w:val="single" w:color="009EE0" w:sz="2" w:space="0"/>
            </w:tcBorders>
            <w:tcMar>
              <w:top w:w="22" w:type="dxa"/>
              <w:left w:w="28" w:type="dxa"/>
              <w:bottom w:w="22" w:type="dxa"/>
              <w:right w:w="28" w:type="dxa"/>
            </w:tcMar>
          </w:tcPr>
          <w:p w:rsidR="006B6965" w:rsidRDefault="003A166B" w14:paraId="3753543D" w14:textId="77777777">
            <w:pPr>
              <w:pStyle w:val="p-table"/>
              <w:jc w:val="right"/>
              <w:rPr>
                <w:sz w:val="17"/>
              </w:rPr>
            </w:pPr>
            <w:r>
              <w:rPr>
                <w:i/>
                <w:sz w:val="17"/>
              </w:rPr>
              <w:t>3.068</w:t>
            </w:r>
          </w:p>
        </w:tc>
        <w:tc>
          <w:tcPr>
            <w:tcW w:w="1377" w:type="dxa"/>
            <w:tcBorders>
              <w:bottom w:val="single" w:color="009EE0" w:sz="2" w:space="0"/>
            </w:tcBorders>
            <w:tcMar>
              <w:top w:w="22" w:type="dxa"/>
              <w:left w:w="28" w:type="dxa"/>
              <w:bottom w:w="22" w:type="dxa"/>
              <w:right w:w="28" w:type="dxa"/>
            </w:tcMar>
          </w:tcPr>
          <w:p w:rsidR="006B6965" w:rsidRDefault="003A166B" w14:paraId="12D371AB" w14:textId="77777777">
            <w:pPr>
              <w:pStyle w:val="p-table"/>
              <w:jc w:val="right"/>
              <w:rPr>
                <w:sz w:val="17"/>
              </w:rPr>
            </w:pPr>
            <w:r>
              <w:rPr>
                <w:i/>
                <w:sz w:val="17"/>
              </w:rPr>
              <w:t>21.383</w:t>
            </w:r>
          </w:p>
        </w:tc>
      </w:tr>
      <w:tr w:rsidR="006B6965" w14:paraId="3F0E962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E972B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8E27966" w14:textId="77777777">
            <w:pPr>
              <w:pStyle w:val="p-table"/>
              <w:rPr>
                <w:sz w:val="17"/>
              </w:rPr>
            </w:pPr>
            <w:r>
              <w:rPr>
                <w:sz w:val="17"/>
              </w:rPr>
              <w:t>Incidentele subsidie WKB</w:t>
            </w:r>
          </w:p>
        </w:tc>
        <w:tc>
          <w:tcPr>
            <w:tcW w:w="1377" w:type="dxa"/>
            <w:tcBorders>
              <w:bottom w:val="single" w:color="009EE0" w:sz="2" w:space="0"/>
            </w:tcBorders>
            <w:tcMar>
              <w:top w:w="22" w:type="dxa"/>
              <w:left w:w="28" w:type="dxa"/>
              <w:bottom w:w="22" w:type="dxa"/>
              <w:right w:w="28" w:type="dxa"/>
            </w:tcMar>
          </w:tcPr>
          <w:p w:rsidR="006B6965" w:rsidRDefault="003A166B" w14:paraId="33580A42" w14:textId="77777777">
            <w:pPr>
              <w:pStyle w:val="p-table"/>
              <w:jc w:val="right"/>
              <w:rPr>
                <w:sz w:val="17"/>
              </w:rPr>
            </w:pPr>
            <w:r>
              <w:rPr>
                <w:sz w:val="17"/>
              </w:rPr>
              <w:t>100</w:t>
            </w:r>
          </w:p>
        </w:tc>
        <w:tc>
          <w:tcPr>
            <w:tcW w:w="1377" w:type="dxa"/>
            <w:tcBorders>
              <w:bottom w:val="single" w:color="009EE0" w:sz="2" w:space="0"/>
            </w:tcBorders>
            <w:tcMar>
              <w:top w:w="22" w:type="dxa"/>
              <w:left w:w="28" w:type="dxa"/>
              <w:bottom w:w="22" w:type="dxa"/>
              <w:right w:w="28" w:type="dxa"/>
            </w:tcMar>
          </w:tcPr>
          <w:p w:rsidR="006B6965" w:rsidRDefault="003A166B" w14:paraId="538E5566" w14:textId="77777777">
            <w:pPr>
              <w:pStyle w:val="p-table"/>
              <w:jc w:val="right"/>
              <w:rPr>
                <w:sz w:val="17"/>
              </w:rPr>
            </w:pPr>
            <w:r>
              <w:rPr>
                <w:sz w:val="17"/>
              </w:rPr>
              <w:t>420</w:t>
            </w:r>
          </w:p>
        </w:tc>
        <w:tc>
          <w:tcPr>
            <w:tcW w:w="1377" w:type="dxa"/>
            <w:tcBorders>
              <w:bottom w:val="single" w:color="009EE0" w:sz="2" w:space="0"/>
            </w:tcBorders>
            <w:tcMar>
              <w:top w:w="22" w:type="dxa"/>
              <w:left w:w="28" w:type="dxa"/>
              <w:bottom w:w="22" w:type="dxa"/>
              <w:right w:w="28" w:type="dxa"/>
            </w:tcMar>
          </w:tcPr>
          <w:p w:rsidR="006B6965" w:rsidRDefault="003A166B" w14:paraId="166F1894" w14:textId="77777777">
            <w:pPr>
              <w:pStyle w:val="p-table"/>
              <w:jc w:val="right"/>
              <w:rPr>
                <w:sz w:val="17"/>
              </w:rPr>
            </w:pPr>
            <w:r>
              <w:rPr>
                <w:sz w:val="17"/>
              </w:rPr>
              <w:t>520</w:t>
            </w:r>
          </w:p>
        </w:tc>
      </w:tr>
      <w:tr w:rsidR="006B6965" w14:paraId="015ED51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DA3D68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168AF0A" w14:textId="77777777">
            <w:pPr>
              <w:pStyle w:val="p-table"/>
              <w:rPr>
                <w:sz w:val="17"/>
              </w:rPr>
            </w:pPr>
            <w:r>
              <w:rPr>
                <w:sz w:val="17"/>
              </w:rPr>
              <w:t>Overige HGIS subsidies</w:t>
            </w:r>
          </w:p>
        </w:tc>
        <w:tc>
          <w:tcPr>
            <w:tcW w:w="1377" w:type="dxa"/>
            <w:tcBorders>
              <w:bottom w:val="single" w:color="009EE0" w:sz="2" w:space="0"/>
            </w:tcBorders>
            <w:tcMar>
              <w:top w:w="22" w:type="dxa"/>
              <w:left w:w="28" w:type="dxa"/>
              <w:bottom w:w="22" w:type="dxa"/>
              <w:right w:w="28" w:type="dxa"/>
            </w:tcMar>
          </w:tcPr>
          <w:p w:rsidR="006B6965" w:rsidRDefault="003A166B" w14:paraId="280FD180" w14:textId="77777777">
            <w:pPr>
              <w:pStyle w:val="p-table"/>
              <w:jc w:val="right"/>
              <w:rPr>
                <w:sz w:val="17"/>
              </w:rPr>
            </w:pPr>
            <w:r>
              <w:rPr>
                <w:sz w:val="17"/>
              </w:rPr>
              <w:t>4.700</w:t>
            </w:r>
          </w:p>
        </w:tc>
        <w:tc>
          <w:tcPr>
            <w:tcW w:w="1377" w:type="dxa"/>
            <w:tcBorders>
              <w:bottom w:val="single" w:color="009EE0" w:sz="2" w:space="0"/>
            </w:tcBorders>
            <w:tcMar>
              <w:top w:w="22" w:type="dxa"/>
              <w:left w:w="28" w:type="dxa"/>
              <w:bottom w:w="22" w:type="dxa"/>
              <w:right w:w="28" w:type="dxa"/>
            </w:tcMar>
          </w:tcPr>
          <w:p w:rsidR="006B6965" w:rsidRDefault="003A166B" w14:paraId="01E4DE31" w14:textId="77777777">
            <w:pPr>
              <w:pStyle w:val="p-table"/>
              <w:jc w:val="right"/>
              <w:rPr>
                <w:sz w:val="17"/>
              </w:rPr>
            </w:pPr>
            <w:r>
              <w:rPr>
                <w:sz w:val="17"/>
              </w:rPr>
              <w:t>200</w:t>
            </w:r>
          </w:p>
        </w:tc>
        <w:tc>
          <w:tcPr>
            <w:tcW w:w="1377" w:type="dxa"/>
            <w:tcBorders>
              <w:bottom w:val="single" w:color="009EE0" w:sz="2" w:space="0"/>
            </w:tcBorders>
            <w:tcMar>
              <w:top w:w="22" w:type="dxa"/>
              <w:left w:w="28" w:type="dxa"/>
              <w:bottom w:w="22" w:type="dxa"/>
              <w:right w:w="28" w:type="dxa"/>
            </w:tcMar>
          </w:tcPr>
          <w:p w:rsidR="006B6965" w:rsidRDefault="003A166B" w14:paraId="442CAFBE" w14:textId="77777777">
            <w:pPr>
              <w:pStyle w:val="p-table"/>
              <w:jc w:val="right"/>
              <w:rPr>
                <w:sz w:val="17"/>
              </w:rPr>
            </w:pPr>
            <w:r>
              <w:rPr>
                <w:sz w:val="17"/>
              </w:rPr>
              <w:t>4.900</w:t>
            </w:r>
          </w:p>
        </w:tc>
      </w:tr>
      <w:tr w:rsidR="006B6965" w14:paraId="64BE0A5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E22C4D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6E5C632" w14:textId="77777777">
            <w:pPr>
              <w:pStyle w:val="p-table"/>
              <w:rPr>
                <w:sz w:val="17"/>
              </w:rPr>
            </w:pPr>
            <w:r>
              <w:rPr>
                <w:sz w:val="17"/>
              </w:rPr>
              <w:t>Partners voor Water 5 (HGIS)</w:t>
            </w:r>
          </w:p>
        </w:tc>
        <w:tc>
          <w:tcPr>
            <w:tcW w:w="1377" w:type="dxa"/>
            <w:tcBorders>
              <w:bottom w:val="single" w:color="009EE0" w:sz="2" w:space="0"/>
            </w:tcBorders>
            <w:tcMar>
              <w:top w:w="22" w:type="dxa"/>
              <w:left w:w="28" w:type="dxa"/>
              <w:bottom w:w="22" w:type="dxa"/>
              <w:right w:w="28" w:type="dxa"/>
            </w:tcMar>
          </w:tcPr>
          <w:p w:rsidR="006B6965" w:rsidRDefault="003A166B" w14:paraId="37F12E97" w14:textId="77777777">
            <w:pPr>
              <w:pStyle w:val="p-table"/>
              <w:jc w:val="right"/>
              <w:rPr>
                <w:sz w:val="17"/>
              </w:rPr>
            </w:pPr>
            <w:r>
              <w:rPr>
                <w:sz w:val="17"/>
              </w:rPr>
              <w:t>3.000</w:t>
            </w:r>
          </w:p>
        </w:tc>
        <w:tc>
          <w:tcPr>
            <w:tcW w:w="1377" w:type="dxa"/>
            <w:tcBorders>
              <w:bottom w:val="single" w:color="009EE0" w:sz="2" w:space="0"/>
            </w:tcBorders>
            <w:tcMar>
              <w:top w:w="22" w:type="dxa"/>
              <w:left w:w="28" w:type="dxa"/>
              <w:bottom w:w="22" w:type="dxa"/>
              <w:right w:w="28" w:type="dxa"/>
            </w:tcMar>
          </w:tcPr>
          <w:p w:rsidR="006B6965" w:rsidRDefault="003A166B" w14:paraId="3A951E73" w14:textId="77777777">
            <w:pPr>
              <w:pStyle w:val="p-table"/>
              <w:jc w:val="right"/>
              <w:rPr>
                <w:sz w:val="17"/>
              </w:rPr>
            </w:pPr>
            <w:r>
              <w:rPr>
                <w:sz w:val="17"/>
              </w:rPr>
              <w:t>3.010</w:t>
            </w:r>
          </w:p>
        </w:tc>
        <w:tc>
          <w:tcPr>
            <w:tcW w:w="1377" w:type="dxa"/>
            <w:tcBorders>
              <w:bottom w:val="single" w:color="009EE0" w:sz="2" w:space="0"/>
            </w:tcBorders>
            <w:tcMar>
              <w:top w:w="22" w:type="dxa"/>
              <w:left w:w="28" w:type="dxa"/>
              <w:bottom w:w="22" w:type="dxa"/>
              <w:right w:w="28" w:type="dxa"/>
            </w:tcMar>
          </w:tcPr>
          <w:p w:rsidR="006B6965" w:rsidRDefault="003A166B" w14:paraId="05BDFDCB" w14:textId="77777777">
            <w:pPr>
              <w:pStyle w:val="p-table"/>
              <w:jc w:val="right"/>
              <w:rPr>
                <w:sz w:val="17"/>
              </w:rPr>
            </w:pPr>
            <w:r>
              <w:rPr>
                <w:sz w:val="17"/>
              </w:rPr>
              <w:t>6.010</w:t>
            </w:r>
          </w:p>
        </w:tc>
      </w:tr>
      <w:tr w:rsidR="006B6965" w14:paraId="10F22A2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99EC0C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A55AB92" w14:textId="77777777">
            <w:pPr>
              <w:pStyle w:val="p-table"/>
              <w:rPr>
                <w:sz w:val="17"/>
              </w:rPr>
            </w:pPr>
            <w:r>
              <w:rPr>
                <w:sz w:val="17"/>
              </w:rPr>
              <w:t xml:space="preserve">NGF </w:t>
            </w:r>
            <w:r>
              <w:rPr>
                <w:sz w:val="17"/>
              </w:rPr>
              <w:t>NL2120</w:t>
            </w:r>
          </w:p>
        </w:tc>
        <w:tc>
          <w:tcPr>
            <w:tcW w:w="1377" w:type="dxa"/>
            <w:tcBorders>
              <w:bottom w:val="single" w:color="009EE0" w:sz="2" w:space="0"/>
            </w:tcBorders>
            <w:tcMar>
              <w:top w:w="22" w:type="dxa"/>
              <w:left w:w="28" w:type="dxa"/>
              <w:bottom w:w="22" w:type="dxa"/>
              <w:right w:w="28" w:type="dxa"/>
            </w:tcMar>
          </w:tcPr>
          <w:p w:rsidR="006B6965" w:rsidRDefault="003A166B" w14:paraId="13A3B265" w14:textId="77777777">
            <w:pPr>
              <w:pStyle w:val="p-table"/>
              <w:jc w:val="right"/>
              <w:rPr>
                <w:sz w:val="17"/>
              </w:rPr>
            </w:pPr>
            <w:r>
              <w:rPr>
                <w:sz w:val="17"/>
              </w:rPr>
              <w:t>9.530</w:t>
            </w:r>
          </w:p>
        </w:tc>
        <w:tc>
          <w:tcPr>
            <w:tcW w:w="1377" w:type="dxa"/>
            <w:tcBorders>
              <w:bottom w:val="single" w:color="009EE0" w:sz="2" w:space="0"/>
            </w:tcBorders>
            <w:tcMar>
              <w:top w:w="22" w:type="dxa"/>
              <w:left w:w="28" w:type="dxa"/>
              <w:bottom w:w="22" w:type="dxa"/>
              <w:right w:w="28" w:type="dxa"/>
            </w:tcMar>
          </w:tcPr>
          <w:p w:rsidR="006B6965" w:rsidRDefault="003A166B" w14:paraId="09FF8292" w14:textId="77777777">
            <w:pPr>
              <w:pStyle w:val="p-table"/>
              <w:jc w:val="right"/>
              <w:rPr>
                <w:sz w:val="17"/>
              </w:rPr>
            </w:pPr>
            <w:r>
              <w:rPr>
                <w:sz w:val="17"/>
              </w:rPr>
              <w:t>‒</w:t>
            </w:r>
            <w:r>
              <w:rPr>
                <w:sz w:val="17"/>
              </w:rPr>
              <w:t xml:space="preserve"> 688</w:t>
            </w:r>
          </w:p>
        </w:tc>
        <w:tc>
          <w:tcPr>
            <w:tcW w:w="1377" w:type="dxa"/>
            <w:tcBorders>
              <w:bottom w:val="single" w:color="009EE0" w:sz="2" w:space="0"/>
            </w:tcBorders>
            <w:tcMar>
              <w:top w:w="22" w:type="dxa"/>
              <w:left w:w="28" w:type="dxa"/>
              <w:bottom w:w="22" w:type="dxa"/>
              <w:right w:w="28" w:type="dxa"/>
            </w:tcMar>
          </w:tcPr>
          <w:p w:rsidR="006B6965" w:rsidRDefault="003A166B" w14:paraId="2A40BF28" w14:textId="77777777">
            <w:pPr>
              <w:pStyle w:val="p-table"/>
              <w:jc w:val="right"/>
              <w:rPr>
                <w:sz w:val="17"/>
              </w:rPr>
            </w:pPr>
            <w:r>
              <w:rPr>
                <w:sz w:val="17"/>
              </w:rPr>
              <w:t>8.842</w:t>
            </w:r>
          </w:p>
        </w:tc>
      </w:tr>
      <w:tr w:rsidR="006B6965" w14:paraId="1B6E610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5475AE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D782A9D"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56078DD1" w14:textId="77777777">
            <w:pPr>
              <w:pStyle w:val="p-table"/>
              <w:jc w:val="right"/>
              <w:rPr>
                <w:sz w:val="17"/>
              </w:rPr>
            </w:pPr>
            <w:r>
              <w:rPr>
                <w:sz w:val="17"/>
              </w:rPr>
              <w:t>985</w:t>
            </w:r>
          </w:p>
        </w:tc>
        <w:tc>
          <w:tcPr>
            <w:tcW w:w="1377" w:type="dxa"/>
            <w:tcBorders>
              <w:bottom w:val="single" w:color="009EE0" w:sz="2" w:space="0"/>
            </w:tcBorders>
            <w:tcMar>
              <w:top w:w="22" w:type="dxa"/>
              <w:left w:w="28" w:type="dxa"/>
              <w:bottom w:w="22" w:type="dxa"/>
              <w:right w:w="28" w:type="dxa"/>
            </w:tcMar>
          </w:tcPr>
          <w:p w:rsidR="006B6965" w:rsidRDefault="003A166B" w14:paraId="7AD88162" w14:textId="77777777">
            <w:pPr>
              <w:pStyle w:val="p-table"/>
              <w:jc w:val="right"/>
              <w:rPr>
                <w:sz w:val="17"/>
              </w:rPr>
            </w:pPr>
            <w:r>
              <w:rPr>
                <w:sz w:val="17"/>
              </w:rPr>
              <w:t>126</w:t>
            </w:r>
          </w:p>
        </w:tc>
        <w:tc>
          <w:tcPr>
            <w:tcW w:w="1377" w:type="dxa"/>
            <w:tcBorders>
              <w:bottom w:val="single" w:color="009EE0" w:sz="2" w:space="0"/>
            </w:tcBorders>
            <w:tcMar>
              <w:top w:w="22" w:type="dxa"/>
              <w:left w:w="28" w:type="dxa"/>
              <w:bottom w:w="22" w:type="dxa"/>
              <w:right w:w="28" w:type="dxa"/>
            </w:tcMar>
          </w:tcPr>
          <w:p w:rsidR="006B6965" w:rsidRDefault="003A166B" w14:paraId="5EE89379" w14:textId="77777777">
            <w:pPr>
              <w:pStyle w:val="p-table"/>
              <w:jc w:val="right"/>
              <w:rPr>
                <w:sz w:val="17"/>
              </w:rPr>
            </w:pPr>
            <w:r>
              <w:rPr>
                <w:sz w:val="17"/>
              </w:rPr>
              <w:t>1.111</w:t>
            </w:r>
          </w:p>
        </w:tc>
      </w:tr>
      <w:tr w:rsidR="006B6965" w14:paraId="6736BAA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48C00E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A0ACDAC"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4B8104CB" w14:textId="77777777">
            <w:pPr>
              <w:pStyle w:val="p-table"/>
              <w:jc w:val="right"/>
              <w:rPr>
                <w:sz w:val="17"/>
              </w:rPr>
            </w:pPr>
            <w:r>
              <w:rPr>
                <w:i/>
                <w:sz w:val="17"/>
              </w:rPr>
              <w:t>17.855</w:t>
            </w:r>
          </w:p>
        </w:tc>
        <w:tc>
          <w:tcPr>
            <w:tcW w:w="1377" w:type="dxa"/>
            <w:tcBorders>
              <w:bottom w:val="single" w:color="009EE0" w:sz="2" w:space="0"/>
            </w:tcBorders>
            <w:tcMar>
              <w:top w:w="22" w:type="dxa"/>
              <w:left w:w="28" w:type="dxa"/>
              <w:bottom w:w="22" w:type="dxa"/>
              <w:right w:w="28" w:type="dxa"/>
            </w:tcMar>
          </w:tcPr>
          <w:p w:rsidR="006B6965" w:rsidRDefault="003A166B" w14:paraId="2FA1BA43" w14:textId="77777777">
            <w:pPr>
              <w:pStyle w:val="p-table"/>
              <w:jc w:val="right"/>
              <w:rPr>
                <w:sz w:val="17"/>
              </w:rPr>
            </w:pPr>
            <w:r>
              <w:rPr>
                <w:i/>
                <w:sz w:val="17"/>
              </w:rPr>
              <w:t>276</w:t>
            </w:r>
          </w:p>
        </w:tc>
        <w:tc>
          <w:tcPr>
            <w:tcW w:w="1377" w:type="dxa"/>
            <w:tcBorders>
              <w:bottom w:val="single" w:color="009EE0" w:sz="2" w:space="0"/>
            </w:tcBorders>
            <w:tcMar>
              <w:top w:w="22" w:type="dxa"/>
              <w:left w:w="28" w:type="dxa"/>
              <w:bottom w:w="22" w:type="dxa"/>
              <w:right w:w="28" w:type="dxa"/>
            </w:tcMar>
          </w:tcPr>
          <w:p w:rsidR="006B6965" w:rsidRDefault="003A166B" w14:paraId="6A735FFF" w14:textId="77777777">
            <w:pPr>
              <w:pStyle w:val="p-table"/>
              <w:jc w:val="right"/>
              <w:rPr>
                <w:sz w:val="17"/>
              </w:rPr>
            </w:pPr>
            <w:r>
              <w:rPr>
                <w:i/>
                <w:sz w:val="17"/>
              </w:rPr>
              <w:t>18.131</w:t>
            </w:r>
          </w:p>
        </w:tc>
      </w:tr>
      <w:tr w:rsidR="006B6965" w14:paraId="61C6DFA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9A3DD5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E6FBE7A" w14:textId="77777777">
            <w:pPr>
              <w:pStyle w:val="p-table"/>
              <w:rPr>
                <w:sz w:val="17"/>
              </w:rPr>
            </w:pPr>
            <w:r>
              <w:rPr>
                <w:sz w:val="17"/>
              </w:rPr>
              <w:t>Bijdrage aan agentschap RWS</w:t>
            </w:r>
          </w:p>
        </w:tc>
        <w:tc>
          <w:tcPr>
            <w:tcW w:w="1377" w:type="dxa"/>
            <w:tcBorders>
              <w:bottom w:val="single" w:color="009EE0" w:sz="2" w:space="0"/>
            </w:tcBorders>
            <w:tcMar>
              <w:top w:w="22" w:type="dxa"/>
              <w:left w:w="28" w:type="dxa"/>
              <w:bottom w:w="22" w:type="dxa"/>
              <w:right w:w="28" w:type="dxa"/>
            </w:tcMar>
          </w:tcPr>
          <w:p w:rsidR="006B6965" w:rsidRDefault="003A166B" w14:paraId="7FEB4707" w14:textId="77777777">
            <w:pPr>
              <w:pStyle w:val="p-table"/>
              <w:jc w:val="right"/>
              <w:rPr>
                <w:sz w:val="17"/>
              </w:rPr>
            </w:pPr>
            <w:r>
              <w:rPr>
                <w:sz w:val="17"/>
              </w:rPr>
              <w:t>16.982</w:t>
            </w:r>
          </w:p>
        </w:tc>
        <w:tc>
          <w:tcPr>
            <w:tcW w:w="1377" w:type="dxa"/>
            <w:tcBorders>
              <w:bottom w:val="single" w:color="009EE0" w:sz="2" w:space="0"/>
            </w:tcBorders>
            <w:tcMar>
              <w:top w:w="22" w:type="dxa"/>
              <w:left w:w="28" w:type="dxa"/>
              <w:bottom w:w="22" w:type="dxa"/>
              <w:right w:w="28" w:type="dxa"/>
            </w:tcMar>
          </w:tcPr>
          <w:p w:rsidR="006B6965" w:rsidRDefault="003A166B" w14:paraId="0010C94A" w14:textId="77777777">
            <w:pPr>
              <w:pStyle w:val="p-table"/>
              <w:jc w:val="right"/>
              <w:rPr>
                <w:sz w:val="17"/>
              </w:rPr>
            </w:pPr>
            <w:r>
              <w:rPr>
                <w:sz w:val="17"/>
              </w:rPr>
              <w:t>235</w:t>
            </w:r>
          </w:p>
        </w:tc>
        <w:tc>
          <w:tcPr>
            <w:tcW w:w="1377" w:type="dxa"/>
            <w:tcBorders>
              <w:bottom w:val="single" w:color="009EE0" w:sz="2" w:space="0"/>
            </w:tcBorders>
            <w:tcMar>
              <w:top w:w="22" w:type="dxa"/>
              <w:left w:w="28" w:type="dxa"/>
              <w:bottom w:w="22" w:type="dxa"/>
              <w:right w:w="28" w:type="dxa"/>
            </w:tcMar>
          </w:tcPr>
          <w:p w:rsidR="006B6965" w:rsidRDefault="003A166B" w14:paraId="1F06C52C" w14:textId="77777777">
            <w:pPr>
              <w:pStyle w:val="p-table"/>
              <w:jc w:val="right"/>
              <w:rPr>
                <w:sz w:val="17"/>
              </w:rPr>
            </w:pPr>
            <w:r>
              <w:rPr>
                <w:sz w:val="17"/>
              </w:rPr>
              <w:t>17.217</w:t>
            </w:r>
          </w:p>
        </w:tc>
      </w:tr>
      <w:tr w:rsidR="006B6965" w14:paraId="01DC476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580149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DA3B549" w14:textId="77777777">
            <w:pPr>
              <w:pStyle w:val="p-table"/>
              <w:rPr>
                <w:sz w:val="17"/>
              </w:rPr>
            </w:pPr>
            <w:r>
              <w:rPr>
                <w:sz w:val="17"/>
              </w:rPr>
              <w:t>Bijdrage aan agentschap KNMI</w:t>
            </w:r>
          </w:p>
        </w:tc>
        <w:tc>
          <w:tcPr>
            <w:tcW w:w="1377" w:type="dxa"/>
            <w:tcBorders>
              <w:bottom w:val="single" w:color="009EE0" w:sz="2" w:space="0"/>
            </w:tcBorders>
            <w:tcMar>
              <w:top w:w="22" w:type="dxa"/>
              <w:left w:w="28" w:type="dxa"/>
              <w:bottom w:w="22" w:type="dxa"/>
              <w:right w:w="28" w:type="dxa"/>
            </w:tcMar>
          </w:tcPr>
          <w:p w:rsidR="006B6965" w:rsidRDefault="003A166B" w14:paraId="4C6E7AB9" w14:textId="77777777">
            <w:pPr>
              <w:pStyle w:val="p-table"/>
              <w:jc w:val="right"/>
              <w:rPr>
                <w:sz w:val="17"/>
              </w:rPr>
            </w:pPr>
            <w:r>
              <w:rPr>
                <w:sz w:val="17"/>
              </w:rPr>
              <w:t>873</w:t>
            </w:r>
          </w:p>
        </w:tc>
        <w:tc>
          <w:tcPr>
            <w:tcW w:w="1377" w:type="dxa"/>
            <w:tcBorders>
              <w:bottom w:val="single" w:color="009EE0" w:sz="2" w:space="0"/>
            </w:tcBorders>
            <w:tcMar>
              <w:top w:w="22" w:type="dxa"/>
              <w:left w:w="28" w:type="dxa"/>
              <w:bottom w:w="22" w:type="dxa"/>
              <w:right w:w="28" w:type="dxa"/>
            </w:tcMar>
          </w:tcPr>
          <w:p w:rsidR="006B6965" w:rsidRDefault="003A166B" w14:paraId="4566F6CE" w14:textId="77777777">
            <w:pPr>
              <w:pStyle w:val="p-table"/>
              <w:jc w:val="right"/>
              <w:rPr>
                <w:sz w:val="17"/>
              </w:rPr>
            </w:pPr>
            <w:r>
              <w:rPr>
                <w:sz w:val="17"/>
              </w:rPr>
              <w:t>41</w:t>
            </w:r>
          </w:p>
        </w:tc>
        <w:tc>
          <w:tcPr>
            <w:tcW w:w="1377" w:type="dxa"/>
            <w:tcBorders>
              <w:bottom w:val="single" w:color="009EE0" w:sz="2" w:space="0"/>
            </w:tcBorders>
            <w:tcMar>
              <w:top w:w="22" w:type="dxa"/>
              <w:left w:w="28" w:type="dxa"/>
              <w:bottom w:w="22" w:type="dxa"/>
              <w:right w:w="28" w:type="dxa"/>
            </w:tcMar>
          </w:tcPr>
          <w:p w:rsidR="006B6965" w:rsidRDefault="003A166B" w14:paraId="1A171062" w14:textId="77777777">
            <w:pPr>
              <w:pStyle w:val="p-table"/>
              <w:jc w:val="right"/>
              <w:rPr>
                <w:sz w:val="17"/>
              </w:rPr>
            </w:pPr>
            <w:r>
              <w:rPr>
                <w:sz w:val="17"/>
              </w:rPr>
              <w:t>914</w:t>
            </w:r>
          </w:p>
        </w:tc>
      </w:tr>
      <w:tr w:rsidR="006B6965" w14:paraId="0005ED4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AAB54E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9E483F4"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6EA6D904" w14:textId="77777777">
            <w:pPr>
              <w:pStyle w:val="p-table"/>
              <w:jc w:val="right"/>
              <w:rPr>
                <w:sz w:val="17"/>
              </w:rPr>
            </w:pPr>
            <w:r>
              <w:rPr>
                <w:i/>
                <w:sz w:val="17"/>
              </w:rPr>
              <w:t>4.432</w:t>
            </w:r>
          </w:p>
        </w:tc>
        <w:tc>
          <w:tcPr>
            <w:tcW w:w="1377" w:type="dxa"/>
            <w:tcBorders>
              <w:bottom w:val="single" w:color="009EE0" w:sz="2" w:space="0"/>
            </w:tcBorders>
            <w:tcMar>
              <w:top w:w="22" w:type="dxa"/>
              <w:left w:w="28" w:type="dxa"/>
              <w:bottom w:w="22" w:type="dxa"/>
              <w:right w:w="28" w:type="dxa"/>
            </w:tcMar>
          </w:tcPr>
          <w:p w:rsidR="006B6965" w:rsidRDefault="003A166B" w14:paraId="11E06332" w14:textId="77777777">
            <w:pPr>
              <w:pStyle w:val="p-table"/>
              <w:jc w:val="right"/>
              <w:rPr>
                <w:sz w:val="17"/>
              </w:rPr>
            </w:pPr>
            <w:r>
              <w:rPr>
                <w:i/>
                <w:sz w:val="17"/>
              </w:rPr>
              <w:t>293</w:t>
            </w:r>
          </w:p>
        </w:tc>
        <w:tc>
          <w:tcPr>
            <w:tcW w:w="1377" w:type="dxa"/>
            <w:tcBorders>
              <w:bottom w:val="single" w:color="009EE0" w:sz="2" w:space="0"/>
            </w:tcBorders>
            <w:tcMar>
              <w:top w:w="22" w:type="dxa"/>
              <w:left w:w="28" w:type="dxa"/>
              <w:bottom w:w="22" w:type="dxa"/>
              <w:right w:w="28" w:type="dxa"/>
            </w:tcMar>
          </w:tcPr>
          <w:p w:rsidR="006B6965" w:rsidRDefault="003A166B" w14:paraId="684A28A3" w14:textId="77777777">
            <w:pPr>
              <w:pStyle w:val="p-table"/>
              <w:jc w:val="right"/>
              <w:rPr>
                <w:sz w:val="17"/>
              </w:rPr>
            </w:pPr>
            <w:r>
              <w:rPr>
                <w:i/>
                <w:sz w:val="17"/>
              </w:rPr>
              <w:t>4.725</w:t>
            </w:r>
          </w:p>
        </w:tc>
      </w:tr>
      <w:tr w:rsidR="006B6965" w14:paraId="3448CE7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E6B89A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E8C26CD" w14:textId="77777777">
            <w:pPr>
              <w:pStyle w:val="p-table"/>
              <w:rPr>
                <w:sz w:val="17"/>
              </w:rPr>
            </w:pPr>
            <w:r>
              <w:rPr>
                <w:sz w:val="17"/>
              </w:rPr>
              <w:t xml:space="preserve">NGF </w:t>
            </w:r>
            <w:r>
              <w:rPr>
                <w:sz w:val="17"/>
              </w:rPr>
              <w:t>NL2120</w:t>
            </w:r>
          </w:p>
        </w:tc>
        <w:tc>
          <w:tcPr>
            <w:tcW w:w="1377" w:type="dxa"/>
            <w:tcBorders>
              <w:bottom w:val="single" w:color="009EE0" w:sz="2" w:space="0"/>
            </w:tcBorders>
            <w:tcMar>
              <w:top w:w="22" w:type="dxa"/>
              <w:left w:w="28" w:type="dxa"/>
              <w:bottom w:w="22" w:type="dxa"/>
              <w:right w:w="28" w:type="dxa"/>
            </w:tcMar>
          </w:tcPr>
          <w:p w:rsidR="006B6965" w:rsidRDefault="003A166B" w14:paraId="61B98686" w14:textId="77777777">
            <w:pPr>
              <w:pStyle w:val="p-table"/>
              <w:jc w:val="right"/>
              <w:rPr>
                <w:sz w:val="17"/>
              </w:rPr>
            </w:pPr>
            <w:r>
              <w:rPr>
                <w:sz w:val="17"/>
              </w:rPr>
              <w:t>4.394</w:t>
            </w:r>
          </w:p>
        </w:tc>
        <w:tc>
          <w:tcPr>
            <w:tcW w:w="1377" w:type="dxa"/>
            <w:tcBorders>
              <w:bottom w:val="single" w:color="009EE0" w:sz="2" w:space="0"/>
            </w:tcBorders>
            <w:tcMar>
              <w:top w:w="22" w:type="dxa"/>
              <w:left w:w="28" w:type="dxa"/>
              <w:bottom w:w="22" w:type="dxa"/>
              <w:right w:w="28" w:type="dxa"/>
            </w:tcMar>
          </w:tcPr>
          <w:p w:rsidR="006B6965" w:rsidRDefault="003A166B" w14:paraId="256AACDB" w14:textId="77777777">
            <w:pPr>
              <w:pStyle w:val="p-table"/>
              <w:jc w:val="right"/>
              <w:rPr>
                <w:sz w:val="17"/>
              </w:rPr>
            </w:pPr>
            <w:r>
              <w:rPr>
                <w:sz w:val="17"/>
              </w:rPr>
              <w:t>293</w:t>
            </w:r>
          </w:p>
        </w:tc>
        <w:tc>
          <w:tcPr>
            <w:tcW w:w="1377" w:type="dxa"/>
            <w:tcBorders>
              <w:bottom w:val="single" w:color="009EE0" w:sz="2" w:space="0"/>
            </w:tcBorders>
            <w:tcMar>
              <w:top w:w="22" w:type="dxa"/>
              <w:left w:w="28" w:type="dxa"/>
              <w:bottom w:w="22" w:type="dxa"/>
              <w:right w:w="28" w:type="dxa"/>
            </w:tcMar>
          </w:tcPr>
          <w:p w:rsidR="006B6965" w:rsidRDefault="003A166B" w14:paraId="08760FCD" w14:textId="77777777">
            <w:pPr>
              <w:pStyle w:val="p-table"/>
              <w:jc w:val="right"/>
              <w:rPr>
                <w:sz w:val="17"/>
              </w:rPr>
            </w:pPr>
            <w:r>
              <w:rPr>
                <w:sz w:val="17"/>
              </w:rPr>
              <w:t>4.687</w:t>
            </w:r>
          </w:p>
        </w:tc>
      </w:tr>
      <w:tr w:rsidR="006B6965" w14:paraId="3039582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8257E6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16F00BA"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1A7B81BE" w14:textId="77777777">
            <w:pPr>
              <w:pStyle w:val="p-table"/>
              <w:jc w:val="right"/>
              <w:rPr>
                <w:sz w:val="17"/>
              </w:rPr>
            </w:pPr>
            <w:r>
              <w:rPr>
                <w:sz w:val="17"/>
              </w:rPr>
              <w:t>38</w:t>
            </w:r>
          </w:p>
        </w:tc>
        <w:tc>
          <w:tcPr>
            <w:tcW w:w="1377" w:type="dxa"/>
            <w:tcBorders>
              <w:bottom w:val="single" w:color="009EE0" w:sz="2" w:space="0"/>
            </w:tcBorders>
            <w:tcMar>
              <w:top w:w="22" w:type="dxa"/>
              <w:left w:w="28" w:type="dxa"/>
              <w:bottom w:w="22" w:type="dxa"/>
              <w:right w:w="28" w:type="dxa"/>
            </w:tcMar>
          </w:tcPr>
          <w:p w:rsidR="006B6965" w:rsidRDefault="003A166B" w14:paraId="0F2D02E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CD55C0E" w14:textId="77777777">
            <w:pPr>
              <w:pStyle w:val="p-table"/>
              <w:jc w:val="right"/>
              <w:rPr>
                <w:sz w:val="17"/>
              </w:rPr>
            </w:pPr>
            <w:r>
              <w:rPr>
                <w:sz w:val="17"/>
              </w:rPr>
              <w:t>38</w:t>
            </w:r>
          </w:p>
        </w:tc>
      </w:tr>
      <w:tr w:rsidR="006B6965" w14:paraId="4D0C10D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2F7578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5E50ECA"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3F7518D3"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A462E66" w14:textId="77777777">
            <w:pPr>
              <w:pStyle w:val="p-table"/>
              <w:jc w:val="right"/>
              <w:rPr>
                <w:sz w:val="17"/>
              </w:rPr>
            </w:pPr>
            <w:r>
              <w:rPr>
                <w:i/>
                <w:sz w:val="17"/>
              </w:rPr>
              <w:t>400</w:t>
            </w:r>
          </w:p>
        </w:tc>
        <w:tc>
          <w:tcPr>
            <w:tcW w:w="1377" w:type="dxa"/>
            <w:tcBorders>
              <w:bottom w:val="single" w:color="009EE0" w:sz="2" w:space="0"/>
            </w:tcBorders>
            <w:tcMar>
              <w:top w:w="22" w:type="dxa"/>
              <w:left w:w="28" w:type="dxa"/>
              <w:bottom w:w="22" w:type="dxa"/>
              <w:right w:w="28" w:type="dxa"/>
            </w:tcMar>
          </w:tcPr>
          <w:p w:rsidR="006B6965" w:rsidRDefault="003A166B" w14:paraId="416EA711" w14:textId="77777777">
            <w:pPr>
              <w:pStyle w:val="p-table"/>
              <w:jc w:val="right"/>
              <w:rPr>
                <w:sz w:val="17"/>
              </w:rPr>
            </w:pPr>
            <w:r>
              <w:rPr>
                <w:i/>
                <w:sz w:val="17"/>
              </w:rPr>
              <w:t>400</w:t>
            </w:r>
          </w:p>
        </w:tc>
      </w:tr>
      <w:tr w:rsidR="006B6965" w14:paraId="10C1513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2EFD86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64D093C"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7468104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7452039" w14:textId="77777777">
            <w:pPr>
              <w:pStyle w:val="p-table"/>
              <w:jc w:val="right"/>
              <w:rPr>
                <w:sz w:val="17"/>
              </w:rPr>
            </w:pPr>
            <w:r>
              <w:rPr>
                <w:sz w:val="17"/>
              </w:rPr>
              <w:t>400</w:t>
            </w:r>
          </w:p>
        </w:tc>
        <w:tc>
          <w:tcPr>
            <w:tcW w:w="1377" w:type="dxa"/>
            <w:tcBorders>
              <w:bottom w:val="single" w:color="009EE0" w:sz="2" w:space="0"/>
            </w:tcBorders>
            <w:tcMar>
              <w:top w:w="22" w:type="dxa"/>
              <w:left w:w="28" w:type="dxa"/>
              <w:bottom w:w="22" w:type="dxa"/>
              <w:right w:w="28" w:type="dxa"/>
            </w:tcMar>
          </w:tcPr>
          <w:p w:rsidR="006B6965" w:rsidRDefault="003A166B" w14:paraId="11F21FF9" w14:textId="77777777">
            <w:pPr>
              <w:pStyle w:val="p-table"/>
              <w:jc w:val="right"/>
              <w:rPr>
                <w:sz w:val="17"/>
              </w:rPr>
            </w:pPr>
            <w:r>
              <w:rPr>
                <w:sz w:val="17"/>
              </w:rPr>
              <w:t>400</w:t>
            </w:r>
          </w:p>
        </w:tc>
      </w:tr>
      <w:tr w:rsidR="006B6965" w14:paraId="049AFAC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354DEC7" w14:textId="77777777">
            <w:pPr>
              <w:pStyle w:val="p-table"/>
              <w:rPr>
                <w:sz w:val="17"/>
              </w:rPr>
            </w:pPr>
            <w:r>
              <w:rPr>
                <w:b/>
                <w:sz w:val="17"/>
              </w:rPr>
              <w:t>11.2</w:t>
            </w:r>
          </w:p>
        </w:tc>
        <w:tc>
          <w:tcPr>
            <w:tcW w:w="4590" w:type="dxa"/>
            <w:tcBorders>
              <w:bottom w:val="single" w:color="009EE0" w:sz="2" w:space="0"/>
            </w:tcBorders>
            <w:tcMar>
              <w:top w:w="22" w:type="dxa"/>
              <w:left w:w="28" w:type="dxa"/>
              <w:bottom w:w="22" w:type="dxa"/>
              <w:right w:w="28" w:type="dxa"/>
            </w:tcMar>
          </w:tcPr>
          <w:p w:rsidR="006B6965" w:rsidRDefault="003A166B" w14:paraId="49F35C8C" w14:textId="77777777">
            <w:pPr>
              <w:pStyle w:val="p-table"/>
              <w:rPr>
                <w:sz w:val="17"/>
              </w:rPr>
            </w:pPr>
            <w:r>
              <w:rPr>
                <w:b/>
                <w:sz w:val="17"/>
              </w:rPr>
              <w:t>Waterveiligheid</w:t>
            </w:r>
          </w:p>
        </w:tc>
        <w:tc>
          <w:tcPr>
            <w:tcW w:w="1377" w:type="dxa"/>
            <w:tcBorders>
              <w:bottom w:val="single" w:color="009EE0" w:sz="2" w:space="0"/>
            </w:tcBorders>
            <w:tcMar>
              <w:top w:w="22" w:type="dxa"/>
              <w:left w:w="28" w:type="dxa"/>
              <w:bottom w:w="22" w:type="dxa"/>
              <w:right w:w="28" w:type="dxa"/>
            </w:tcMar>
          </w:tcPr>
          <w:p w:rsidR="006B6965" w:rsidRDefault="003A166B" w14:paraId="1832420D" w14:textId="77777777">
            <w:pPr>
              <w:pStyle w:val="p-table"/>
              <w:jc w:val="right"/>
              <w:rPr>
                <w:sz w:val="17"/>
              </w:rPr>
            </w:pPr>
            <w:r>
              <w:rPr>
                <w:b/>
                <w:sz w:val="17"/>
              </w:rPr>
              <w:t>1.683</w:t>
            </w:r>
          </w:p>
        </w:tc>
        <w:tc>
          <w:tcPr>
            <w:tcW w:w="1377" w:type="dxa"/>
            <w:tcBorders>
              <w:bottom w:val="single" w:color="009EE0" w:sz="2" w:space="0"/>
            </w:tcBorders>
            <w:tcMar>
              <w:top w:w="22" w:type="dxa"/>
              <w:left w:w="28" w:type="dxa"/>
              <w:bottom w:w="22" w:type="dxa"/>
              <w:right w:w="28" w:type="dxa"/>
            </w:tcMar>
          </w:tcPr>
          <w:p w:rsidR="006B6965" w:rsidRDefault="003A166B" w14:paraId="5B1CA25F" w14:textId="77777777">
            <w:pPr>
              <w:pStyle w:val="p-table"/>
              <w:jc w:val="right"/>
              <w:rPr>
                <w:sz w:val="17"/>
              </w:rPr>
            </w:pPr>
            <w:r>
              <w:rPr>
                <w:b/>
                <w:sz w:val="17"/>
              </w:rPr>
              <w:t>‒</w:t>
            </w:r>
            <w:r>
              <w:rPr>
                <w:b/>
                <w:sz w:val="17"/>
              </w:rPr>
              <w:t xml:space="preserve"> 45</w:t>
            </w:r>
          </w:p>
        </w:tc>
        <w:tc>
          <w:tcPr>
            <w:tcW w:w="1377" w:type="dxa"/>
            <w:tcBorders>
              <w:bottom w:val="single" w:color="009EE0" w:sz="2" w:space="0"/>
            </w:tcBorders>
            <w:tcMar>
              <w:top w:w="22" w:type="dxa"/>
              <w:left w:w="28" w:type="dxa"/>
              <w:bottom w:w="22" w:type="dxa"/>
              <w:right w:w="28" w:type="dxa"/>
            </w:tcMar>
          </w:tcPr>
          <w:p w:rsidR="006B6965" w:rsidRDefault="003A166B" w14:paraId="748DF272" w14:textId="77777777">
            <w:pPr>
              <w:pStyle w:val="p-table"/>
              <w:jc w:val="right"/>
              <w:rPr>
                <w:sz w:val="17"/>
              </w:rPr>
            </w:pPr>
            <w:r>
              <w:rPr>
                <w:b/>
                <w:sz w:val="17"/>
              </w:rPr>
              <w:t>1.638</w:t>
            </w:r>
          </w:p>
        </w:tc>
      </w:tr>
      <w:tr w:rsidR="006B6965" w14:paraId="14441A7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8924AA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F45C2C7"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224E204A" w14:textId="77777777">
            <w:pPr>
              <w:pStyle w:val="p-table"/>
              <w:jc w:val="right"/>
              <w:rPr>
                <w:sz w:val="17"/>
              </w:rPr>
            </w:pPr>
            <w:r>
              <w:rPr>
                <w:i/>
                <w:sz w:val="17"/>
              </w:rPr>
              <w:t>1.683</w:t>
            </w:r>
          </w:p>
        </w:tc>
        <w:tc>
          <w:tcPr>
            <w:tcW w:w="1377" w:type="dxa"/>
            <w:tcBorders>
              <w:bottom w:val="single" w:color="009EE0" w:sz="2" w:space="0"/>
            </w:tcBorders>
            <w:tcMar>
              <w:top w:w="22" w:type="dxa"/>
              <w:left w:w="28" w:type="dxa"/>
              <w:bottom w:w="22" w:type="dxa"/>
              <w:right w:w="28" w:type="dxa"/>
            </w:tcMar>
          </w:tcPr>
          <w:p w:rsidR="006B6965" w:rsidRDefault="003A166B" w14:paraId="2A39821D" w14:textId="77777777">
            <w:pPr>
              <w:pStyle w:val="p-table"/>
              <w:jc w:val="right"/>
              <w:rPr>
                <w:sz w:val="17"/>
              </w:rPr>
            </w:pPr>
            <w:r>
              <w:rPr>
                <w:i/>
                <w:sz w:val="17"/>
              </w:rPr>
              <w:t>‒</w:t>
            </w:r>
            <w:r>
              <w:rPr>
                <w:i/>
                <w:sz w:val="17"/>
              </w:rPr>
              <w:t xml:space="preserve"> 45</w:t>
            </w:r>
          </w:p>
        </w:tc>
        <w:tc>
          <w:tcPr>
            <w:tcW w:w="1377" w:type="dxa"/>
            <w:tcBorders>
              <w:bottom w:val="single" w:color="009EE0" w:sz="2" w:space="0"/>
            </w:tcBorders>
            <w:tcMar>
              <w:top w:w="22" w:type="dxa"/>
              <w:left w:w="28" w:type="dxa"/>
              <w:bottom w:w="22" w:type="dxa"/>
              <w:right w:w="28" w:type="dxa"/>
            </w:tcMar>
          </w:tcPr>
          <w:p w:rsidR="006B6965" w:rsidRDefault="003A166B" w14:paraId="7B415418" w14:textId="77777777">
            <w:pPr>
              <w:pStyle w:val="p-table"/>
              <w:jc w:val="right"/>
              <w:rPr>
                <w:sz w:val="17"/>
              </w:rPr>
            </w:pPr>
            <w:r>
              <w:rPr>
                <w:i/>
                <w:sz w:val="17"/>
              </w:rPr>
              <w:t>1.638</w:t>
            </w:r>
          </w:p>
        </w:tc>
      </w:tr>
      <w:tr w:rsidR="006B6965" w14:paraId="4B27D47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3B77FD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1AF9786" w14:textId="77777777">
            <w:pPr>
              <w:pStyle w:val="p-table"/>
              <w:rPr>
                <w:sz w:val="17"/>
              </w:rPr>
            </w:pPr>
            <w:r>
              <w:rPr>
                <w:sz w:val="17"/>
              </w:rPr>
              <w:t>Waterveiligheid</w:t>
            </w:r>
          </w:p>
        </w:tc>
        <w:tc>
          <w:tcPr>
            <w:tcW w:w="1377" w:type="dxa"/>
            <w:tcBorders>
              <w:bottom w:val="single" w:color="009EE0" w:sz="2" w:space="0"/>
            </w:tcBorders>
            <w:tcMar>
              <w:top w:w="22" w:type="dxa"/>
              <w:left w:w="28" w:type="dxa"/>
              <w:bottom w:w="22" w:type="dxa"/>
              <w:right w:w="28" w:type="dxa"/>
            </w:tcMar>
          </w:tcPr>
          <w:p w:rsidR="006B6965" w:rsidRDefault="003A166B" w14:paraId="4854A94D" w14:textId="77777777">
            <w:pPr>
              <w:pStyle w:val="p-table"/>
              <w:jc w:val="right"/>
              <w:rPr>
                <w:sz w:val="17"/>
              </w:rPr>
            </w:pPr>
            <w:r>
              <w:rPr>
                <w:sz w:val="17"/>
              </w:rPr>
              <w:t>1.583</w:t>
            </w:r>
          </w:p>
        </w:tc>
        <w:tc>
          <w:tcPr>
            <w:tcW w:w="1377" w:type="dxa"/>
            <w:tcBorders>
              <w:bottom w:val="single" w:color="009EE0" w:sz="2" w:space="0"/>
            </w:tcBorders>
            <w:tcMar>
              <w:top w:w="22" w:type="dxa"/>
              <w:left w:w="28" w:type="dxa"/>
              <w:bottom w:w="22" w:type="dxa"/>
              <w:right w:w="28" w:type="dxa"/>
            </w:tcMar>
          </w:tcPr>
          <w:p w:rsidR="006B6965" w:rsidRDefault="003A166B" w14:paraId="72EFBC99" w14:textId="77777777">
            <w:pPr>
              <w:pStyle w:val="p-table"/>
              <w:jc w:val="right"/>
              <w:rPr>
                <w:sz w:val="17"/>
              </w:rPr>
            </w:pPr>
            <w:r>
              <w:rPr>
                <w:sz w:val="17"/>
              </w:rPr>
              <w:t>‒</w:t>
            </w:r>
            <w:r>
              <w:rPr>
                <w:sz w:val="17"/>
              </w:rPr>
              <w:t xml:space="preserve"> 35</w:t>
            </w:r>
          </w:p>
        </w:tc>
        <w:tc>
          <w:tcPr>
            <w:tcW w:w="1377" w:type="dxa"/>
            <w:tcBorders>
              <w:bottom w:val="single" w:color="009EE0" w:sz="2" w:space="0"/>
            </w:tcBorders>
            <w:tcMar>
              <w:top w:w="22" w:type="dxa"/>
              <w:left w:w="28" w:type="dxa"/>
              <w:bottom w:w="22" w:type="dxa"/>
              <w:right w:w="28" w:type="dxa"/>
            </w:tcMar>
          </w:tcPr>
          <w:p w:rsidR="006B6965" w:rsidRDefault="003A166B" w14:paraId="72233151" w14:textId="77777777">
            <w:pPr>
              <w:pStyle w:val="p-table"/>
              <w:jc w:val="right"/>
              <w:rPr>
                <w:sz w:val="17"/>
              </w:rPr>
            </w:pPr>
            <w:r>
              <w:rPr>
                <w:sz w:val="17"/>
              </w:rPr>
              <w:t>1.548</w:t>
            </w:r>
          </w:p>
        </w:tc>
      </w:tr>
      <w:tr w:rsidR="006B6965" w14:paraId="47CD60C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20E52D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A8DB145"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78D65464" w14:textId="77777777">
            <w:pPr>
              <w:pStyle w:val="p-table"/>
              <w:jc w:val="right"/>
              <w:rPr>
                <w:sz w:val="17"/>
              </w:rPr>
            </w:pPr>
            <w:r>
              <w:rPr>
                <w:sz w:val="17"/>
              </w:rPr>
              <w:t>100</w:t>
            </w:r>
          </w:p>
        </w:tc>
        <w:tc>
          <w:tcPr>
            <w:tcW w:w="1377" w:type="dxa"/>
            <w:tcBorders>
              <w:bottom w:val="single" w:color="009EE0" w:sz="2" w:space="0"/>
            </w:tcBorders>
            <w:tcMar>
              <w:top w:w="22" w:type="dxa"/>
              <w:left w:w="28" w:type="dxa"/>
              <w:bottom w:w="22" w:type="dxa"/>
              <w:right w:w="28" w:type="dxa"/>
            </w:tcMar>
          </w:tcPr>
          <w:p w:rsidR="006B6965" w:rsidRDefault="003A166B" w14:paraId="51708699" w14:textId="77777777">
            <w:pPr>
              <w:pStyle w:val="p-table"/>
              <w:jc w:val="right"/>
              <w:rPr>
                <w:sz w:val="17"/>
              </w:rPr>
            </w:pPr>
            <w:r>
              <w:rPr>
                <w:sz w:val="17"/>
              </w:rPr>
              <w:t>‒</w:t>
            </w:r>
            <w:r>
              <w:rPr>
                <w:sz w:val="17"/>
              </w:rPr>
              <w:t xml:space="preserve"> 10</w:t>
            </w:r>
          </w:p>
        </w:tc>
        <w:tc>
          <w:tcPr>
            <w:tcW w:w="1377" w:type="dxa"/>
            <w:tcBorders>
              <w:bottom w:val="single" w:color="009EE0" w:sz="2" w:space="0"/>
            </w:tcBorders>
            <w:tcMar>
              <w:top w:w="22" w:type="dxa"/>
              <w:left w:w="28" w:type="dxa"/>
              <w:bottom w:w="22" w:type="dxa"/>
              <w:right w:w="28" w:type="dxa"/>
            </w:tcMar>
          </w:tcPr>
          <w:p w:rsidR="006B6965" w:rsidRDefault="003A166B" w14:paraId="64E8889A" w14:textId="77777777">
            <w:pPr>
              <w:pStyle w:val="p-table"/>
              <w:jc w:val="right"/>
              <w:rPr>
                <w:sz w:val="17"/>
              </w:rPr>
            </w:pPr>
            <w:r>
              <w:rPr>
                <w:sz w:val="17"/>
              </w:rPr>
              <w:t>90</w:t>
            </w:r>
          </w:p>
        </w:tc>
      </w:tr>
      <w:tr w:rsidR="006B6965" w14:paraId="6EEB0F9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2D075EAF" w14:textId="77777777">
            <w:pPr>
              <w:pStyle w:val="p-table"/>
              <w:rPr>
                <w:sz w:val="17"/>
              </w:rPr>
            </w:pPr>
            <w:r>
              <w:rPr>
                <w:b/>
                <w:sz w:val="17"/>
              </w:rPr>
              <w:t>11.3</w:t>
            </w:r>
          </w:p>
        </w:tc>
        <w:tc>
          <w:tcPr>
            <w:tcW w:w="4590" w:type="dxa"/>
            <w:tcBorders>
              <w:bottom w:val="single" w:color="009EE0" w:sz="2" w:space="0"/>
            </w:tcBorders>
            <w:tcMar>
              <w:top w:w="22" w:type="dxa"/>
              <w:left w:w="28" w:type="dxa"/>
              <w:bottom w:w="22" w:type="dxa"/>
              <w:right w:w="28" w:type="dxa"/>
            </w:tcMar>
          </w:tcPr>
          <w:p w:rsidR="006B6965" w:rsidRDefault="003A166B" w14:paraId="0EC81A9F" w14:textId="77777777">
            <w:pPr>
              <w:pStyle w:val="p-table"/>
              <w:rPr>
                <w:sz w:val="17"/>
              </w:rPr>
            </w:pPr>
            <w:r>
              <w:rPr>
                <w:b/>
                <w:sz w:val="17"/>
              </w:rPr>
              <w:t>Grote oppervlaktewateren</w:t>
            </w:r>
          </w:p>
        </w:tc>
        <w:tc>
          <w:tcPr>
            <w:tcW w:w="1377" w:type="dxa"/>
            <w:tcBorders>
              <w:bottom w:val="single" w:color="009EE0" w:sz="2" w:space="0"/>
            </w:tcBorders>
            <w:tcMar>
              <w:top w:w="22" w:type="dxa"/>
              <w:left w:w="28" w:type="dxa"/>
              <w:bottom w:w="22" w:type="dxa"/>
              <w:right w:w="28" w:type="dxa"/>
            </w:tcMar>
          </w:tcPr>
          <w:p w:rsidR="006B6965" w:rsidRDefault="003A166B" w14:paraId="2DB1FE56" w14:textId="77777777">
            <w:pPr>
              <w:pStyle w:val="p-table"/>
              <w:jc w:val="right"/>
              <w:rPr>
                <w:sz w:val="17"/>
              </w:rPr>
            </w:pPr>
            <w:r>
              <w:rPr>
                <w:b/>
                <w:sz w:val="17"/>
              </w:rPr>
              <w:t>1.135</w:t>
            </w:r>
          </w:p>
        </w:tc>
        <w:tc>
          <w:tcPr>
            <w:tcW w:w="1377" w:type="dxa"/>
            <w:tcBorders>
              <w:bottom w:val="single" w:color="009EE0" w:sz="2" w:space="0"/>
            </w:tcBorders>
            <w:tcMar>
              <w:top w:w="22" w:type="dxa"/>
              <w:left w:w="28" w:type="dxa"/>
              <w:bottom w:w="22" w:type="dxa"/>
              <w:right w:w="28" w:type="dxa"/>
            </w:tcMar>
          </w:tcPr>
          <w:p w:rsidR="006B6965" w:rsidRDefault="003A166B" w14:paraId="2076E20A" w14:textId="77777777">
            <w:pPr>
              <w:pStyle w:val="p-table"/>
              <w:jc w:val="right"/>
              <w:rPr>
                <w:sz w:val="17"/>
              </w:rPr>
            </w:pPr>
            <w:r>
              <w:rPr>
                <w:b/>
                <w:sz w:val="17"/>
              </w:rPr>
              <w:t>93</w:t>
            </w:r>
          </w:p>
        </w:tc>
        <w:tc>
          <w:tcPr>
            <w:tcW w:w="1377" w:type="dxa"/>
            <w:tcBorders>
              <w:bottom w:val="single" w:color="009EE0" w:sz="2" w:space="0"/>
            </w:tcBorders>
            <w:tcMar>
              <w:top w:w="22" w:type="dxa"/>
              <w:left w:w="28" w:type="dxa"/>
              <w:bottom w:w="22" w:type="dxa"/>
              <w:right w:w="28" w:type="dxa"/>
            </w:tcMar>
          </w:tcPr>
          <w:p w:rsidR="006B6965" w:rsidRDefault="003A166B" w14:paraId="0BCA6756" w14:textId="77777777">
            <w:pPr>
              <w:pStyle w:val="p-table"/>
              <w:jc w:val="right"/>
              <w:rPr>
                <w:sz w:val="17"/>
              </w:rPr>
            </w:pPr>
            <w:r>
              <w:rPr>
                <w:b/>
                <w:sz w:val="17"/>
              </w:rPr>
              <w:t>1.228</w:t>
            </w:r>
          </w:p>
        </w:tc>
      </w:tr>
      <w:tr w:rsidR="006B6965" w14:paraId="4BF03AF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AC1899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DC84430"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06ECD995" w14:textId="77777777">
            <w:pPr>
              <w:pStyle w:val="p-table"/>
              <w:jc w:val="right"/>
              <w:rPr>
                <w:sz w:val="17"/>
              </w:rPr>
            </w:pPr>
            <w:r>
              <w:rPr>
                <w:i/>
                <w:sz w:val="17"/>
              </w:rPr>
              <w:t>1.135</w:t>
            </w:r>
          </w:p>
        </w:tc>
        <w:tc>
          <w:tcPr>
            <w:tcW w:w="1377" w:type="dxa"/>
            <w:tcBorders>
              <w:bottom w:val="single" w:color="009EE0" w:sz="2" w:space="0"/>
            </w:tcBorders>
            <w:tcMar>
              <w:top w:w="22" w:type="dxa"/>
              <w:left w:w="28" w:type="dxa"/>
              <w:bottom w:w="22" w:type="dxa"/>
              <w:right w:w="28" w:type="dxa"/>
            </w:tcMar>
          </w:tcPr>
          <w:p w:rsidR="006B6965" w:rsidRDefault="003A166B" w14:paraId="4763CB39" w14:textId="77777777">
            <w:pPr>
              <w:pStyle w:val="p-table"/>
              <w:jc w:val="right"/>
              <w:rPr>
                <w:sz w:val="17"/>
              </w:rPr>
            </w:pPr>
            <w:r>
              <w:rPr>
                <w:i/>
                <w:sz w:val="17"/>
              </w:rPr>
              <w:t>93</w:t>
            </w:r>
          </w:p>
        </w:tc>
        <w:tc>
          <w:tcPr>
            <w:tcW w:w="1377" w:type="dxa"/>
            <w:tcBorders>
              <w:bottom w:val="single" w:color="009EE0" w:sz="2" w:space="0"/>
            </w:tcBorders>
            <w:tcMar>
              <w:top w:w="22" w:type="dxa"/>
              <w:left w:w="28" w:type="dxa"/>
              <w:bottom w:w="22" w:type="dxa"/>
              <w:right w:w="28" w:type="dxa"/>
            </w:tcMar>
          </w:tcPr>
          <w:p w:rsidR="006B6965" w:rsidRDefault="003A166B" w14:paraId="5A7815FC" w14:textId="77777777">
            <w:pPr>
              <w:pStyle w:val="p-table"/>
              <w:jc w:val="right"/>
              <w:rPr>
                <w:sz w:val="17"/>
              </w:rPr>
            </w:pPr>
            <w:r>
              <w:rPr>
                <w:i/>
                <w:sz w:val="17"/>
              </w:rPr>
              <w:t>1.228</w:t>
            </w:r>
          </w:p>
        </w:tc>
      </w:tr>
      <w:tr w:rsidR="006B6965" w14:paraId="553DBC7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11F39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DBA98A1" w14:textId="77777777">
            <w:pPr>
              <w:pStyle w:val="p-table"/>
              <w:rPr>
                <w:sz w:val="17"/>
              </w:rPr>
            </w:pPr>
            <w:r>
              <w:rPr>
                <w:sz w:val="17"/>
              </w:rPr>
              <w:t xml:space="preserve">RWS </w:t>
            </w:r>
            <w:proofErr w:type="spellStart"/>
            <w:r>
              <w:rPr>
                <w:sz w:val="17"/>
              </w:rPr>
              <w:t>Zuid-Westelijke</w:t>
            </w:r>
            <w:proofErr w:type="spellEnd"/>
            <w:r>
              <w:rPr>
                <w:sz w:val="17"/>
              </w:rPr>
              <w:t xml:space="preserve"> Delta</w:t>
            </w:r>
          </w:p>
        </w:tc>
        <w:tc>
          <w:tcPr>
            <w:tcW w:w="1377" w:type="dxa"/>
            <w:tcBorders>
              <w:bottom w:val="single" w:color="009EE0" w:sz="2" w:space="0"/>
            </w:tcBorders>
            <w:tcMar>
              <w:top w:w="22" w:type="dxa"/>
              <w:left w:w="28" w:type="dxa"/>
              <w:bottom w:w="22" w:type="dxa"/>
              <w:right w:w="28" w:type="dxa"/>
            </w:tcMar>
          </w:tcPr>
          <w:p w:rsidR="006B6965" w:rsidRDefault="003A166B" w14:paraId="7A7E6234" w14:textId="77777777">
            <w:pPr>
              <w:pStyle w:val="p-table"/>
              <w:jc w:val="right"/>
              <w:rPr>
                <w:sz w:val="17"/>
              </w:rPr>
            </w:pPr>
            <w:r>
              <w:rPr>
                <w:sz w:val="17"/>
              </w:rPr>
              <w:t>762</w:t>
            </w:r>
          </w:p>
        </w:tc>
        <w:tc>
          <w:tcPr>
            <w:tcW w:w="1377" w:type="dxa"/>
            <w:tcBorders>
              <w:bottom w:val="single" w:color="009EE0" w:sz="2" w:space="0"/>
            </w:tcBorders>
            <w:tcMar>
              <w:top w:w="22" w:type="dxa"/>
              <w:left w:w="28" w:type="dxa"/>
              <w:bottom w:w="22" w:type="dxa"/>
              <w:right w:w="28" w:type="dxa"/>
            </w:tcMar>
          </w:tcPr>
          <w:p w:rsidR="006B6965" w:rsidRDefault="003A166B" w14:paraId="5D8A5FB2"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08624C7" w14:textId="77777777">
            <w:pPr>
              <w:pStyle w:val="p-table"/>
              <w:jc w:val="right"/>
              <w:rPr>
                <w:sz w:val="17"/>
              </w:rPr>
            </w:pPr>
            <w:r>
              <w:rPr>
                <w:sz w:val="17"/>
              </w:rPr>
              <w:t>762</w:t>
            </w:r>
          </w:p>
        </w:tc>
      </w:tr>
      <w:tr w:rsidR="006B6965" w14:paraId="05A7A40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C73D05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20D3CED"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10E73255" w14:textId="77777777">
            <w:pPr>
              <w:pStyle w:val="p-table"/>
              <w:jc w:val="right"/>
              <w:rPr>
                <w:sz w:val="17"/>
              </w:rPr>
            </w:pPr>
            <w:r>
              <w:rPr>
                <w:sz w:val="17"/>
              </w:rPr>
              <w:t>373</w:t>
            </w:r>
          </w:p>
        </w:tc>
        <w:tc>
          <w:tcPr>
            <w:tcW w:w="1377" w:type="dxa"/>
            <w:tcBorders>
              <w:bottom w:val="single" w:color="009EE0" w:sz="2" w:space="0"/>
            </w:tcBorders>
            <w:tcMar>
              <w:top w:w="22" w:type="dxa"/>
              <w:left w:w="28" w:type="dxa"/>
              <w:bottom w:w="22" w:type="dxa"/>
              <w:right w:w="28" w:type="dxa"/>
            </w:tcMar>
          </w:tcPr>
          <w:p w:rsidR="006B6965" w:rsidRDefault="003A166B" w14:paraId="10829F61" w14:textId="77777777">
            <w:pPr>
              <w:pStyle w:val="p-table"/>
              <w:jc w:val="right"/>
              <w:rPr>
                <w:sz w:val="17"/>
              </w:rPr>
            </w:pPr>
            <w:r>
              <w:rPr>
                <w:sz w:val="17"/>
              </w:rPr>
              <w:t>93</w:t>
            </w:r>
          </w:p>
        </w:tc>
        <w:tc>
          <w:tcPr>
            <w:tcW w:w="1377" w:type="dxa"/>
            <w:tcBorders>
              <w:bottom w:val="single" w:color="009EE0" w:sz="2" w:space="0"/>
            </w:tcBorders>
            <w:tcMar>
              <w:top w:w="22" w:type="dxa"/>
              <w:left w:w="28" w:type="dxa"/>
              <w:bottom w:w="22" w:type="dxa"/>
              <w:right w:w="28" w:type="dxa"/>
            </w:tcMar>
          </w:tcPr>
          <w:p w:rsidR="006B6965" w:rsidRDefault="003A166B" w14:paraId="7E28FE10" w14:textId="77777777">
            <w:pPr>
              <w:pStyle w:val="p-table"/>
              <w:jc w:val="right"/>
              <w:rPr>
                <w:sz w:val="17"/>
              </w:rPr>
            </w:pPr>
            <w:r>
              <w:rPr>
                <w:sz w:val="17"/>
              </w:rPr>
              <w:t>466</w:t>
            </w:r>
          </w:p>
        </w:tc>
      </w:tr>
      <w:tr w:rsidR="006B6965" w14:paraId="115DC41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0B4B54F7" w14:textId="77777777">
            <w:pPr>
              <w:pStyle w:val="p-table"/>
              <w:rPr>
                <w:sz w:val="17"/>
              </w:rPr>
            </w:pPr>
            <w:r>
              <w:rPr>
                <w:b/>
                <w:sz w:val="17"/>
              </w:rPr>
              <w:t>11.4</w:t>
            </w:r>
          </w:p>
        </w:tc>
        <w:tc>
          <w:tcPr>
            <w:tcW w:w="4590" w:type="dxa"/>
            <w:tcBorders>
              <w:bottom w:val="single" w:color="009EE0" w:sz="2" w:space="0"/>
            </w:tcBorders>
            <w:tcMar>
              <w:top w:w="22" w:type="dxa"/>
              <w:left w:w="28" w:type="dxa"/>
              <w:bottom w:w="22" w:type="dxa"/>
              <w:right w:w="28" w:type="dxa"/>
            </w:tcMar>
          </w:tcPr>
          <w:p w:rsidR="006B6965" w:rsidRDefault="003A166B" w14:paraId="64074DB6" w14:textId="77777777">
            <w:pPr>
              <w:pStyle w:val="p-table"/>
              <w:rPr>
                <w:sz w:val="17"/>
              </w:rPr>
            </w:pPr>
            <w:r>
              <w:rPr>
                <w:b/>
                <w:sz w:val="17"/>
              </w:rPr>
              <w:t>Waterkwaliteit</w:t>
            </w:r>
          </w:p>
        </w:tc>
        <w:tc>
          <w:tcPr>
            <w:tcW w:w="1377" w:type="dxa"/>
            <w:tcBorders>
              <w:bottom w:val="single" w:color="009EE0" w:sz="2" w:space="0"/>
            </w:tcBorders>
            <w:tcMar>
              <w:top w:w="22" w:type="dxa"/>
              <w:left w:w="28" w:type="dxa"/>
              <w:bottom w:w="22" w:type="dxa"/>
              <w:right w:w="28" w:type="dxa"/>
            </w:tcMar>
          </w:tcPr>
          <w:p w:rsidR="006B6965" w:rsidRDefault="003A166B" w14:paraId="073D31FC" w14:textId="77777777">
            <w:pPr>
              <w:pStyle w:val="p-table"/>
              <w:jc w:val="right"/>
              <w:rPr>
                <w:sz w:val="17"/>
              </w:rPr>
            </w:pPr>
            <w:r>
              <w:rPr>
                <w:b/>
                <w:sz w:val="17"/>
              </w:rPr>
              <w:t>27.942</w:t>
            </w:r>
          </w:p>
        </w:tc>
        <w:tc>
          <w:tcPr>
            <w:tcW w:w="1377" w:type="dxa"/>
            <w:tcBorders>
              <w:bottom w:val="single" w:color="009EE0" w:sz="2" w:space="0"/>
            </w:tcBorders>
            <w:tcMar>
              <w:top w:w="22" w:type="dxa"/>
              <w:left w:w="28" w:type="dxa"/>
              <w:bottom w:w="22" w:type="dxa"/>
              <w:right w:w="28" w:type="dxa"/>
            </w:tcMar>
          </w:tcPr>
          <w:p w:rsidR="006B6965" w:rsidRDefault="003A166B" w14:paraId="51B3557B" w14:textId="77777777">
            <w:pPr>
              <w:pStyle w:val="p-table"/>
              <w:jc w:val="right"/>
              <w:rPr>
                <w:sz w:val="17"/>
              </w:rPr>
            </w:pPr>
            <w:r>
              <w:rPr>
                <w:b/>
                <w:sz w:val="17"/>
              </w:rPr>
              <w:t>‒</w:t>
            </w:r>
            <w:r>
              <w:rPr>
                <w:b/>
                <w:sz w:val="17"/>
              </w:rPr>
              <w:t xml:space="preserve"> 8.550</w:t>
            </w:r>
          </w:p>
        </w:tc>
        <w:tc>
          <w:tcPr>
            <w:tcW w:w="1377" w:type="dxa"/>
            <w:tcBorders>
              <w:bottom w:val="single" w:color="009EE0" w:sz="2" w:space="0"/>
            </w:tcBorders>
            <w:tcMar>
              <w:top w:w="22" w:type="dxa"/>
              <w:left w:w="28" w:type="dxa"/>
              <w:bottom w:w="22" w:type="dxa"/>
              <w:right w:w="28" w:type="dxa"/>
            </w:tcMar>
          </w:tcPr>
          <w:p w:rsidR="006B6965" w:rsidRDefault="003A166B" w14:paraId="67E32DB7" w14:textId="77777777">
            <w:pPr>
              <w:pStyle w:val="p-table"/>
              <w:jc w:val="right"/>
              <w:rPr>
                <w:sz w:val="17"/>
              </w:rPr>
            </w:pPr>
            <w:r>
              <w:rPr>
                <w:b/>
                <w:sz w:val="17"/>
              </w:rPr>
              <w:t>19.392</w:t>
            </w:r>
          </w:p>
        </w:tc>
      </w:tr>
      <w:tr w:rsidR="006B6965" w14:paraId="1DD0C32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5393EF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0314693"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4D6D3BC2" w14:textId="77777777">
            <w:pPr>
              <w:pStyle w:val="p-table"/>
              <w:jc w:val="right"/>
              <w:rPr>
                <w:sz w:val="17"/>
              </w:rPr>
            </w:pPr>
            <w:r>
              <w:rPr>
                <w:i/>
                <w:sz w:val="17"/>
              </w:rPr>
              <w:t>5.442</w:t>
            </w:r>
          </w:p>
        </w:tc>
        <w:tc>
          <w:tcPr>
            <w:tcW w:w="1377" w:type="dxa"/>
            <w:tcBorders>
              <w:bottom w:val="single" w:color="009EE0" w:sz="2" w:space="0"/>
            </w:tcBorders>
            <w:tcMar>
              <w:top w:w="22" w:type="dxa"/>
              <w:left w:w="28" w:type="dxa"/>
              <w:bottom w:w="22" w:type="dxa"/>
              <w:right w:w="28" w:type="dxa"/>
            </w:tcMar>
          </w:tcPr>
          <w:p w:rsidR="006B6965" w:rsidRDefault="003A166B" w14:paraId="729A70D1" w14:textId="77777777">
            <w:pPr>
              <w:pStyle w:val="p-table"/>
              <w:jc w:val="right"/>
              <w:rPr>
                <w:sz w:val="17"/>
              </w:rPr>
            </w:pPr>
            <w:r>
              <w:rPr>
                <w:i/>
                <w:sz w:val="17"/>
              </w:rPr>
              <w:t>1.046</w:t>
            </w:r>
          </w:p>
        </w:tc>
        <w:tc>
          <w:tcPr>
            <w:tcW w:w="1377" w:type="dxa"/>
            <w:tcBorders>
              <w:bottom w:val="single" w:color="009EE0" w:sz="2" w:space="0"/>
            </w:tcBorders>
            <w:tcMar>
              <w:top w:w="22" w:type="dxa"/>
              <w:left w:w="28" w:type="dxa"/>
              <w:bottom w:w="22" w:type="dxa"/>
              <w:right w:w="28" w:type="dxa"/>
            </w:tcMar>
          </w:tcPr>
          <w:p w:rsidR="006B6965" w:rsidRDefault="003A166B" w14:paraId="29E6FEFC" w14:textId="77777777">
            <w:pPr>
              <w:pStyle w:val="p-table"/>
              <w:jc w:val="right"/>
              <w:rPr>
                <w:sz w:val="17"/>
              </w:rPr>
            </w:pPr>
            <w:r>
              <w:rPr>
                <w:i/>
                <w:sz w:val="17"/>
              </w:rPr>
              <w:t>6.488</w:t>
            </w:r>
          </w:p>
        </w:tc>
      </w:tr>
      <w:tr w:rsidR="006B6965" w14:paraId="1ADA3AB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CDC163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24E4F9E" w14:textId="77777777">
            <w:pPr>
              <w:pStyle w:val="p-table"/>
              <w:rPr>
                <w:sz w:val="17"/>
              </w:rPr>
            </w:pPr>
            <w:r>
              <w:rPr>
                <w:sz w:val="17"/>
              </w:rPr>
              <w:t>Noordzee en oceanen</w:t>
            </w:r>
          </w:p>
        </w:tc>
        <w:tc>
          <w:tcPr>
            <w:tcW w:w="1377" w:type="dxa"/>
            <w:tcBorders>
              <w:bottom w:val="single" w:color="009EE0" w:sz="2" w:space="0"/>
            </w:tcBorders>
            <w:tcMar>
              <w:top w:w="22" w:type="dxa"/>
              <w:left w:w="28" w:type="dxa"/>
              <w:bottom w:w="22" w:type="dxa"/>
              <w:right w:w="28" w:type="dxa"/>
            </w:tcMar>
          </w:tcPr>
          <w:p w:rsidR="006B6965" w:rsidRDefault="003A166B" w14:paraId="21514D6C" w14:textId="77777777">
            <w:pPr>
              <w:pStyle w:val="p-table"/>
              <w:jc w:val="right"/>
              <w:rPr>
                <w:sz w:val="17"/>
              </w:rPr>
            </w:pPr>
            <w:r>
              <w:rPr>
                <w:sz w:val="17"/>
              </w:rPr>
              <w:t>1.649</w:t>
            </w:r>
          </w:p>
        </w:tc>
        <w:tc>
          <w:tcPr>
            <w:tcW w:w="1377" w:type="dxa"/>
            <w:tcBorders>
              <w:bottom w:val="single" w:color="009EE0" w:sz="2" w:space="0"/>
            </w:tcBorders>
            <w:tcMar>
              <w:top w:w="22" w:type="dxa"/>
              <w:left w:w="28" w:type="dxa"/>
              <w:bottom w:w="22" w:type="dxa"/>
              <w:right w:w="28" w:type="dxa"/>
            </w:tcMar>
          </w:tcPr>
          <w:p w:rsidR="006B6965" w:rsidRDefault="003A166B" w14:paraId="4713E6B9" w14:textId="77777777">
            <w:pPr>
              <w:pStyle w:val="p-table"/>
              <w:jc w:val="right"/>
              <w:rPr>
                <w:sz w:val="17"/>
              </w:rPr>
            </w:pPr>
            <w:r>
              <w:rPr>
                <w:sz w:val="17"/>
              </w:rPr>
              <w:t>429</w:t>
            </w:r>
          </w:p>
        </w:tc>
        <w:tc>
          <w:tcPr>
            <w:tcW w:w="1377" w:type="dxa"/>
            <w:tcBorders>
              <w:bottom w:val="single" w:color="009EE0" w:sz="2" w:space="0"/>
            </w:tcBorders>
            <w:tcMar>
              <w:top w:w="22" w:type="dxa"/>
              <w:left w:w="28" w:type="dxa"/>
              <w:bottom w:w="22" w:type="dxa"/>
              <w:right w:w="28" w:type="dxa"/>
            </w:tcMar>
          </w:tcPr>
          <w:p w:rsidR="006B6965" w:rsidRDefault="003A166B" w14:paraId="618733C7" w14:textId="77777777">
            <w:pPr>
              <w:pStyle w:val="p-table"/>
              <w:jc w:val="right"/>
              <w:rPr>
                <w:sz w:val="17"/>
              </w:rPr>
            </w:pPr>
            <w:r>
              <w:rPr>
                <w:sz w:val="17"/>
              </w:rPr>
              <w:t>2.078</w:t>
            </w:r>
          </w:p>
        </w:tc>
      </w:tr>
      <w:tr w:rsidR="006B6965" w14:paraId="4C87762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10AC3F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50C9386"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5E846FBE" w14:textId="77777777">
            <w:pPr>
              <w:pStyle w:val="p-table"/>
              <w:jc w:val="right"/>
              <w:rPr>
                <w:sz w:val="17"/>
              </w:rPr>
            </w:pPr>
            <w:r>
              <w:rPr>
                <w:sz w:val="17"/>
              </w:rPr>
              <w:t>3.793</w:t>
            </w:r>
          </w:p>
        </w:tc>
        <w:tc>
          <w:tcPr>
            <w:tcW w:w="1377" w:type="dxa"/>
            <w:tcBorders>
              <w:bottom w:val="single" w:color="009EE0" w:sz="2" w:space="0"/>
            </w:tcBorders>
            <w:tcMar>
              <w:top w:w="22" w:type="dxa"/>
              <w:left w:w="28" w:type="dxa"/>
              <w:bottom w:w="22" w:type="dxa"/>
              <w:right w:w="28" w:type="dxa"/>
            </w:tcMar>
          </w:tcPr>
          <w:p w:rsidR="006B6965" w:rsidRDefault="003A166B" w14:paraId="19BFB3BA" w14:textId="77777777">
            <w:pPr>
              <w:pStyle w:val="p-table"/>
              <w:jc w:val="right"/>
              <w:rPr>
                <w:sz w:val="17"/>
              </w:rPr>
            </w:pPr>
            <w:r>
              <w:rPr>
                <w:sz w:val="17"/>
              </w:rPr>
              <w:t>617</w:t>
            </w:r>
          </w:p>
        </w:tc>
        <w:tc>
          <w:tcPr>
            <w:tcW w:w="1377" w:type="dxa"/>
            <w:tcBorders>
              <w:bottom w:val="single" w:color="009EE0" w:sz="2" w:space="0"/>
            </w:tcBorders>
            <w:tcMar>
              <w:top w:w="22" w:type="dxa"/>
              <w:left w:w="28" w:type="dxa"/>
              <w:bottom w:w="22" w:type="dxa"/>
              <w:right w:w="28" w:type="dxa"/>
            </w:tcMar>
          </w:tcPr>
          <w:p w:rsidR="006B6965" w:rsidRDefault="003A166B" w14:paraId="6A5EA908" w14:textId="77777777">
            <w:pPr>
              <w:pStyle w:val="p-table"/>
              <w:jc w:val="right"/>
              <w:rPr>
                <w:sz w:val="17"/>
              </w:rPr>
            </w:pPr>
            <w:r>
              <w:rPr>
                <w:sz w:val="17"/>
              </w:rPr>
              <w:t>4.410</w:t>
            </w:r>
          </w:p>
        </w:tc>
      </w:tr>
      <w:tr w:rsidR="006B6965" w14:paraId="49C206E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3CD166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DE24663"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1CB3284C" w14:textId="77777777">
            <w:pPr>
              <w:pStyle w:val="p-table"/>
              <w:jc w:val="right"/>
              <w:rPr>
                <w:sz w:val="17"/>
              </w:rPr>
            </w:pPr>
            <w:r>
              <w:rPr>
                <w:i/>
                <w:sz w:val="17"/>
              </w:rPr>
              <w:t>20.644</w:t>
            </w:r>
          </w:p>
        </w:tc>
        <w:tc>
          <w:tcPr>
            <w:tcW w:w="1377" w:type="dxa"/>
            <w:tcBorders>
              <w:bottom w:val="single" w:color="009EE0" w:sz="2" w:space="0"/>
            </w:tcBorders>
            <w:tcMar>
              <w:top w:w="22" w:type="dxa"/>
              <w:left w:w="28" w:type="dxa"/>
              <w:bottom w:w="22" w:type="dxa"/>
              <w:right w:w="28" w:type="dxa"/>
            </w:tcMar>
          </w:tcPr>
          <w:p w:rsidR="006B6965" w:rsidRDefault="003A166B" w14:paraId="201DA77B" w14:textId="77777777">
            <w:pPr>
              <w:pStyle w:val="p-table"/>
              <w:jc w:val="right"/>
              <w:rPr>
                <w:sz w:val="17"/>
              </w:rPr>
            </w:pPr>
            <w:r>
              <w:rPr>
                <w:i/>
                <w:sz w:val="17"/>
              </w:rPr>
              <w:t>‒</w:t>
            </w:r>
            <w:r>
              <w:rPr>
                <w:i/>
                <w:sz w:val="17"/>
              </w:rPr>
              <w:t xml:space="preserve"> 9.596</w:t>
            </w:r>
          </w:p>
        </w:tc>
        <w:tc>
          <w:tcPr>
            <w:tcW w:w="1377" w:type="dxa"/>
            <w:tcBorders>
              <w:bottom w:val="single" w:color="009EE0" w:sz="2" w:space="0"/>
            </w:tcBorders>
            <w:tcMar>
              <w:top w:w="22" w:type="dxa"/>
              <w:left w:w="28" w:type="dxa"/>
              <w:bottom w:w="22" w:type="dxa"/>
              <w:right w:w="28" w:type="dxa"/>
            </w:tcMar>
          </w:tcPr>
          <w:p w:rsidR="006B6965" w:rsidRDefault="003A166B" w14:paraId="2CAED22E" w14:textId="77777777">
            <w:pPr>
              <w:pStyle w:val="p-table"/>
              <w:jc w:val="right"/>
              <w:rPr>
                <w:sz w:val="17"/>
              </w:rPr>
            </w:pPr>
            <w:r>
              <w:rPr>
                <w:i/>
                <w:sz w:val="17"/>
              </w:rPr>
              <w:t>11.048</w:t>
            </w:r>
          </w:p>
        </w:tc>
      </w:tr>
      <w:tr w:rsidR="006B6965" w14:paraId="4030EA9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38F9DB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7A342FD" w14:textId="77777777">
            <w:pPr>
              <w:pStyle w:val="p-table"/>
              <w:rPr>
                <w:sz w:val="17"/>
              </w:rPr>
            </w:pPr>
            <w:r>
              <w:rPr>
                <w:sz w:val="17"/>
              </w:rPr>
              <w:t xml:space="preserve">NGF </w:t>
            </w:r>
            <w:proofErr w:type="spellStart"/>
            <w:r>
              <w:rPr>
                <w:sz w:val="17"/>
              </w:rPr>
              <w:t>UPPWater</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3D4DA9E5" w14:textId="77777777">
            <w:pPr>
              <w:pStyle w:val="p-table"/>
              <w:jc w:val="right"/>
              <w:rPr>
                <w:sz w:val="17"/>
              </w:rPr>
            </w:pPr>
            <w:r>
              <w:rPr>
                <w:sz w:val="17"/>
              </w:rPr>
              <w:t>18.707</w:t>
            </w:r>
          </w:p>
        </w:tc>
        <w:tc>
          <w:tcPr>
            <w:tcW w:w="1377" w:type="dxa"/>
            <w:tcBorders>
              <w:bottom w:val="single" w:color="009EE0" w:sz="2" w:space="0"/>
            </w:tcBorders>
            <w:tcMar>
              <w:top w:w="22" w:type="dxa"/>
              <w:left w:w="28" w:type="dxa"/>
              <w:bottom w:w="22" w:type="dxa"/>
              <w:right w:w="28" w:type="dxa"/>
            </w:tcMar>
          </w:tcPr>
          <w:p w:rsidR="006B6965" w:rsidRDefault="003A166B" w14:paraId="677B82B1" w14:textId="77777777">
            <w:pPr>
              <w:pStyle w:val="p-table"/>
              <w:jc w:val="right"/>
              <w:rPr>
                <w:sz w:val="17"/>
              </w:rPr>
            </w:pPr>
            <w:r>
              <w:rPr>
                <w:sz w:val="17"/>
              </w:rPr>
              <w:t>‒</w:t>
            </w:r>
            <w:r>
              <w:rPr>
                <w:sz w:val="17"/>
              </w:rPr>
              <w:t xml:space="preserve"> 9.871</w:t>
            </w:r>
          </w:p>
        </w:tc>
        <w:tc>
          <w:tcPr>
            <w:tcW w:w="1377" w:type="dxa"/>
            <w:tcBorders>
              <w:bottom w:val="single" w:color="009EE0" w:sz="2" w:space="0"/>
            </w:tcBorders>
            <w:tcMar>
              <w:top w:w="22" w:type="dxa"/>
              <w:left w:w="28" w:type="dxa"/>
              <w:bottom w:w="22" w:type="dxa"/>
              <w:right w:w="28" w:type="dxa"/>
            </w:tcMar>
          </w:tcPr>
          <w:p w:rsidR="006B6965" w:rsidRDefault="003A166B" w14:paraId="0851AB9A" w14:textId="77777777">
            <w:pPr>
              <w:pStyle w:val="p-table"/>
              <w:jc w:val="right"/>
              <w:rPr>
                <w:sz w:val="17"/>
              </w:rPr>
            </w:pPr>
            <w:r>
              <w:rPr>
                <w:sz w:val="17"/>
              </w:rPr>
              <w:t>8.836</w:t>
            </w:r>
          </w:p>
        </w:tc>
      </w:tr>
      <w:tr w:rsidR="006B6965" w14:paraId="5E7A315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FA587A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C525D8B"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7EDBA710" w14:textId="77777777">
            <w:pPr>
              <w:pStyle w:val="p-table"/>
              <w:jc w:val="right"/>
              <w:rPr>
                <w:sz w:val="17"/>
              </w:rPr>
            </w:pPr>
            <w:r>
              <w:rPr>
                <w:sz w:val="17"/>
              </w:rPr>
              <w:t>1.937</w:t>
            </w:r>
          </w:p>
        </w:tc>
        <w:tc>
          <w:tcPr>
            <w:tcW w:w="1377" w:type="dxa"/>
            <w:tcBorders>
              <w:bottom w:val="single" w:color="009EE0" w:sz="2" w:space="0"/>
            </w:tcBorders>
            <w:tcMar>
              <w:top w:w="22" w:type="dxa"/>
              <w:left w:w="28" w:type="dxa"/>
              <w:bottom w:w="22" w:type="dxa"/>
              <w:right w:w="28" w:type="dxa"/>
            </w:tcMar>
          </w:tcPr>
          <w:p w:rsidR="006B6965" w:rsidRDefault="003A166B" w14:paraId="4BA4FD88" w14:textId="77777777">
            <w:pPr>
              <w:pStyle w:val="p-table"/>
              <w:jc w:val="right"/>
              <w:rPr>
                <w:sz w:val="17"/>
              </w:rPr>
            </w:pPr>
            <w:r>
              <w:rPr>
                <w:sz w:val="17"/>
              </w:rPr>
              <w:t>275</w:t>
            </w:r>
          </w:p>
        </w:tc>
        <w:tc>
          <w:tcPr>
            <w:tcW w:w="1377" w:type="dxa"/>
            <w:tcBorders>
              <w:bottom w:val="single" w:color="009EE0" w:sz="2" w:space="0"/>
            </w:tcBorders>
            <w:tcMar>
              <w:top w:w="22" w:type="dxa"/>
              <w:left w:w="28" w:type="dxa"/>
              <w:bottom w:w="22" w:type="dxa"/>
              <w:right w:w="28" w:type="dxa"/>
            </w:tcMar>
          </w:tcPr>
          <w:p w:rsidR="006B6965" w:rsidRDefault="003A166B" w14:paraId="139F39D4" w14:textId="77777777">
            <w:pPr>
              <w:pStyle w:val="p-table"/>
              <w:jc w:val="right"/>
              <w:rPr>
                <w:sz w:val="17"/>
              </w:rPr>
            </w:pPr>
            <w:r>
              <w:rPr>
                <w:sz w:val="17"/>
              </w:rPr>
              <w:t>2.212</w:t>
            </w:r>
          </w:p>
        </w:tc>
      </w:tr>
      <w:tr w:rsidR="006B6965" w14:paraId="3A50218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0C2A5D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661633B"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31288967" w14:textId="77777777">
            <w:pPr>
              <w:pStyle w:val="p-table"/>
              <w:jc w:val="right"/>
              <w:rPr>
                <w:sz w:val="17"/>
              </w:rPr>
            </w:pPr>
            <w:r>
              <w:rPr>
                <w:i/>
                <w:sz w:val="17"/>
              </w:rPr>
              <w:t>1.856</w:t>
            </w:r>
          </w:p>
        </w:tc>
        <w:tc>
          <w:tcPr>
            <w:tcW w:w="1377" w:type="dxa"/>
            <w:tcBorders>
              <w:bottom w:val="single" w:color="009EE0" w:sz="2" w:space="0"/>
            </w:tcBorders>
            <w:tcMar>
              <w:top w:w="22" w:type="dxa"/>
              <w:left w:w="28" w:type="dxa"/>
              <w:bottom w:w="22" w:type="dxa"/>
              <w:right w:w="28" w:type="dxa"/>
            </w:tcMar>
          </w:tcPr>
          <w:p w:rsidR="006B6965" w:rsidRDefault="003A166B" w14:paraId="7B2C0C61"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3E3EEE1" w14:textId="77777777">
            <w:pPr>
              <w:pStyle w:val="p-table"/>
              <w:jc w:val="right"/>
              <w:rPr>
                <w:sz w:val="17"/>
              </w:rPr>
            </w:pPr>
            <w:r>
              <w:rPr>
                <w:i/>
                <w:sz w:val="17"/>
              </w:rPr>
              <w:t>1.856</w:t>
            </w:r>
          </w:p>
        </w:tc>
      </w:tr>
      <w:tr w:rsidR="006B6965" w14:paraId="1DBBBB2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F221DB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AD9E23F"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23C967A6" w14:textId="77777777">
            <w:pPr>
              <w:pStyle w:val="p-table"/>
              <w:jc w:val="right"/>
              <w:rPr>
                <w:sz w:val="17"/>
              </w:rPr>
            </w:pPr>
            <w:r>
              <w:rPr>
                <w:sz w:val="17"/>
              </w:rPr>
              <w:t>1.856</w:t>
            </w:r>
          </w:p>
        </w:tc>
        <w:tc>
          <w:tcPr>
            <w:tcW w:w="1377" w:type="dxa"/>
            <w:tcBorders>
              <w:bottom w:val="single" w:color="009EE0" w:sz="2" w:space="0"/>
            </w:tcBorders>
            <w:tcMar>
              <w:top w:w="22" w:type="dxa"/>
              <w:left w:w="28" w:type="dxa"/>
              <w:bottom w:w="22" w:type="dxa"/>
              <w:right w:w="28" w:type="dxa"/>
            </w:tcMar>
          </w:tcPr>
          <w:p w:rsidR="006B6965" w:rsidRDefault="003A166B" w14:paraId="009A203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3D216A6" w14:textId="77777777">
            <w:pPr>
              <w:pStyle w:val="p-table"/>
              <w:jc w:val="right"/>
              <w:rPr>
                <w:sz w:val="17"/>
              </w:rPr>
            </w:pPr>
            <w:r>
              <w:rPr>
                <w:sz w:val="17"/>
              </w:rPr>
              <w:t>1.856</w:t>
            </w:r>
          </w:p>
        </w:tc>
      </w:tr>
      <w:tr w:rsidR="006B6965" w14:paraId="2634604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6073B7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1E803AB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858C2B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031B5B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E15679A" w14:textId="77777777">
            <w:pPr>
              <w:pStyle w:val="p-table"/>
              <w:rPr>
                <w:sz w:val="17"/>
              </w:rPr>
            </w:pPr>
          </w:p>
        </w:tc>
      </w:tr>
      <w:tr w:rsidR="006B6965" w14:paraId="4F9B135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25E5BC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8F304C2"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5E0A53CD"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D3DCAB2" w14:textId="77777777">
            <w:pPr>
              <w:pStyle w:val="p-table"/>
              <w:jc w:val="right"/>
              <w:rPr>
                <w:sz w:val="17"/>
              </w:rPr>
            </w:pPr>
            <w:r>
              <w:rPr>
                <w:b/>
                <w:sz w:val="17"/>
              </w:rPr>
              <w:t>196</w:t>
            </w:r>
          </w:p>
        </w:tc>
        <w:tc>
          <w:tcPr>
            <w:tcW w:w="1377" w:type="dxa"/>
            <w:tcBorders>
              <w:bottom w:val="single" w:color="009EE0" w:sz="2" w:space="0"/>
            </w:tcBorders>
            <w:tcMar>
              <w:top w:w="22" w:type="dxa"/>
              <w:left w:w="28" w:type="dxa"/>
              <w:bottom w:w="22" w:type="dxa"/>
              <w:right w:w="28" w:type="dxa"/>
            </w:tcMar>
          </w:tcPr>
          <w:p w:rsidR="006B6965" w:rsidRDefault="003A166B" w14:paraId="5695E5BB" w14:textId="77777777">
            <w:pPr>
              <w:pStyle w:val="p-table"/>
              <w:jc w:val="right"/>
              <w:rPr>
                <w:sz w:val="17"/>
              </w:rPr>
            </w:pPr>
            <w:r>
              <w:rPr>
                <w:b/>
                <w:sz w:val="17"/>
              </w:rPr>
              <w:t>196</w:t>
            </w:r>
          </w:p>
        </w:tc>
      </w:tr>
      <w:tr w:rsidR="006B6965" w14:paraId="473810D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B41093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90AF69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4A3E65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EC944E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A64C721" w14:textId="77777777">
            <w:pPr>
              <w:pStyle w:val="p-table"/>
              <w:rPr>
                <w:sz w:val="17"/>
              </w:rPr>
            </w:pPr>
          </w:p>
        </w:tc>
      </w:tr>
    </w:tbl>
    <w:p w:rsidR="006B6965" w:rsidRDefault="006B6965" w14:paraId="4CEA9F08" w14:textId="77777777">
      <w:pPr>
        <w:pStyle w:val="p-marginbottom"/>
      </w:pPr>
    </w:p>
    <w:p w:rsidR="006B6965" w:rsidRDefault="003A166B" w14:paraId="5FE3E613" w14:textId="77777777">
      <w:pPr>
        <w:pStyle w:val="section-title-4"/>
      </w:pPr>
      <w:r>
        <w:lastRenderedPageBreak/>
        <w:t>Toelichting</w:t>
      </w:r>
    </w:p>
    <w:p w:rsidR="006B6965" w:rsidRDefault="003A166B" w14:paraId="44FE3D85" w14:textId="77777777">
      <w:pPr>
        <w:pStyle w:val="header-h1"/>
      </w:pPr>
      <w:r>
        <w:t>Verplichtingen</w:t>
      </w:r>
    </w:p>
    <w:p w:rsidR="006B6965" w:rsidRDefault="003A166B" w14:paraId="688AF041" w14:textId="77777777">
      <w:r>
        <w:t xml:space="preserve">Het verplichtingenbudget wordt met € 15,4 miljoen verlaagd. Dit wordt verklaard door de hieronder toegelichte uitgavenmutaties en de volgende </w:t>
      </w:r>
      <w:r>
        <w:t>verplichtingenmutaties:</w:t>
      </w:r>
    </w:p>
    <w:p w:rsidR="006B6965" w:rsidRDefault="003A166B" w14:paraId="352FDEC2" w14:textId="77777777">
      <w:pPr>
        <w:pStyle w:val="ol-p-l1"/>
        <w:numPr>
          <w:ilvl w:val="0"/>
          <w:numId w:val="9"/>
        </w:numPr>
      </w:pPr>
      <w:r>
        <w:rPr>
          <w:rStyle w:val="ol-text"/>
        </w:rPr>
        <w:t>Opvragen verplichtingenruimte: Er wordt in 2025 voor € 4,0 miljoen aan verplichtingenruimte opgevraagd voor subsidies voor het Partners voor Water. Het aanvragen van additionele verplichtingenruimte is het gevolg van een herijking van activiteiten tussen Opdrachten en Subsidies binnen het PvW5-programma n.a.v. HGIS-taakstelling. Subsidies hebben veelal een langere doorlooptijd voordat beschikkingen kunnen worden geslagen vergeleken met betalingen voor opdrachten, waarbij de verplichtingenruimte gereserveerd</w:t>
      </w:r>
      <w:r>
        <w:rPr>
          <w:rStyle w:val="ol-text"/>
        </w:rPr>
        <w:t xml:space="preserve"> blijft staan. De herijking van de uit te voeren activiteiten staat uitgewerkt in de opdrachtbrief aan het RVO.</w:t>
      </w:r>
    </w:p>
    <w:p w:rsidR="006B6965" w:rsidRDefault="006B6965" w14:paraId="08817699" w14:textId="77777777"/>
    <w:p w:rsidR="006B6965" w:rsidRDefault="003A166B" w14:paraId="69AF6EF2" w14:textId="77777777">
      <w:pPr>
        <w:pStyle w:val="header-h1"/>
      </w:pPr>
      <w:r>
        <w:t>Uitgaven</w:t>
      </w:r>
    </w:p>
    <w:p w:rsidR="006B6965" w:rsidRDefault="003A166B" w14:paraId="0A402FEE" w14:textId="77777777">
      <w:pPr>
        <w:pStyle w:val="header-h1"/>
      </w:pPr>
      <w:r>
        <w:t>Artikel 11.01 Algemeen Waterbeleid</w:t>
      </w:r>
    </w:p>
    <w:p w:rsidR="006B6965" w:rsidRDefault="003A166B" w14:paraId="5B7B7428" w14:textId="77777777">
      <w:pPr>
        <w:pStyle w:val="header-h2"/>
      </w:pPr>
      <w:r>
        <w:t>Opdrachten</w:t>
      </w:r>
    </w:p>
    <w:p w:rsidR="006B6965" w:rsidRDefault="003A166B" w14:paraId="2A24134D" w14:textId="77777777">
      <w:pPr>
        <w:pStyle w:val="p"/>
      </w:pPr>
      <w:r>
        <w:t>De verlaging van het opdrachtenbudget met € 4,2 miljoen wordt met name veroorzaakt door:</w:t>
      </w:r>
    </w:p>
    <w:p w:rsidR="006B6965" w:rsidRDefault="003A166B" w14:paraId="4505329C" w14:textId="77777777">
      <w:pPr>
        <w:pStyle w:val="p"/>
      </w:pPr>
      <w:r>
        <w:rPr>
          <w:rStyle w:val="span-u"/>
        </w:rPr>
        <w:t>Partners voor Water (HGIS)</w:t>
      </w:r>
      <w:r>
        <w:t xml:space="preserve">: Het betreft het herschikken van € 3,0 miljoen aan verplichtingen- en kasbudget van het opdrachten- naar het subsidiebudget conform de aanvullende opdrachtbrief aan RVO. Als gevolg van de </w:t>
      </w:r>
      <w:r>
        <w:t>HGIS-taakstelling past DGWB het uit te voeren beleid aan binnen het beschikbare budget van het programma Partners voor Water 5, hetgeen o.a. leidt tot een nieuwe herverdeling tussen opdrachten en subsidies, waaruit dit programma bestaat.</w:t>
      </w:r>
    </w:p>
    <w:p w:rsidR="006B6965" w:rsidRDefault="003A166B" w14:paraId="73736901" w14:textId="77777777">
      <w:r>
        <w:rPr>
          <w:rStyle w:val="span-u"/>
        </w:rPr>
        <w:t>Overige opdrachten:</w:t>
      </w:r>
      <w:r>
        <w:t xml:space="preserve"> Het opdrachten budget wordt met € 1,2 miljoen verlaagd en komt met name door:</w:t>
      </w:r>
    </w:p>
    <w:p w:rsidR="006B6965" w:rsidRDefault="003A166B" w14:paraId="2D903F81" w14:textId="77777777">
      <w:pPr>
        <w:pStyle w:val="ol-p-l1"/>
        <w:numPr>
          <w:ilvl w:val="0"/>
          <w:numId w:val="10"/>
        </w:numPr>
      </w:pPr>
      <w:r>
        <w:rPr>
          <w:rStyle w:val="ol-text"/>
        </w:rPr>
        <w:t xml:space="preserve">Een overboeking van dit artikel naar het Deltafonds voor de bijdrage aan </w:t>
      </w:r>
      <w:proofErr w:type="spellStart"/>
      <w:r>
        <w:rPr>
          <w:rStyle w:val="ol-text"/>
        </w:rPr>
        <w:t>Deltares</w:t>
      </w:r>
      <w:proofErr w:type="spellEnd"/>
      <w:r>
        <w:rPr>
          <w:rStyle w:val="ol-text"/>
        </w:rPr>
        <w:t xml:space="preserve"> van € 1,0 miljoen. Er zijn meerkosten voor Digitalisering, Datamanagement en Beheer en Onderhoud van software, die anders ten koste gaat van de huidige programmabudgetten.</w:t>
      </w:r>
    </w:p>
    <w:p w:rsidR="006B6965" w:rsidRDefault="003A166B" w14:paraId="11E10052" w14:textId="77777777">
      <w:pPr>
        <w:pStyle w:val="ol-p-l1"/>
        <w:numPr>
          <w:ilvl w:val="0"/>
          <w:numId w:val="5"/>
        </w:numPr>
      </w:pPr>
      <w:r>
        <w:rPr>
          <w:rStyle w:val="ol-text"/>
        </w:rPr>
        <w:t>Toekenning eindejaarsmarge DGWB: Het betreft het toekennen van de eindejaarsmarge aan DGWB voor openstaande verplichtingen die in 2024 zijn aangegaan (€ 1,0 miljoen).</w:t>
      </w:r>
    </w:p>
    <w:p w:rsidR="006B6965" w:rsidRDefault="006B6965" w14:paraId="7FD61610" w14:textId="77777777"/>
    <w:p w:rsidR="006B6965" w:rsidRDefault="003A166B" w14:paraId="53196091" w14:textId="77777777">
      <w:pPr>
        <w:pStyle w:val="header-h2"/>
      </w:pPr>
      <w:r>
        <w:t>Subsidies (regelingen)</w:t>
      </w:r>
    </w:p>
    <w:p w:rsidR="006B6965" w:rsidRDefault="003A166B" w14:paraId="0F9A8527" w14:textId="77777777">
      <w:pPr>
        <w:pStyle w:val="p"/>
      </w:pPr>
      <w:r>
        <w:t>De verhoging van het subsidiebudget met € 3,1 miljoen wordt met name veroorzaakt door:</w:t>
      </w:r>
    </w:p>
    <w:p w:rsidR="006B6965" w:rsidRDefault="003A166B" w14:paraId="35F2E0EA" w14:textId="77777777">
      <w:pPr>
        <w:pStyle w:val="p"/>
      </w:pPr>
      <w:r>
        <w:rPr>
          <w:rStyle w:val="span-u"/>
        </w:rPr>
        <w:t>Partners voor Water (HGIS):</w:t>
      </w:r>
      <w:r>
        <w:t xml:space="preserve"> Dit betreft de hierboven genoemde budgetoverheveling van € 3,0 miljoen voor Partners voor Water van opdrachten naar subsidies.</w:t>
      </w:r>
    </w:p>
    <w:p w:rsidR="006B6965" w:rsidRDefault="003A166B" w14:paraId="41AB503E" w14:textId="77777777">
      <w:pPr>
        <w:pStyle w:val="header-h1"/>
      </w:pPr>
      <w:r>
        <w:t>Artikel 11.04 Waterkwaliteit</w:t>
      </w:r>
    </w:p>
    <w:p w:rsidR="006B6965" w:rsidRDefault="003A166B" w14:paraId="64322F31" w14:textId="77777777">
      <w:pPr>
        <w:pStyle w:val="header-h2"/>
      </w:pPr>
      <w:r>
        <w:t>Subsidies (regelingen)</w:t>
      </w:r>
    </w:p>
    <w:p w:rsidR="006B6965" w:rsidRDefault="003A166B" w14:paraId="74494E61" w14:textId="77777777">
      <w:pPr>
        <w:pStyle w:val="p"/>
      </w:pPr>
      <w:r>
        <w:t>De verlaging van het subsidiebudget met € 9,6 miljoen wordt met name veroorzaakt door:</w:t>
      </w:r>
    </w:p>
    <w:p w:rsidR="006B6965" w:rsidRDefault="003A166B" w14:paraId="3B50C870" w14:textId="77777777">
      <w:pPr>
        <w:pStyle w:val="p"/>
      </w:pPr>
      <w:r>
        <w:rPr>
          <w:rStyle w:val="span-u"/>
        </w:rPr>
        <w:t xml:space="preserve">Nationaal Groeifonds </w:t>
      </w:r>
      <w:proofErr w:type="spellStart"/>
      <w:r>
        <w:rPr>
          <w:rStyle w:val="span-u"/>
        </w:rPr>
        <w:t>UPPWater</w:t>
      </w:r>
      <w:proofErr w:type="spellEnd"/>
      <w:r>
        <w:t>: Er wordt € 9,9 mln. vanuit 2025 naar 2026 geschoven. Drie subsidieregelingen worden medio Q4 opgesteld. Rekening houdende met de doorlooptijden worden de kasmiddelen in het juiste ritme geplaats. De verplichtingenreeks staat reeds in het juiste ritme.</w:t>
      </w:r>
    </w:p>
    <w:p w:rsidR="006B6965" w:rsidRDefault="003A166B" w14:paraId="25264B6D" w14:textId="77777777">
      <w:pPr>
        <w:pStyle w:val="header-h1"/>
      </w:pPr>
      <w:r>
        <w:lastRenderedPageBreak/>
        <w:t>Ontvangsten</w:t>
      </w:r>
    </w:p>
    <w:p w:rsidR="006B6965" w:rsidRDefault="003A166B" w14:paraId="49286D2A" w14:textId="77777777">
      <w:pPr>
        <w:pStyle w:val="p"/>
      </w:pPr>
      <w:r>
        <w:t>De ontvangstenmutaties zijn lager dan de voorgeschreven norm en worden daarom niet toegelicht (zie normering in ).</w:t>
      </w:r>
    </w:p>
    <w:p w:rsidR="006B6965" w:rsidRDefault="003A166B" w14:paraId="2EF0B28F" w14:textId="77777777">
      <w:pPr>
        <w:pStyle w:val="section-title-3"/>
      </w:pPr>
      <w:r>
        <w:t>3.2 Artikel 13 Bodem en Ondergrond</w:t>
      </w:r>
    </w:p>
    <w:p w:rsidR="006B6965" w:rsidRDefault="003A166B" w14:paraId="62FEEAAB"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34173ADD"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687D9057" w14:textId="77777777">
            <w:pPr>
              <w:pStyle w:val="kio2-table-title"/>
            </w:pPr>
            <w:r>
              <w:t>Tabel 5 Budgettaire gevolgen van beleid artikel 13 Bodem en Ondergrond (bedragen x € 1.000)</w:t>
            </w:r>
          </w:p>
        </w:tc>
      </w:tr>
      <w:tr w:rsidR="006B6965" w14:paraId="47240C0E"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7A3A0148"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1E500E8F"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004B50E8"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646B764C"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09A62D49" w14:textId="77777777">
            <w:pPr>
              <w:pStyle w:val="p-table"/>
              <w:jc w:val="center"/>
              <w:rPr>
                <w:color w:val="000000"/>
                <w:sz w:val="17"/>
              </w:rPr>
            </w:pPr>
            <w:r>
              <w:rPr>
                <w:color w:val="000000"/>
                <w:sz w:val="17"/>
              </w:rPr>
              <w:t>Stand suppletoire begroting september (3) = (1) + (2)</w:t>
            </w:r>
          </w:p>
        </w:tc>
      </w:tr>
      <w:tr w:rsidR="006B6965" w14:paraId="23ABCC4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4CEF5A50"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1568981D"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68A05D56" w14:textId="77777777">
            <w:pPr>
              <w:pStyle w:val="p-table"/>
              <w:jc w:val="right"/>
              <w:rPr>
                <w:sz w:val="17"/>
              </w:rPr>
            </w:pPr>
            <w:r>
              <w:rPr>
                <w:b/>
                <w:sz w:val="17"/>
              </w:rPr>
              <w:t>58.619</w:t>
            </w:r>
          </w:p>
        </w:tc>
        <w:tc>
          <w:tcPr>
            <w:tcW w:w="1377" w:type="dxa"/>
            <w:tcBorders>
              <w:bottom w:val="single" w:color="009EE0" w:sz="2" w:space="0"/>
            </w:tcBorders>
            <w:tcMar>
              <w:top w:w="22" w:type="dxa"/>
              <w:left w:w="28" w:type="dxa"/>
              <w:bottom w:w="22" w:type="dxa"/>
              <w:right w:w="28" w:type="dxa"/>
            </w:tcMar>
          </w:tcPr>
          <w:p w:rsidR="006B6965" w:rsidRDefault="003A166B" w14:paraId="6B298D0C" w14:textId="77777777">
            <w:pPr>
              <w:pStyle w:val="p-table"/>
              <w:jc w:val="right"/>
              <w:rPr>
                <w:sz w:val="17"/>
              </w:rPr>
            </w:pPr>
            <w:r>
              <w:rPr>
                <w:b/>
                <w:sz w:val="17"/>
              </w:rPr>
              <w:t>22.435</w:t>
            </w:r>
          </w:p>
        </w:tc>
        <w:tc>
          <w:tcPr>
            <w:tcW w:w="1377" w:type="dxa"/>
            <w:tcBorders>
              <w:bottom w:val="single" w:color="009EE0" w:sz="2" w:space="0"/>
            </w:tcBorders>
            <w:tcMar>
              <w:top w:w="22" w:type="dxa"/>
              <w:left w:w="28" w:type="dxa"/>
              <w:bottom w:w="22" w:type="dxa"/>
              <w:right w:w="28" w:type="dxa"/>
            </w:tcMar>
          </w:tcPr>
          <w:p w:rsidR="006B6965" w:rsidRDefault="003A166B" w14:paraId="3414F946" w14:textId="77777777">
            <w:pPr>
              <w:pStyle w:val="p-table"/>
              <w:jc w:val="right"/>
              <w:rPr>
                <w:sz w:val="17"/>
              </w:rPr>
            </w:pPr>
            <w:r>
              <w:rPr>
                <w:b/>
                <w:sz w:val="17"/>
              </w:rPr>
              <w:t>81.054</w:t>
            </w:r>
          </w:p>
        </w:tc>
      </w:tr>
      <w:tr w:rsidR="006B6965" w14:paraId="596B0AF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0C844B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6E01E00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8FD20F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1E5D60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950BCE2" w14:textId="77777777">
            <w:pPr>
              <w:pStyle w:val="p-table"/>
              <w:rPr>
                <w:sz w:val="17"/>
              </w:rPr>
            </w:pPr>
          </w:p>
        </w:tc>
      </w:tr>
      <w:tr w:rsidR="006B6965" w14:paraId="7D88A5F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A91511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3DFEC1E"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307206F4" w14:textId="77777777">
            <w:pPr>
              <w:pStyle w:val="p-table"/>
              <w:jc w:val="right"/>
              <w:rPr>
                <w:sz w:val="17"/>
              </w:rPr>
            </w:pPr>
            <w:r>
              <w:rPr>
                <w:b/>
                <w:sz w:val="17"/>
              </w:rPr>
              <w:t>135.665</w:t>
            </w:r>
          </w:p>
        </w:tc>
        <w:tc>
          <w:tcPr>
            <w:tcW w:w="1377" w:type="dxa"/>
            <w:tcBorders>
              <w:bottom w:val="single" w:color="009EE0" w:sz="2" w:space="0"/>
            </w:tcBorders>
            <w:tcMar>
              <w:top w:w="22" w:type="dxa"/>
              <w:left w:w="28" w:type="dxa"/>
              <w:bottom w:w="22" w:type="dxa"/>
              <w:right w:w="28" w:type="dxa"/>
            </w:tcMar>
          </w:tcPr>
          <w:p w:rsidR="006B6965" w:rsidRDefault="003A166B" w14:paraId="21818021" w14:textId="77777777">
            <w:pPr>
              <w:pStyle w:val="p-table"/>
              <w:jc w:val="right"/>
              <w:rPr>
                <w:sz w:val="17"/>
              </w:rPr>
            </w:pPr>
            <w:r>
              <w:rPr>
                <w:b/>
                <w:sz w:val="17"/>
              </w:rPr>
              <w:t>334</w:t>
            </w:r>
          </w:p>
        </w:tc>
        <w:tc>
          <w:tcPr>
            <w:tcW w:w="1377" w:type="dxa"/>
            <w:tcBorders>
              <w:bottom w:val="single" w:color="009EE0" w:sz="2" w:space="0"/>
            </w:tcBorders>
            <w:tcMar>
              <w:top w:w="22" w:type="dxa"/>
              <w:left w:w="28" w:type="dxa"/>
              <w:bottom w:w="22" w:type="dxa"/>
              <w:right w:w="28" w:type="dxa"/>
            </w:tcMar>
          </w:tcPr>
          <w:p w:rsidR="006B6965" w:rsidRDefault="003A166B" w14:paraId="001D4264" w14:textId="77777777">
            <w:pPr>
              <w:pStyle w:val="p-table"/>
              <w:jc w:val="right"/>
              <w:rPr>
                <w:sz w:val="17"/>
              </w:rPr>
            </w:pPr>
            <w:r>
              <w:rPr>
                <w:b/>
                <w:sz w:val="17"/>
              </w:rPr>
              <w:t>135.999</w:t>
            </w:r>
          </w:p>
        </w:tc>
      </w:tr>
      <w:tr w:rsidR="006B6965" w14:paraId="559563E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E547C1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0A29EBA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542496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B069ED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807FD83" w14:textId="77777777">
            <w:pPr>
              <w:pStyle w:val="p-table"/>
              <w:rPr>
                <w:sz w:val="17"/>
              </w:rPr>
            </w:pPr>
          </w:p>
        </w:tc>
      </w:tr>
      <w:tr w:rsidR="006B6965" w14:paraId="6097F5E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5F268289" w14:textId="77777777">
            <w:pPr>
              <w:pStyle w:val="p-table"/>
              <w:rPr>
                <w:sz w:val="17"/>
              </w:rPr>
            </w:pPr>
            <w:r>
              <w:rPr>
                <w:b/>
                <w:sz w:val="17"/>
              </w:rPr>
              <w:t>13.4</w:t>
            </w:r>
          </w:p>
        </w:tc>
        <w:tc>
          <w:tcPr>
            <w:tcW w:w="4590" w:type="dxa"/>
            <w:tcBorders>
              <w:bottom w:val="single" w:color="009EE0" w:sz="2" w:space="0"/>
            </w:tcBorders>
            <w:tcMar>
              <w:top w:w="22" w:type="dxa"/>
              <w:left w:w="28" w:type="dxa"/>
              <w:bottom w:w="22" w:type="dxa"/>
              <w:right w:w="28" w:type="dxa"/>
            </w:tcMar>
          </w:tcPr>
          <w:p w:rsidR="006B6965" w:rsidRDefault="003A166B" w14:paraId="636AB801" w14:textId="77777777">
            <w:pPr>
              <w:pStyle w:val="p-table"/>
              <w:rPr>
                <w:sz w:val="17"/>
              </w:rPr>
            </w:pPr>
            <w:r>
              <w:rPr>
                <w:b/>
                <w:sz w:val="17"/>
              </w:rPr>
              <w:t>Ruimtegebruik bodem</w:t>
            </w:r>
          </w:p>
        </w:tc>
        <w:tc>
          <w:tcPr>
            <w:tcW w:w="1377" w:type="dxa"/>
            <w:tcBorders>
              <w:bottom w:val="single" w:color="009EE0" w:sz="2" w:space="0"/>
            </w:tcBorders>
            <w:tcMar>
              <w:top w:w="22" w:type="dxa"/>
              <w:left w:w="28" w:type="dxa"/>
              <w:bottom w:w="22" w:type="dxa"/>
              <w:right w:w="28" w:type="dxa"/>
            </w:tcMar>
          </w:tcPr>
          <w:p w:rsidR="006B6965" w:rsidRDefault="003A166B" w14:paraId="1021F055" w14:textId="77777777">
            <w:pPr>
              <w:pStyle w:val="p-table"/>
              <w:jc w:val="right"/>
              <w:rPr>
                <w:sz w:val="17"/>
              </w:rPr>
            </w:pPr>
            <w:r>
              <w:rPr>
                <w:b/>
                <w:sz w:val="17"/>
              </w:rPr>
              <w:t>135.665</w:t>
            </w:r>
          </w:p>
        </w:tc>
        <w:tc>
          <w:tcPr>
            <w:tcW w:w="1377" w:type="dxa"/>
            <w:tcBorders>
              <w:bottom w:val="single" w:color="009EE0" w:sz="2" w:space="0"/>
            </w:tcBorders>
            <w:tcMar>
              <w:top w:w="22" w:type="dxa"/>
              <w:left w:w="28" w:type="dxa"/>
              <w:bottom w:w="22" w:type="dxa"/>
              <w:right w:w="28" w:type="dxa"/>
            </w:tcMar>
          </w:tcPr>
          <w:p w:rsidR="006B6965" w:rsidRDefault="003A166B" w14:paraId="010DAAEC" w14:textId="77777777">
            <w:pPr>
              <w:pStyle w:val="p-table"/>
              <w:jc w:val="right"/>
              <w:rPr>
                <w:sz w:val="17"/>
              </w:rPr>
            </w:pPr>
            <w:r>
              <w:rPr>
                <w:b/>
                <w:sz w:val="17"/>
              </w:rPr>
              <w:t>334</w:t>
            </w:r>
          </w:p>
        </w:tc>
        <w:tc>
          <w:tcPr>
            <w:tcW w:w="1377" w:type="dxa"/>
            <w:tcBorders>
              <w:bottom w:val="single" w:color="009EE0" w:sz="2" w:space="0"/>
            </w:tcBorders>
            <w:tcMar>
              <w:top w:w="22" w:type="dxa"/>
              <w:left w:w="28" w:type="dxa"/>
              <w:bottom w:w="22" w:type="dxa"/>
              <w:right w:w="28" w:type="dxa"/>
            </w:tcMar>
          </w:tcPr>
          <w:p w:rsidR="006B6965" w:rsidRDefault="003A166B" w14:paraId="0462E280" w14:textId="77777777">
            <w:pPr>
              <w:pStyle w:val="p-table"/>
              <w:jc w:val="right"/>
              <w:rPr>
                <w:sz w:val="17"/>
              </w:rPr>
            </w:pPr>
            <w:r>
              <w:rPr>
                <w:b/>
                <w:sz w:val="17"/>
              </w:rPr>
              <w:t>135.999</w:t>
            </w:r>
          </w:p>
        </w:tc>
      </w:tr>
      <w:tr w:rsidR="006B6965" w14:paraId="4D93F46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0C1AD7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1288333"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6A3E149D" w14:textId="77777777">
            <w:pPr>
              <w:pStyle w:val="p-table"/>
              <w:jc w:val="right"/>
              <w:rPr>
                <w:sz w:val="17"/>
              </w:rPr>
            </w:pPr>
            <w:r>
              <w:rPr>
                <w:i/>
                <w:sz w:val="17"/>
              </w:rPr>
              <w:t>13.235</w:t>
            </w:r>
          </w:p>
        </w:tc>
        <w:tc>
          <w:tcPr>
            <w:tcW w:w="1377" w:type="dxa"/>
            <w:tcBorders>
              <w:bottom w:val="single" w:color="009EE0" w:sz="2" w:space="0"/>
            </w:tcBorders>
            <w:tcMar>
              <w:top w:w="22" w:type="dxa"/>
              <w:left w:w="28" w:type="dxa"/>
              <w:bottom w:w="22" w:type="dxa"/>
              <w:right w:w="28" w:type="dxa"/>
            </w:tcMar>
          </w:tcPr>
          <w:p w:rsidR="006B6965" w:rsidRDefault="003A166B" w14:paraId="6AA9CA1C" w14:textId="77777777">
            <w:pPr>
              <w:pStyle w:val="p-table"/>
              <w:jc w:val="right"/>
              <w:rPr>
                <w:sz w:val="17"/>
              </w:rPr>
            </w:pPr>
            <w:r>
              <w:rPr>
                <w:i/>
                <w:sz w:val="17"/>
              </w:rPr>
              <w:t>11.941</w:t>
            </w:r>
          </w:p>
        </w:tc>
        <w:tc>
          <w:tcPr>
            <w:tcW w:w="1377" w:type="dxa"/>
            <w:tcBorders>
              <w:bottom w:val="single" w:color="009EE0" w:sz="2" w:space="0"/>
            </w:tcBorders>
            <w:tcMar>
              <w:top w:w="22" w:type="dxa"/>
              <w:left w:w="28" w:type="dxa"/>
              <w:bottom w:w="22" w:type="dxa"/>
              <w:right w:w="28" w:type="dxa"/>
            </w:tcMar>
          </w:tcPr>
          <w:p w:rsidR="006B6965" w:rsidRDefault="003A166B" w14:paraId="0EBB96C6" w14:textId="77777777">
            <w:pPr>
              <w:pStyle w:val="p-table"/>
              <w:jc w:val="right"/>
              <w:rPr>
                <w:sz w:val="17"/>
              </w:rPr>
            </w:pPr>
            <w:r>
              <w:rPr>
                <w:i/>
                <w:sz w:val="17"/>
              </w:rPr>
              <w:t>25.176</w:t>
            </w:r>
          </w:p>
        </w:tc>
      </w:tr>
      <w:tr w:rsidR="006B6965" w14:paraId="641296D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01428C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06C27F6" w14:textId="77777777">
            <w:pPr>
              <w:pStyle w:val="p-table"/>
              <w:rPr>
                <w:sz w:val="17"/>
              </w:rPr>
            </w:pPr>
            <w:r>
              <w:rPr>
                <w:sz w:val="17"/>
              </w:rPr>
              <w:t>Bodem en STRONG</w:t>
            </w:r>
          </w:p>
        </w:tc>
        <w:tc>
          <w:tcPr>
            <w:tcW w:w="1377" w:type="dxa"/>
            <w:tcBorders>
              <w:bottom w:val="single" w:color="009EE0" w:sz="2" w:space="0"/>
            </w:tcBorders>
            <w:tcMar>
              <w:top w:w="22" w:type="dxa"/>
              <w:left w:w="28" w:type="dxa"/>
              <w:bottom w:w="22" w:type="dxa"/>
              <w:right w:w="28" w:type="dxa"/>
            </w:tcMar>
          </w:tcPr>
          <w:p w:rsidR="006B6965" w:rsidRDefault="003A166B" w14:paraId="3045FCE2" w14:textId="77777777">
            <w:pPr>
              <w:pStyle w:val="p-table"/>
              <w:jc w:val="right"/>
              <w:rPr>
                <w:sz w:val="17"/>
              </w:rPr>
            </w:pPr>
            <w:r>
              <w:rPr>
                <w:sz w:val="17"/>
              </w:rPr>
              <w:t>7.917</w:t>
            </w:r>
          </w:p>
        </w:tc>
        <w:tc>
          <w:tcPr>
            <w:tcW w:w="1377" w:type="dxa"/>
            <w:tcBorders>
              <w:bottom w:val="single" w:color="009EE0" w:sz="2" w:space="0"/>
            </w:tcBorders>
            <w:tcMar>
              <w:top w:w="22" w:type="dxa"/>
              <w:left w:w="28" w:type="dxa"/>
              <w:bottom w:w="22" w:type="dxa"/>
              <w:right w:w="28" w:type="dxa"/>
            </w:tcMar>
          </w:tcPr>
          <w:p w:rsidR="006B6965" w:rsidRDefault="003A166B" w14:paraId="08032EE4" w14:textId="77777777">
            <w:pPr>
              <w:pStyle w:val="p-table"/>
              <w:jc w:val="right"/>
              <w:rPr>
                <w:sz w:val="17"/>
              </w:rPr>
            </w:pPr>
            <w:r>
              <w:rPr>
                <w:sz w:val="17"/>
              </w:rPr>
              <w:t>11.850</w:t>
            </w:r>
          </w:p>
        </w:tc>
        <w:tc>
          <w:tcPr>
            <w:tcW w:w="1377" w:type="dxa"/>
            <w:tcBorders>
              <w:bottom w:val="single" w:color="009EE0" w:sz="2" w:space="0"/>
            </w:tcBorders>
            <w:tcMar>
              <w:top w:w="22" w:type="dxa"/>
              <w:left w:w="28" w:type="dxa"/>
              <w:bottom w:w="22" w:type="dxa"/>
              <w:right w:w="28" w:type="dxa"/>
            </w:tcMar>
          </w:tcPr>
          <w:p w:rsidR="006B6965" w:rsidRDefault="003A166B" w14:paraId="7D2A8A8F" w14:textId="77777777">
            <w:pPr>
              <w:pStyle w:val="p-table"/>
              <w:jc w:val="right"/>
              <w:rPr>
                <w:sz w:val="17"/>
              </w:rPr>
            </w:pPr>
            <w:r>
              <w:rPr>
                <w:sz w:val="17"/>
              </w:rPr>
              <w:t>19.767</w:t>
            </w:r>
          </w:p>
        </w:tc>
      </w:tr>
      <w:tr w:rsidR="006B6965" w14:paraId="493C99C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830CE5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36856C4" w14:textId="77777777">
            <w:pPr>
              <w:pStyle w:val="p-table"/>
              <w:rPr>
                <w:sz w:val="17"/>
              </w:rPr>
            </w:pPr>
            <w:r>
              <w:rPr>
                <w:sz w:val="17"/>
              </w:rPr>
              <w:t>RWS Leefomgeving</w:t>
            </w:r>
          </w:p>
        </w:tc>
        <w:tc>
          <w:tcPr>
            <w:tcW w:w="1377" w:type="dxa"/>
            <w:tcBorders>
              <w:bottom w:val="single" w:color="009EE0" w:sz="2" w:space="0"/>
            </w:tcBorders>
            <w:tcMar>
              <w:top w:w="22" w:type="dxa"/>
              <w:left w:w="28" w:type="dxa"/>
              <w:bottom w:w="22" w:type="dxa"/>
              <w:right w:w="28" w:type="dxa"/>
            </w:tcMar>
          </w:tcPr>
          <w:p w:rsidR="006B6965" w:rsidRDefault="003A166B" w14:paraId="14D56669" w14:textId="77777777">
            <w:pPr>
              <w:pStyle w:val="p-table"/>
              <w:jc w:val="right"/>
              <w:rPr>
                <w:sz w:val="17"/>
              </w:rPr>
            </w:pPr>
            <w:r>
              <w:rPr>
                <w:sz w:val="17"/>
              </w:rPr>
              <w:t>1.835</w:t>
            </w:r>
          </w:p>
        </w:tc>
        <w:tc>
          <w:tcPr>
            <w:tcW w:w="1377" w:type="dxa"/>
            <w:tcBorders>
              <w:bottom w:val="single" w:color="009EE0" w:sz="2" w:space="0"/>
            </w:tcBorders>
            <w:tcMar>
              <w:top w:w="22" w:type="dxa"/>
              <w:left w:w="28" w:type="dxa"/>
              <w:bottom w:w="22" w:type="dxa"/>
              <w:right w:w="28" w:type="dxa"/>
            </w:tcMar>
          </w:tcPr>
          <w:p w:rsidR="006B6965" w:rsidRDefault="003A166B" w14:paraId="59C68F6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1774FC9" w14:textId="77777777">
            <w:pPr>
              <w:pStyle w:val="p-table"/>
              <w:jc w:val="right"/>
              <w:rPr>
                <w:sz w:val="17"/>
              </w:rPr>
            </w:pPr>
            <w:r>
              <w:rPr>
                <w:sz w:val="17"/>
              </w:rPr>
              <w:t>1.835</w:t>
            </w:r>
          </w:p>
        </w:tc>
      </w:tr>
      <w:tr w:rsidR="006B6965" w14:paraId="5925AB8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4E527C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63338F5" w14:textId="77777777">
            <w:pPr>
              <w:pStyle w:val="p-table"/>
              <w:rPr>
                <w:sz w:val="17"/>
              </w:rPr>
            </w:pPr>
            <w:r>
              <w:rPr>
                <w:sz w:val="17"/>
              </w:rPr>
              <w:t xml:space="preserve">Fysieke </w:t>
            </w:r>
            <w:r>
              <w:rPr>
                <w:sz w:val="17"/>
              </w:rPr>
              <w:t>Leefomgeving Omgevingswet (FLOW)</w:t>
            </w:r>
          </w:p>
        </w:tc>
        <w:tc>
          <w:tcPr>
            <w:tcW w:w="1377" w:type="dxa"/>
            <w:tcBorders>
              <w:bottom w:val="single" w:color="009EE0" w:sz="2" w:space="0"/>
            </w:tcBorders>
            <w:tcMar>
              <w:top w:w="22" w:type="dxa"/>
              <w:left w:w="28" w:type="dxa"/>
              <w:bottom w:w="22" w:type="dxa"/>
              <w:right w:w="28" w:type="dxa"/>
            </w:tcMar>
          </w:tcPr>
          <w:p w:rsidR="006B6965" w:rsidRDefault="003A166B" w14:paraId="061CF609" w14:textId="77777777">
            <w:pPr>
              <w:pStyle w:val="p-table"/>
              <w:jc w:val="right"/>
              <w:rPr>
                <w:sz w:val="17"/>
              </w:rPr>
            </w:pPr>
            <w:r>
              <w:rPr>
                <w:sz w:val="17"/>
              </w:rPr>
              <w:t>792</w:t>
            </w:r>
          </w:p>
        </w:tc>
        <w:tc>
          <w:tcPr>
            <w:tcW w:w="1377" w:type="dxa"/>
            <w:tcBorders>
              <w:bottom w:val="single" w:color="009EE0" w:sz="2" w:space="0"/>
            </w:tcBorders>
            <w:tcMar>
              <w:top w:w="22" w:type="dxa"/>
              <w:left w:w="28" w:type="dxa"/>
              <w:bottom w:w="22" w:type="dxa"/>
              <w:right w:w="28" w:type="dxa"/>
            </w:tcMar>
          </w:tcPr>
          <w:p w:rsidR="006B6965" w:rsidRDefault="003A166B" w14:paraId="20176162" w14:textId="77777777">
            <w:pPr>
              <w:pStyle w:val="p-table"/>
              <w:jc w:val="right"/>
              <w:rPr>
                <w:sz w:val="17"/>
              </w:rPr>
            </w:pPr>
            <w:r>
              <w:rPr>
                <w:sz w:val="17"/>
              </w:rPr>
              <w:t>‒</w:t>
            </w:r>
            <w:r>
              <w:rPr>
                <w:sz w:val="17"/>
              </w:rPr>
              <w:t xml:space="preserve"> 114</w:t>
            </w:r>
          </w:p>
        </w:tc>
        <w:tc>
          <w:tcPr>
            <w:tcW w:w="1377" w:type="dxa"/>
            <w:tcBorders>
              <w:bottom w:val="single" w:color="009EE0" w:sz="2" w:space="0"/>
            </w:tcBorders>
            <w:tcMar>
              <w:top w:w="22" w:type="dxa"/>
              <w:left w:w="28" w:type="dxa"/>
              <w:bottom w:w="22" w:type="dxa"/>
              <w:right w:w="28" w:type="dxa"/>
            </w:tcMar>
          </w:tcPr>
          <w:p w:rsidR="006B6965" w:rsidRDefault="003A166B" w14:paraId="3BFFA33A" w14:textId="77777777">
            <w:pPr>
              <w:pStyle w:val="p-table"/>
              <w:jc w:val="right"/>
              <w:rPr>
                <w:sz w:val="17"/>
              </w:rPr>
            </w:pPr>
            <w:r>
              <w:rPr>
                <w:sz w:val="17"/>
              </w:rPr>
              <w:t>678</w:t>
            </w:r>
          </w:p>
        </w:tc>
      </w:tr>
      <w:tr w:rsidR="006B6965" w14:paraId="36E0D9D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5315FF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23C2482"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78516085" w14:textId="77777777">
            <w:pPr>
              <w:pStyle w:val="p-table"/>
              <w:jc w:val="right"/>
              <w:rPr>
                <w:sz w:val="17"/>
              </w:rPr>
            </w:pPr>
            <w:r>
              <w:rPr>
                <w:sz w:val="17"/>
              </w:rPr>
              <w:t>2.691</w:t>
            </w:r>
          </w:p>
        </w:tc>
        <w:tc>
          <w:tcPr>
            <w:tcW w:w="1377" w:type="dxa"/>
            <w:tcBorders>
              <w:bottom w:val="single" w:color="009EE0" w:sz="2" w:space="0"/>
            </w:tcBorders>
            <w:tcMar>
              <w:top w:w="22" w:type="dxa"/>
              <w:left w:w="28" w:type="dxa"/>
              <w:bottom w:w="22" w:type="dxa"/>
              <w:right w:w="28" w:type="dxa"/>
            </w:tcMar>
          </w:tcPr>
          <w:p w:rsidR="006B6965" w:rsidRDefault="003A166B" w14:paraId="64F0D197" w14:textId="77777777">
            <w:pPr>
              <w:pStyle w:val="p-table"/>
              <w:jc w:val="right"/>
              <w:rPr>
                <w:sz w:val="17"/>
              </w:rPr>
            </w:pPr>
            <w:r>
              <w:rPr>
                <w:sz w:val="17"/>
              </w:rPr>
              <w:t>205</w:t>
            </w:r>
          </w:p>
        </w:tc>
        <w:tc>
          <w:tcPr>
            <w:tcW w:w="1377" w:type="dxa"/>
            <w:tcBorders>
              <w:bottom w:val="single" w:color="009EE0" w:sz="2" w:space="0"/>
            </w:tcBorders>
            <w:tcMar>
              <w:top w:w="22" w:type="dxa"/>
              <w:left w:w="28" w:type="dxa"/>
              <w:bottom w:w="22" w:type="dxa"/>
              <w:right w:w="28" w:type="dxa"/>
            </w:tcMar>
          </w:tcPr>
          <w:p w:rsidR="006B6965" w:rsidRDefault="003A166B" w14:paraId="05A570B1" w14:textId="77777777">
            <w:pPr>
              <w:pStyle w:val="p-table"/>
              <w:jc w:val="right"/>
              <w:rPr>
                <w:sz w:val="17"/>
              </w:rPr>
            </w:pPr>
            <w:r>
              <w:rPr>
                <w:sz w:val="17"/>
              </w:rPr>
              <w:t>2.896</w:t>
            </w:r>
          </w:p>
        </w:tc>
      </w:tr>
      <w:tr w:rsidR="006B6965" w14:paraId="65DAABC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B11048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6E6EA6A"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63BB894C" w14:textId="77777777">
            <w:pPr>
              <w:pStyle w:val="p-table"/>
              <w:jc w:val="right"/>
              <w:rPr>
                <w:sz w:val="17"/>
              </w:rPr>
            </w:pPr>
            <w:r>
              <w:rPr>
                <w:i/>
                <w:sz w:val="17"/>
              </w:rPr>
              <w:t>28.058</w:t>
            </w:r>
          </w:p>
        </w:tc>
        <w:tc>
          <w:tcPr>
            <w:tcW w:w="1377" w:type="dxa"/>
            <w:tcBorders>
              <w:bottom w:val="single" w:color="009EE0" w:sz="2" w:space="0"/>
            </w:tcBorders>
            <w:tcMar>
              <w:top w:w="22" w:type="dxa"/>
              <w:left w:w="28" w:type="dxa"/>
              <w:bottom w:w="22" w:type="dxa"/>
              <w:right w:w="28" w:type="dxa"/>
            </w:tcMar>
          </w:tcPr>
          <w:p w:rsidR="006B6965" w:rsidRDefault="003A166B" w14:paraId="2C8F0991" w14:textId="77777777">
            <w:pPr>
              <w:pStyle w:val="p-table"/>
              <w:jc w:val="right"/>
              <w:rPr>
                <w:sz w:val="17"/>
              </w:rPr>
            </w:pPr>
            <w:r>
              <w:rPr>
                <w:i/>
                <w:sz w:val="17"/>
              </w:rPr>
              <w:t>‒</w:t>
            </w:r>
            <w:r>
              <w:rPr>
                <w:i/>
                <w:sz w:val="17"/>
              </w:rPr>
              <w:t xml:space="preserve"> 7.122</w:t>
            </w:r>
          </w:p>
        </w:tc>
        <w:tc>
          <w:tcPr>
            <w:tcW w:w="1377" w:type="dxa"/>
            <w:tcBorders>
              <w:bottom w:val="single" w:color="009EE0" w:sz="2" w:space="0"/>
            </w:tcBorders>
            <w:tcMar>
              <w:top w:w="22" w:type="dxa"/>
              <w:left w:w="28" w:type="dxa"/>
              <w:bottom w:w="22" w:type="dxa"/>
              <w:right w:w="28" w:type="dxa"/>
            </w:tcMar>
          </w:tcPr>
          <w:p w:rsidR="006B6965" w:rsidRDefault="003A166B" w14:paraId="066EDB2B" w14:textId="77777777">
            <w:pPr>
              <w:pStyle w:val="p-table"/>
              <w:jc w:val="right"/>
              <w:rPr>
                <w:sz w:val="17"/>
              </w:rPr>
            </w:pPr>
            <w:r>
              <w:rPr>
                <w:i/>
                <w:sz w:val="17"/>
              </w:rPr>
              <w:t>20.936</w:t>
            </w:r>
          </w:p>
        </w:tc>
      </w:tr>
      <w:tr w:rsidR="006B6965" w14:paraId="6F809D8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0FCE31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0A17FA3" w14:textId="77777777">
            <w:pPr>
              <w:pStyle w:val="p-table"/>
              <w:rPr>
                <w:sz w:val="17"/>
              </w:rPr>
            </w:pPr>
            <w:r>
              <w:rPr>
                <w:sz w:val="17"/>
              </w:rPr>
              <w:t>Bedrijvenregeling</w:t>
            </w:r>
          </w:p>
        </w:tc>
        <w:tc>
          <w:tcPr>
            <w:tcW w:w="1377" w:type="dxa"/>
            <w:tcBorders>
              <w:bottom w:val="single" w:color="009EE0" w:sz="2" w:space="0"/>
            </w:tcBorders>
            <w:tcMar>
              <w:top w:w="22" w:type="dxa"/>
              <w:left w:w="28" w:type="dxa"/>
              <w:bottom w:w="22" w:type="dxa"/>
              <w:right w:w="28" w:type="dxa"/>
            </w:tcMar>
          </w:tcPr>
          <w:p w:rsidR="006B6965" w:rsidRDefault="003A166B" w14:paraId="5EAA8194" w14:textId="77777777">
            <w:pPr>
              <w:pStyle w:val="p-table"/>
              <w:jc w:val="right"/>
              <w:rPr>
                <w:sz w:val="17"/>
              </w:rPr>
            </w:pPr>
            <w:r>
              <w:rPr>
                <w:sz w:val="17"/>
              </w:rPr>
              <w:t>17.380</w:t>
            </w:r>
          </w:p>
        </w:tc>
        <w:tc>
          <w:tcPr>
            <w:tcW w:w="1377" w:type="dxa"/>
            <w:tcBorders>
              <w:bottom w:val="single" w:color="009EE0" w:sz="2" w:space="0"/>
            </w:tcBorders>
            <w:tcMar>
              <w:top w:w="22" w:type="dxa"/>
              <w:left w:w="28" w:type="dxa"/>
              <w:bottom w:w="22" w:type="dxa"/>
              <w:right w:w="28" w:type="dxa"/>
            </w:tcMar>
          </w:tcPr>
          <w:p w:rsidR="006B6965" w:rsidRDefault="003A166B" w14:paraId="4E3A0426" w14:textId="77777777">
            <w:pPr>
              <w:pStyle w:val="p-table"/>
              <w:jc w:val="right"/>
              <w:rPr>
                <w:sz w:val="17"/>
              </w:rPr>
            </w:pPr>
            <w:r>
              <w:rPr>
                <w:sz w:val="17"/>
              </w:rPr>
              <w:t>‒</w:t>
            </w:r>
            <w:r>
              <w:rPr>
                <w:sz w:val="17"/>
              </w:rPr>
              <w:t xml:space="preserve"> 7.050</w:t>
            </w:r>
          </w:p>
        </w:tc>
        <w:tc>
          <w:tcPr>
            <w:tcW w:w="1377" w:type="dxa"/>
            <w:tcBorders>
              <w:bottom w:val="single" w:color="009EE0" w:sz="2" w:space="0"/>
            </w:tcBorders>
            <w:tcMar>
              <w:top w:w="22" w:type="dxa"/>
              <w:left w:w="28" w:type="dxa"/>
              <w:bottom w:w="22" w:type="dxa"/>
              <w:right w:w="28" w:type="dxa"/>
            </w:tcMar>
          </w:tcPr>
          <w:p w:rsidR="006B6965" w:rsidRDefault="003A166B" w14:paraId="22BE0989" w14:textId="77777777">
            <w:pPr>
              <w:pStyle w:val="p-table"/>
              <w:jc w:val="right"/>
              <w:rPr>
                <w:sz w:val="17"/>
              </w:rPr>
            </w:pPr>
            <w:r>
              <w:rPr>
                <w:sz w:val="17"/>
              </w:rPr>
              <w:t>10.330</w:t>
            </w:r>
          </w:p>
        </w:tc>
      </w:tr>
      <w:tr w:rsidR="006B6965" w14:paraId="4FA0124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428AFF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7F47CAA" w14:textId="77777777">
            <w:pPr>
              <w:pStyle w:val="p-table"/>
              <w:rPr>
                <w:sz w:val="17"/>
              </w:rPr>
            </w:pPr>
            <w:r>
              <w:rPr>
                <w:sz w:val="17"/>
              </w:rPr>
              <w:t>Subsidie Caribisch Nederland</w:t>
            </w:r>
          </w:p>
        </w:tc>
        <w:tc>
          <w:tcPr>
            <w:tcW w:w="1377" w:type="dxa"/>
            <w:tcBorders>
              <w:bottom w:val="single" w:color="009EE0" w:sz="2" w:space="0"/>
            </w:tcBorders>
            <w:tcMar>
              <w:top w:w="22" w:type="dxa"/>
              <w:left w:w="28" w:type="dxa"/>
              <w:bottom w:w="22" w:type="dxa"/>
              <w:right w:w="28" w:type="dxa"/>
            </w:tcMar>
          </w:tcPr>
          <w:p w:rsidR="006B6965" w:rsidRDefault="003A166B" w14:paraId="195F53FC" w14:textId="77777777">
            <w:pPr>
              <w:pStyle w:val="p-table"/>
              <w:jc w:val="right"/>
              <w:rPr>
                <w:sz w:val="17"/>
              </w:rPr>
            </w:pPr>
            <w:r>
              <w:rPr>
                <w:sz w:val="17"/>
              </w:rPr>
              <w:t>10.285</w:t>
            </w:r>
          </w:p>
        </w:tc>
        <w:tc>
          <w:tcPr>
            <w:tcW w:w="1377" w:type="dxa"/>
            <w:tcBorders>
              <w:bottom w:val="single" w:color="009EE0" w:sz="2" w:space="0"/>
            </w:tcBorders>
            <w:tcMar>
              <w:top w:w="22" w:type="dxa"/>
              <w:left w:w="28" w:type="dxa"/>
              <w:bottom w:w="22" w:type="dxa"/>
              <w:right w:w="28" w:type="dxa"/>
            </w:tcMar>
          </w:tcPr>
          <w:p w:rsidR="006B6965" w:rsidRDefault="003A166B" w14:paraId="7925B64C" w14:textId="77777777">
            <w:pPr>
              <w:pStyle w:val="p-table"/>
              <w:jc w:val="right"/>
              <w:rPr>
                <w:sz w:val="17"/>
              </w:rPr>
            </w:pPr>
            <w:r>
              <w:rPr>
                <w:sz w:val="17"/>
              </w:rPr>
              <w:t>‒</w:t>
            </w:r>
            <w:r>
              <w:rPr>
                <w:sz w:val="17"/>
              </w:rPr>
              <w:t xml:space="preserve"> 72</w:t>
            </w:r>
          </w:p>
        </w:tc>
        <w:tc>
          <w:tcPr>
            <w:tcW w:w="1377" w:type="dxa"/>
            <w:tcBorders>
              <w:bottom w:val="single" w:color="009EE0" w:sz="2" w:space="0"/>
            </w:tcBorders>
            <w:tcMar>
              <w:top w:w="22" w:type="dxa"/>
              <w:left w:w="28" w:type="dxa"/>
              <w:bottom w:w="22" w:type="dxa"/>
              <w:right w:w="28" w:type="dxa"/>
            </w:tcMar>
          </w:tcPr>
          <w:p w:rsidR="006B6965" w:rsidRDefault="003A166B" w14:paraId="36CF73F3" w14:textId="77777777">
            <w:pPr>
              <w:pStyle w:val="p-table"/>
              <w:jc w:val="right"/>
              <w:rPr>
                <w:sz w:val="17"/>
              </w:rPr>
            </w:pPr>
            <w:r>
              <w:rPr>
                <w:sz w:val="17"/>
              </w:rPr>
              <w:t>10.213</w:t>
            </w:r>
          </w:p>
        </w:tc>
      </w:tr>
      <w:tr w:rsidR="006B6965" w14:paraId="51DA8D0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AEB432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E7C22EF"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3B54F6A7" w14:textId="77777777">
            <w:pPr>
              <w:pStyle w:val="p-table"/>
              <w:jc w:val="right"/>
              <w:rPr>
                <w:sz w:val="17"/>
              </w:rPr>
            </w:pPr>
            <w:r>
              <w:rPr>
                <w:sz w:val="17"/>
              </w:rPr>
              <w:t>393</w:t>
            </w:r>
          </w:p>
        </w:tc>
        <w:tc>
          <w:tcPr>
            <w:tcW w:w="1377" w:type="dxa"/>
            <w:tcBorders>
              <w:bottom w:val="single" w:color="009EE0" w:sz="2" w:space="0"/>
            </w:tcBorders>
            <w:tcMar>
              <w:top w:w="22" w:type="dxa"/>
              <w:left w:w="28" w:type="dxa"/>
              <w:bottom w:w="22" w:type="dxa"/>
              <w:right w:w="28" w:type="dxa"/>
            </w:tcMar>
          </w:tcPr>
          <w:p w:rsidR="006B6965" w:rsidRDefault="003A166B" w14:paraId="4587379D"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F6D5ECB" w14:textId="77777777">
            <w:pPr>
              <w:pStyle w:val="p-table"/>
              <w:jc w:val="right"/>
              <w:rPr>
                <w:sz w:val="17"/>
              </w:rPr>
            </w:pPr>
            <w:r>
              <w:rPr>
                <w:sz w:val="17"/>
              </w:rPr>
              <w:t>393</w:t>
            </w:r>
          </w:p>
        </w:tc>
      </w:tr>
      <w:tr w:rsidR="006B6965" w14:paraId="4512316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860318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D5A1EC1"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755AA9DA" w14:textId="77777777">
            <w:pPr>
              <w:pStyle w:val="p-table"/>
              <w:jc w:val="right"/>
              <w:rPr>
                <w:sz w:val="17"/>
              </w:rPr>
            </w:pPr>
            <w:r>
              <w:rPr>
                <w:i/>
                <w:sz w:val="17"/>
              </w:rPr>
              <w:t>11.362</w:t>
            </w:r>
          </w:p>
        </w:tc>
        <w:tc>
          <w:tcPr>
            <w:tcW w:w="1377" w:type="dxa"/>
            <w:tcBorders>
              <w:bottom w:val="single" w:color="009EE0" w:sz="2" w:space="0"/>
            </w:tcBorders>
            <w:tcMar>
              <w:top w:w="22" w:type="dxa"/>
              <w:left w:w="28" w:type="dxa"/>
              <w:bottom w:w="22" w:type="dxa"/>
              <w:right w:w="28" w:type="dxa"/>
            </w:tcMar>
          </w:tcPr>
          <w:p w:rsidR="006B6965" w:rsidRDefault="003A166B" w14:paraId="323304EF" w14:textId="77777777">
            <w:pPr>
              <w:pStyle w:val="p-table"/>
              <w:jc w:val="right"/>
              <w:rPr>
                <w:sz w:val="17"/>
              </w:rPr>
            </w:pPr>
            <w:r>
              <w:rPr>
                <w:i/>
                <w:sz w:val="17"/>
              </w:rPr>
              <w:t>404</w:t>
            </w:r>
          </w:p>
        </w:tc>
        <w:tc>
          <w:tcPr>
            <w:tcW w:w="1377" w:type="dxa"/>
            <w:tcBorders>
              <w:bottom w:val="single" w:color="009EE0" w:sz="2" w:space="0"/>
            </w:tcBorders>
            <w:tcMar>
              <w:top w:w="22" w:type="dxa"/>
              <w:left w:w="28" w:type="dxa"/>
              <w:bottom w:w="22" w:type="dxa"/>
              <w:right w:w="28" w:type="dxa"/>
            </w:tcMar>
          </w:tcPr>
          <w:p w:rsidR="006B6965" w:rsidRDefault="003A166B" w14:paraId="6A511EA9" w14:textId="77777777">
            <w:pPr>
              <w:pStyle w:val="p-table"/>
              <w:jc w:val="right"/>
              <w:rPr>
                <w:sz w:val="17"/>
              </w:rPr>
            </w:pPr>
            <w:r>
              <w:rPr>
                <w:i/>
                <w:sz w:val="17"/>
              </w:rPr>
              <w:t>11.766</w:t>
            </w:r>
          </w:p>
        </w:tc>
      </w:tr>
      <w:tr w:rsidR="006B6965" w14:paraId="2A0E275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5FF225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7D5A4ED" w14:textId="77777777">
            <w:pPr>
              <w:pStyle w:val="p-table"/>
              <w:rPr>
                <w:sz w:val="17"/>
              </w:rPr>
            </w:pPr>
            <w:r>
              <w:rPr>
                <w:sz w:val="17"/>
              </w:rPr>
              <w:t>Bijdrage aan agentschap RWS</w:t>
            </w:r>
          </w:p>
        </w:tc>
        <w:tc>
          <w:tcPr>
            <w:tcW w:w="1377" w:type="dxa"/>
            <w:tcBorders>
              <w:bottom w:val="single" w:color="009EE0" w:sz="2" w:space="0"/>
            </w:tcBorders>
            <w:tcMar>
              <w:top w:w="22" w:type="dxa"/>
              <w:left w:w="28" w:type="dxa"/>
              <w:bottom w:w="22" w:type="dxa"/>
              <w:right w:w="28" w:type="dxa"/>
            </w:tcMar>
          </w:tcPr>
          <w:p w:rsidR="006B6965" w:rsidRDefault="003A166B" w14:paraId="2A24BD7D" w14:textId="77777777">
            <w:pPr>
              <w:pStyle w:val="p-table"/>
              <w:jc w:val="right"/>
              <w:rPr>
                <w:sz w:val="17"/>
              </w:rPr>
            </w:pPr>
            <w:r>
              <w:rPr>
                <w:sz w:val="17"/>
              </w:rPr>
              <w:t>4.669</w:t>
            </w:r>
          </w:p>
        </w:tc>
        <w:tc>
          <w:tcPr>
            <w:tcW w:w="1377" w:type="dxa"/>
            <w:tcBorders>
              <w:bottom w:val="single" w:color="009EE0" w:sz="2" w:space="0"/>
            </w:tcBorders>
            <w:tcMar>
              <w:top w:w="22" w:type="dxa"/>
              <w:left w:w="28" w:type="dxa"/>
              <w:bottom w:w="22" w:type="dxa"/>
              <w:right w:w="28" w:type="dxa"/>
            </w:tcMar>
          </w:tcPr>
          <w:p w:rsidR="006B6965" w:rsidRDefault="003A166B" w14:paraId="5E863063"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CFB26D8" w14:textId="77777777">
            <w:pPr>
              <w:pStyle w:val="p-table"/>
              <w:jc w:val="right"/>
              <w:rPr>
                <w:sz w:val="17"/>
              </w:rPr>
            </w:pPr>
            <w:r>
              <w:rPr>
                <w:sz w:val="17"/>
              </w:rPr>
              <w:t>4.669</w:t>
            </w:r>
          </w:p>
        </w:tc>
      </w:tr>
      <w:tr w:rsidR="006B6965" w14:paraId="62FAE45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C087D5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CBD3DAE" w14:textId="77777777">
            <w:pPr>
              <w:pStyle w:val="p-table"/>
              <w:rPr>
                <w:sz w:val="17"/>
              </w:rPr>
            </w:pPr>
            <w:r>
              <w:rPr>
                <w:sz w:val="17"/>
              </w:rPr>
              <w:t>Bijdrage aan agentschap RIVM</w:t>
            </w:r>
          </w:p>
        </w:tc>
        <w:tc>
          <w:tcPr>
            <w:tcW w:w="1377" w:type="dxa"/>
            <w:tcBorders>
              <w:bottom w:val="single" w:color="009EE0" w:sz="2" w:space="0"/>
            </w:tcBorders>
            <w:tcMar>
              <w:top w:w="22" w:type="dxa"/>
              <w:left w:w="28" w:type="dxa"/>
              <w:bottom w:w="22" w:type="dxa"/>
              <w:right w:w="28" w:type="dxa"/>
            </w:tcMar>
          </w:tcPr>
          <w:p w:rsidR="006B6965" w:rsidRDefault="003A166B" w14:paraId="32F43CB7" w14:textId="77777777">
            <w:pPr>
              <w:pStyle w:val="p-table"/>
              <w:jc w:val="right"/>
              <w:rPr>
                <w:sz w:val="17"/>
              </w:rPr>
            </w:pPr>
            <w:r>
              <w:rPr>
                <w:sz w:val="17"/>
              </w:rPr>
              <w:t>6.693</w:t>
            </w:r>
          </w:p>
        </w:tc>
        <w:tc>
          <w:tcPr>
            <w:tcW w:w="1377" w:type="dxa"/>
            <w:tcBorders>
              <w:bottom w:val="single" w:color="009EE0" w:sz="2" w:space="0"/>
            </w:tcBorders>
            <w:tcMar>
              <w:top w:w="22" w:type="dxa"/>
              <w:left w:w="28" w:type="dxa"/>
              <w:bottom w:w="22" w:type="dxa"/>
              <w:right w:w="28" w:type="dxa"/>
            </w:tcMar>
          </w:tcPr>
          <w:p w:rsidR="006B6965" w:rsidRDefault="003A166B" w14:paraId="5EC9FFBC" w14:textId="77777777">
            <w:pPr>
              <w:pStyle w:val="p-table"/>
              <w:jc w:val="right"/>
              <w:rPr>
                <w:sz w:val="17"/>
              </w:rPr>
            </w:pPr>
            <w:r>
              <w:rPr>
                <w:sz w:val="17"/>
              </w:rPr>
              <w:t>404</w:t>
            </w:r>
          </w:p>
        </w:tc>
        <w:tc>
          <w:tcPr>
            <w:tcW w:w="1377" w:type="dxa"/>
            <w:tcBorders>
              <w:bottom w:val="single" w:color="009EE0" w:sz="2" w:space="0"/>
            </w:tcBorders>
            <w:tcMar>
              <w:top w:w="22" w:type="dxa"/>
              <w:left w:w="28" w:type="dxa"/>
              <w:bottom w:w="22" w:type="dxa"/>
              <w:right w:w="28" w:type="dxa"/>
            </w:tcMar>
          </w:tcPr>
          <w:p w:rsidR="006B6965" w:rsidRDefault="003A166B" w14:paraId="0664C58A" w14:textId="77777777">
            <w:pPr>
              <w:pStyle w:val="p-table"/>
              <w:jc w:val="right"/>
              <w:rPr>
                <w:sz w:val="17"/>
              </w:rPr>
            </w:pPr>
            <w:r>
              <w:rPr>
                <w:sz w:val="17"/>
              </w:rPr>
              <w:t>7.097</w:t>
            </w:r>
          </w:p>
        </w:tc>
      </w:tr>
      <w:tr w:rsidR="006B6965" w14:paraId="3D18DC2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E17F4E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81B9E23"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268E5220" w14:textId="77777777">
            <w:pPr>
              <w:pStyle w:val="p-table"/>
              <w:jc w:val="right"/>
              <w:rPr>
                <w:sz w:val="17"/>
              </w:rPr>
            </w:pPr>
            <w:r>
              <w:rPr>
                <w:i/>
                <w:sz w:val="17"/>
              </w:rPr>
              <w:t>83.010</w:t>
            </w:r>
          </w:p>
        </w:tc>
        <w:tc>
          <w:tcPr>
            <w:tcW w:w="1377" w:type="dxa"/>
            <w:tcBorders>
              <w:bottom w:val="single" w:color="009EE0" w:sz="2" w:space="0"/>
            </w:tcBorders>
            <w:tcMar>
              <w:top w:w="22" w:type="dxa"/>
              <w:left w:w="28" w:type="dxa"/>
              <w:bottom w:w="22" w:type="dxa"/>
              <w:right w:w="28" w:type="dxa"/>
            </w:tcMar>
          </w:tcPr>
          <w:p w:rsidR="006B6965" w:rsidRDefault="003A166B" w14:paraId="3CF14BF3" w14:textId="77777777">
            <w:pPr>
              <w:pStyle w:val="p-table"/>
              <w:jc w:val="right"/>
              <w:rPr>
                <w:sz w:val="17"/>
              </w:rPr>
            </w:pPr>
            <w:r>
              <w:rPr>
                <w:i/>
                <w:sz w:val="17"/>
              </w:rPr>
              <w:t>‒</w:t>
            </w:r>
            <w:r>
              <w:rPr>
                <w:i/>
                <w:sz w:val="17"/>
              </w:rPr>
              <w:t xml:space="preserve"> 4.889</w:t>
            </w:r>
          </w:p>
        </w:tc>
        <w:tc>
          <w:tcPr>
            <w:tcW w:w="1377" w:type="dxa"/>
            <w:tcBorders>
              <w:bottom w:val="single" w:color="009EE0" w:sz="2" w:space="0"/>
            </w:tcBorders>
            <w:tcMar>
              <w:top w:w="22" w:type="dxa"/>
              <w:left w:w="28" w:type="dxa"/>
              <w:bottom w:w="22" w:type="dxa"/>
              <w:right w:w="28" w:type="dxa"/>
            </w:tcMar>
          </w:tcPr>
          <w:p w:rsidR="006B6965" w:rsidRDefault="003A166B" w14:paraId="0FFB7735" w14:textId="77777777">
            <w:pPr>
              <w:pStyle w:val="p-table"/>
              <w:jc w:val="right"/>
              <w:rPr>
                <w:sz w:val="17"/>
              </w:rPr>
            </w:pPr>
            <w:r>
              <w:rPr>
                <w:i/>
                <w:sz w:val="17"/>
              </w:rPr>
              <w:t>78.121</w:t>
            </w:r>
          </w:p>
        </w:tc>
      </w:tr>
      <w:tr w:rsidR="006B6965" w14:paraId="0898314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DC1E0C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1DA6AF3" w14:textId="77777777">
            <w:pPr>
              <w:pStyle w:val="p-table"/>
              <w:rPr>
                <w:sz w:val="17"/>
              </w:rPr>
            </w:pPr>
            <w:r>
              <w:rPr>
                <w:sz w:val="17"/>
              </w:rPr>
              <w:t>Meerjarenprogramma Bodem</w:t>
            </w:r>
          </w:p>
        </w:tc>
        <w:tc>
          <w:tcPr>
            <w:tcW w:w="1377" w:type="dxa"/>
            <w:tcBorders>
              <w:bottom w:val="single" w:color="009EE0" w:sz="2" w:space="0"/>
            </w:tcBorders>
            <w:tcMar>
              <w:top w:w="22" w:type="dxa"/>
              <w:left w:w="28" w:type="dxa"/>
              <w:bottom w:w="22" w:type="dxa"/>
              <w:right w:w="28" w:type="dxa"/>
            </w:tcMar>
          </w:tcPr>
          <w:p w:rsidR="006B6965" w:rsidRDefault="003A166B" w14:paraId="0345A899" w14:textId="77777777">
            <w:pPr>
              <w:pStyle w:val="p-table"/>
              <w:jc w:val="right"/>
              <w:rPr>
                <w:sz w:val="17"/>
              </w:rPr>
            </w:pPr>
            <w:r>
              <w:rPr>
                <w:sz w:val="17"/>
              </w:rPr>
              <w:t>83.010</w:t>
            </w:r>
          </w:p>
        </w:tc>
        <w:tc>
          <w:tcPr>
            <w:tcW w:w="1377" w:type="dxa"/>
            <w:tcBorders>
              <w:bottom w:val="single" w:color="009EE0" w:sz="2" w:space="0"/>
            </w:tcBorders>
            <w:tcMar>
              <w:top w:w="22" w:type="dxa"/>
              <w:left w:w="28" w:type="dxa"/>
              <w:bottom w:w="22" w:type="dxa"/>
              <w:right w:w="28" w:type="dxa"/>
            </w:tcMar>
          </w:tcPr>
          <w:p w:rsidR="006B6965" w:rsidRDefault="003A166B" w14:paraId="2261B187" w14:textId="77777777">
            <w:pPr>
              <w:pStyle w:val="p-table"/>
              <w:jc w:val="right"/>
              <w:rPr>
                <w:sz w:val="17"/>
              </w:rPr>
            </w:pPr>
            <w:r>
              <w:rPr>
                <w:sz w:val="17"/>
              </w:rPr>
              <w:t>‒</w:t>
            </w:r>
            <w:r>
              <w:rPr>
                <w:sz w:val="17"/>
              </w:rPr>
              <w:t xml:space="preserve"> 4.889</w:t>
            </w:r>
          </w:p>
        </w:tc>
        <w:tc>
          <w:tcPr>
            <w:tcW w:w="1377" w:type="dxa"/>
            <w:tcBorders>
              <w:bottom w:val="single" w:color="009EE0" w:sz="2" w:space="0"/>
            </w:tcBorders>
            <w:tcMar>
              <w:top w:w="22" w:type="dxa"/>
              <w:left w:w="28" w:type="dxa"/>
              <w:bottom w:w="22" w:type="dxa"/>
              <w:right w:w="28" w:type="dxa"/>
            </w:tcMar>
          </w:tcPr>
          <w:p w:rsidR="006B6965" w:rsidRDefault="003A166B" w14:paraId="18E44783" w14:textId="77777777">
            <w:pPr>
              <w:pStyle w:val="p-table"/>
              <w:jc w:val="right"/>
              <w:rPr>
                <w:sz w:val="17"/>
              </w:rPr>
            </w:pPr>
            <w:r>
              <w:rPr>
                <w:sz w:val="17"/>
              </w:rPr>
              <w:t>78.121</w:t>
            </w:r>
          </w:p>
        </w:tc>
      </w:tr>
      <w:tr w:rsidR="006B6965" w14:paraId="66359D6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1A8201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9E46A1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AC6329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08ED27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22C3D3A" w14:textId="77777777">
            <w:pPr>
              <w:pStyle w:val="p-table"/>
              <w:rPr>
                <w:sz w:val="17"/>
              </w:rPr>
            </w:pPr>
          </w:p>
        </w:tc>
      </w:tr>
      <w:tr w:rsidR="006B6965" w14:paraId="30FABBA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1E56A1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924BC9E"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2164CA53"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2B28C39"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6BA37C9" w14:textId="77777777">
            <w:pPr>
              <w:pStyle w:val="p-table"/>
              <w:jc w:val="right"/>
              <w:rPr>
                <w:sz w:val="17"/>
              </w:rPr>
            </w:pPr>
            <w:r>
              <w:rPr>
                <w:b/>
                <w:sz w:val="17"/>
              </w:rPr>
              <w:t>0</w:t>
            </w:r>
          </w:p>
        </w:tc>
      </w:tr>
      <w:tr w:rsidR="006B6965" w14:paraId="44FB84C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DFE319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BC1369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E58E6D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39BF29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0B543ED" w14:textId="77777777">
            <w:pPr>
              <w:pStyle w:val="p-table"/>
              <w:rPr>
                <w:sz w:val="17"/>
              </w:rPr>
            </w:pPr>
          </w:p>
        </w:tc>
      </w:tr>
    </w:tbl>
    <w:p w:rsidR="006B6965" w:rsidRDefault="006B6965" w14:paraId="0020E005" w14:textId="77777777">
      <w:pPr>
        <w:pStyle w:val="p-marginbottom"/>
      </w:pPr>
    </w:p>
    <w:p w:rsidR="006B6965" w:rsidRDefault="003A166B" w14:paraId="083EE115" w14:textId="77777777">
      <w:pPr>
        <w:pStyle w:val="section-title-4"/>
      </w:pPr>
      <w:r>
        <w:t>Toelichting</w:t>
      </w:r>
    </w:p>
    <w:p w:rsidR="006B6965" w:rsidRDefault="003A166B" w14:paraId="6F4D9E1F" w14:textId="77777777">
      <w:pPr>
        <w:pStyle w:val="header-h1"/>
      </w:pPr>
      <w:r>
        <w:t>Verplichtingen</w:t>
      </w:r>
    </w:p>
    <w:p w:rsidR="006B6965" w:rsidRDefault="003A166B" w14:paraId="0FB7FC06" w14:textId="77777777">
      <w:r>
        <w:t>Het verplichtingenbudget wordt met € 22,4 miljoen verhoogd. Dit wordt verklaard door de hieronder toegelichte uitgavenmutaties en de volgende verplichtingenmutaties:</w:t>
      </w:r>
    </w:p>
    <w:p w:rsidR="006B6965" w:rsidRDefault="003A166B" w14:paraId="204C249C" w14:textId="77777777">
      <w:pPr>
        <w:pStyle w:val="ol-p-l1"/>
        <w:numPr>
          <w:ilvl w:val="0"/>
          <w:numId w:val="11"/>
        </w:numPr>
      </w:pPr>
      <w:r>
        <w:rPr>
          <w:rStyle w:val="ol-text"/>
        </w:rPr>
        <w:t xml:space="preserve">Ophoging </w:t>
      </w:r>
      <w:r>
        <w:rPr>
          <w:rStyle w:val="ol-text"/>
        </w:rPr>
        <w:t xml:space="preserve">verplichtingenbudget </w:t>
      </w:r>
      <w:proofErr w:type="spellStart"/>
      <w:r>
        <w:rPr>
          <w:rStyle w:val="ol-text"/>
        </w:rPr>
        <w:t>eindetermijnseffect</w:t>
      </w:r>
      <w:proofErr w:type="spellEnd"/>
      <w:r>
        <w:rPr>
          <w:rStyle w:val="ol-text"/>
        </w:rPr>
        <w:t xml:space="preserve"> Bedrijvenregeling: Het verplichtingenbudget wordt met € 22,4 miljoen opgehoogd, omdat er meer aanvragen zijn ontvangen vanwege het beëindigen van de Bedrijvenregeling. Bedrijven hadden de gelegenheid om een saneringsplan in te dienen tot en met 31 december 2024. In Q1-Q2 2025 worden de aanvragen beoordeeld en volgens de huidige prognoses is deze verplichtingenruimte nodig om de activiteiten in gang te kunnen zetten. De (betaling voor de) bodemsaneringen wordt meerjar</w:t>
      </w:r>
      <w:r>
        <w:rPr>
          <w:rStyle w:val="ol-text"/>
        </w:rPr>
        <w:t>ig ingepland over de instrumenten opdrachten, bijdragen aan medeoverheden en subsidies.</w:t>
      </w:r>
    </w:p>
    <w:p w:rsidR="006B6965" w:rsidRDefault="003A166B" w14:paraId="24253184" w14:textId="77777777">
      <w:pPr>
        <w:pStyle w:val="ol-p-l1"/>
        <w:numPr>
          <w:ilvl w:val="0"/>
          <w:numId w:val="5"/>
        </w:numPr>
      </w:pPr>
      <w:r>
        <w:rPr>
          <w:rStyle w:val="ol-text"/>
        </w:rPr>
        <w:t xml:space="preserve">Verplichtingenmutaties Bedrijvenregeling: Bij de Voorjaarsnota 2025 is er binnen de bodembudgetten op dit artikel middelen vanuit opdrachten (Bodem en STRONG) en bijdragen aan medeoverheden (het Meerjarenprogramma Bodem) tijdelijk middelen naar de Bedrijvenregeling gealloceerd, zodat de beschikkingen in de eerste kwartalen van dit jaar vastgelegd (verplicht) konden worden. Dit wordt met deze Ontwerpbegroting teruggegeven (€ </w:t>
      </w:r>
      <w:r>
        <w:rPr>
          <w:rStyle w:val="ol-text"/>
        </w:rPr>
        <w:lastRenderedPageBreak/>
        <w:t>9,9 miljoen). Binnen deze drie bodembudgetten wordt meerjarig de bodemsaneringen ingepland.</w:t>
      </w:r>
    </w:p>
    <w:p w:rsidR="006B6965" w:rsidRDefault="006B6965" w14:paraId="41E95B50" w14:textId="77777777"/>
    <w:p w:rsidR="006B6965" w:rsidRDefault="003A166B" w14:paraId="3060D50B" w14:textId="77777777">
      <w:pPr>
        <w:pStyle w:val="header-h1"/>
      </w:pPr>
      <w:r>
        <w:t>Uitgaven</w:t>
      </w:r>
    </w:p>
    <w:p w:rsidR="006B6965" w:rsidRDefault="003A166B" w14:paraId="0DD9DDB1" w14:textId="77777777">
      <w:pPr>
        <w:pStyle w:val="header-h1"/>
      </w:pPr>
      <w:r>
        <w:t>Artikel 13.04 Ruimtegebruik bodem</w:t>
      </w:r>
    </w:p>
    <w:p w:rsidR="006B6965" w:rsidRDefault="003A166B" w14:paraId="7A1A88D8" w14:textId="77777777">
      <w:pPr>
        <w:pStyle w:val="header-h2"/>
      </w:pPr>
      <w:r>
        <w:t>Opdrachten</w:t>
      </w:r>
    </w:p>
    <w:p w:rsidR="006B6965" w:rsidRDefault="003A166B" w14:paraId="6700B37D" w14:textId="77777777">
      <w:pPr>
        <w:pStyle w:val="p"/>
      </w:pPr>
      <w:r>
        <w:t>De verhoging van het opdrachtenbudget met € 11,9 miljoen wordt met name veroorzaakt door:</w:t>
      </w:r>
    </w:p>
    <w:p w:rsidR="006B6965" w:rsidRDefault="003A166B" w14:paraId="20F2A757" w14:textId="77777777">
      <w:pPr>
        <w:pStyle w:val="p"/>
      </w:pPr>
      <w:r>
        <w:rPr>
          <w:rStyle w:val="span-u"/>
        </w:rPr>
        <w:t>Bodem en STRONG:</w:t>
      </w:r>
      <w:r>
        <w:t xml:space="preserve"> Het betreft een kasoverheveling binnen artikel vanuit de Bedrijvenregeling en het Meerjarenprogramma Bodem naar Bodem en Strong ten behoeve van de sanering van het EMK-terrein in Krimpen aan den IJssel van € 11,9 miljoen</w:t>
      </w:r>
    </w:p>
    <w:p w:rsidR="006B6965" w:rsidRDefault="003A166B" w14:paraId="180A81C9" w14:textId="77777777">
      <w:pPr>
        <w:pStyle w:val="header-h2"/>
      </w:pPr>
      <w:r>
        <w:t>Subsidies (regelingen)</w:t>
      </w:r>
    </w:p>
    <w:p w:rsidR="006B6965" w:rsidRDefault="003A166B" w14:paraId="6621B2F1" w14:textId="77777777">
      <w:pPr>
        <w:pStyle w:val="p"/>
      </w:pPr>
      <w:r>
        <w:t>De verlaging van het subsidiebudget met € 7,1 miljoen wordt met name veroorzaakt door:</w:t>
      </w:r>
    </w:p>
    <w:p w:rsidR="006B6965" w:rsidRDefault="003A166B" w14:paraId="35DAA6DC" w14:textId="77777777">
      <w:pPr>
        <w:pStyle w:val="p"/>
      </w:pPr>
      <w:r>
        <w:rPr>
          <w:rStyle w:val="span-u"/>
        </w:rPr>
        <w:t>Bedrijvenregeling:</w:t>
      </w:r>
      <w:r>
        <w:t xml:space="preserve"> Het betreft met name de hierboven genoemde budgetoverheveling Bodem en STRONG waarbij het deel van het subsidiebudget van ‒ € 7,0 miljoen aan kasbudget is overgeheveld.</w:t>
      </w:r>
    </w:p>
    <w:p w:rsidR="006B6965" w:rsidRDefault="003A166B" w14:paraId="20402190" w14:textId="77777777">
      <w:pPr>
        <w:pStyle w:val="header-h2"/>
      </w:pPr>
      <w:r>
        <w:t>Bijdrage aan medeoverheden</w:t>
      </w:r>
    </w:p>
    <w:p w:rsidR="006B6965" w:rsidRDefault="003A166B" w14:paraId="57544A68" w14:textId="77777777">
      <w:pPr>
        <w:pStyle w:val="p"/>
      </w:pPr>
      <w:r>
        <w:t>De verlaging van bijdragen aan medeoverheden met € 4,9 miljoen wordt met name veroorzaakt door:</w:t>
      </w:r>
    </w:p>
    <w:p w:rsidR="006B6965" w:rsidRDefault="003A166B" w14:paraId="57B7615B" w14:textId="77777777">
      <w:pPr>
        <w:pStyle w:val="p"/>
      </w:pPr>
      <w:r>
        <w:rPr>
          <w:rStyle w:val="span-u"/>
        </w:rPr>
        <w:t>Meerjarenprogramma Bodem:</w:t>
      </w:r>
      <w:r>
        <w:t xml:space="preserve"> Het betreft met name de hierboven genoemde budgetoverheveling Bodem en STRONG waarbij het deel van de bijdragen aan medeoverheden van ‒ € 4,8 miljoen aan kasbudget is overgeheveld.</w:t>
      </w:r>
    </w:p>
    <w:p w:rsidR="006B6965" w:rsidRDefault="003A166B" w14:paraId="311EB747" w14:textId="77777777">
      <w:pPr>
        <w:pStyle w:val="header-h1"/>
      </w:pPr>
      <w:r>
        <w:t>Ontvangsten</w:t>
      </w:r>
    </w:p>
    <w:p w:rsidR="006B6965" w:rsidRDefault="003A166B" w14:paraId="0269E2C2" w14:textId="77777777">
      <w:pPr>
        <w:pStyle w:val="p"/>
      </w:pPr>
      <w:r>
        <w:t>Er zijn geen ontvangstenmutaties geweest op dit artikel.</w:t>
      </w:r>
    </w:p>
    <w:p w:rsidR="006B6965" w:rsidRDefault="003A166B" w14:paraId="332CD64A" w14:textId="77777777">
      <w:pPr>
        <w:pStyle w:val="section-title-3"/>
      </w:pPr>
      <w:r>
        <w:lastRenderedPageBreak/>
        <w:t>3.3 Artikel 14 Wegen en Verkeersveiligheid</w:t>
      </w:r>
    </w:p>
    <w:p w:rsidR="006B6965" w:rsidRDefault="003A166B" w14:paraId="5A2595FF"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451E4982"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6EF8428F" w14:textId="77777777">
            <w:pPr>
              <w:pStyle w:val="kio2-table-title"/>
            </w:pPr>
            <w:r>
              <w:lastRenderedPageBreak/>
              <w:t>Tabel 6 Budgettaire gevolgen van beleid artikel 14 Wegen en Verkeersveiligheid (bedragen x € 1.000)</w:t>
            </w:r>
          </w:p>
        </w:tc>
      </w:tr>
      <w:tr w:rsidR="006B6965" w14:paraId="3D536AC5"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35F6C6E3"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5738B0F4"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34E96D36"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7A0F9205"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261CF1D" w14:textId="77777777">
            <w:pPr>
              <w:pStyle w:val="p-table"/>
              <w:jc w:val="center"/>
              <w:rPr>
                <w:color w:val="000000"/>
                <w:sz w:val="17"/>
              </w:rPr>
            </w:pPr>
            <w:r>
              <w:rPr>
                <w:color w:val="000000"/>
                <w:sz w:val="17"/>
              </w:rPr>
              <w:t>Stand suppletoire begroting september (3) = (1) + (2)</w:t>
            </w:r>
          </w:p>
        </w:tc>
      </w:tr>
      <w:tr w:rsidR="006B6965" w14:paraId="340BF9E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4433DC3C"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1494CD61"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2B97C513" w14:textId="77777777">
            <w:pPr>
              <w:pStyle w:val="p-table"/>
              <w:jc w:val="right"/>
              <w:rPr>
                <w:sz w:val="17"/>
              </w:rPr>
            </w:pPr>
            <w:r>
              <w:rPr>
                <w:b/>
                <w:sz w:val="17"/>
              </w:rPr>
              <w:t>567.513</w:t>
            </w:r>
          </w:p>
        </w:tc>
        <w:tc>
          <w:tcPr>
            <w:tcW w:w="1377" w:type="dxa"/>
            <w:tcBorders>
              <w:bottom w:val="single" w:color="009EE0" w:sz="2" w:space="0"/>
            </w:tcBorders>
            <w:tcMar>
              <w:top w:w="22" w:type="dxa"/>
              <w:left w:w="28" w:type="dxa"/>
              <w:bottom w:w="22" w:type="dxa"/>
              <w:right w:w="28" w:type="dxa"/>
            </w:tcMar>
          </w:tcPr>
          <w:p w:rsidR="006B6965" w:rsidRDefault="003A166B" w14:paraId="787044A3" w14:textId="77777777">
            <w:pPr>
              <w:pStyle w:val="p-table"/>
              <w:jc w:val="right"/>
              <w:rPr>
                <w:sz w:val="17"/>
              </w:rPr>
            </w:pPr>
            <w:r>
              <w:rPr>
                <w:b/>
                <w:sz w:val="17"/>
              </w:rPr>
              <w:t>‒</w:t>
            </w:r>
            <w:r>
              <w:rPr>
                <w:b/>
                <w:sz w:val="17"/>
              </w:rPr>
              <w:t xml:space="preserve"> 27.089</w:t>
            </w:r>
          </w:p>
        </w:tc>
        <w:tc>
          <w:tcPr>
            <w:tcW w:w="1377" w:type="dxa"/>
            <w:tcBorders>
              <w:bottom w:val="single" w:color="009EE0" w:sz="2" w:space="0"/>
            </w:tcBorders>
            <w:tcMar>
              <w:top w:w="22" w:type="dxa"/>
              <w:left w:w="28" w:type="dxa"/>
              <w:bottom w:w="22" w:type="dxa"/>
              <w:right w:w="28" w:type="dxa"/>
            </w:tcMar>
          </w:tcPr>
          <w:p w:rsidR="006B6965" w:rsidRDefault="003A166B" w14:paraId="06062026" w14:textId="77777777">
            <w:pPr>
              <w:pStyle w:val="p-table"/>
              <w:jc w:val="right"/>
              <w:rPr>
                <w:sz w:val="17"/>
              </w:rPr>
            </w:pPr>
            <w:r>
              <w:rPr>
                <w:b/>
                <w:sz w:val="17"/>
              </w:rPr>
              <w:t>540.424</w:t>
            </w:r>
          </w:p>
        </w:tc>
      </w:tr>
      <w:tr w:rsidR="006B6965" w14:paraId="0F5FF4C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A7E807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7213FB0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391F73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1C4B66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295FEE2" w14:textId="77777777">
            <w:pPr>
              <w:pStyle w:val="p-table"/>
              <w:rPr>
                <w:sz w:val="17"/>
              </w:rPr>
            </w:pPr>
          </w:p>
        </w:tc>
      </w:tr>
      <w:tr w:rsidR="006B6965" w14:paraId="0024623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F3F27F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4EE656F"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28B640A5" w14:textId="77777777">
            <w:pPr>
              <w:pStyle w:val="p-table"/>
              <w:jc w:val="right"/>
              <w:rPr>
                <w:sz w:val="17"/>
              </w:rPr>
            </w:pPr>
            <w:r>
              <w:rPr>
                <w:b/>
                <w:sz w:val="17"/>
              </w:rPr>
              <w:t>451.626</w:t>
            </w:r>
          </w:p>
        </w:tc>
        <w:tc>
          <w:tcPr>
            <w:tcW w:w="1377" w:type="dxa"/>
            <w:tcBorders>
              <w:bottom w:val="single" w:color="009EE0" w:sz="2" w:space="0"/>
            </w:tcBorders>
            <w:tcMar>
              <w:top w:w="22" w:type="dxa"/>
              <w:left w:w="28" w:type="dxa"/>
              <w:bottom w:w="22" w:type="dxa"/>
              <w:right w:w="28" w:type="dxa"/>
            </w:tcMar>
          </w:tcPr>
          <w:p w:rsidR="006B6965" w:rsidRDefault="003A166B" w14:paraId="72DAD44D" w14:textId="77777777">
            <w:pPr>
              <w:pStyle w:val="p-table"/>
              <w:jc w:val="right"/>
              <w:rPr>
                <w:sz w:val="17"/>
              </w:rPr>
            </w:pPr>
            <w:r>
              <w:rPr>
                <w:b/>
                <w:sz w:val="17"/>
              </w:rPr>
              <w:t>‒</w:t>
            </w:r>
            <w:r>
              <w:rPr>
                <w:b/>
                <w:sz w:val="17"/>
              </w:rPr>
              <w:t xml:space="preserve"> 38.089</w:t>
            </w:r>
          </w:p>
        </w:tc>
        <w:tc>
          <w:tcPr>
            <w:tcW w:w="1377" w:type="dxa"/>
            <w:tcBorders>
              <w:bottom w:val="single" w:color="009EE0" w:sz="2" w:space="0"/>
            </w:tcBorders>
            <w:tcMar>
              <w:top w:w="22" w:type="dxa"/>
              <w:left w:w="28" w:type="dxa"/>
              <w:bottom w:w="22" w:type="dxa"/>
              <w:right w:w="28" w:type="dxa"/>
            </w:tcMar>
          </w:tcPr>
          <w:p w:rsidR="006B6965" w:rsidRDefault="003A166B" w14:paraId="500F906C" w14:textId="77777777">
            <w:pPr>
              <w:pStyle w:val="p-table"/>
              <w:jc w:val="right"/>
              <w:rPr>
                <w:sz w:val="17"/>
              </w:rPr>
            </w:pPr>
            <w:r>
              <w:rPr>
                <w:b/>
                <w:sz w:val="17"/>
              </w:rPr>
              <w:t>413.537</w:t>
            </w:r>
          </w:p>
        </w:tc>
      </w:tr>
      <w:tr w:rsidR="006B6965" w14:paraId="3E7C6B6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ED8AFC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29DCFA7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D81181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C857E7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850CAAF" w14:textId="77777777">
            <w:pPr>
              <w:pStyle w:val="p-table"/>
              <w:rPr>
                <w:sz w:val="17"/>
              </w:rPr>
            </w:pPr>
          </w:p>
        </w:tc>
      </w:tr>
      <w:tr w:rsidR="006B6965" w14:paraId="70960AE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46300682" w14:textId="77777777">
            <w:pPr>
              <w:pStyle w:val="p-table"/>
              <w:rPr>
                <w:sz w:val="17"/>
              </w:rPr>
            </w:pPr>
            <w:r>
              <w:rPr>
                <w:b/>
                <w:sz w:val="17"/>
              </w:rPr>
              <w:t>14.1</w:t>
            </w:r>
          </w:p>
        </w:tc>
        <w:tc>
          <w:tcPr>
            <w:tcW w:w="4590" w:type="dxa"/>
            <w:tcBorders>
              <w:bottom w:val="single" w:color="009EE0" w:sz="2" w:space="0"/>
            </w:tcBorders>
            <w:tcMar>
              <w:top w:w="22" w:type="dxa"/>
              <w:left w:w="28" w:type="dxa"/>
              <w:bottom w:w="22" w:type="dxa"/>
              <w:right w:w="28" w:type="dxa"/>
            </w:tcMar>
          </w:tcPr>
          <w:p w:rsidR="006B6965" w:rsidRDefault="003A166B" w14:paraId="3B7691C1" w14:textId="77777777">
            <w:pPr>
              <w:pStyle w:val="p-table"/>
              <w:rPr>
                <w:sz w:val="17"/>
              </w:rPr>
            </w:pPr>
            <w:r>
              <w:rPr>
                <w:b/>
                <w:sz w:val="17"/>
              </w:rPr>
              <w:t>Netwerk</w:t>
            </w:r>
          </w:p>
        </w:tc>
        <w:tc>
          <w:tcPr>
            <w:tcW w:w="1377" w:type="dxa"/>
            <w:tcBorders>
              <w:bottom w:val="single" w:color="009EE0" w:sz="2" w:space="0"/>
            </w:tcBorders>
            <w:tcMar>
              <w:top w:w="22" w:type="dxa"/>
              <w:left w:w="28" w:type="dxa"/>
              <w:bottom w:w="22" w:type="dxa"/>
              <w:right w:w="28" w:type="dxa"/>
            </w:tcMar>
          </w:tcPr>
          <w:p w:rsidR="006B6965" w:rsidRDefault="003A166B" w14:paraId="4EC25B80" w14:textId="77777777">
            <w:pPr>
              <w:pStyle w:val="p-table"/>
              <w:jc w:val="right"/>
              <w:rPr>
                <w:sz w:val="17"/>
              </w:rPr>
            </w:pPr>
            <w:r>
              <w:rPr>
                <w:b/>
                <w:sz w:val="17"/>
              </w:rPr>
              <w:t>39.570</w:t>
            </w:r>
          </w:p>
        </w:tc>
        <w:tc>
          <w:tcPr>
            <w:tcW w:w="1377" w:type="dxa"/>
            <w:tcBorders>
              <w:bottom w:val="single" w:color="009EE0" w:sz="2" w:space="0"/>
            </w:tcBorders>
            <w:tcMar>
              <w:top w:w="22" w:type="dxa"/>
              <w:left w:w="28" w:type="dxa"/>
              <w:bottom w:w="22" w:type="dxa"/>
              <w:right w:w="28" w:type="dxa"/>
            </w:tcMar>
          </w:tcPr>
          <w:p w:rsidR="006B6965" w:rsidRDefault="003A166B" w14:paraId="113D14CB" w14:textId="77777777">
            <w:pPr>
              <w:pStyle w:val="p-table"/>
              <w:jc w:val="right"/>
              <w:rPr>
                <w:sz w:val="17"/>
              </w:rPr>
            </w:pPr>
            <w:r>
              <w:rPr>
                <w:b/>
                <w:sz w:val="17"/>
              </w:rPr>
              <w:t>‒</w:t>
            </w:r>
            <w:r>
              <w:rPr>
                <w:b/>
                <w:sz w:val="17"/>
              </w:rPr>
              <w:t xml:space="preserve"> 11.145</w:t>
            </w:r>
          </w:p>
        </w:tc>
        <w:tc>
          <w:tcPr>
            <w:tcW w:w="1377" w:type="dxa"/>
            <w:tcBorders>
              <w:bottom w:val="single" w:color="009EE0" w:sz="2" w:space="0"/>
            </w:tcBorders>
            <w:tcMar>
              <w:top w:w="22" w:type="dxa"/>
              <w:left w:w="28" w:type="dxa"/>
              <w:bottom w:w="22" w:type="dxa"/>
              <w:right w:w="28" w:type="dxa"/>
            </w:tcMar>
          </w:tcPr>
          <w:p w:rsidR="006B6965" w:rsidRDefault="003A166B" w14:paraId="6F537AAC" w14:textId="77777777">
            <w:pPr>
              <w:pStyle w:val="p-table"/>
              <w:jc w:val="right"/>
              <w:rPr>
                <w:sz w:val="17"/>
              </w:rPr>
            </w:pPr>
            <w:r>
              <w:rPr>
                <w:b/>
                <w:sz w:val="17"/>
              </w:rPr>
              <w:t>28.425</w:t>
            </w:r>
          </w:p>
        </w:tc>
      </w:tr>
      <w:tr w:rsidR="006B6965" w14:paraId="0A1A4F2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72D017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49EA320"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74E4DB7D" w14:textId="77777777">
            <w:pPr>
              <w:pStyle w:val="p-table"/>
              <w:jc w:val="right"/>
              <w:rPr>
                <w:sz w:val="17"/>
              </w:rPr>
            </w:pPr>
            <w:r>
              <w:rPr>
                <w:i/>
                <w:sz w:val="17"/>
              </w:rPr>
              <w:t>22.546</w:t>
            </w:r>
          </w:p>
        </w:tc>
        <w:tc>
          <w:tcPr>
            <w:tcW w:w="1377" w:type="dxa"/>
            <w:tcBorders>
              <w:bottom w:val="single" w:color="009EE0" w:sz="2" w:space="0"/>
            </w:tcBorders>
            <w:tcMar>
              <w:top w:w="22" w:type="dxa"/>
              <w:left w:w="28" w:type="dxa"/>
              <w:bottom w:w="22" w:type="dxa"/>
              <w:right w:w="28" w:type="dxa"/>
            </w:tcMar>
          </w:tcPr>
          <w:p w:rsidR="006B6965" w:rsidRDefault="003A166B" w14:paraId="0AC53496" w14:textId="77777777">
            <w:pPr>
              <w:pStyle w:val="p-table"/>
              <w:jc w:val="right"/>
              <w:rPr>
                <w:sz w:val="17"/>
              </w:rPr>
            </w:pPr>
            <w:r>
              <w:rPr>
                <w:i/>
                <w:sz w:val="17"/>
              </w:rPr>
              <w:t>‒</w:t>
            </w:r>
            <w:r>
              <w:rPr>
                <w:i/>
                <w:sz w:val="17"/>
              </w:rPr>
              <w:t xml:space="preserve"> 12.477</w:t>
            </w:r>
          </w:p>
        </w:tc>
        <w:tc>
          <w:tcPr>
            <w:tcW w:w="1377" w:type="dxa"/>
            <w:tcBorders>
              <w:bottom w:val="single" w:color="009EE0" w:sz="2" w:space="0"/>
            </w:tcBorders>
            <w:tcMar>
              <w:top w:w="22" w:type="dxa"/>
              <w:left w:w="28" w:type="dxa"/>
              <w:bottom w:w="22" w:type="dxa"/>
              <w:right w:w="28" w:type="dxa"/>
            </w:tcMar>
          </w:tcPr>
          <w:p w:rsidR="006B6965" w:rsidRDefault="003A166B" w14:paraId="4A7F20CE" w14:textId="77777777">
            <w:pPr>
              <w:pStyle w:val="p-table"/>
              <w:jc w:val="right"/>
              <w:rPr>
                <w:sz w:val="17"/>
              </w:rPr>
            </w:pPr>
            <w:r>
              <w:rPr>
                <w:i/>
                <w:sz w:val="17"/>
              </w:rPr>
              <w:t>10.069</w:t>
            </w:r>
          </w:p>
        </w:tc>
      </w:tr>
      <w:tr w:rsidR="006B6965" w14:paraId="6F07ED8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E5BA6F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D205D98" w14:textId="77777777">
            <w:pPr>
              <w:pStyle w:val="p-table"/>
              <w:rPr>
                <w:sz w:val="17"/>
              </w:rPr>
            </w:pPr>
            <w:r>
              <w:rPr>
                <w:sz w:val="17"/>
              </w:rPr>
              <w:t>Wegverkeersbeleid</w:t>
            </w:r>
          </w:p>
        </w:tc>
        <w:tc>
          <w:tcPr>
            <w:tcW w:w="1377" w:type="dxa"/>
            <w:tcBorders>
              <w:bottom w:val="single" w:color="009EE0" w:sz="2" w:space="0"/>
            </w:tcBorders>
            <w:tcMar>
              <w:top w:w="22" w:type="dxa"/>
              <w:left w:w="28" w:type="dxa"/>
              <w:bottom w:w="22" w:type="dxa"/>
              <w:right w:w="28" w:type="dxa"/>
            </w:tcMar>
          </w:tcPr>
          <w:p w:rsidR="006B6965" w:rsidRDefault="003A166B" w14:paraId="2DB3553B" w14:textId="77777777">
            <w:pPr>
              <w:pStyle w:val="p-table"/>
              <w:jc w:val="right"/>
              <w:rPr>
                <w:sz w:val="17"/>
              </w:rPr>
            </w:pPr>
            <w:r>
              <w:rPr>
                <w:sz w:val="17"/>
              </w:rPr>
              <w:t>3.956</w:t>
            </w:r>
          </w:p>
        </w:tc>
        <w:tc>
          <w:tcPr>
            <w:tcW w:w="1377" w:type="dxa"/>
            <w:tcBorders>
              <w:bottom w:val="single" w:color="009EE0" w:sz="2" w:space="0"/>
            </w:tcBorders>
            <w:tcMar>
              <w:top w:w="22" w:type="dxa"/>
              <w:left w:w="28" w:type="dxa"/>
              <w:bottom w:w="22" w:type="dxa"/>
              <w:right w:w="28" w:type="dxa"/>
            </w:tcMar>
          </w:tcPr>
          <w:p w:rsidR="006B6965" w:rsidRDefault="003A166B" w14:paraId="53D97713" w14:textId="77777777">
            <w:pPr>
              <w:pStyle w:val="p-table"/>
              <w:jc w:val="right"/>
              <w:rPr>
                <w:sz w:val="17"/>
              </w:rPr>
            </w:pPr>
            <w:r>
              <w:rPr>
                <w:sz w:val="17"/>
              </w:rPr>
              <w:t>163</w:t>
            </w:r>
          </w:p>
        </w:tc>
        <w:tc>
          <w:tcPr>
            <w:tcW w:w="1377" w:type="dxa"/>
            <w:tcBorders>
              <w:bottom w:val="single" w:color="009EE0" w:sz="2" w:space="0"/>
            </w:tcBorders>
            <w:tcMar>
              <w:top w:w="22" w:type="dxa"/>
              <w:left w:w="28" w:type="dxa"/>
              <w:bottom w:w="22" w:type="dxa"/>
              <w:right w:w="28" w:type="dxa"/>
            </w:tcMar>
          </w:tcPr>
          <w:p w:rsidR="006B6965" w:rsidRDefault="003A166B" w14:paraId="58B9E80C" w14:textId="77777777">
            <w:pPr>
              <w:pStyle w:val="p-table"/>
              <w:jc w:val="right"/>
              <w:rPr>
                <w:sz w:val="17"/>
              </w:rPr>
            </w:pPr>
            <w:r>
              <w:rPr>
                <w:sz w:val="17"/>
              </w:rPr>
              <w:t>4.119</w:t>
            </w:r>
          </w:p>
        </w:tc>
      </w:tr>
      <w:tr w:rsidR="006B6965" w14:paraId="0C87D13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E300D5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47D80FA" w14:textId="77777777">
            <w:pPr>
              <w:pStyle w:val="p-table"/>
              <w:rPr>
                <w:sz w:val="17"/>
              </w:rPr>
            </w:pPr>
            <w:r>
              <w:rPr>
                <w:sz w:val="17"/>
              </w:rPr>
              <w:t>Voertuigen en Digitale Infrastructuur</w:t>
            </w:r>
          </w:p>
        </w:tc>
        <w:tc>
          <w:tcPr>
            <w:tcW w:w="1377" w:type="dxa"/>
            <w:tcBorders>
              <w:bottom w:val="single" w:color="009EE0" w:sz="2" w:space="0"/>
            </w:tcBorders>
            <w:tcMar>
              <w:top w:w="22" w:type="dxa"/>
              <w:left w:w="28" w:type="dxa"/>
              <w:bottom w:w="22" w:type="dxa"/>
              <w:right w:w="28" w:type="dxa"/>
            </w:tcMar>
          </w:tcPr>
          <w:p w:rsidR="006B6965" w:rsidRDefault="003A166B" w14:paraId="4DC9C8A4" w14:textId="77777777">
            <w:pPr>
              <w:pStyle w:val="p-table"/>
              <w:jc w:val="right"/>
              <w:rPr>
                <w:sz w:val="17"/>
              </w:rPr>
            </w:pPr>
            <w:r>
              <w:rPr>
                <w:sz w:val="17"/>
              </w:rPr>
              <w:t>7.103</w:t>
            </w:r>
          </w:p>
        </w:tc>
        <w:tc>
          <w:tcPr>
            <w:tcW w:w="1377" w:type="dxa"/>
            <w:tcBorders>
              <w:bottom w:val="single" w:color="009EE0" w:sz="2" w:space="0"/>
            </w:tcBorders>
            <w:tcMar>
              <w:top w:w="22" w:type="dxa"/>
              <w:left w:w="28" w:type="dxa"/>
              <w:bottom w:w="22" w:type="dxa"/>
              <w:right w:w="28" w:type="dxa"/>
            </w:tcMar>
          </w:tcPr>
          <w:p w:rsidR="006B6965" w:rsidRDefault="003A166B" w14:paraId="512322E7" w14:textId="77777777">
            <w:pPr>
              <w:pStyle w:val="p-table"/>
              <w:jc w:val="right"/>
              <w:rPr>
                <w:sz w:val="17"/>
              </w:rPr>
            </w:pPr>
            <w:r>
              <w:rPr>
                <w:sz w:val="17"/>
              </w:rPr>
              <w:t>‒</w:t>
            </w:r>
            <w:r>
              <w:rPr>
                <w:sz w:val="17"/>
              </w:rPr>
              <w:t xml:space="preserve"> 2.653</w:t>
            </w:r>
          </w:p>
        </w:tc>
        <w:tc>
          <w:tcPr>
            <w:tcW w:w="1377" w:type="dxa"/>
            <w:tcBorders>
              <w:bottom w:val="single" w:color="009EE0" w:sz="2" w:space="0"/>
            </w:tcBorders>
            <w:tcMar>
              <w:top w:w="22" w:type="dxa"/>
              <w:left w:w="28" w:type="dxa"/>
              <w:bottom w:w="22" w:type="dxa"/>
              <w:right w:w="28" w:type="dxa"/>
            </w:tcMar>
          </w:tcPr>
          <w:p w:rsidR="006B6965" w:rsidRDefault="003A166B" w14:paraId="4BFEE444" w14:textId="77777777">
            <w:pPr>
              <w:pStyle w:val="p-table"/>
              <w:jc w:val="right"/>
              <w:rPr>
                <w:sz w:val="17"/>
              </w:rPr>
            </w:pPr>
            <w:r>
              <w:rPr>
                <w:sz w:val="17"/>
              </w:rPr>
              <w:t>4.450</w:t>
            </w:r>
          </w:p>
        </w:tc>
      </w:tr>
      <w:tr w:rsidR="006B6965" w14:paraId="17B2185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171A33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F8E467A"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60326839" w14:textId="77777777">
            <w:pPr>
              <w:pStyle w:val="p-table"/>
              <w:jc w:val="right"/>
              <w:rPr>
                <w:sz w:val="17"/>
              </w:rPr>
            </w:pPr>
            <w:r>
              <w:rPr>
                <w:sz w:val="17"/>
              </w:rPr>
              <w:t>11.487</w:t>
            </w:r>
          </w:p>
        </w:tc>
        <w:tc>
          <w:tcPr>
            <w:tcW w:w="1377" w:type="dxa"/>
            <w:tcBorders>
              <w:bottom w:val="single" w:color="009EE0" w:sz="2" w:space="0"/>
            </w:tcBorders>
            <w:tcMar>
              <w:top w:w="22" w:type="dxa"/>
              <w:left w:w="28" w:type="dxa"/>
              <w:bottom w:w="22" w:type="dxa"/>
              <w:right w:w="28" w:type="dxa"/>
            </w:tcMar>
          </w:tcPr>
          <w:p w:rsidR="006B6965" w:rsidRDefault="003A166B" w14:paraId="08D52B80" w14:textId="77777777">
            <w:pPr>
              <w:pStyle w:val="p-table"/>
              <w:jc w:val="right"/>
              <w:rPr>
                <w:sz w:val="17"/>
              </w:rPr>
            </w:pPr>
            <w:r>
              <w:rPr>
                <w:sz w:val="17"/>
              </w:rPr>
              <w:t>‒</w:t>
            </w:r>
            <w:r>
              <w:rPr>
                <w:sz w:val="17"/>
              </w:rPr>
              <w:t xml:space="preserve"> 9.987</w:t>
            </w:r>
          </w:p>
        </w:tc>
        <w:tc>
          <w:tcPr>
            <w:tcW w:w="1377" w:type="dxa"/>
            <w:tcBorders>
              <w:bottom w:val="single" w:color="009EE0" w:sz="2" w:space="0"/>
            </w:tcBorders>
            <w:tcMar>
              <w:top w:w="22" w:type="dxa"/>
              <w:left w:w="28" w:type="dxa"/>
              <w:bottom w:w="22" w:type="dxa"/>
              <w:right w:w="28" w:type="dxa"/>
            </w:tcMar>
          </w:tcPr>
          <w:p w:rsidR="006B6965" w:rsidRDefault="003A166B" w14:paraId="74F28A57" w14:textId="77777777">
            <w:pPr>
              <w:pStyle w:val="p-table"/>
              <w:jc w:val="right"/>
              <w:rPr>
                <w:sz w:val="17"/>
              </w:rPr>
            </w:pPr>
            <w:r>
              <w:rPr>
                <w:sz w:val="17"/>
              </w:rPr>
              <w:t>1.500</w:t>
            </w:r>
          </w:p>
        </w:tc>
      </w:tr>
      <w:tr w:rsidR="006B6965" w14:paraId="3DAF9A3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65C179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60119B3"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6343C3D0" w14:textId="77777777">
            <w:pPr>
              <w:pStyle w:val="p-table"/>
              <w:jc w:val="right"/>
              <w:rPr>
                <w:sz w:val="17"/>
              </w:rPr>
            </w:pPr>
            <w:r>
              <w:rPr>
                <w:i/>
                <w:sz w:val="17"/>
              </w:rPr>
              <w:t>150</w:t>
            </w:r>
          </w:p>
        </w:tc>
        <w:tc>
          <w:tcPr>
            <w:tcW w:w="1377" w:type="dxa"/>
            <w:tcBorders>
              <w:bottom w:val="single" w:color="009EE0" w:sz="2" w:space="0"/>
            </w:tcBorders>
            <w:tcMar>
              <w:top w:w="22" w:type="dxa"/>
              <w:left w:w="28" w:type="dxa"/>
              <w:bottom w:w="22" w:type="dxa"/>
              <w:right w:w="28" w:type="dxa"/>
            </w:tcMar>
          </w:tcPr>
          <w:p w:rsidR="006B6965" w:rsidRDefault="003A166B" w14:paraId="39BBEFF5" w14:textId="77777777">
            <w:pPr>
              <w:pStyle w:val="p-table"/>
              <w:jc w:val="right"/>
              <w:rPr>
                <w:sz w:val="17"/>
              </w:rPr>
            </w:pPr>
            <w:r>
              <w:rPr>
                <w:i/>
                <w:sz w:val="17"/>
              </w:rPr>
              <w:t>270</w:t>
            </w:r>
          </w:p>
        </w:tc>
        <w:tc>
          <w:tcPr>
            <w:tcW w:w="1377" w:type="dxa"/>
            <w:tcBorders>
              <w:bottom w:val="single" w:color="009EE0" w:sz="2" w:space="0"/>
            </w:tcBorders>
            <w:tcMar>
              <w:top w:w="22" w:type="dxa"/>
              <w:left w:w="28" w:type="dxa"/>
              <w:bottom w:w="22" w:type="dxa"/>
              <w:right w:w="28" w:type="dxa"/>
            </w:tcMar>
          </w:tcPr>
          <w:p w:rsidR="006B6965" w:rsidRDefault="003A166B" w14:paraId="79F16B55" w14:textId="77777777">
            <w:pPr>
              <w:pStyle w:val="p-table"/>
              <w:jc w:val="right"/>
              <w:rPr>
                <w:sz w:val="17"/>
              </w:rPr>
            </w:pPr>
            <w:r>
              <w:rPr>
                <w:i/>
                <w:sz w:val="17"/>
              </w:rPr>
              <w:t>420</w:t>
            </w:r>
          </w:p>
        </w:tc>
      </w:tr>
      <w:tr w:rsidR="006B6965" w14:paraId="42EB908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4BBC6B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2C202D7"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67F3AEB8" w14:textId="77777777">
            <w:pPr>
              <w:pStyle w:val="p-table"/>
              <w:jc w:val="right"/>
              <w:rPr>
                <w:sz w:val="17"/>
              </w:rPr>
            </w:pPr>
            <w:r>
              <w:rPr>
                <w:sz w:val="17"/>
              </w:rPr>
              <w:t>150</w:t>
            </w:r>
          </w:p>
        </w:tc>
        <w:tc>
          <w:tcPr>
            <w:tcW w:w="1377" w:type="dxa"/>
            <w:tcBorders>
              <w:bottom w:val="single" w:color="009EE0" w:sz="2" w:space="0"/>
            </w:tcBorders>
            <w:tcMar>
              <w:top w:w="22" w:type="dxa"/>
              <w:left w:w="28" w:type="dxa"/>
              <w:bottom w:w="22" w:type="dxa"/>
              <w:right w:w="28" w:type="dxa"/>
            </w:tcMar>
          </w:tcPr>
          <w:p w:rsidR="006B6965" w:rsidRDefault="003A166B" w14:paraId="0A82C707" w14:textId="77777777">
            <w:pPr>
              <w:pStyle w:val="p-table"/>
              <w:jc w:val="right"/>
              <w:rPr>
                <w:sz w:val="17"/>
              </w:rPr>
            </w:pPr>
            <w:r>
              <w:rPr>
                <w:sz w:val="17"/>
              </w:rPr>
              <w:t>270</w:t>
            </w:r>
          </w:p>
        </w:tc>
        <w:tc>
          <w:tcPr>
            <w:tcW w:w="1377" w:type="dxa"/>
            <w:tcBorders>
              <w:bottom w:val="single" w:color="009EE0" w:sz="2" w:space="0"/>
            </w:tcBorders>
            <w:tcMar>
              <w:top w:w="22" w:type="dxa"/>
              <w:left w:w="28" w:type="dxa"/>
              <w:bottom w:w="22" w:type="dxa"/>
              <w:right w:w="28" w:type="dxa"/>
            </w:tcMar>
          </w:tcPr>
          <w:p w:rsidR="006B6965" w:rsidRDefault="003A166B" w14:paraId="561A1D86" w14:textId="77777777">
            <w:pPr>
              <w:pStyle w:val="p-table"/>
              <w:jc w:val="right"/>
              <w:rPr>
                <w:sz w:val="17"/>
              </w:rPr>
            </w:pPr>
            <w:r>
              <w:rPr>
                <w:sz w:val="17"/>
              </w:rPr>
              <w:t>420</w:t>
            </w:r>
          </w:p>
        </w:tc>
      </w:tr>
      <w:tr w:rsidR="006B6965" w14:paraId="2F1977D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2150FC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D0BBCC8"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26561CEC" w14:textId="77777777">
            <w:pPr>
              <w:pStyle w:val="p-table"/>
              <w:jc w:val="right"/>
              <w:rPr>
                <w:sz w:val="17"/>
              </w:rPr>
            </w:pPr>
            <w:r>
              <w:rPr>
                <w:i/>
                <w:sz w:val="17"/>
              </w:rPr>
              <w:t>10.860</w:t>
            </w:r>
          </w:p>
        </w:tc>
        <w:tc>
          <w:tcPr>
            <w:tcW w:w="1377" w:type="dxa"/>
            <w:tcBorders>
              <w:bottom w:val="single" w:color="009EE0" w:sz="2" w:space="0"/>
            </w:tcBorders>
            <w:tcMar>
              <w:top w:w="22" w:type="dxa"/>
              <w:left w:w="28" w:type="dxa"/>
              <w:bottom w:w="22" w:type="dxa"/>
              <w:right w:w="28" w:type="dxa"/>
            </w:tcMar>
          </w:tcPr>
          <w:p w:rsidR="006B6965" w:rsidRDefault="003A166B" w14:paraId="50A06286" w14:textId="77777777">
            <w:pPr>
              <w:pStyle w:val="p-table"/>
              <w:jc w:val="right"/>
              <w:rPr>
                <w:sz w:val="17"/>
              </w:rPr>
            </w:pPr>
            <w:r>
              <w:rPr>
                <w:i/>
                <w:sz w:val="17"/>
              </w:rPr>
              <w:t>257</w:t>
            </w:r>
          </w:p>
        </w:tc>
        <w:tc>
          <w:tcPr>
            <w:tcW w:w="1377" w:type="dxa"/>
            <w:tcBorders>
              <w:bottom w:val="single" w:color="009EE0" w:sz="2" w:space="0"/>
            </w:tcBorders>
            <w:tcMar>
              <w:top w:w="22" w:type="dxa"/>
              <w:left w:w="28" w:type="dxa"/>
              <w:bottom w:w="22" w:type="dxa"/>
              <w:right w:w="28" w:type="dxa"/>
            </w:tcMar>
          </w:tcPr>
          <w:p w:rsidR="006B6965" w:rsidRDefault="003A166B" w14:paraId="33F091E3" w14:textId="77777777">
            <w:pPr>
              <w:pStyle w:val="p-table"/>
              <w:jc w:val="right"/>
              <w:rPr>
                <w:sz w:val="17"/>
              </w:rPr>
            </w:pPr>
            <w:r>
              <w:rPr>
                <w:i/>
                <w:sz w:val="17"/>
              </w:rPr>
              <w:t>11.117</w:t>
            </w:r>
          </w:p>
        </w:tc>
      </w:tr>
      <w:tr w:rsidR="006B6965" w14:paraId="10402AE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F16A2A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269F78C" w14:textId="77777777">
            <w:pPr>
              <w:pStyle w:val="p-table"/>
              <w:rPr>
                <w:sz w:val="17"/>
              </w:rPr>
            </w:pPr>
            <w:r>
              <w:rPr>
                <w:sz w:val="17"/>
              </w:rPr>
              <w:t>Bijdrage aan agentschap RWS</w:t>
            </w:r>
          </w:p>
        </w:tc>
        <w:tc>
          <w:tcPr>
            <w:tcW w:w="1377" w:type="dxa"/>
            <w:tcBorders>
              <w:bottom w:val="single" w:color="009EE0" w:sz="2" w:space="0"/>
            </w:tcBorders>
            <w:tcMar>
              <w:top w:w="22" w:type="dxa"/>
              <w:left w:w="28" w:type="dxa"/>
              <w:bottom w:w="22" w:type="dxa"/>
              <w:right w:w="28" w:type="dxa"/>
            </w:tcMar>
          </w:tcPr>
          <w:p w:rsidR="006B6965" w:rsidRDefault="003A166B" w14:paraId="564A6F7A" w14:textId="77777777">
            <w:pPr>
              <w:pStyle w:val="p-table"/>
              <w:jc w:val="right"/>
              <w:rPr>
                <w:sz w:val="17"/>
              </w:rPr>
            </w:pPr>
            <w:r>
              <w:rPr>
                <w:sz w:val="17"/>
              </w:rPr>
              <w:t>8.237</w:t>
            </w:r>
          </w:p>
        </w:tc>
        <w:tc>
          <w:tcPr>
            <w:tcW w:w="1377" w:type="dxa"/>
            <w:tcBorders>
              <w:bottom w:val="single" w:color="009EE0" w:sz="2" w:space="0"/>
            </w:tcBorders>
            <w:tcMar>
              <w:top w:w="22" w:type="dxa"/>
              <w:left w:w="28" w:type="dxa"/>
              <w:bottom w:w="22" w:type="dxa"/>
              <w:right w:w="28" w:type="dxa"/>
            </w:tcMar>
          </w:tcPr>
          <w:p w:rsidR="006B6965" w:rsidRDefault="003A166B" w14:paraId="00A38F5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DBDAA6F" w14:textId="77777777">
            <w:pPr>
              <w:pStyle w:val="p-table"/>
              <w:jc w:val="right"/>
              <w:rPr>
                <w:sz w:val="17"/>
              </w:rPr>
            </w:pPr>
            <w:r>
              <w:rPr>
                <w:sz w:val="17"/>
              </w:rPr>
              <w:t>8.237</w:t>
            </w:r>
          </w:p>
        </w:tc>
      </w:tr>
      <w:tr w:rsidR="006B6965" w14:paraId="11E800D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8BAEFA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6894C1A"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5C393C86" w14:textId="77777777">
            <w:pPr>
              <w:pStyle w:val="p-table"/>
              <w:jc w:val="right"/>
              <w:rPr>
                <w:sz w:val="17"/>
              </w:rPr>
            </w:pPr>
            <w:r>
              <w:rPr>
                <w:sz w:val="17"/>
              </w:rPr>
              <w:t>2.623</w:t>
            </w:r>
          </w:p>
        </w:tc>
        <w:tc>
          <w:tcPr>
            <w:tcW w:w="1377" w:type="dxa"/>
            <w:tcBorders>
              <w:bottom w:val="single" w:color="009EE0" w:sz="2" w:space="0"/>
            </w:tcBorders>
            <w:tcMar>
              <w:top w:w="22" w:type="dxa"/>
              <w:left w:w="28" w:type="dxa"/>
              <w:bottom w:w="22" w:type="dxa"/>
              <w:right w:w="28" w:type="dxa"/>
            </w:tcMar>
          </w:tcPr>
          <w:p w:rsidR="006B6965" w:rsidRDefault="003A166B" w14:paraId="1AD3D648" w14:textId="77777777">
            <w:pPr>
              <w:pStyle w:val="p-table"/>
              <w:jc w:val="right"/>
              <w:rPr>
                <w:sz w:val="17"/>
              </w:rPr>
            </w:pPr>
            <w:r>
              <w:rPr>
                <w:sz w:val="17"/>
              </w:rPr>
              <w:t>257</w:t>
            </w:r>
          </w:p>
        </w:tc>
        <w:tc>
          <w:tcPr>
            <w:tcW w:w="1377" w:type="dxa"/>
            <w:tcBorders>
              <w:bottom w:val="single" w:color="009EE0" w:sz="2" w:space="0"/>
            </w:tcBorders>
            <w:tcMar>
              <w:top w:w="22" w:type="dxa"/>
              <w:left w:w="28" w:type="dxa"/>
              <w:bottom w:w="22" w:type="dxa"/>
              <w:right w:w="28" w:type="dxa"/>
            </w:tcMar>
          </w:tcPr>
          <w:p w:rsidR="006B6965" w:rsidRDefault="003A166B" w14:paraId="4BD05209" w14:textId="77777777">
            <w:pPr>
              <w:pStyle w:val="p-table"/>
              <w:jc w:val="right"/>
              <w:rPr>
                <w:sz w:val="17"/>
              </w:rPr>
            </w:pPr>
            <w:r>
              <w:rPr>
                <w:sz w:val="17"/>
              </w:rPr>
              <w:t>2.880</w:t>
            </w:r>
          </w:p>
        </w:tc>
      </w:tr>
      <w:tr w:rsidR="006B6965" w14:paraId="42BB133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C75A66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87CA265"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006EB74A" w14:textId="77777777">
            <w:pPr>
              <w:pStyle w:val="p-table"/>
              <w:jc w:val="right"/>
              <w:rPr>
                <w:sz w:val="17"/>
              </w:rPr>
            </w:pPr>
            <w:r>
              <w:rPr>
                <w:i/>
                <w:sz w:val="17"/>
              </w:rPr>
              <w:t>6.014</w:t>
            </w:r>
          </w:p>
        </w:tc>
        <w:tc>
          <w:tcPr>
            <w:tcW w:w="1377" w:type="dxa"/>
            <w:tcBorders>
              <w:bottom w:val="single" w:color="009EE0" w:sz="2" w:space="0"/>
            </w:tcBorders>
            <w:tcMar>
              <w:top w:w="22" w:type="dxa"/>
              <w:left w:w="28" w:type="dxa"/>
              <w:bottom w:w="22" w:type="dxa"/>
              <w:right w:w="28" w:type="dxa"/>
            </w:tcMar>
          </w:tcPr>
          <w:p w:rsidR="006B6965" w:rsidRDefault="003A166B" w14:paraId="327A4702"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802E941" w14:textId="77777777">
            <w:pPr>
              <w:pStyle w:val="p-table"/>
              <w:jc w:val="right"/>
              <w:rPr>
                <w:sz w:val="17"/>
              </w:rPr>
            </w:pPr>
            <w:r>
              <w:rPr>
                <w:i/>
                <w:sz w:val="17"/>
              </w:rPr>
              <w:t>6.014</w:t>
            </w:r>
          </w:p>
        </w:tc>
      </w:tr>
      <w:tr w:rsidR="006B6965" w14:paraId="7A0E8ED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DDC970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299F31B" w14:textId="77777777">
            <w:pPr>
              <w:pStyle w:val="p-table"/>
              <w:rPr>
                <w:sz w:val="17"/>
              </w:rPr>
            </w:pPr>
            <w:r>
              <w:rPr>
                <w:sz w:val="17"/>
              </w:rPr>
              <w:t>Bijdrage aan Caribisch Nederland</w:t>
            </w:r>
          </w:p>
        </w:tc>
        <w:tc>
          <w:tcPr>
            <w:tcW w:w="1377" w:type="dxa"/>
            <w:tcBorders>
              <w:bottom w:val="single" w:color="009EE0" w:sz="2" w:space="0"/>
            </w:tcBorders>
            <w:tcMar>
              <w:top w:w="22" w:type="dxa"/>
              <w:left w:w="28" w:type="dxa"/>
              <w:bottom w:w="22" w:type="dxa"/>
              <w:right w:w="28" w:type="dxa"/>
            </w:tcMar>
          </w:tcPr>
          <w:p w:rsidR="006B6965" w:rsidRDefault="003A166B" w14:paraId="5710224E" w14:textId="77777777">
            <w:pPr>
              <w:pStyle w:val="p-table"/>
              <w:jc w:val="right"/>
              <w:rPr>
                <w:sz w:val="17"/>
              </w:rPr>
            </w:pPr>
            <w:r>
              <w:rPr>
                <w:sz w:val="17"/>
              </w:rPr>
              <w:t>6.000</w:t>
            </w:r>
          </w:p>
        </w:tc>
        <w:tc>
          <w:tcPr>
            <w:tcW w:w="1377" w:type="dxa"/>
            <w:tcBorders>
              <w:bottom w:val="single" w:color="009EE0" w:sz="2" w:space="0"/>
            </w:tcBorders>
            <w:tcMar>
              <w:top w:w="22" w:type="dxa"/>
              <w:left w:w="28" w:type="dxa"/>
              <w:bottom w:w="22" w:type="dxa"/>
              <w:right w:w="28" w:type="dxa"/>
            </w:tcMar>
          </w:tcPr>
          <w:p w:rsidR="006B6965" w:rsidRDefault="003A166B" w14:paraId="2100FFD3"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E63144C" w14:textId="77777777">
            <w:pPr>
              <w:pStyle w:val="p-table"/>
              <w:jc w:val="right"/>
              <w:rPr>
                <w:sz w:val="17"/>
              </w:rPr>
            </w:pPr>
            <w:r>
              <w:rPr>
                <w:sz w:val="17"/>
              </w:rPr>
              <w:t>6.000</w:t>
            </w:r>
          </w:p>
        </w:tc>
      </w:tr>
      <w:tr w:rsidR="006B6965" w14:paraId="5B502F5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B8B734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FD321AB" w14:textId="77777777">
            <w:pPr>
              <w:pStyle w:val="p-table"/>
              <w:rPr>
                <w:sz w:val="17"/>
              </w:rPr>
            </w:pPr>
            <w:r>
              <w:rPr>
                <w:sz w:val="17"/>
              </w:rPr>
              <w:t>Regionale bijdrage MIRT</w:t>
            </w:r>
          </w:p>
        </w:tc>
        <w:tc>
          <w:tcPr>
            <w:tcW w:w="1377" w:type="dxa"/>
            <w:tcBorders>
              <w:bottom w:val="single" w:color="009EE0" w:sz="2" w:space="0"/>
            </w:tcBorders>
            <w:tcMar>
              <w:top w:w="22" w:type="dxa"/>
              <w:left w:w="28" w:type="dxa"/>
              <w:bottom w:w="22" w:type="dxa"/>
              <w:right w:w="28" w:type="dxa"/>
            </w:tcMar>
          </w:tcPr>
          <w:p w:rsidR="006B6965" w:rsidRDefault="003A166B" w14:paraId="71BF8F02" w14:textId="77777777">
            <w:pPr>
              <w:pStyle w:val="p-table"/>
              <w:jc w:val="right"/>
              <w:rPr>
                <w:sz w:val="17"/>
              </w:rPr>
            </w:pPr>
            <w:r>
              <w:rPr>
                <w:sz w:val="17"/>
              </w:rPr>
              <w:t>14</w:t>
            </w:r>
          </w:p>
        </w:tc>
        <w:tc>
          <w:tcPr>
            <w:tcW w:w="1377" w:type="dxa"/>
            <w:tcBorders>
              <w:bottom w:val="single" w:color="009EE0" w:sz="2" w:space="0"/>
            </w:tcBorders>
            <w:tcMar>
              <w:top w:w="22" w:type="dxa"/>
              <w:left w:w="28" w:type="dxa"/>
              <w:bottom w:w="22" w:type="dxa"/>
              <w:right w:w="28" w:type="dxa"/>
            </w:tcMar>
          </w:tcPr>
          <w:p w:rsidR="006B6965" w:rsidRDefault="003A166B" w14:paraId="5CDE438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5D15900" w14:textId="77777777">
            <w:pPr>
              <w:pStyle w:val="p-table"/>
              <w:jc w:val="right"/>
              <w:rPr>
                <w:sz w:val="17"/>
              </w:rPr>
            </w:pPr>
            <w:r>
              <w:rPr>
                <w:sz w:val="17"/>
              </w:rPr>
              <w:t>14</w:t>
            </w:r>
          </w:p>
        </w:tc>
      </w:tr>
      <w:tr w:rsidR="006B6965" w14:paraId="43FA8C5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E35DEE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3B3F3EA" w14:textId="77777777">
            <w:pPr>
              <w:pStyle w:val="p-table"/>
              <w:rPr>
                <w:sz w:val="17"/>
              </w:rPr>
            </w:pPr>
            <w:r>
              <w:rPr>
                <w:i/>
                <w:sz w:val="17"/>
              </w:rPr>
              <w:t>Bijdrage aan ZBO's/</w:t>
            </w:r>
            <w:proofErr w:type="spellStart"/>
            <w:r>
              <w:rPr>
                <w:i/>
                <w:sz w:val="17"/>
              </w:rPr>
              <w:t>RWT's</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09A14F39"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C68F0D0" w14:textId="77777777">
            <w:pPr>
              <w:pStyle w:val="p-table"/>
              <w:jc w:val="right"/>
              <w:rPr>
                <w:sz w:val="17"/>
              </w:rPr>
            </w:pPr>
            <w:r>
              <w:rPr>
                <w:i/>
                <w:sz w:val="17"/>
              </w:rPr>
              <w:t>805</w:t>
            </w:r>
          </w:p>
        </w:tc>
        <w:tc>
          <w:tcPr>
            <w:tcW w:w="1377" w:type="dxa"/>
            <w:tcBorders>
              <w:bottom w:val="single" w:color="009EE0" w:sz="2" w:space="0"/>
            </w:tcBorders>
            <w:tcMar>
              <w:top w:w="22" w:type="dxa"/>
              <w:left w:w="28" w:type="dxa"/>
              <w:bottom w:w="22" w:type="dxa"/>
              <w:right w:w="28" w:type="dxa"/>
            </w:tcMar>
          </w:tcPr>
          <w:p w:rsidR="006B6965" w:rsidRDefault="003A166B" w14:paraId="30EB0A65" w14:textId="77777777">
            <w:pPr>
              <w:pStyle w:val="p-table"/>
              <w:jc w:val="right"/>
              <w:rPr>
                <w:sz w:val="17"/>
              </w:rPr>
            </w:pPr>
            <w:r>
              <w:rPr>
                <w:i/>
                <w:sz w:val="17"/>
              </w:rPr>
              <w:t>805</w:t>
            </w:r>
          </w:p>
        </w:tc>
      </w:tr>
      <w:tr w:rsidR="006B6965" w14:paraId="4CEFA84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DE6188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F46EA38"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5E947322"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011C4E2" w14:textId="77777777">
            <w:pPr>
              <w:pStyle w:val="p-table"/>
              <w:jc w:val="right"/>
              <w:rPr>
                <w:sz w:val="17"/>
              </w:rPr>
            </w:pPr>
            <w:r>
              <w:rPr>
                <w:sz w:val="17"/>
              </w:rPr>
              <w:t>805</w:t>
            </w:r>
          </w:p>
        </w:tc>
        <w:tc>
          <w:tcPr>
            <w:tcW w:w="1377" w:type="dxa"/>
            <w:tcBorders>
              <w:bottom w:val="single" w:color="009EE0" w:sz="2" w:space="0"/>
            </w:tcBorders>
            <w:tcMar>
              <w:top w:w="22" w:type="dxa"/>
              <w:left w:w="28" w:type="dxa"/>
              <w:bottom w:w="22" w:type="dxa"/>
              <w:right w:w="28" w:type="dxa"/>
            </w:tcMar>
          </w:tcPr>
          <w:p w:rsidR="006B6965" w:rsidRDefault="003A166B" w14:paraId="44BACA4C" w14:textId="77777777">
            <w:pPr>
              <w:pStyle w:val="p-table"/>
              <w:jc w:val="right"/>
              <w:rPr>
                <w:sz w:val="17"/>
              </w:rPr>
            </w:pPr>
            <w:r>
              <w:rPr>
                <w:sz w:val="17"/>
              </w:rPr>
              <w:t>805</w:t>
            </w:r>
          </w:p>
        </w:tc>
      </w:tr>
      <w:tr w:rsidR="006B6965" w14:paraId="0FCA2DA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21180ED4" w14:textId="77777777">
            <w:pPr>
              <w:pStyle w:val="p-table"/>
              <w:rPr>
                <w:sz w:val="17"/>
              </w:rPr>
            </w:pPr>
            <w:r>
              <w:rPr>
                <w:b/>
                <w:sz w:val="17"/>
              </w:rPr>
              <w:t>14.2</w:t>
            </w:r>
          </w:p>
        </w:tc>
        <w:tc>
          <w:tcPr>
            <w:tcW w:w="4590" w:type="dxa"/>
            <w:tcBorders>
              <w:bottom w:val="single" w:color="009EE0" w:sz="2" w:space="0"/>
            </w:tcBorders>
            <w:tcMar>
              <w:top w:w="22" w:type="dxa"/>
              <w:left w:w="28" w:type="dxa"/>
              <w:bottom w:w="22" w:type="dxa"/>
              <w:right w:w="28" w:type="dxa"/>
            </w:tcMar>
          </w:tcPr>
          <w:p w:rsidR="006B6965" w:rsidRDefault="003A166B" w14:paraId="32FD9CBB" w14:textId="77777777">
            <w:pPr>
              <w:pStyle w:val="p-table"/>
              <w:rPr>
                <w:sz w:val="17"/>
              </w:rPr>
            </w:pPr>
            <w:r>
              <w:rPr>
                <w:b/>
                <w:sz w:val="17"/>
              </w:rPr>
              <w:t>Verkeersveiligheid</w:t>
            </w:r>
          </w:p>
        </w:tc>
        <w:tc>
          <w:tcPr>
            <w:tcW w:w="1377" w:type="dxa"/>
            <w:tcBorders>
              <w:bottom w:val="single" w:color="009EE0" w:sz="2" w:space="0"/>
            </w:tcBorders>
            <w:tcMar>
              <w:top w:w="22" w:type="dxa"/>
              <w:left w:w="28" w:type="dxa"/>
              <w:bottom w:w="22" w:type="dxa"/>
              <w:right w:w="28" w:type="dxa"/>
            </w:tcMar>
          </w:tcPr>
          <w:p w:rsidR="006B6965" w:rsidRDefault="003A166B" w14:paraId="467270E0" w14:textId="77777777">
            <w:pPr>
              <w:pStyle w:val="p-table"/>
              <w:jc w:val="right"/>
              <w:rPr>
                <w:sz w:val="17"/>
              </w:rPr>
            </w:pPr>
            <w:r>
              <w:rPr>
                <w:b/>
                <w:sz w:val="17"/>
              </w:rPr>
              <w:t>29.164</w:t>
            </w:r>
          </w:p>
        </w:tc>
        <w:tc>
          <w:tcPr>
            <w:tcW w:w="1377" w:type="dxa"/>
            <w:tcBorders>
              <w:bottom w:val="single" w:color="009EE0" w:sz="2" w:space="0"/>
            </w:tcBorders>
            <w:tcMar>
              <w:top w:w="22" w:type="dxa"/>
              <w:left w:w="28" w:type="dxa"/>
              <w:bottom w:w="22" w:type="dxa"/>
              <w:right w:w="28" w:type="dxa"/>
            </w:tcMar>
          </w:tcPr>
          <w:p w:rsidR="006B6965" w:rsidRDefault="003A166B" w14:paraId="2F610B08" w14:textId="77777777">
            <w:pPr>
              <w:pStyle w:val="p-table"/>
              <w:jc w:val="right"/>
              <w:rPr>
                <w:sz w:val="17"/>
              </w:rPr>
            </w:pPr>
            <w:r>
              <w:rPr>
                <w:b/>
                <w:sz w:val="17"/>
              </w:rPr>
              <w:t>‒</w:t>
            </w:r>
            <w:r>
              <w:rPr>
                <w:b/>
                <w:sz w:val="17"/>
              </w:rPr>
              <w:t xml:space="preserve"> 10.434</w:t>
            </w:r>
          </w:p>
        </w:tc>
        <w:tc>
          <w:tcPr>
            <w:tcW w:w="1377" w:type="dxa"/>
            <w:tcBorders>
              <w:bottom w:val="single" w:color="009EE0" w:sz="2" w:space="0"/>
            </w:tcBorders>
            <w:tcMar>
              <w:top w:w="22" w:type="dxa"/>
              <w:left w:w="28" w:type="dxa"/>
              <w:bottom w:w="22" w:type="dxa"/>
              <w:right w:w="28" w:type="dxa"/>
            </w:tcMar>
          </w:tcPr>
          <w:p w:rsidR="006B6965" w:rsidRDefault="003A166B" w14:paraId="38F0FA96" w14:textId="77777777">
            <w:pPr>
              <w:pStyle w:val="p-table"/>
              <w:jc w:val="right"/>
              <w:rPr>
                <w:sz w:val="17"/>
              </w:rPr>
            </w:pPr>
            <w:r>
              <w:rPr>
                <w:b/>
                <w:sz w:val="17"/>
              </w:rPr>
              <w:t>18.730</w:t>
            </w:r>
          </w:p>
        </w:tc>
      </w:tr>
      <w:tr w:rsidR="006B6965" w14:paraId="165D397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470FE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338EFE5"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6A581721" w14:textId="77777777">
            <w:pPr>
              <w:pStyle w:val="p-table"/>
              <w:jc w:val="right"/>
              <w:rPr>
                <w:sz w:val="17"/>
              </w:rPr>
            </w:pPr>
            <w:r>
              <w:rPr>
                <w:i/>
                <w:sz w:val="17"/>
              </w:rPr>
              <w:t>3.983</w:t>
            </w:r>
          </w:p>
        </w:tc>
        <w:tc>
          <w:tcPr>
            <w:tcW w:w="1377" w:type="dxa"/>
            <w:tcBorders>
              <w:bottom w:val="single" w:color="009EE0" w:sz="2" w:space="0"/>
            </w:tcBorders>
            <w:tcMar>
              <w:top w:w="22" w:type="dxa"/>
              <w:left w:w="28" w:type="dxa"/>
              <w:bottom w:w="22" w:type="dxa"/>
              <w:right w:w="28" w:type="dxa"/>
            </w:tcMar>
          </w:tcPr>
          <w:p w:rsidR="006B6965" w:rsidRDefault="003A166B" w14:paraId="507C3F67" w14:textId="77777777">
            <w:pPr>
              <w:pStyle w:val="p-table"/>
              <w:jc w:val="right"/>
              <w:rPr>
                <w:sz w:val="17"/>
              </w:rPr>
            </w:pPr>
            <w:r>
              <w:rPr>
                <w:i/>
                <w:sz w:val="17"/>
              </w:rPr>
              <w:t>1.023</w:t>
            </w:r>
          </w:p>
        </w:tc>
        <w:tc>
          <w:tcPr>
            <w:tcW w:w="1377" w:type="dxa"/>
            <w:tcBorders>
              <w:bottom w:val="single" w:color="009EE0" w:sz="2" w:space="0"/>
            </w:tcBorders>
            <w:tcMar>
              <w:top w:w="22" w:type="dxa"/>
              <w:left w:w="28" w:type="dxa"/>
              <w:bottom w:w="22" w:type="dxa"/>
              <w:right w:w="28" w:type="dxa"/>
            </w:tcMar>
          </w:tcPr>
          <w:p w:rsidR="006B6965" w:rsidRDefault="003A166B" w14:paraId="49993A45" w14:textId="77777777">
            <w:pPr>
              <w:pStyle w:val="p-table"/>
              <w:jc w:val="right"/>
              <w:rPr>
                <w:sz w:val="17"/>
              </w:rPr>
            </w:pPr>
            <w:r>
              <w:rPr>
                <w:i/>
                <w:sz w:val="17"/>
              </w:rPr>
              <w:t>5.006</w:t>
            </w:r>
          </w:p>
        </w:tc>
      </w:tr>
      <w:tr w:rsidR="006B6965" w14:paraId="0C29513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172604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BE33ECE" w14:textId="77777777">
            <w:pPr>
              <w:pStyle w:val="p-table"/>
              <w:rPr>
                <w:sz w:val="17"/>
              </w:rPr>
            </w:pPr>
            <w:r>
              <w:rPr>
                <w:sz w:val="17"/>
              </w:rPr>
              <w:t>Opdrachten Verkeersveiligheid</w:t>
            </w:r>
          </w:p>
        </w:tc>
        <w:tc>
          <w:tcPr>
            <w:tcW w:w="1377" w:type="dxa"/>
            <w:tcBorders>
              <w:bottom w:val="single" w:color="009EE0" w:sz="2" w:space="0"/>
            </w:tcBorders>
            <w:tcMar>
              <w:top w:w="22" w:type="dxa"/>
              <w:left w:w="28" w:type="dxa"/>
              <w:bottom w:w="22" w:type="dxa"/>
              <w:right w:w="28" w:type="dxa"/>
            </w:tcMar>
          </w:tcPr>
          <w:p w:rsidR="006B6965" w:rsidRDefault="003A166B" w14:paraId="07ED5096" w14:textId="77777777">
            <w:pPr>
              <w:pStyle w:val="p-table"/>
              <w:jc w:val="right"/>
              <w:rPr>
                <w:sz w:val="17"/>
              </w:rPr>
            </w:pPr>
            <w:r>
              <w:rPr>
                <w:sz w:val="17"/>
              </w:rPr>
              <w:t>2.583</w:t>
            </w:r>
          </w:p>
        </w:tc>
        <w:tc>
          <w:tcPr>
            <w:tcW w:w="1377" w:type="dxa"/>
            <w:tcBorders>
              <w:bottom w:val="single" w:color="009EE0" w:sz="2" w:space="0"/>
            </w:tcBorders>
            <w:tcMar>
              <w:top w:w="22" w:type="dxa"/>
              <w:left w:w="28" w:type="dxa"/>
              <w:bottom w:w="22" w:type="dxa"/>
              <w:right w:w="28" w:type="dxa"/>
            </w:tcMar>
          </w:tcPr>
          <w:p w:rsidR="006B6965" w:rsidRDefault="003A166B" w14:paraId="363945C3" w14:textId="77777777">
            <w:pPr>
              <w:pStyle w:val="p-table"/>
              <w:jc w:val="right"/>
              <w:rPr>
                <w:sz w:val="17"/>
              </w:rPr>
            </w:pPr>
            <w:r>
              <w:rPr>
                <w:sz w:val="17"/>
              </w:rPr>
              <w:t>1.023</w:t>
            </w:r>
          </w:p>
        </w:tc>
        <w:tc>
          <w:tcPr>
            <w:tcW w:w="1377" w:type="dxa"/>
            <w:tcBorders>
              <w:bottom w:val="single" w:color="009EE0" w:sz="2" w:space="0"/>
            </w:tcBorders>
            <w:tcMar>
              <w:top w:w="22" w:type="dxa"/>
              <w:left w:w="28" w:type="dxa"/>
              <w:bottom w:w="22" w:type="dxa"/>
              <w:right w:w="28" w:type="dxa"/>
            </w:tcMar>
          </w:tcPr>
          <w:p w:rsidR="006B6965" w:rsidRDefault="003A166B" w14:paraId="4E361751" w14:textId="77777777">
            <w:pPr>
              <w:pStyle w:val="p-table"/>
              <w:jc w:val="right"/>
              <w:rPr>
                <w:sz w:val="17"/>
              </w:rPr>
            </w:pPr>
            <w:r>
              <w:rPr>
                <w:sz w:val="17"/>
              </w:rPr>
              <w:t>3.606</w:t>
            </w:r>
          </w:p>
        </w:tc>
      </w:tr>
      <w:tr w:rsidR="006B6965" w14:paraId="4D49585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81DC68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9562C8B"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19F7A1DF" w14:textId="77777777">
            <w:pPr>
              <w:pStyle w:val="p-table"/>
              <w:jc w:val="right"/>
              <w:rPr>
                <w:sz w:val="17"/>
              </w:rPr>
            </w:pPr>
            <w:r>
              <w:rPr>
                <w:sz w:val="17"/>
              </w:rPr>
              <w:t>1.400</w:t>
            </w:r>
          </w:p>
        </w:tc>
        <w:tc>
          <w:tcPr>
            <w:tcW w:w="1377" w:type="dxa"/>
            <w:tcBorders>
              <w:bottom w:val="single" w:color="009EE0" w:sz="2" w:space="0"/>
            </w:tcBorders>
            <w:tcMar>
              <w:top w:w="22" w:type="dxa"/>
              <w:left w:w="28" w:type="dxa"/>
              <w:bottom w:w="22" w:type="dxa"/>
              <w:right w:w="28" w:type="dxa"/>
            </w:tcMar>
          </w:tcPr>
          <w:p w:rsidR="006B6965" w:rsidRDefault="003A166B" w14:paraId="4C09A58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9200AC1" w14:textId="77777777">
            <w:pPr>
              <w:pStyle w:val="p-table"/>
              <w:jc w:val="right"/>
              <w:rPr>
                <w:sz w:val="17"/>
              </w:rPr>
            </w:pPr>
            <w:r>
              <w:rPr>
                <w:sz w:val="17"/>
              </w:rPr>
              <w:t>1.400</w:t>
            </w:r>
          </w:p>
        </w:tc>
      </w:tr>
      <w:tr w:rsidR="006B6965" w14:paraId="4D5C4EF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1CFE83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00C4631"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21EDB931" w14:textId="77777777">
            <w:pPr>
              <w:pStyle w:val="p-table"/>
              <w:jc w:val="right"/>
              <w:rPr>
                <w:sz w:val="17"/>
              </w:rPr>
            </w:pPr>
            <w:r>
              <w:rPr>
                <w:i/>
                <w:sz w:val="17"/>
              </w:rPr>
              <w:t>10.941</w:t>
            </w:r>
          </w:p>
        </w:tc>
        <w:tc>
          <w:tcPr>
            <w:tcW w:w="1377" w:type="dxa"/>
            <w:tcBorders>
              <w:bottom w:val="single" w:color="009EE0" w:sz="2" w:space="0"/>
            </w:tcBorders>
            <w:tcMar>
              <w:top w:w="22" w:type="dxa"/>
              <w:left w:w="28" w:type="dxa"/>
              <w:bottom w:w="22" w:type="dxa"/>
              <w:right w:w="28" w:type="dxa"/>
            </w:tcMar>
          </w:tcPr>
          <w:p w:rsidR="006B6965" w:rsidRDefault="003A166B" w14:paraId="37E65C27" w14:textId="77777777">
            <w:pPr>
              <w:pStyle w:val="p-table"/>
              <w:jc w:val="right"/>
              <w:rPr>
                <w:sz w:val="17"/>
              </w:rPr>
            </w:pPr>
            <w:r>
              <w:rPr>
                <w:i/>
                <w:sz w:val="17"/>
              </w:rPr>
              <w:t>‒</w:t>
            </w:r>
            <w:r>
              <w:rPr>
                <w:i/>
                <w:sz w:val="17"/>
              </w:rPr>
              <w:t xml:space="preserve"> 376</w:t>
            </w:r>
          </w:p>
        </w:tc>
        <w:tc>
          <w:tcPr>
            <w:tcW w:w="1377" w:type="dxa"/>
            <w:tcBorders>
              <w:bottom w:val="single" w:color="009EE0" w:sz="2" w:space="0"/>
            </w:tcBorders>
            <w:tcMar>
              <w:top w:w="22" w:type="dxa"/>
              <w:left w:w="28" w:type="dxa"/>
              <w:bottom w:w="22" w:type="dxa"/>
              <w:right w:w="28" w:type="dxa"/>
            </w:tcMar>
          </w:tcPr>
          <w:p w:rsidR="006B6965" w:rsidRDefault="003A166B" w14:paraId="1B6A055C" w14:textId="77777777">
            <w:pPr>
              <w:pStyle w:val="p-table"/>
              <w:jc w:val="right"/>
              <w:rPr>
                <w:sz w:val="17"/>
              </w:rPr>
            </w:pPr>
            <w:r>
              <w:rPr>
                <w:i/>
                <w:sz w:val="17"/>
              </w:rPr>
              <w:t>10.565</w:t>
            </w:r>
          </w:p>
        </w:tc>
      </w:tr>
      <w:tr w:rsidR="006B6965" w14:paraId="34C205D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94D806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D444EED" w14:textId="77777777">
            <w:pPr>
              <w:pStyle w:val="p-table"/>
              <w:rPr>
                <w:sz w:val="17"/>
              </w:rPr>
            </w:pPr>
            <w:r>
              <w:rPr>
                <w:sz w:val="17"/>
              </w:rPr>
              <w:t>Veilig Verkeer Nederland (VVN)</w:t>
            </w:r>
          </w:p>
        </w:tc>
        <w:tc>
          <w:tcPr>
            <w:tcW w:w="1377" w:type="dxa"/>
            <w:tcBorders>
              <w:bottom w:val="single" w:color="009EE0" w:sz="2" w:space="0"/>
            </w:tcBorders>
            <w:tcMar>
              <w:top w:w="22" w:type="dxa"/>
              <w:left w:w="28" w:type="dxa"/>
              <w:bottom w:w="22" w:type="dxa"/>
              <w:right w:w="28" w:type="dxa"/>
            </w:tcMar>
          </w:tcPr>
          <w:p w:rsidR="006B6965" w:rsidRDefault="003A166B" w14:paraId="2094D3EF" w14:textId="77777777">
            <w:pPr>
              <w:pStyle w:val="p-table"/>
              <w:jc w:val="right"/>
              <w:rPr>
                <w:sz w:val="17"/>
              </w:rPr>
            </w:pPr>
            <w:r>
              <w:rPr>
                <w:sz w:val="17"/>
              </w:rPr>
              <w:t>3.984</w:t>
            </w:r>
          </w:p>
        </w:tc>
        <w:tc>
          <w:tcPr>
            <w:tcW w:w="1377" w:type="dxa"/>
            <w:tcBorders>
              <w:bottom w:val="single" w:color="009EE0" w:sz="2" w:space="0"/>
            </w:tcBorders>
            <w:tcMar>
              <w:top w:w="22" w:type="dxa"/>
              <w:left w:w="28" w:type="dxa"/>
              <w:bottom w:w="22" w:type="dxa"/>
              <w:right w:w="28" w:type="dxa"/>
            </w:tcMar>
          </w:tcPr>
          <w:p w:rsidR="006B6965" w:rsidRDefault="003A166B" w14:paraId="089338A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2F0A3A1" w14:textId="77777777">
            <w:pPr>
              <w:pStyle w:val="p-table"/>
              <w:jc w:val="right"/>
              <w:rPr>
                <w:sz w:val="17"/>
              </w:rPr>
            </w:pPr>
            <w:r>
              <w:rPr>
                <w:sz w:val="17"/>
              </w:rPr>
              <w:t>3.984</w:t>
            </w:r>
          </w:p>
        </w:tc>
      </w:tr>
      <w:tr w:rsidR="006B6965" w14:paraId="507EBFD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268003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ADC633E" w14:textId="77777777">
            <w:pPr>
              <w:pStyle w:val="p-table"/>
              <w:rPr>
                <w:sz w:val="17"/>
              </w:rPr>
            </w:pPr>
            <w:r>
              <w:rPr>
                <w:sz w:val="17"/>
              </w:rPr>
              <w:t xml:space="preserve">Stichting Wetenschappelijk Onderzoek </w:t>
            </w:r>
            <w:r>
              <w:rPr>
                <w:sz w:val="17"/>
              </w:rPr>
              <w:t>Verkeersveiligheid (SWOV)</w:t>
            </w:r>
          </w:p>
        </w:tc>
        <w:tc>
          <w:tcPr>
            <w:tcW w:w="1377" w:type="dxa"/>
            <w:tcBorders>
              <w:bottom w:val="single" w:color="009EE0" w:sz="2" w:space="0"/>
            </w:tcBorders>
            <w:tcMar>
              <w:top w:w="22" w:type="dxa"/>
              <w:left w:w="28" w:type="dxa"/>
              <w:bottom w:w="22" w:type="dxa"/>
              <w:right w:w="28" w:type="dxa"/>
            </w:tcMar>
          </w:tcPr>
          <w:p w:rsidR="006B6965" w:rsidRDefault="003A166B" w14:paraId="33D81CA3" w14:textId="77777777">
            <w:pPr>
              <w:pStyle w:val="p-table"/>
              <w:jc w:val="right"/>
              <w:rPr>
                <w:sz w:val="17"/>
              </w:rPr>
            </w:pPr>
            <w:r>
              <w:rPr>
                <w:sz w:val="17"/>
              </w:rPr>
              <w:t>4.437</w:t>
            </w:r>
          </w:p>
        </w:tc>
        <w:tc>
          <w:tcPr>
            <w:tcW w:w="1377" w:type="dxa"/>
            <w:tcBorders>
              <w:bottom w:val="single" w:color="009EE0" w:sz="2" w:space="0"/>
            </w:tcBorders>
            <w:tcMar>
              <w:top w:w="22" w:type="dxa"/>
              <w:left w:w="28" w:type="dxa"/>
              <w:bottom w:w="22" w:type="dxa"/>
              <w:right w:w="28" w:type="dxa"/>
            </w:tcMar>
          </w:tcPr>
          <w:p w:rsidR="006B6965" w:rsidRDefault="003A166B" w14:paraId="04CF6E43"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4C5BA09" w14:textId="77777777">
            <w:pPr>
              <w:pStyle w:val="p-table"/>
              <w:jc w:val="right"/>
              <w:rPr>
                <w:sz w:val="17"/>
              </w:rPr>
            </w:pPr>
            <w:r>
              <w:rPr>
                <w:sz w:val="17"/>
              </w:rPr>
              <w:t>4.437</w:t>
            </w:r>
          </w:p>
        </w:tc>
      </w:tr>
      <w:tr w:rsidR="006B6965" w14:paraId="183A7D2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9935DE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5860784"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51DB06F4" w14:textId="77777777">
            <w:pPr>
              <w:pStyle w:val="p-table"/>
              <w:jc w:val="right"/>
              <w:rPr>
                <w:sz w:val="17"/>
              </w:rPr>
            </w:pPr>
            <w:r>
              <w:rPr>
                <w:sz w:val="17"/>
              </w:rPr>
              <w:t>2.520</w:t>
            </w:r>
          </w:p>
        </w:tc>
        <w:tc>
          <w:tcPr>
            <w:tcW w:w="1377" w:type="dxa"/>
            <w:tcBorders>
              <w:bottom w:val="single" w:color="009EE0" w:sz="2" w:space="0"/>
            </w:tcBorders>
            <w:tcMar>
              <w:top w:w="22" w:type="dxa"/>
              <w:left w:w="28" w:type="dxa"/>
              <w:bottom w:w="22" w:type="dxa"/>
              <w:right w:w="28" w:type="dxa"/>
            </w:tcMar>
          </w:tcPr>
          <w:p w:rsidR="006B6965" w:rsidRDefault="003A166B" w14:paraId="5AA69ABA" w14:textId="77777777">
            <w:pPr>
              <w:pStyle w:val="p-table"/>
              <w:jc w:val="right"/>
              <w:rPr>
                <w:sz w:val="17"/>
              </w:rPr>
            </w:pPr>
            <w:r>
              <w:rPr>
                <w:sz w:val="17"/>
              </w:rPr>
              <w:t>‒</w:t>
            </w:r>
            <w:r>
              <w:rPr>
                <w:sz w:val="17"/>
              </w:rPr>
              <w:t xml:space="preserve"> 376</w:t>
            </w:r>
          </w:p>
        </w:tc>
        <w:tc>
          <w:tcPr>
            <w:tcW w:w="1377" w:type="dxa"/>
            <w:tcBorders>
              <w:bottom w:val="single" w:color="009EE0" w:sz="2" w:space="0"/>
            </w:tcBorders>
            <w:tcMar>
              <w:top w:w="22" w:type="dxa"/>
              <w:left w:w="28" w:type="dxa"/>
              <w:bottom w:w="22" w:type="dxa"/>
              <w:right w:w="28" w:type="dxa"/>
            </w:tcMar>
          </w:tcPr>
          <w:p w:rsidR="006B6965" w:rsidRDefault="003A166B" w14:paraId="448AB47A" w14:textId="77777777">
            <w:pPr>
              <w:pStyle w:val="p-table"/>
              <w:jc w:val="right"/>
              <w:rPr>
                <w:sz w:val="17"/>
              </w:rPr>
            </w:pPr>
            <w:r>
              <w:rPr>
                <w:sz w:val="17"/>
              </w:rPr>
              <w:t>2.144</w:t>
            </w:r>
          </w:p>
        </w:tc>
      </w:tr>
      <w:tr w:rsidR="006B6965" w14:paraId="44213F9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6E0B41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5698530"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7C274A11" w14:textId="77777777">
            <w:pPr>
              <w:pStyle w:val="p-table"/>
              <w:jc w:val="right"/>
              <w:rPr>
                <w:sz w:val="17"/>
              </w:rPr>
            </w:pPr>
            <w:r>
              <w:rPr>
                <w:i/>
                <w:sz w:val="17"/>
              </w:rPr>
              <w:t>789</w:t>
            </w:r>
          </w:p>
        </w:tc>
        <w:tc>
          <w:tcPr>
            <w:tcW w:w="1377" w:type="dxa"/>
            <w:tcBorders>
              <w:bottom w:val="single" w:color="009EE0" w:sz="2" w:space="0"/>
            </w:tcBorders>
            <w:tcMar>
              <w:top w:w="22" w:type="dxa"/>
              <w:left w:w="28" w:type="dxa"/>
              <w:bottom w:w="22" w:type="dxa"/>
              <w:right w:w="28" w:type="dxa"/>
            </w:tcMar>
          </w:tcPr>
          <w:p w:rsidR="006B6965" w:rsidRDefault="003A166B" w14:paraId="0A5160E5"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EFEE843" w14:textId="77777777">
            <w:pPr>
              <w:pStyle w:val="p-table"/>
              <w:jc w:val="right"/>
              <w:rPr>
                <w:sz w:val="17"/>
              </w:rPr>
            </w:pPr>
            <w:r>
              <w:rPr>
                <w:i/>
                <w:sz w:val="17"/>
              </w:rPr>
              <w:t>789</w:t>
            </w:r>
          </w:p>
        </w:tc>
      </w:tr>
      <w:tr w:rsidR="006B6965" w14:paraId="79A6A68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A91310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F13146A" w14:textId="77777777">
            <w:pPr>
              <w:pStyle w:val="p-table"/>
              <w:rPr>
                <w:sz w:val="17"/>
              </w:rPr>
            </w:pPr>
            <w:r>
              <w:rPr>
                <w:sz w:val="17"/>
              </w:rPr>
              <w:t>Bijdrage aan agentschap RWS</w:t>
            </w:r>
          </w:p>
        </w:tc>
        <w:tc>
          <w:tcPr>
            <w:tcW w:w="1377" w:type="dxa"/>
            <w:tcBorders>
              <w:bottom w:val="single" w:color="009EE0" w:sz="2" w:space="0"/>
            </w:tcBorders>
            <w:tcMar>
              <w:top w:w="22" w:type="dxa"/>
              <w:left w:w="28" w:type="dxa"/>
              <w:bottom w:w="22" w:type="dxa"/>
              <w:right w:w="28" w:type="dxa"/>
            </w:tcMar>
          </w:tcPr>
          <w:p w:rsidR="006B6965" w:rsidRDefault="003A166B" w14:paraId="5A0300CC" w14:textId="77777777">
            <w:pPr>
              <w:pStyle w:val="p-table"/>
              <w:jc w:val="right"/>
              <w:rPr>
                <w:sz w:val="17"/>
              </w:rPr>
            </w:pPr>
            <w:r>
              <w:rPr>
                <w:sz w:val="17"/>
              </w:rPr>
              <w:t>789</w:t>
            </w:r>
          </w:p>
        </w:tc>
        <w:tc>
          <w:tcPr>
            <w:tcW w:w="1377" w:type="dxa"/>
            <w:tcBorders>
              <w:bottom w:val="single" w:color="009EE0" w:sz="2" w:space="0"/>
            </w:tcBorders>
            <w:tcMar>
              <w:top w:w="22" w:type="dxa"/>
              <w:left w:w="28" w:type="dxa"/>
              <w:bottom w:w="22" w:type="dxa"/>
              <w:right w:w="28" w:type="dxa"/>
            </w:tcMar>
          </w:tcPr>
          <w:p w:rsidR="006B6965" w:rsidRDefault="003A166B" w14:paraId="4042673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E7F0319" w14:textId="77777777">
            <w:pPr>
              <w:pStyle w:val="p-table"/>
              <w:jc w:val="right"/>
              <w:rPr>
                <w:sz w:val="17"/>
              </w:rPr>
            </w:pPr>
            <w:r>
              <w:rPr>
                <w:sz w:val="17"/>
              </w:rPr>
              <w:t>789</w:t>
            </w:r>
          </w:p>
        </w:tc>
      </w:tr>
      <w:tr w:rsidR="006B6965" w14:paraId="5F24FA5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950729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E4834E9" w14:textId="77777777">
            <w:pPr>
              <w:pStyle w:val="p-table"/>
              <w:rPr>
                <w:sz w:val="17"/>
              </w:rPr>
            </w:pPr>
            <w:r>
              <w:rPr>
                <w:i/>
                <w:sz w:val="17"/>
              </w:rPr>
              <w:t>Bijdrage aan ZBO's/</w:t>
            </w:r>
            <w:proofErr w:type="spellStart"/>
            <w:r>
              <w:rPr>
                <w:i/>
                <w:sz w:val="17"/>
              </w:rPr>
              <w:t>RWT's</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6322C1BC" w14:textId="77777777">
            <w:pPr>
              <w:pStyle w:val="p-table"/>
              <w:jc w:val="right"/>
              <w:rPr>
                <w:sz w:val="17"/>
              </w:rPr>
            </w:pPr>
            <w:r>
              <w:rPr>
                <w:i/>
                <w:sz w:val="17"/>
              </w:rPr>
              <w:t>2.451</w:t>
            </w:r>
          </w:p>
        </w:tc>
        <w:tc>
          <w:tcPr>
            <w:tcW w:w="1377" w:type="dxa"/>
            <w:tcBorders>
              <w:bottom w:val="single" w:color="009EE0" w:sz="2" w:space="0"/>
            </w:tcBorders>
            <w:tcMar>
              <w:top w:w="22" w:type="dxa"/>
              <w:left w:w="28" w:type="dxa"/>
              <w:bottom w:w="22" w:type="dxa"/>
              <w:right w:w="28" w:type="dxa"/>
            </w:tcMar>
          </w:tcPr>
          <w:p w:rsidR="006B6965" w:rsidRDefault="003A166B" w14:paraId="476F2323" w14:textId="77777777">
            <w:pPr>
              <w:pStyle w:val="p-table"/>
              <w:jc w:val="right"/>
              <w:rPr>
                <w:sz w:val="17"/>
              </w:rPr>
            </w:pPr>
            <w:r>
              <w:rPr>
                <w:i/>
                <w:sz w:val="17"/>
              </w:rPr>
              <w:t>‒</w:t>
            </w:r>
            <w:r>
              <w:rPr>
                <w:i/>
                <w:sz w:val="17"/>
              </w:rPr>
              <w:t xml:space="preserve"> 81</w:t>
            </w:r>
          </w:p>
        </w:tc>
        <w:tc>
          <w:tcPr>
            <w:tcW w:w="1377" w:type="dxa"/>
            <w:tcBorders>
              <w:bottom w:val="single" w:color="009EE0" w:sz="2" w:space="0"/>
            </w:tcBorders>
            <w:tcMar>
              <w:top w:w="22" w:type="dxa"/>
              <w:left w:w="28" w:type="dxa"/>
              <w:bottom w:w="22" w:type="dxa"/>
              <w:right w:w="28" w:type="dxa"/>
            </w:tcMar>
          </w:tcPr>
          <w:p w:rsidR="006B6965" w:rsidRDefault="003A166B" w14:paraId="0DA3C764" w14:textId="77777777">
            <w:pPr>
              <w:pStyle w:val="p-table"/>
              <w:jc w:val="right"/>
              <w:rPr>
                <w:sz w:val="17"/>
              </w:rPr>
            </w:pPr>
            <w:r>
              <w:rPr>
                <w:i/>
                <w:sz w:val="17"/>
              </w:rPr>
              <w:t>2.370</w:t>
            </w:r>
          </w:p>
        </w:tc>
      </w:tr>
      <w:tr w:rsidR="006B6965" w14:paraId="14C0657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8A5434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7131345" w14:textId="77777777">
            <w:pPr>
              <w:pStyle w:val="p-table"/>
              <w:rPr>
                <w:sz w:val="17"/>
              </w:rPr>
            </w:pPr>
            <w:r>
              <w:rPr>
                <w:sz w:val="17"/>
              </w:rPr>
              <w:t>Bijdrage aan CBR</w:t>
            </w:r>
          </w:p>
        </w:tc>
        <w:tc>
          <w:tcPr>
            <w:tcW w:w="1377" w:type="dxa"/>
            <w:tcBorders>
              <w:bottom w:val="single" w:color="009EE0" w:sz="2" w:space="0"/>
            </w:tcBorders>
            <w:tcMar>
              <w:top w:w="22" w:type="dxa"/>
              <w:left w:w="28" w:type="dxa"/>
              <w:bottom w:w="22" w:type="dxa"/>
              <w:right w:w="28" w:type="dxa"/>
            </w:tcMar>
          </w:tcPr>
          <w:p w:rsidR="006B6965" w:rsidRDefault="003A166B" w14:paraId="61D73068" w14:textId="77777777">
            <w:pPr>
              <w:pStyle w:val="p-table"/>
              <w:jc w:val="right"/>
              <w:rPr>
                <w:sz w:val="17"/>
              </w:rPr>
            </w:pPr>
            <w:r>
              <w:rPr>
                <w:sz w:val="17"/>
              </w:rPr>
              <w:t>2.051</w:t>
            </w:r>
          </w:p>
        </w:tc>
        <w:tc>
          <w:tcPr>
            <w:tcW w:w="1377" w:type="dxa"/>
            <w:tcBorders>
              <w:bottom w:val="single" w:color="009EE0" w:sz="2" w:space="0"/>
            </w:tcBorders>
            <w:tcMar>
              <w:top w:w="22" w:type="dxa"/>
              <w:left w:w="28" w:type="dxa"/>
              <w:bottom w:w="22" w:type="dxa"/>
              <w:right w:w="28" w:type="dxa"/>
            </w:tcMar>
          </w:tcPr>
          <w:p w:rsidR="006B6965" w:rsidRDefault="003A166B" w14:paraId="1768E6AB" w14:textId="77777777">
            <w:pPr>
              <w:pStyle w:val="p-table"/>
              <w:jc w:val="right"/>
              <w:rPr>
                <w:sz w:val="17"/>
              </w:rPr>
            </w:pPr>
            <w:r>
              <w:rPr>
                <w:sz w:val="17"/>
              </w:rPr>
              <w:t>‒</w:t>
            </w:r>
            <w:r>
              <w:rPr>
                <w:sz w:val="17"/>
              </w:rPr>
              <w:t xml:space="preserve"> 81</w:t>
            </w:r>
          </w:p>
        </w:tc>
        <w:tc>
          <w:tcPr>
            <w:tcW w:w="1377" w:type="dxa"/>
            <w:tcBorders>
              <w:bottom w:val="single" w:color="009EE0" w:sz="2" w:space="0"/>
            </w:tcBorders>
            <w:tcMar>
              <w:top w:w="22" w:type="dxa"/>
              <w:left w:w="28" w:type="dxa"/>
              <w:bottom w:w="22" w:type="dxa"/>
              <w:right w:w="28" w:type="dxa"/>
            </w:tcMar>
          </w:tcPr>
          <w:p w:rsidR="006B6965" w:rsidRDefault="003A166B" w14:paraId="2E65DC47" w14:textId="77777777">
            <w:pPr>
              <w:pStyle w:val="p-table"/>
              <w:jc w:val="right"/>
              <w:rPr>
                <w:sz w:val="17"/>
              </w:rPr>
            </w:pPr>
            <w:r>
              <w:rPr>
                <w:sz w:val="17"/>
              </w:rPr>
              <w:t>1.970</w:t>
            </w:r>
          </w:p>
        </w:tc>
      </w:tr>
      <w:tr w:rsidR="006B6965" w14:paraId="1510FEC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40044C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95AED32" w14:textId="77777777">
            <w:pPr>
              <w:pStyle w:val="p-table"/>
              <w:rPr>
                <w:sz w:val="17"/>
              </w:rPr>
            </w:pPr>
            <w:r>
              <w:rPr>
                <w:sz w:val="17"/>
              </w:rPr>
              <w:t xml:space="preserve">Overige </w:t>
            </w:r>
            <w:r>
              <w:rPr>
                <w:sz w:val="17"/>
              </w:rPr>
              <w:t>bijdragen</w:t>
            </w:r>
          </w:p>
        </w:tc>
        <w:tc>
          <w:tcPr>
            <w:tcW w:w="1377" w:type="dxa"/>
            <w:tcBorders>
              <w:bottom w:val="single" w:color="009EE0" w:sz="2" w:space="0"/>
            </w:tcBorders>
            <w:tcMar>
              <w:top w:w="22" w:type="dxa"/>
              <w:left w:w="28" w:type="dxa"/>
              <w:bottom w:w="22" w:type="dxa"/>
              <w:right w:w="28" w:type="dxa"/>
            </w:tcMar>
          </w:tcPr>
          <w:p w:rsidR="006B6965" w:rsidRDefault="003A166B" w14:paraId="004A506A" w14:textId="77777777">
            <w:pPr>
              <w:pStyle w:val="p-table"/>
              <w:jc w:val="right"/>
              <w:rPr>
                <w:sz w:val="17"/>
              </w:rPr>
            </w:pPr>
            <w:r>
              <w:rPr>
                <w:sz w:val="17"/>
              </w:rPr>
              <w:t>400</w:t>
            </w:r>
          </w:p>
        </w:tc>
        <w:tc>
          <w:tcPr>
            <w:tcW w:w="1377" w:type="dxa"/>
            <w:tcBorders>
              <w:bottom w:val="single" w:color="009EE0" w:sz="2" w:space="0"/>
            </w:tcBorders>
            <w:tcMar>
              <w:top w:w="22" w:type="dxa"/>
              <w:left w:w="28" w:type="dxa"/>
              <w:bottom w:w="22" w:type="dxa"/>
              <w:right w:w="28" w:type="dxa"/>
            </w:tcMar>
          </w:tcPr>
          <w:p w:rsidR="006B6965" w:rsidRDefault="003A166B" w14:paraId="3DFB9D4B"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8CE1538" w14:textId="77777777">
            <w:pPr>
              <w:pStyle w:val="p-table"/>
              <w:jc w:val="right"/>
              <w:rPr>
                <w:sz w:val="17"/>
              </w:rPr>
            </w:pPr>
            <w:r>
              <w:rPr>
                <w:sz w:val="17"/>
              </w:rPr>
              <w:t>400</w:t>
            </w:r>
          </w:p>
        </w:tc>
      </w:tr>
      <w:tr w:rsidR="006B6965" w14:paraId="03DAC7B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80BE93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BFFE983" w14:textId="77777777">
            <w:pPr>
              <w:pStyle w:val="p-table"/>
              <w:rPr>
                <w:sz w:val="17"/>
              </w:rPr>
            </w:pPr>
            <w:r>
              <w:rPr>
                <w:i/>
                <w:sz w:val="17"/>
              </w:rPr>
              <w:t>(Schade)vergoeding</w:t>
            </w:r>
          </w:p>
        </w:tc>
        <w:tc>
          <w:tcPr>
            <w:tcW w:w="1377" w:type="dxa"/>
            <w:tcBorders>
              <w:bottom w:val="single" w:color="009EE0" w:sz="2" w:space="0"/>
            </w:tcBorders>
            <w:tcMar>
              <w:top w:w="22" w:type="dxa"/>
              <w:left w:w="28" w:type="dxa"/>
              <w:bottom w:w="22" w:type="dxa"/>
              <w:right w:w="28" w:type="dxa"/>
            </w:tcMar>
          </w:tcPr>
          <w:p w:rsidR="006B6965" w:rsidRDefault="003A166B" w14:paraId="73ADEEF9" w14:textId="77777777">
            <w:pPr>
              <w:pStyle w:val="p-table"/>
              <w:jc w:val="right"/>
              <w:rPr>
                <w:sz w:val="17"/>
              </w:rPr>
            </w:pPr>
            <w:r>
              <w:rPr>
                <w:i/>
                <w:sz w:val="17"/>
              </w:rPr>
              <w:t>11.000</w:t>
            </w:r>
          </w:p>
        </w:tc>
        <w:tc>
          <w:tcPr>
            <w:tcW w:w="1377" w:type="dxa"/>
            <w:tcBorders>
              <w:bottom w:val="single" w:color="009EE0" w:sz="2" w:space="0"/>
            </w:tcBorders>
            <w:tcMar>
              <w:top w:w="22" w:type="dxa"/>
              <w:left w:w="28" w:type="dxa"/>
              <w:bottom w:w="22" w:type="dxa"/>
              <w:right w:w="28" w:type="dxa"/>
            </w:tcMar>
          </w:tcPr>
          <w:p w:rsidR="006B6965" w:rsidRDefault="003A166B" w14:paraId="72B5C2FC" w14:textId="77777777">
            <w:pPr>
              <w:pStyle w:val="p-table"/>
              <w:jc w:val="right"/>
              <w:rPr>
                <w:sz w:val="17"/>
              </w:rPr>
            </w:pPr>
            <w:r>
              <w:rPr>
                <w:i/>
                <w:sz w:val="17"/>
              </w:rPr>
              <w:t>‒</w:t>
            </w:r>
            <w:r>
              <w:rPr>
                <w:i/>
                <w:sz w:val="17"/>
              </w:rPr>
              <w:t xml:space="preserve"> 11.000</w:t>
            </w:r>
          </w:p>
        </w:tc>
        <w:tc>
          <w:tcPr>
            <w:tcW w:w="1377" w:type="dxa"/>
            <w:tcBorders>
              <w:bottom w:val="single" w:color="009EE0" w:sz="2" w:space="0"/>
            </w:tcBorders>
            <w:tcMar>
              <w:top w:w="22" w:type="dxa"/>
              <w:left w:w="28" w:type="dxa"/>
              <w:bottom w:w="22" w:type="dxa"/>
              <w:right w:w="28" w:type="dxa"/>
            </w:tcMar>
          </w:tcPr>
          <w:p w:rsidR="006B6965" w:rsidRDefault="003A166B" w14:paraId="4206398E" w14:textId="77777777">
            <w:pPr>
              <w:pStyle w:val="p-table"/>
              <w:jc w:val="right"/>
              <w:rPr>
                <w:sz w:val="17"/>
              </w:rPr>
            </w:pPr>
            <w:r>
              <w:rPr>
                <w:i/>
                <w:sz w:val="17"/>
              </w:rPr>
              <w:t>0</w:t>
            </w:r>
          </w:p>
        </w:tc>
      </w:tr>
      <w:tr w:rsidR="006B6965" w14:paraId="6474BAE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B2D7E9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B5F4EE3" w14:textId="77777777">
            <w:pPr>
              <w:pStyle w:val="p-table"/>
              <w:rPr>
                <w:sz w:val="17"/>
              </w:rPr>
            </w:pPr>
            <w:proofErr w:type="spellStart"/>
            <w:r>
              <w:rPr>
                <w:sz w:val="17"/>
              </w:rPr>
              <w:t>Stint</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32622C10" w14:textId="77777777">
            <w:pPr>
              <w:pStyle w:val="p-table"/>
              <w:jc w:val="right"/>
              <w:rPr>
                <w:sz w:val="17"/>
              </w:rPr>
            </w:pPr>
            <w:r>
              <w:rPr>
                <w:sz w:val="17"/>
              </w:rPr>
              <w:t>11.000</w:t>
            </w:r>
          </w:p>
        </w:tc>
        <w:tc>
          <w:tcPr>
            <w:tcW w:w="1377" w:type="dxa"/>
            <w:tcBorders>
              <w:bottom w:val="single" w:color="009EE0" w:sz="2" w:space="0"/>
            </w:tcBorders>
            <w:tcMar>
              <w:top w:w="22" w:type="dxa"/>
              <w:left w:w="28" w:type="dxa"/>
              <w:bottom w:w="22" w:type="dxa"/>
              <w:right w:w="28" w:type="dxa"/>
            </w:tcMar>
          </w:tcPr>
          <w:p w:rsidR="006B6965" w:rsidRDefault="003A166B" w14:paraId="7B41343B" w14:textId="77777777">
            <w:pPr>
              <w:pStyle w:val="p-table"/>
              <w:jc w:val="right"/>
              <w:rPr>
                <w:sz w:val="17"/>
              </w:rPr>
            </w:pPr>
            <w:r>
              <w:rPr>
                <w:sz w:val="17"/>
              </w:rPr>
              <w:t>‒</w:t>
            </w:r>
            <w:r>
              <w:rPr>
                <w:sz w:val="17"/>
              </w:rPr>
              <w:t xml:space="preserve"> 11.000</w:t>
            </w:r>
          </w:p>
        </w:tc>
        <w:tc>
          <w:tcPr>
            <w:tcW w:w="1377" w:type="dxa"/>
            <w:tcBorders>
              <w:bottom w:val="single" w:color="009EE0" w:sz="2" w:space="0"/>
            </w:tcBorders>
            <w:tcMar>
              <w:top w:w="22" w:type="dxa"/>
              <w:left w:w="28" w:type="dxa"/>
              <w:bottom w:w="22" w:type="dxa"/>
              <w:right w:w="28" w:type="dxa"/>
            </w:tcMar>
          </w:tcPr>
          <w:p w:rsidR="006B6965" w:rsidRDefault="003A166B" w14:paraId="0F7DB425" w14:textId="77777777">
            <w:pPr>
              <w:pStyle w:val="p-table"/>
              <w:jc w:val="right"/>
              <w:rPr>
                <w:sz w:val="17"/>
              </w:rPr>
            </w:pPr>
            <w:r>
              <w:rPr>
                <w:sz w:val="17"/>
              </w:rPr>
              <w:t>0</w:t>
            </w:r>
          </w:p>
        </w:tc>
      </w:tr>
      <w:tr w:rsidR="006B6965" w14:paraId="04E962D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D32B9A8" w14:textId="77777777">
            <w:pPr>
              <w:pStyle w:val="p-table"/>
              <w:rPr>
                <w:sz w:val="17"/>
              </w:rPr>
            </w:pPr>
            <w:r>
              <w:rPr>
                <w:b/>
                <w:sz w:val="17"/>
              </w:rPr>
              <w:t>14.3</w:t>
            </w:r>
          </w:p>
        </w:tc>
        <w:tc>
          <w:tcPr>
            <w:tcW w:w="4590" w:type="dxa"/>
            <w:tcBorders>
              <w:bottom w:val="single" w:color="009EE0" w:sz="2" w:space="0"/>
            </w:tcBorders>
            <w:tcMar>
              <w:top w:w="22" w:type="dxa"/>
              <w:left w:w="28" w:type="dxa"/>
              <w:bottom w:w="22" w:type="dxa"/>
              <w:right w:w="28" w:type="dxa"/>
            </w:tcMar>
          </w:tcPr>
          <w:p w:rsidR="006B6965" w:rsidRDefault="003A166B" w14:paraId="4E095366" w14:textId="77777777">
            <w:pPr>
              <w:pStyle w:val="p-table"/>
              <w:rPr>
                <w:sz w:val="17"/>
              </w:rPr>
            </w:pPr>
            <w:r>
              <w:rPr>
                <w:b/>
                <w:sz w:val="17"/>
              </w:rPr>
              <w:t>Slimme en duurzame mobiliteit</w:t>
            </w:r>
          </w:p>
        </w:tc>
        <w:tc>
          <w:tcPr>
            <w:tcW w:w="1377" w:type="dxa"/>
            <w:tcBorders>
              <w:bottom w:val="single" w:color="009EE0" w:sz="2" w:space="0"/>
            </w:tcBorders>
            <w:tcMar>
              <w:top w:w="22" w:type="dxa"/>
              <w:left w:w="28" w:type="dxa"/>
              <w:bottom w:w="22" w:type="dxa"/>
              <w:right w:w="28" w:type="dxa"/>
            </w:tcMar>
          </w:tcPr>
          <w:p w:rsidR="006B6965" w:rsidRDefault="003A166B" w14:paraId="56D14326" w14:textId="77777777">
            <w:pPr>
              <w:pStyle w:val="p-table"/>
              <w:jc w:val="right"/>
              <w:rPr>
                <w:sz w:val="17"/>
              </w:rPr>
            </w:pPr>
            <w:r>
              <w:rPr>
                <w:b/>
                <w:sz w:val="17"/>
              </w:rPr>
              <w:t>382.892</w:t>
            </w:r>
          </w:p>
        </w:tc>
        <w:tc>
          <w:tcPr>
            <w:tcW w:w="1377" w:type="dxa"/>
            <w:tcBorders>
              <w:bottom w:val="single" w:color="009EE0" w:sz="2" w:space="0"/>
            </w:tcBorders>
            <w:tcMar>
              <w:top w:w="22" w:type="dxa"/>
              <w:left w:w="28" w:type="dxa"/>
              <w:bottom w:w="22" w:type="dxa"/>
              <w:right w:w="28" w:type="dxa"/>
            </w:tcMar>
          </w:tcPr>
          <w:p w:rsidR="006B6965" w:rsidRDefault="003A166B" w14:paraId="3509F381" w14:textId="77777777">
            <w:pPr>
              <w:pStyle w:val="p-table"/>
              <w:jc w:val="right"/>
              <w:rPr>
                <w:sz w:val="17"/>
              </w:rPr>
            </w:pPr>
            <w:r>
              <w:rPr>
                <w:b/>
                <w:sz w:val="17"/>
              </w:rPr>
              <w:t>‒</w:t>
            </w:r>
            <w:r>
              <w:rPr>
                <w:b/>
                <w:sz w:val="17"/>
              </w:rPr>
              <w:t xml:space="preserve"> 16.510</w:t>
            </w:r>
          </w:p>
        </w:tc>
        <w:tc>
          <w:tcPr>
            <w:tcW w:w="1377" w:type="dxa"/>
            <w:tcBorders>
              <w:bottom w:val="single" w:color="009EE0" w:sz="2" w:space="0"/>
            </w:tcBorders>
            <w:tcMar>
              <w:top w:w="22" w:type="dxa"/>
              <w:left w:w="28" w:type="dxa"/>
              <w:bottom w:w="22" w:type="dxa"/>
              <w:right w:w="28" w:type="dxa"/>
            </w:tcMar>
          </w:tcPr>
          <w:p w:rsidR="006B6965" w:rsidRDefault="003A166B" w14:paraId="59CF6884" w14:textId="77777777">
            <w:pPr>
              <w:pStyle w:val="p-table"/>
              <w:jc w:val="right"/>
              <w:rPr>
                <w:sz w:val="17"/>
              </w:rPr>
            </w:pPr>
            <w:r>
              <w:rPr>
                <w:b/>
                <w:sz w:val="17"/>
              </w:rPr>
              <w:t>366.382</w:t>
            </w:r>
          </w:p>
        </w:tc>
      </w:tr>
      <w:tr w:rsidR="006B6965" w14:paraId="50807EB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8810E7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A14046D"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4CFAC1B5" w14:textId="77777777">
            <w:pPr>
              <w:pStyle w:val="p-table"/>
              <w:jc w:val="right"/>
              <w:rPr>
                <w:sz w:val="17"/>
              </w:rPr>
            </w:pPr>
            <w:r>
              <w:rPr>
                <w:i/>
                <w:sz w:val="17"/>
              </w:rPr>
              <w:t>67.229</w:t>
            </w:r>
          </w:p>
        </w:tc>
        <w:tc>
          <w:tcPr>
            <w:tcW w:w="1377" w:type="dxa"/>
            <w:tcBorders>
              <w:bottom w:val="single" w:color="009EE0" w:sz="2" w:space="0"/>
            </w:tcBorders>
            <w:tcMar>
              <w:top w:w="22" w:type="dxa"/>
              <w:left w:w="28" w:type="dxa"/>
              <w:bottom w:w="22" w:type="dxa"/>
              <w:right w:w="28" w:type="dxa"/>
            </w:tcMar>
          </w:tcPr>
          <w:p w:rsidR="006B6965" w:rsidRDefault="003A166B" w14:paraId="4AE61D1D" w14:textId="77777777">
            <w:pPr>
              <w:pStyle w:val="p-table"/>
              <w:jc w:val="right"/>
              <w:rPr>
                <w:sz w:val="17"/>
              </w:rPr>
            </w:pPr>
            <w:r>
              <w:rPr>
                <w:i/>
                <w:sz w:val="17"/>
              </w:rPr>
              <w:t>‒</w:t>
            </w:r>
            <w:r>
              <w:rPr>
                <w:i/>
                <w:sz w:val="17"/>
              </w:rPr>
              <w:t xml:space="preserve"> 7.687</w:t>
            </w:r>
          </w:p>
        </w:tc>
        <w:tc>
          <w:tcPr>
            <w:tcW w:w="1377" w:type="dxa"/>
            <w:tcBorders>
              <w:bottom w:val="single" w:color="009EE0" w:sz="2" w:space="0"/>
            </w:tcBorders>
            <w:tcMar>
              <w:top w:w="22" w:type="dxa"/>
              <w:left w:w="28" w:type="dxa"/>
              <w:bottom w:w="22" w:type="dxa"/>
              <w:right w:w="28" w:type="dxa"/>
            </w:tcMar>
          </w:tcPr>
          <w:p w:rsidR="006B6965" w:rsidRDefault="003A166B" w14:paraId="78F7ABA3" w14:textId="77777777">
            <w:pPr>
              <w:pStyle w:val="p-table"/>
              <w:jc w:val="right"/>
              <w:rPr>
                <w:sz w:val="17"/>
              </w:rPr>
            </w:pPr>
            <w:r>
              <w:rPr>
                <w:i/>
                <w:sz w:val="17"/>
              </w:rPr>
              <w:t>59.542</w:t>
            </w:r>
          </w:p>
        </w:tc>
      </w:tr>
      <w:tr w:rsidR="006B6965" w14:paraId="2B185CB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C89AE3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8ED19E4" w14:textId="77777777">
            <w:pPr>
              <w:pStyle w:val="p-table"/>
              <w:rPr>
                <w:sz w:val="17"/>
              </w:rPr>
            </w:pPr>
            <w:r>
              <w:rPr>
                <w:sz w:val="17"/>
              </w:rPr>
              <w:t>Innovatie en Intelligente Transportsystemen</w:t>
            </w:r>
          </w:p>
        </w:tc>
        <w:tc>
          <w:tcPr>
            <w:tcW w:w="1377" w:type="dxa"/>
            <w:tcBorders>
              <w:bottom w:val="single" w:color="009EE0" w:sz="2" w:space="0"/>
            </w:tcBorders>
            <w:tcMar>
              <w:top w:w="22" w:type="dxa"/>
              <w:left w:w="28" w:type="dxa"/>
              <w:bottom w:w="22" w:type="dxa"/>
              <w:right w:w="28" w:type="dxa"/>
            </w:tcMar>
          </w:tcPr>
          <w:p w:rsidR="006B6965" w:rsidRDefault="003A166B" w14:paraId="3B073CBC" w14:textId="77777777">
            <w:pPr>
              <w:pStyle w:val="p-table"/>
              <w:jc w:val="right"/>
              <w:rPr>
                <w:sz w:val="17"/>
              </w:rPr>
            </w:pPr>
            <w:r>
              <w:rPr>
                <w:sz w:val="17"/>
              </w:rPr>
              <w:t>8.747</w:t>
            </w:r>
          </w:p>
        </w:tc>
        <w:tc>
          <w:tcPr>
            <w:tcW w:w="1377" w:type="dxa"/>
            <w:tcBorders>
              <w:bottom w:val="single" w:color="009EE0" w:sz="2" w:space="0"/>
            </w:tcBorders>
            <w:tcMar>
              <w:top w:w="22" w:type="dxa"/>
              <w:left w:w="28" w:type="dxa"/>
              <w:bottom w:w="22" w:type="dxa"/>
              <w:right w:w="28" w:type="dxa"/>
            </w:tcMar>
          </w:tcPr>
          <w:p w:rsidR="006B6965" w:rsidRDefault="003A166B" w14:paraId="1FB1CA58" w14:textId="77777777">
            <w:pPr>
              <w:pStyle w:val="p-table"/>
              <w:jc w:val="right"/>
              <w:rPr>
                <w:sz w:val="17"/>
              </w:rPr>
            </w:pPr>
            <w:r>
              <w:rPr>
                <w:sz w:val="17"/>
              </w:rPr>
              <w:t>806</w:t>
            </w:r>
          </w:p>
        </w:tc>
        <w:tc>
          <w:tcPr>
            <w:tcW w:w="1377" w:type="dxa"/>
            <w:tcBorders>
              <w:bottom w:val="single" w:color="009EE0" w:sz="2" w:space="0"/>
            </w:tcBorders>
            <w:tcMar>
              <w:top w:w="22" w:type="dxa"/>
              <w:left w:w="28" w:type="dxa"/>
              <w:bottom w:w="22" w:type="dxa"/>
              <w:right w:w="28" w:type="dxa"/>
            </w:tcMar>
          </w:tcPr>
          <w:p w:rsidR="006B6965" w:rsidRDefault="003A166B" w14:paraId="02AC67D7" w14:textId="77777777">
            <w:pPr>
              <w:pStyle w:val="p-table"/>
              <w:jc w:val="right"/>
              <w:rPr>
                <w:sz w:val="17"/>
              </w:rPr>
            </w:pPr>
            <w:r>
              <w:rPr>
                <w:sz w:val="17"/>
              </w:rPr>
              <w:t>9.553</w:t>
            </w:r>
          </w:p>
        </w:tc>
      </w:tr>
      <w:tr w:rsidR="006B6965" w14:paraId="2CC3C9A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0AA193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8958AE5" w14:textId="77777777">
            <w:pPr>
              <w:pStyle w:val="p-table"/>
              <w:rPr>
                <w:sz w:val="17"/>
              </w:rPr>
            </w:pPr>
            <w:r>
              <w:rPr>
                <w:sz w:val="17"/>
              </w:rPr>
              <w:t>Klimaatakkoord</w:t>
            </w:r>
          </w:p>
        </w:tc>
        <w:tc>
          <w:tcPr>
            <w:tcW w:w="1377" w:type="dxa"/>
            <w:tcBorders>
              <w:bottom w:val="single" w:color="009EE0" w:sz="2" w:space="0"/>
            </w:tcBorders>
            <w:tcMar>
              <w:top w:w="22" w:type="dxa"/>
              <w:left w:w="28" w:type="dxa"/>
              <w:bottom w:w="22" w:type="dxa"/>
              <w:right w:w="28" w:type="dxa"/>
            </w:tcMar>
          </w:tcPr>
          <w:p w:rsidR="006B6965" w:rsidRDefault="003A166B" w14:paraId="1BFE7D7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D1EEA1D" w14:textId="77777777">
            <w:pPr>
              <w:pStyle w:val="p-table"/>
              <w:jc w:val="right"/>
              <w:rPr>
                <w:sz w:val="17"/>
              </w:rPr>
            </w:pPr>
            <w:r>
              <w:rPr>
                <w:sz w:val="17"/>
              </w:rPr>
              <w:t>2.942</w:t>
            </w:r>
          </w:p>
        </w:tc>
        <w:tc>
          <w:tcPr>
            <w:tcW w:w="1377" w:type="dxa"/>
            <w:tcBorders>
              <w:bottom w:val="single" w:color="009EE0" w:sz="2" w:space="0"/>
            </w:tcBorders>
            <w:tcMar>
              <w:top w:w="22" w:type="dxa"/>
              <w:left w:w="28" w:type="dxa"/>
              <w:bottom w:w="22" w:type="dxa"/>
              <w:right w:w="28" w:type="dxa"/>
            </w:tcMar>
          </w:tcPr>
          <w:p w:rsidR="006B6965" w:rsidRDefault="003A166B" w14:paraId="76080564" w14:textId="77777777">
            <w:pPr>
              <w:pStyle w:val="p-table"/>
              <w:jc w:val="right"/>
              <w:rPr>
                <w:sz w:val="17"/>
              </w:rPr>
            </w:pPr>
            <w:r>
              <w:rPr>
                <w:sz w:val="17"/>
              </w:rPr>
              <w:t>2.942</w:t>
            </w:r>
          </w:p>
        </w:tc>
      </w:tr>
      <w:tr w:rsidR="006B6965" w14:paraId="186075C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E1B32E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47BB237" w14:textId="77777777">
            <w:pPr>
              <w:pStyle w:val="p-table"/>
              <w:rPr>
                <w:sz w:val="17"/>
              </w:rPr>
            </w:pPr>
            <w:r>
              <w:rPr>
                <w:sz w:val="17"/>
              </w:rPr>
              <w:t>Verkeersemissies</w:t>
            </w:r>
          </w:p>
        </w:tc>
        <w:tc>
          <w:tcPr>
            <w:tcW w:w="1377" w:type="dxa"/>
            <w:tcBorders>
              <w:bottom w:val="single" w:color="009EE0" w:sz="2" w:space="0"/>
            </w:tcBorders>
            <w:tcMar>
              <w:top w:w="22" w:type="dxa"/>
              <w:left w:w="28" w:type="dxa"/>
              <w:bottom w:w="22" w:type="dxa"/>
              <w:right w:w="28" w:type="dxa"/>
            </w:tcMar>
          </w:tcPr>
          <w:p w:rsidR="006B6965" w:rsidRDefault="003A166B" w14:paraId="38709EC1" w14:textId="77777777">
            <w:pPr>
              <w:pStyle w:val="p-table"/>
              <w:jc w:val="right"/>
              <w:rPr>
                <w:sz w:val="17"/>
              </w:rPr>
            </w:pPr>
            <w:r>
              <w:rPr>
                <w:sz w:val="17"/>
              </w:rPr>
              <w:t>236</w:t>
            </w:r>
          </w:p>
        </w:tc>
        <w:tc>
          <w:tcPr>
            <w:tcW w:w="1377" w:type="dxa"/>
            <w:tcBorders>
              <w:bottom w:val="single" w:color="009EE0" w:sz="2" w:space="0"/>
            </w:tcBorders>
            <w:tcMar>
              <w:top w:w="22" w:type="dxa"/>
              <w:left w:w="28" w:type="dxa"/>
              <w:bottom w:w="22" w:type="dxa"/>
              <w:right w:w="28" w:type="dxa"/>
            </w:tcMar>
          </w:tcPr>
          <w:p w:rsidR="006B6965" w:rsidRDefault="003A166B" w14:paraId="5387237C" w14:textId="77777777">
            <w:pPr>
              <w:pStyle w:val="p-table"/>
              <w:jc w:val="right"/>
              <w:rPr>
                <w:sz w:val="17"/>
              </w:rPr>
            </w:pPr>
            <w:r>
              <w:rPr>
                <w:sz w:val="17"/>
              </w:rPr>
              <w:t>504</w:t>
            </w:r>
          </w:p>
        </w:tc>
        <w:tc>
          <w:tcPr>
            <w:tcW w:w="1377" w:type="dxa"/>
            <w:tcBorders>
              <w:bottom w:val="single" w:color="009EE0" w:sz="2" w:space="0"/>
            </w:tcBorders>
            <w:tcMar>
              <w:top w:w="22" w:type="dxa"/>
              <w:left w:w="28" w:type="dxa"/>
              <w:bottom w:w="22" w:type="dxa"/>
              <w:right w:w="28" w:type="dxa"/>
            </w:tcMar>
          </w:tcPr>
          <w:p w:rsidR="006B6965" w:rsidRDefault="003A166B" w14:paraId="02692FEE" w14:textId="77777777">
            <w:pPr>
              <w:pStyle w:val="p-table"/>
              <w:jc w:val="right"/>
              <w:rPr>
                <w:sz w:val="17"/>
              </w:rPr>
            </w:pPr>
            <w:r>
              <w:rPr>
                <w:sz w:val="17"/>
              </w:rPr>
              <w:t>740</w:t>
            </w:r>
          </w:p>
        </w:tc>
      </w:tr>
      <w:tr w:rsidR="006B6965" w14:paraId="08D8200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794507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FDF6336" w14:textId="77777777">
            <w:pPr>
              <w:pStyle w:val="p-table"/>
              <w:rPr>
                <w:sz w:val="17"/>
              </w:rPr>
            </w:pPr>
            <w:r>
              <w:rPr>
                <w:sz w:val="17"/>
              </w:rPr>
              <w:t>KF: Laadinfra wegverkeer</w:t>
            </w:r>
          </w:p>
        </w:tc>
        <w:tc>
          <w:tcPr>
            <w:tcW w:w="1377" w:type="dxa"/>
            <w:tcBorders>
              <w:bottom w:val="single" w:color="009EE0" w:sz="2" w:space="0"/>
            </w:tcBorders>
            <w:tcMar>
              <w:top w:w="22" w:type="dxa"/>
              <w:left w:w="28" w:type="dxa"/>
              <w:bottom w:w="22" w:type="dxa"/>
              <w:right w:w="28" w:type="dxa"/>
            </w:tcMar>
          </w:tcPr>
          <w:p w:rsidR="006B6965" w:rsidRDefault="003A166B" w14:paraId="57EDC5C3" w14:textId="77777777">
            <w:pPr>
              <w:pStyle w:val="p-table"/>
              <w:jc w:val="right"/>
              <w:rPr>
                <w:sz w:val="17"/>
              </w:rPr>
            </w:pPr>
            <w:r>
              <w:rPr>
                <w:sz w:val="17"/>
              </w:rPr>
              <w:t>30</w:t>
            </w:r>
          </w:p>
        </w:tc>
        <w:tc>
          <w:tcPr>
            <w:tcW w:w="1377" w:type="dxa"/>
            <w:tcBorders>
              <w:bottom w:val="single" w:color="009EE0" w:sz="2" w:space="0"/>
            </w:tcBorders>
            <w:tcMar>
              <w:top w:w="22" w:type="dxa"/>
              <w:left w:w="28" w:type="dxa"/>
              <w:bottom w:w="22" w:type="dxa"/>
              <w:right w:w="28" w:type="dxa"/>
            </w:tcMar>
          </w:tcPr>
          <w:p w:rsidR="006B6965" w:rsidRDefault="003A166B" w14:paraId="57C8BE0D"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B2FEE5C" w14:textId="77777777">
            <w:pPr>
              <w:pStyle w:val="p-table"/>
              <w:jc w:val="right"/>
              <w:rPr>
                <w:sz w:val="17"/>
              </w:rPr>
            </w:pPr>
            <w:r>
              <w:rPr>
                <w:sz w:val="17"/>
              </w:rPr>
              <w:t>30</w:t>
            </w:r>
          </w:p>
        </w:tc>
      </w:tr>
      <w:tr w:rsidR="006B6965" w14:paraId="66915D8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650A55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EE513A4" w14:textId="77777777">
            <w:pPr>
              <w:pStyle w:val="p-table"/>
              <w:rPr>
                <w:sz w:val="17"/>
              </w:rPr>
            </w:pPr>
            <w:r>
              <w:rPr>
                <w:sz w:val="17"/>
              </w:rPr>
              <w:t>Programma Vergroening Reisgedrag</w:t>
            </w:r>
          </w:p>
        </w:tc>
        <w:tc>
          <w:tcPr>
            <w:tcW w:w="1377" w:type="dxa"/>
            <w:tcBorders>
              <w:bottom w:val="single" w:color="009EE0" w:sz="2" w:space="0"/>
            </w:tcBorders>
            <w:tcMar>
              <w:top w:w="22" w:type="dxa"/>
              <w:left w:w="28" w:type="dxa"/>
              <w:bottom w:w="22" w:type="dxa"/>
              <w:right w:w="28" w:type="dxa"/>
            </w:tcMar>
          </w:tcPr>
          <w:p w:rsidR="006B6965" w:rsidRDefault="003A166B" w14:paraId="752F4428" w14:textId="77777777">
            <w:pPr>
              <w:pStyle w:val="p-table"/>
              <w:jc w:val="right"/>
              <w:rPr>
                <w:sz w:val="17"/>
              </w:rPr>
            </w:pPr>
            <w:r>
              <w:rPr>
                <w:sz w:val="17"/>
              </w:rPr>
              <w:t>1.560</w:t>
            </w:r>
          </w:p>
        </w:tc>
        <w:tc>
          <w:tcPr>
            <w:tcW w:w="1377" w:type="dxa"/>
            <w:tcBorders>
              <w:bottom w:val="single" w:color="009EE0" w:sz="2" w:space="0"/>
            </w:tcBorders>
            <w:tcMar>
              <w:top w:w="22" w:type="dxa"/>
              <w:left w:w="28" w:type="dxa"/>
              <w:bottom w:w="22" w:type="dxa"/>
              <w:right w:w="28" w:type="dxa"/>
            </w:tcMar>
          </w:tcPr>
          <w:p w:rsidR="006B6965" w:rsidRDefault="003A166B" w14:paraId="31569A9C" w14:textId="77777777">
            <w:pPr>
              <w:pStyle w:val="p-table"/>
              <w:jc w:val="right"/>
              <w:rPr>
                <w:sz w:val="17"/>
              </w:rPr>
            </w:pPr>
            <w:r>
              <w:rPr>
                <w:sz w:val="17"/>
              </w:rPr>
              <w:t>612</w:t>
            </w:r>
          </w:p>
        </w:tc>
        <w:tc>
          <w:tcPr>
            <w:tcW w:w="1377" w:type="dxa"/>
            <w:tcBorders>
              <w:bottom w:val="single" w:color="009EE0" w:sz="2" w:space="0"/>
            </w:tcBorders>
            <w:tcMar>
              <w:top w:w="22" w:type="dxa"/>
              <w:left w:w="28" w:type="dxa"/>
              <w:bottom w:w="22" w:type="dxa"/>
              <w:right w:w="28" w:type="dxa"/>
            </w:tcMar>
          </w:tcPr>
          <w:p w:rsidR="006B6965" w:rsidRDefault="003A166B" w14:paraId="627611AF" w14:textId="77777777">
            <w:pPr>
              <w:pStyle w:val="p-table"/>
              <w:jc w:val="right"/>
              <w:rPr>
                <w:sz w:val="17"/>
              </w:rPr>
            </w:pPr>
            <w:r>
              <w:rPr>
                <w:sz w:val="17"/>
              </w:rPr>
              <w:t>2.172</w:t>
            </w:r>
          </w:p>
        </w:tc>
      </w:tr>
      <w:tr w:rsidR="006B6965" w14:paraId="308B0F1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1BF21D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C834991" w14:textId="77777777">
            <w:pPr>
              <w:pStyle w:val="p-table"/>
              <w:rPr>
                <w:sz w:val="17"/>
              </w:rPr>
            </w:pPr>
            <w:r>
              <w:rPr>
                <w:sz w:val="17"/>
              </w:rPr>
              <w:t>Verduurzaming logistiek</w:t>
            </w:r>
          </w:p>
        </w:tc>
        <w:tc>
          <w:tcPr>
            <w:tcW w:w="1377" w:type="dxa"/>
            <w:tcBorders>
              <w:bottom w:val="single" w:color="009EE0" w:sz="2" w:space="0"/>
            </w:tcBorders>
            <w:tcMar>
              <w:top w:w="22" w:type="dxa"/>
              <w:left w:w="28" w:type="dxa"/>
              <w:bottom w:w="22" w:type="dxa"/>
              <w:right w:w="28" w:type="dxa"/>
            </w:tcMar>
          </w:tcPr>
          <w:p w:rsidR="006B6965" w:rsidRDefault="003A166B" w14:paraId="63AA2CB2" w14:textId="77777777">
            <w:pPr>
              <w:pStyle w:val="p-table"/>
              <w:jc w:val="right"/>
              <w:rPr>
                <w:sz w:val="17"/>
              </w:rPr>
            </w:pPr>
            <w:r>
              <w:rPr>
                <w:sz w:val="17"/>
              </w:rPr>
              <w:t>5.111</w:t>
            </w:r>
          </w:p>
        </w:tc>
        <w:tc>
          <w:tcPr>
            <w:tcW w:w="1377" w:type="dxa"/>
            <w:tcBorders>
              <w:bottom w:val="single" w:color="009EE0" w:sz="2" w:space="0"/>
            </w:tcBorders>
            <w:tcMar>
              <w:top w:w="22" w:type="dxa"/>
              <w:left w:w="28" w:type="dxa"/>
              <w:bottom w:w="22" w:type="dxa"/>
              <w:right w:w="28" w:type="dxa"/>
            </w:tcMar>
          </w:tcPr>
          <w:p w:rsidR="006B6965" w:rsidRDefault="003A166B" w14:paraId="12818D85" w14:textId="77777777">
            <w:pPr>
              <w:pStyle w:val="p-table"/>
              <w:jc w:val="right"/>
              <w:rPr>
                <w:sz w:val="17"/>
              </w:rPr>
            </w:pPr>
            <w:r>
              <w:rPr>
                <w:sz w:val="17"/>
              </w:rPr>
              <w:t>2.333</w:t>
            </w:r>
          </w:p>
        </w:tc>
        <w:tc>
          <w:tcPr>
            <w:tcW w:w="1377" w:type="dxa"/>
            <w:tcBorders>
              <w:bottom w:val="single" w:color="009EE0" w:sz="2" w:space="0"/>
            </w:tcBorders>
            <w:tcMar>
              <w:top w:w="22" w:type="dxa"/>
              <w:left w:w="28" w:type="dxa"/>
              <w:bottom w:w="22" w:type="dxa"/>
              <w:right w:w="28" w:type="dxa"/>
            </w:tcMar>
          </w:tcPr>
          <w:p w:rsidR="006B6965" w:rsidRDefault="003A166B" w14:paraId="0F1EED87" w14:textId="77777777">
            <w:pPr>
              <w:pStyle w:val="p-table"/>
              <w:jc w:val="right"/>
              <w:rPr>
                <w:sz w:val="17"/>
              </w:rPr>
            </w:pPr>
            <w:r>
              <w:rPr>
                <w:sz w:val="17"/>
              </w:rPr>
              <w:t>7.444</w:t>
            </w:r>
          </w:p>
        </w:tc>
      </w:tr>
      <w:tr w:rsidR="006B6965" w14:paraId="52CBA3E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1CE9DE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Pr="003A166B" w:rsidR="006B6965" w:rsidRDefault="003A166B" w14:paraId="4E8D6C42" w14:textId="77777777">
            <w:pPr>
              <w:pStyle w:val="p-table"/>
              <w:rPr>
                <w:sz w:val="17"/>
                <w:lang w:val="en-US"/>
              </w:rPr>
            </w:pPr>
            <w:r w:rsidRPr="003A166B">
              <w:rPr>
                <w:sz w:val="17"/>
                <w:lang w:val="en-US"/>
              </w:rPr>
              <w:t>NGF: Dutch Metropolitan Innovations (DMI)</w:t>
            </w:r>
          </w:p>
        </w:tc>
        <w:tc>
          <w:tcPr>
            <w:tcW w:w="1377" w:type="dxa"/>
            <w:tcBorders>
              <w:bottom w:val="single" w:color="009EE0" w:sz="2" w:space="0"/>
            </w:tcBorders>
            <w:tcMar>
              <w:top w:w="22" w:type="dxa"/>
              <w:left w:w="28" w:type="dxa"/>
              <w:bottom w:w="22" w:type="dxa"/>
              <w:right w:w="28" w:type="dxa"/>
            </w:tcMar>
          </w:tcPr>
          <w:p w:rsidR="006B6965" w:rsidRDefault="003A166B" w14:paraId="227EEDAE" w14:textId="77777777">
            <w:pPr>
              <w:pStyle w:val="p-table"/>
              <w:jc w:val="right"/>
              <w:rPr>
                <w:sz w:val="17"/>
              </w:rPr>
            </w:pPr>
            <w:r>
              <w:rPr>
                <w:sz w:val="17"/>
              </w:rPr>
              <w:t>23.744</w:t>
            </w:r>
          </w:p>
        </w:tc>
        <w:tc>
          <w:tcPr>
            <w:tcW w:w="1377" w:type="dxa"/>
            <w:tcBorders>
              <w:bottom w:val="single" w:color="009EE0" w:sz="2" w:space="0"/>
            </w:tcBorders>
            <w:tcMar>
              <w:top w:w="22" w:type="dxa"/>
              <w:left w:w="28" w:type="dxa"/>
              <w:bottom w:w="22" w:type="dxa"/>
              <w:right w:w="28" w:type="dxa"/>
            </w:tcMar>
          </w:tcPr>
          <w:p w:rsidR="006B6965" w:rsidRDefault="003A166B" w14:paraId="7A70ED8C"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955FCAF" w14:textId="77777777">
            <w:pPr>
              <w:pStyle w:val="p-table"/>
              <w:jc w:val="right"/>
              <w:rPr>
                <w:sz w:val="17"/>
              </w:rPr>
            </w:pPr>
            <w:r>
              <w:rPr>
                <w:sz w:val="17"/>
              </w:rPr>
              <w:t>23.744</w:t>
            </w:r>
          </w:p>
        </w:tc>
      </w:tr>
      <w:tr w:rsidR="006B6965" w14:paraId="562AC2D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95BEF6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6FCCA8B" w14:textId="77777777">
            <w:pPr>
              <w:pStyle w:val="p-table"/>
              <w:rPr>
                <w:sz w:val="17"/>
              </w:rPr>
            </w:pPr>
            <w:r>
              <w:rPr>
                <w:sz w:val="17"/>
              </w:rPr>
              <w:t>KF: Laadinfra bouw</w:t>
            </w:r>
          </w:p>
        </w:tc>
        <w:tc>
          <w:tcPr>
            <w:tcW w:w="1377" w:type="dxa"/>
            <w:tcBorders>
              <w:bottom w:val="single" w:color="009EE0" w:sz="2" w:space="0"/>
            </w:tcBorders>
            <w:tcMar>
              <w:top w:w="22" w:type="dxa"/>
              <w:left w:w="28" w:type="dxa"/>
              <w:bottom w:w="22" w:type="dxa"/>
              <w:right w:w="28" w:type="dxa"/>
            </w:tcMar>
          </w:tcPr>
          <w:p w:rsidR="006B6965" w:rsidRDefault="003A166B" w14:paraId="2AF2F4D7" w14:textId="77777777">
            <w:pPr>
              <w:pStyle w:val="p-table"/>
              <w:jc w:val="right"/>
              <w:rPr>
                <w:sz w:val="17"/>
              </w:rPr>
            </w:pPr>
            <w:r>
              <w:rPr>
                <w:sz w:val="17"/>
              </w:rPr>
              <w:t>14.900</w:t>
            </w:r>
          </w:p>
        </w:tc>
        <w:tc>
          <w:tcPr>
            <w:tcW w:w="1377" w:type="dxa"/>
            <w:tcBorders>
              <w:bottom w:val="single" w:color="009EE0" w:sz="2" w:space="0"/>
            </w:tcBorders>
            <w:tcMar>
              <w:top w:w="22" w:type="dxa"/>
              <w:left w:w="28" w:type="dxa"/>
              <w:bottom w:w="22" w:type="dxa"/>
              <w:right w:w="28" w:type="dxa"/>
            </w:tcMar>
          </w:tcPr>
          <w:p w:rsidR="006B6965" w:rsidRDefault="003A166B" w14:paraId="45A79460" w14:textId="77777777">
            <w:pPr>
              <w:pStyle w:val="p-table"/>
              <w:jc w:val="right"/>
              <w:rPr>
                <w:sz w:val="17"/>
              </w:rPr>
            </w:pPr>
            <w:r>
              <w:rPr>
                <w:sz w:val="17"/>
              </w:rPr>
              <w:t>‒</w:t>
            </w:r>
            <w:r>
              <w:rPr>
                <w:sz w:val="17"/>
              </w:rPr>
              <w:t xml:space="preserve"> 14.900</w:t>
            </w:r>
          </w:p>
        </w:tc>
        <w:tc>
          <w:tcPr>
            <w:tcW w:w="1377" w:type="dxa"/>
            <w:tcBorders>
              <w:bottom w:val="single" w:color="009EE0" w:sz="2" w:space="0"/>
            </w:tcBorders>
            <w:tcMar>
              <w:top w:w="22" w:type="dxa"/>
              <w:left w:w="28" w:type="dxa"/>
              <w:bottom w:w="22" w:type="dxa"/>
              <w:right w:w="28" w:type="dxa"/>
            </w:tcMar>
          </w:tcPr>
          <w:p w:rsidR="006B6965" w:rsidRDefault="003A166B" w14:paraId="48F41086" w14:textId="77777777">
            <w:pPr>
              <w:pStyle w:val="p-table"/>
              <w:jc w:val="right"/>
              <w:rPr>
                <w:sz w:val="17"/>
              </w:rPr>
            </w:pPr>
            <w:r>
              <w:rPr>
                <w:sz w:val="17"/>
              </w:rPr>
              <w:t>0</w:t>
            </w:r>
          </w:p>
        </w:tc>
      </w:tr>
      <w:tr w:rsidR="006B6965" w14:paraId="2A9B1C1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1827E7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63B51F5" w14:textId="77777777">
            <w:pPr>
              <w:pStyle w:val="p-table"/>
              <w:rPr>
                <w:sz w:val="17"/>
              </w:rPr>
            </w:pPr>
            <w:r>
              <w:rPr>
                <w:sz w:val="17"/>
              </w:rPr>
              <w:t>KF: Zero-emissie zones</w:t>
            </w:r>
          </w:p>
        </w:tc>
        <w:tc>
          <w:tcPr>
            <w:tcW w:w="1377" w:type="dxa"/>
            <w:tcBorders>
              <w:bottom w:val="single" w:color="009EE0" w:sz="2" w:space="0"/>
            </w:tcBorders>
            <w:tcMar>
              <w:top w:w="22" w:type="dxa"/>
              <w:left w:w="28" w:type="dxa"/>
              <w:bottom w:w="22" w:type="dxa"/>
              <w:right w:w="28" w:type="dxa"/>
            </w:tcMar>
          </w:tcPr>
          <w:p w:rsidR="006B6965" w:rsidRDefault="003A166B" w14:paraId="6CC407F5" w14:textId="77777777">
            <w:pPr>
              <w:pStyle w:val="p-table"/>
              <w:jc w:val="right"/>
              <w:rPr>
                <w:sz w:val="17"/>
              </w:rPr>
            </w:pPr>
            <w:r>
              <w:rPr>
                <w:sz w:val="17"/>
              </w:rPr>
              <w:t>250</w:t>
            </w:r>
          </w:p>
        </w:tc>
        <w:tc>
          <w:tcPr>
            <w:tcW w:w="1377" w:type="dxa"/>
            <w:tcBorders>
              <w:bottom w:val="single" w:color="009EE0" w:sz="2" w:space="0"/>
            </w:tcBorders>
            <w:tcMar>
              <w:top w:w="22" w:type="dxa"/>
              <w:left w:w="28" w:type="dxa"/>
              <w:bottom w:w="22" w:type="dxa"/>
              <w:right w:w="28" w:type="dxa"/>
            </w:tcMar>
          </w:tcPr>
          <w:p w:rsidR="006B6965" w:rsidRDefault="003A166B" w14:paraId="377227AF"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1692AC9" w14:textId="77777777">
            <w:pPr>
              <w:pStyle w:val="p-table"/>
              <w:jc w:val="right"/>
              <w:rPr>
                <w:sz w:val="17"/>
              </w:rPr>
            </w:pPr>
            <w:r>
              <w:rPr>
                <w:sz w:val="17"/>
              </w:rPr>
              <w:t>250</w:t>
            </w:r>
          </w:p>
        </w:tc>
      </w:tr>
      <w:tr w:rsidR="006B6965" w14:paraId="3ECA084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B9070C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F422E8D"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79007E8F" w14:textId="77777777">
            <w:pPr>
              <w:pStyle w:val="p-table"/>
              <w:jc w:val="right"/>
              <w:rPr>
                <w:sz w:val="17"/>
              </w:rPr>
            </w:pPr>
            <w:r>
              <w:rPr>
                <w:sz w:val="17"/>
              </w:rPr>
              <w:t>12.651</w:t>
            </w:r>
          </w:p>
        </w:tc>
        <w:tc>
          <w:tcPr>
            <w:tcW w:w="1377" w:type="dxa"/>
            <w:tcBorders>
              <w:bottom w:val="single" w:color="009EE0" w:sz="2" w:space="0"/>
            </w:tcBorders>
            <w:tcMar>
              <w:top w:w="22" w:type="dxa"/>
              <w:left w:w="28" w:type="dxa"/>
              <w:bottom w:w="22" w:type="dxa"/>
              <w:right w:w="28" w:type="dxa"/>
            </w:tcMar>
          </w:tcPr>
          <w:p w:rsidR="006B6965" w:rsidRDefault="003A166B" w14:paraId="23041BA7" w14:textId="77777777">
            <w:pPr>
              <w:pStyle w:val="p-table"/>
              <w:jc w:val="right"/>
              <w:rPr>
                <w:sz w:val="17"/>
              </w:rPr>
            </w:pPr>
            <w:r>
              <w:rPr>
                <w:sz w:val="17"/>
              </w:rPr>
              <w:t>16</w:t>
            </w:r>
          </w:p>
        </w:tc>
        <w:tc>
          <w:tcPr>
            <w:tcW w:w="1377" w:type="dxa"/>
            <w:tcBorders>
              <w:bottom w:val="single" w:color="009EE0" w:sz="2" w:space="0"/>
            </w:tcBorders>
            <w:tcMar>
              <w:top w:w="22" w:type="dxa"/>
              <w:left w:w="28" w:type="dxa"/>
              <w:bottom w:w="22" w:type="dxa"/>
              <w:right w:w="28" w:type="dxa"/>
            </w:tcMar>
          </w:tcPr>
          <w:p w:rsidR="006B6965" w:rsidRDefault="003A166B" w14:paraId="6FA59820" w14:textId="77777777">
            <w:pPr>
              <w:pStyle w:val="p-table"/>
              <w:jc w:val="right"/>
              <w:rPr>
                <w:sz w:val="17"/>
              </w:rPr>
            </w:pPr>
            <w:r>
              <w:rPr>
                <w:sz w:val="17"/>
              </w:rPr>
              <w:t>12.667</w:t>
            </w:r>
          </w:p>
        </w:tc>
      </w:tr>
      <w:tr w:rsidR="006B6965" w14:paraId="4C6276F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7AB463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0B1399E"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19FC3E7D" w14:textId="77777777">
            <w:pPr>
              <w:pStyle w:val="p-table"/>
              <w:jc w:val="right"/>
              <w:rPr>
                <w:sz w:val="17"/>
              </w:rPr>
            </w:pPr>
            <w:r>
              <w:rPr>
                <w:i/>
                <w:sz w:val="17"/>
              </w:rPr>
              <w:t>236.729</w:t>
            </w:r>
          </w:p>
        </w:tc>
        <w:tc>
          <w:tcPr>
            <w:tcW w:w="1377" w:type="dxa"/>
            <w:tcBorders>
              <w:bottom w:val="single" w:color="009EE0" w:sz="2" w:space="0"/>
            </w:tcBorders>
            <w:tcMar>
              <w:top w:w="22" w:type="dxa"/>
              <w:left w:w="28" w:type="dxa"/>
              <w:bottom w:w="22" w:type="dxa"/>
              <w:right w:w="28" w:type="dxa"/>
            </w:tcMar>
          </w:tcPr>
          <w:p w:rsidR="006B6965" w:rsidRDefault="003A166B" w14:paraId="7CF5FDF3" w14:textId="77777777">
            <w:pPr>
              <w:pStyle w:val="p-table"/>
              <w:jc w:val="right"/>
              <w:rPr>
                <w:sz w:val="17"/>
              </w:rPr>
            </w:pPr>
            <w:r>
              <w:rPr>
                <w:i/>
                <w:sz w:val="17"/>
              </w:rPr>
              <w:t>‒</w:t>
            </w:r>
            <w:r>
              <w:rPr>
                <w:i/>
                <w:sz w:val="17"/>
              </w:rPr>
              <w:t xml:space="preserve"> 300</w:t>
            </w:r>
          </w:p>
        </w:tc>
        <w:tc>
          <w:tcPr>
            <w:tcW w:w="1377" w:type="dxa"/>
            <w:tcBorders>
              <w:bottom w:val="single" w:color="009EE0" w:sz="2" w:space="0"/>
            </w:tcBorders>
            <w:tcMar>
              <w:top w:w="22" w:type="dxa"/>
              <w:left w:w="28" w:type="dxa"/>
              <w:bottom w:w="22" w:type="dxa"/>
              <w:right w:w="28" w:type="dxa"/>
            </w:tcMar>
          </w:tcPr>
          <w:p w:rsidR="006B6965" w:rsidRDefault="003A166B" w14:paraId="041C4A7E" w14:textId="77777777">
            <w:pPr>
              <w:pStyle w:val="p-table"/>
              <w:jc w:val="right"/>
              <w:rPr>
                <w:sz w:val="17"/>
              </w:rPr>
            </w:pPr>
            <w:r>
              <w:rPr>
                <w:i/>
                <w:sz w:val="17"/>
              </w:rPr>
              <w:t>236.429</w:t>
            </w:r>
          </w:p>
        </w:tc>
      </w:tr>
      <w:tr w:rsidR="006B6965" w14:paraId="2F48A92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87A247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0D4C691" w14:textId="77777777">
            <w:pPr>
              <w:pStyle w:val="p-table"/>
              <w:rPr>
                <w:sz w:val="17"/>
              </w:rPr>
            </w:pPr>
            <w:r>
              <w:rPr>
                <w:sz w:val="17"/>
              </w:rPr>
              <w:t>Duurzame Mobiliteit</w:t>
            </w:r>
          </w:p>
        </w:tc>
        <w:tc>
          <w:tcPr>
            <w:tcW w:w="1377" w:type="dxa"/>
            <w:tcBorders>
              <w:bottom w:val="single" w:color="009EE0" w:sz="2" w:space="0"/>
            </w:tcBorders>
            <w:tcMar>
              <w:top w:w="22" w:type="dxa"/>
              <w:left w:w="28" w:type="dxa"/>
              <w:bottom w:w="22" w:type="dxa"/>
              <w:right w:w="28" w:type="dxa"/>
            </w:tcMar>
          </w:tcPr>
          <w:p w:rsidR="006B6965" w:rsidRDefault="003A166B" w14:paraId="7DD24F1C" w14:textId="77777777">
            <w:pPr>
              <w:pStyle w:val="p-table"/>
              <w:jc w:val="right"/>
              <w:rPr>
                <w:sz w:val="17"/>
              </w:rPr>
            </w:pPr>
            <w:r>
              <w:rPr>
                <w:sz w:val="17"/>
              </w:rPr>
              <w:t>18.291</w:t>
            </w:r>
          </w:p>
        </w:tc>
        <w:tc>
          <w:tcPr>
            <w:tcW w:w="1377" w:type="dxa"/>
            <w:tcBorders>
              <w:bottom w:val="single" w:color="009EE0" w:sz="2" w:space="0"/>
            </w:tcBorders>
            <w:tcMar>
              <w:top w:w="22" w:type="dxa"/>
              <w:left w:w="28" w:type="dxa"/>
              <w:bottom w:w="22" w:type="dxa"/>
              <w:right w:w="28" w:type="dxa"/>
            </w:tcMar>
          </w:tcPr>
          <w:p w:rsidR="006B6965" w:rsidRDefault="003A166B" w14:paraId="0831EC59" w14:textId="77777777">
            <w:pPr>
              <w:pStyle w:val="p-table"/>
              <w:jc w:val="right"/>
              <w:rPr>
                <w:sz w:val="17"/>
              </w:rPr>
            </w:pPr>
            <w:r>
              <w:rPr>
                <w:sz w:val="17"/>
              </w:rPr>
              <w:t>‒</w:t>
            </w:r>
            <w:r>
              <w:rPr>
                <w:sz w:val="17"/>
              </w:rPr>
              <w:t xml:space="preserve"> 200</w:t>
            </w:r>
          </w:p>
        </w:tc>
        <w:tc>
          <w:tcPr>
            <w:tcW w:w="1377" w:type="dxa"/>
            <w:tcBorders>
              <w:bottom w:val="single" w:color="009EE0" w:sz="2" w:space="0"/>
            </w:tcBorders>
            <w:tcMar>
              <w:top w:w="22" w:type="dxa"/>
              <w:left w:w="28" w:type="dxa"/>
              <w:bottom w:w="22" w:type="dxa"/>
              <w:right w:w="28" w:type="dxa"/>
            </w:tcMar>
          </w:tcPr>
          <w:p w:rsidR="006B6965" w:rsidRDefault="003A166B" w14:paraId="7E44C50E" w14:textId="77777777">
            <w:pPr>
              <w:pStyle w:val="p-table"/>
              <w:jc w:val="right"/>
              <w:rPr>
                <w:sz w:val="17"/>
              </w:rPr>
            </w:pPr>
            <w:r>
              <w:rPr>
                <w:sz w:val="17"/>
              </w:rPr>
              <w:t>18.091</w:t>
            </w:r>
          </w:p>
        </w:tc>
      </w:tr>
      <w:tr w:rsidR="006B6965" w14:paraId="0E82873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18E8C7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4B0AE9E" w14:textId="77777777">
            <w:pPr>
              <w:pStyle w:val="p-table"/>
              <w:rPr>
                <w:sz w:val="17"/>
              </w:rPr>
            </w:pPr>
            <w:r>
              <w:rPr>
                <w:sz w:val="17"/>
              </w:rPr>
              <w:t>Elektrisch Vervoer</w:t>
            </w:r>
          </w:p>
        </w:tc>
        <w:tc>
          <w:tcPr>
            <w:tcW w:w="1377" w:type="dxa"/>
            <w:tcBorders>
              <w:bottom w:val="single" w:color="009EE0" w:sz="2" w:space="0"/>
            </w:tcBorders>
            <w:tcMar>
              <w:top w:w="22" w:type="dxa"/>
              <w:left w:w="28" w:type="dxa"/>
              <w:bottom w:w="22" w:type="dxa"/>
              <w:right w:w="28" w:type="dxa"/>
            </w:tcMar>
          </w:tcPr>
          <w:p w:rsidR="006B6965" w:rsidRDefault="003A166B" w14:paraId="2927AC01" w14:textId="77777777">
            <w:pPr>
              <w:pStyle w:val="p-table"/>
              <w:jc w:val="right"/>
              <w:rPr>
                <w:sz w:val="17"/>
              </w:rPr>
            </w:pPr>
            <w:r>
              <w:rPr>
                <w:sz w:val="17"/>
              </w:rPr>
              <w:t>58.444</w:t>
            </w:r>
          </w:p>
        </w:tc>
        <w:tc>
          <w:tcPr>
            <w:tcW w:w="1377" w:type="dxa"/>
            <w:tcBorders>
              <w:bottom w:val="single" w:color="009EE0" w:sz="2" w:space="0"/>
            </w:tcBorders>
            <w:tcMar>
              <w:top w:w="22" w:type="dxa"/>
              <w:left w:w="28" w:type="dxa"/>
              <w:bottom w:w="22" w:type="dxa"/>
              <w:right w:w="28" w:type="dxa"/>
            </w:tcMar>
          </w:tcPr>
          <w:p w:rsidR="006B6965" w:rsidRDefault="003A166B" w14:paraId="71FE7C93"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AFE07EA" w14:textId="77777777">
            <w:pPr>
              <w:pStyle w:val="p-table"/>
              <w:jc w:val="right"/>
              <w:rPr>
                <w:sz w:val="17"/>
              </w:rPr>
            </w:pPr>
            <w:r>
              <w:rPr>
                <w:sz w:val="17"/>
              </w:rPr>
              <w:t>58.444</w:t>
            </w:r>
          </w:p>
        </w:tc>
      </w:tr>
      <w:tr w:rsidR="006B6965" w14:paraId="46DBFE6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08AB98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4FB3FE3" w14:textId="77777777">
            <w:pPr>
              <w:pStyle w:val="p-table"/>
              <w:rPr>
                <w:sz w:val="17"/>
              </w:rPr>
            </w:pPr>
            <w:r>
              <w:rPr>
                <w:sz w:val="17"/>
              </w:rPr>
              <w:t xml:space="preserve">Laad en </w:t>
            </w:r>
            <w:proofErr w:type="spellStart"/>
            <w:r>
              <w:rPr>
                <w:sz w:val="17"/>
              </w:rPr>
              <w:t>AanZET</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55CEBFE1" w14:textId="77777777">
            <w:pPr>
              <w:pStyle w:val="p-table"/>
              <w:jc w:val="right"/>
              <w:rPr>
                <w:sz w:val="17"/>
              </w:rPr>
            </w:pPr>
            <w:r>
              <w:rPr>
                <w:sz w:val="17"/>
              </w:rPr>
              <w:t>67.013</w:t>
            </w:r>
          </w:p>
        </w:tc>
        <w:tc>
          <w:tcPr>
            <w:tcW w:w="1377" w:type="dxa"/>
            <w:tcBorders>
              <w:bottom w:val="single" w:color="009EE0" w:sz="2" w:space="0"/>
            </w:tcBorders>
            <w:tcMar>
              <w:top w:w="22" w:type="dxa"/>
              <w:left w:w="28" w:type="dxa"/>
              <w:bottom w:w="22" w:type="dxa"/>
              <w:right w:w="28" w:type="dxa"/>
            </w:tcMar>
          </w:tcPr>
          <w:p w:rsidR="006B6965" w:rsidRDefault="003A166B" w14:paraId="77A40176" w14:textId="77777777">
            <w:pPr>
              <w:pStyle w:val="p-table"/>
              <w:jc w:val="right"/>
              <w:rPr>
                <w:sz w:val="17"/>
              </w:rPr>
            </w:pPr>
            <w:r>
              <w:rPr>
                <w:sz w:val="17"/>
              </w:rPr>
              <w:t>‒</w:t>
            </w:r>
            <w:r>
              <w:rPr>
                <w:sz w:val="17"/>
              </w:rPr>
              <w:t xml:space="preserve"> 300</w:t>
            </w:r>
          </w:p>
        </w:tc>
        <w:tc>
          <w:tcPr>
            <w:tcW w:w="1377" w:type="dxa"/>
            <w:tcBorders>
              <w:bottom w:val="single" w:color="009EE0" w:sz="2" w:space="0"/>
            </w:tcBorders>
            <w:tcMar>
              <w:top w:w="22" w:type="dxa"/>
              <w:left w:w="28" w:type="dxa"/>
              <w:bottom w:w="22" w:type="dxa"/>
              <w:right w:w="28" w:type="dxa"/>
            </w:tcMar>
          </w:tcPr>
          <w:p w:rsidR="006B6965" w:rsidRDefault="003A166B" w14:paraId="69D90D31" w14:textId="77777777">
            <w:pPr>
              <w:pStyle w:val="p-table"/>
              <w:jc w:val="right"/>
              <w:rPr>
                <w:sz w:val="17"/>
              </w:rPr>
            </w:pPr>
            <w:r>
              <w:rPr>
                <w:sz w:val="17"/>
              </w:rPr>
              <w:t>66.713</w:t>
            </w:r>
          </w:p>
        </w:tc>
      </w:tr>
      <w:tr w:rsidR="006B6965" w14:paraId="32A1A44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0BC451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1B40EC6" w14:textId="77777777">
            <w:pPr>
              <w:pStyle w:val="p-table"/>
              <w:rPr>
                <w:sz w:val="17"/>
              </w:rPr>
            </w:pPr>
            <w:r>
              <w:rPr>
                <w:sz w:val="17"/>
              </w:rPr>
              <w:t>Bronmaatregelen Stikstof</w:t>
            </w:r>
          </w:p>
        </w:tc>
        <w:tc>
          <w:tcPr>
            <w:tcW w:w="1377" w:type="dxa"/>
            <w:tcBorders>
              <w:bottom w:val="single" w:color="009EE0" w:sz="2" w:space="0"/>
            </w:tcBorders>
            <w:tcMar>
              <w:top w:w="22" w:type="dxa"/>
              <w:left w:w="28" w:type="dxa"/>
              <w:bottom w:w="22" w:type="dxa"/>
              <w:right w:w="28" w:type="dxa"/>
            </w:tcMar>
          </w:tcPr>
          <w:p w:rsidR="006B6965" w:rsidRDefault="003A166B" w14:paraId="03A7A657" w14:textId="77777777">
            <w:pPr>
              <w:pStyle w:val="p-table"/>
              <w:jc w:val="right"/>
              <w:rPr>
                <w:sz w:val="17"/>
              </w:rPr>
            </w:pPr>
            <w:r>
              <w:rPr>
                <w:sz w:val="17"/>
              </w:rPr>
              <w:t>34.029</w:t>
            </w:r>
          </w:p>
        </w:tc>
        <w:tc>
          <w:tcPr>
            <w:tcW w:w="1377" w:type="dxa"/>
            <w:tcBorders>
              <w:bottom w:val="single" w:color="009EE0" w:sz="2" w:space="0"/>
            </w:tcBorders>
            <w:tcMar>
              <w:top w:w="22" w:type="dxa"/>
              <w:left w:w="28" w:type="dxa"/>
              <w:bottom w:w="22" w:type="dxa"/>
              <w:right w:w="28" w:type="dxa"/>
            </w:tcMar>
          </w:tcPr>
          <w:p w:rsidR="006B6965" w:rsidRDefault="003A166B" w14:paraId="51A4FF7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1E96A59" w14:textId="77777777">
            <w:pPr>
              <w:pStyle w:val="p-table"/>
              <w:jc w:val="right"/>
              <w:rPr>
                <w:sz w:val="17"/>
              </w:rPr>
            </w:pPr>
            <w:r>
              <w:rPr>
                <w:sz w:val="17"/>
              </w:rPr>
              <w:t>34.029</w:t>
            </w:r>
          </w:p>
        </w:tc>
      </w:tr>
      <w:tr w:rsidR="006B6965" w14:paraId="2D3E51F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E294B9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14567A7" w14:textId="77777777">
            <w:pPr>
              <w:pStyle w:val="p-table"/>
              <w:rPr>
                <w:sz w:val="17"/>
              </w:rPr>
            </w:pPr>
            <w:r>
              <w:rPr>
                <w:sz w:val="17"/>
              </w:rPr>
              <w:t>KF: Laadinfra wegvervoer</w:t>
            </w:r>
          </w:p>
        </w:tc>
        <w:tc>
          <w:tcPr>
            <w:tcW w:w="1377" w:type="dxa"/>
            <w:tcBorders>
              <w:bottom w:val="single" w:color="009EE0" w:sz="2" w:space="0"/>
            </w:tcBorders>
            <w:tcMar>
              <w:top w:w="22" w:type="dxa"/>
              <w:left w:w="28" w:type="dxa"/>
              <w:bottom w:w="22" w:type="dxa"/>
              <w:right w:w="28" w:type="dxa"/>
            </w:tcMar>
          </w:tcPr>
          <w:p w:rsidR="006B6965" w:rsidRDefault="003A166B" w14:paraId="2EA620F3" w14:textId="77777777">
            <w:pPr>
              <w:pStyle w:val="p-table"/>
              <w:jc w:val="right"/>
              <w:rPr>
                <w:sz w:val="17"/>
              </w:rPr>
            </w:pPr>
            <w:r>
              <w:rPr>
                <w:sz w:val="17"/>
              </w:rPr>
              <w:t>32.832</w:t>
            </w:r>
          </w:p>
        </w:tc>
        <w:tc>
          <w:tcPr>
            <w:tcW w:w="1377" w:type="dxa"/>
            <w:tcBorders>
              <w:bottom w:val="single" w:color="009EE0" w:sz="2" w:space="0"/>
            </w:tcBorders>
            <w:tcMar>
              <w:top w:w="22" w:type="dxa"/>
              <w:left w:w="28" w:type="dxa"/>
              <w:bottom w:w="22" w:type="dxa"/>
              <w:right w:w="28" w:type="dxa"/>
            </w:tcMar>
          </w:tcPr>
          <w:p w:rsidR="006B6965" w:rsidRDefault="003A166B" w14:paraId="364AD55B"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FE7DE0B" w14:textId="77777777">
            <w:pPr>
              <w:pStyle w:val="p-table"/>
              <w:jc w:val="right"/>
              <w:rPr>
                <w:sz w:val="17"/>
              </w:rPr>
            </w:pPr>
            <w:r>
              <w:rPr>
                <w:sz w:val="17"/>
              </w:rPr>
              <w:t>32.832</w:t>
            </w:r>
          </w:p>
        </w:tc>
      </w:tr>
      <w:tr w:rsidR="006B6965" w14:paraId="748EB51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ADB683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E3AE17F" w14:textId="77777777">
            <w:pPr>
              <w:pStyle w:val="p-table"/>
              <w:rPr>
                <w:sz w:val="17"/>
              </w:rPr>
            </w:pPr>
            <w:r>
              <w:rPr>
                <w:sz w:val="17"/>
              </w:rPr>
              <w:t>KF: Laadinfra Bouw</w:t>
            </w:r>
          </w:p>
        </w:tc>
        <w:tc>
          <w:tcPr>
            <w:tcW w:w="1377" w:type="dxa"/>
            <w:tcBorders>
              <w:bottom w:val="single" w:color="009EE0" w:sz="2" w:space="0"/>
            </w:tcBorders>
            <w:tcMar>
              <w:top w:w="22" w:type="dxa"/>
              <w:left w:w="28" w:type="dxa"/>
              <w:bottom w:w="22" w:type="dxa"/>
              <w:right w:w="28" w:type="dxa"/>
            </w:tcMar>
          </w:tcPr>
          <w:p w:rsidR="006B6965" w:rsidRDefault="003A166B" w14:paraId="13E9B036" w14:textId="77777777">
            <w:pPr>
              <w:pStyle w:val="p-table"/>
              <w:jc w:val="right"/>
              <w:rPr>
                <w:sz w:val="17"/>
              </w:rPr>
            </w:pPr>
            <w:r>
              <w:rPr>
                <w:sz w:val="17"/>
              </w:rPr>
              <w:t>6.200</w:t>
            </w:r>
          </w:p>
        </w:tc>
        <w:tc>
          <w:tcPr>
            <w:tcW w:w="1377" w:type="dxa"/>
            <w:tcBorders>
              <w:bottom w:val="single" w:color="009EE0" w:sz="2" w:space="0"/>
            </w:tcBorders>
            <w:tcMar>
              <w:top w:w="22" w:type="dxa"/>
              <w:left w:w="28" w:type="dxa"/>
              <w:bottom w:w="22" w:type="dxa"/>
              <w:right w:w="28" w:type="dxa"/>
            </w:tcMar>
          </w:tcPr>
          <w:p w:rsidR="006B6965" w:rsidRDefault="003A166B" w14:paraId="0719D0C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46A1405" w14:textId="77777777">
            <w:pPr>
              <w:pStyle w:val="p-table"/>
              <w:jc w:val="right"/>
              <w:rPr>
                <w:sz w:val="17"/>
              </w:rPr>
            </w:pPr>
            <w:r>
              <w:rPr>
                <w:sz w:val="17"/>
              </w:rPr>
              <w:t>6.200</w:t>
            </w:r>
          </w:p>
        </w:tc>
      </w:tr>
      <w:tr w:rsidR="006B6965" w14:paraId="15EDF19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1C72DA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12FD701" w14:textId="77777777">
            <w:pPr>
              <w:pStyle w:val="p-table"/>
              <w:rPr>
                <w:sz w:val="17"/>
              </w:rPr>
            </w:pPr>
            <w:proofErr w:type="spellStart"/>
            <w:r>
              <w:rPr>
                <w:sz w:val="17"/>
              </w:rPr>
              <w:t>Vergroenen</w:t>
            </w:r>
            <w:proofErr w:type="spellEnd"/>
            <w:r>
              <w:rPr>
                <w:sz w:val="17"/>
              </w:rPr>
              <w:t xml:space="preserve"> reisgedrag</w:t>
            </w:r>
          </w:p>
        </w:tc>
        <w:tc>
          <w:tcPr>
            <w:tcW w:w="1377" w:type="dxa"/>
            <w:tcBorders>
              <w:bottom w:val="single" w:color="009EE0" w:sz="2" w:space="0"/>
            </w:tcBorders>
            <w:tcMar>
              <w:top w:w="22" w:type="dxa"/>
              <w:left w:w="28" w:type="dxa"/>
              <w:bottom w:w="22" w:type="dxa"/>
              <w:right w:w="28" w:type="dxa"/>
            </w:tcMar>
          </w:tcPr>
          <w:p w:rsidR="006B6965" w:rsidRDefault="003A166B" w14:paraId="5358320E" w14:textId="77777777">
            <w:pPr>
              <w:pStyle w:val="p-table"/>
              <w:jc w:val="right"/>
              <w:rPr>
                <w:sz w:val="17"/>
              </w:rPr>
            </w:pPr>
            <w:r>
              <w:rPr>
                <w:sz w:val="17"/>
              </w:rPr>
              <w:t>1.250</w:t>
            </w:r>
          </w:p>
        </w:tc>
        <w:tc>
          <w:tcPr>
            <w:tcW w:w="1377" w:type="dxa"/>
            <w:tcBorders>
              <w:bottom w:val="single" w:color="009EE0" w:sz="2" w:space="0"/>
            </w:tcBorders>
            <w:tcMar>
              <w:top w:w="22" w:type="dxa"/>
              <w:left w:w="28" w:type="dxa"/>
              <w:bottom w:w="22" w:type="dxa"/>
              <w:right w:w="28" w:type="dxa"/>
            </w:tcMar>
          </w:tcPr>
          <w:p w:rsidR="006B6965" w:rsidRDefault="003A166B" w14:paraId="7985241D" w14:textId="77777777">
            <w:pPr>
              <w:pStyle w:val="p-table"/>
              <w:jc w:val="right"/>
              <w:rPr>
                <w:sz w:val="17"/>
              </w:rPr>
            </w:pPr>
            <w:r>
              <w:rPr>
                <w:sz w:val="17"/>
              </w:rPr>
              <w:t>200</w:t>
            </w:r>
          </w:p>
        </w:tc>
        <w:tc>
          <w:tcPr>
            <w:tcW w:w="1377" w:type="dxa"/>
            <w:tcBorders>
              <w:bottom w:val="single" w:color="009EE0" w:sz="2" w:space="0"/>
            </w:tcBorders>
            <w:tcMar>
              <w:top w:w="22" w:type="dxa"/>
              <w:left w:w="28" w:type="dxa"/>
              <w:bottom w:w="22" w:type="dxa"/>
              <w:right w:w="28" w:type="dxa"/>
            </w:tcMar>
          </w:tcPr>
          <w:p w:rsidR="006B6965" w:rsidRDefault="003A166B" w14:paraId="03C7755C" w14:textId="77777777">
            <w:pPr>
              <w:pStyle w:val="p-table"/>
              <w:jc w:val="right"/>
              <w:rPr>
                <w:sz w:val="17"/>
              </w:rPr>
            </w:pPr>
            <w:r>
              <w:rPr>
                <w:sz w:val="17"/>
              </w:rPr>
              <w:t>1.450</w:t>
            </w:r>
          </w:p>
        </w:tc>
      </w:tr>
      <w:tr w:rsidR="006B6965" w14:paraId="058E9A6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45AC76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9A1DE65" w14:textId="77777777">
            <w:pPr>
              <w:pStyle w:val="p-table"/>
              <w:rPr>
                <w:sz w:val="17"/>
              </w:rPr>
            </w:pPr>
            <w:r>
              <w:rPr>
                <w:sz w:val="17"/>
              </w:rPr>
              <w:t>KF: SWIM</w:t>
            </w:r>
          </w:p>
        </w:tc>
        <w:tc>
          <w:tcPr>
            <w:tcW w:w="1377" w:type="dxa"/>
            <w:tcBorders>
              <w:bottom w:val="single" w:color="009EE0" w:sz="2" w:space="0"/>
            </w:tcBorders>
            <w:tcMar>
              <w:top w:w="22" w:type="dxa"/>
              <w:left w:w="28" w:type="dxa"/>
              <w:bottom w:w="22" w:type="dxa"/>
              <w:right w:w="28" w:type="dxa"/>
            </w:tcMar>
          </w:tcPr>
          <w:p w:rsidR="006B6965" w:rsidRDefault="003A166B" w14:paraId="21DD7FD7" w14:textId="77777777">
            <w:pPr>
              <w:pStyle w:val="p-table"/>
              <w:jc w:val="right"/>
              <w:rPr>
                <w:sz w:val="17"/>
              </w:rPr>
            </w:pPr>
            <w:r>
              <w:rPr>
                <w:sz w:val="17"/>
              </w:rPr>
              <w:t>14.486</w:t>
            </w:r>
          </w:p>
        </w:tc>
        <w:tc>
          <w:tcPr>
            <w:tcW w:w="1377" w:type="dxa"/>
            <w:tcBorders>
              <w:bottom w:val="single" w:color="009EE0" w:sz="2" w:space="0"/>
            </w:tcBorders>
            <w:tcMar>
              <w:top w:w="22" w:type="dxa"/>
              <w:left w:w="28" w:type="dxa"/>
              <w:bottom w:w="22" w:type="dxa"/>
              <w:right w:w="28" w:type="dxa"/>
            </w:tcMar>
          </w:tcPr>
          <w:p w:rsidR="006B6965" w:rsidRDefault="003A166B" w14:paraId="497E28F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7F60E48" w14:textId="77777777">
            <w:pPr>
              <w:pStyle w:val="p-table"/>
              <w:jc w:val="right"/>
              <w:rPr>
                <w:sz w:val="17"/>
              </w:rPr>
            </w:pPr>
            <w:r>
              <w:rPr>
                <w:sz w:val="17"/>
              </w:rPr>
              <w:t>14.486</w:t>
            </w:r>
          </w:p>
        </w:tc>
      </w:tr>
      <w:tr w:rsidR="006B6965" w14:paraId="1F28A0F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AC533E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A644B3B"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44A6E003" w14:textId="77777777">
            <w:pPr>
              <w:pStyle w:val="p-table"/>
              <w:jc w:val="right"/>
              <w:rPr>
                <w:sz w:val="17"/>
              </w:rPr>
            </w:pPr>
            <w:r>
              <w:rPr>
                <w:sz w:val="17"/>
              </w:rPr>
              <w:t>4.184</w:t>
            </w:r>
          </w:p>
        </w:tc>
        <w:tc>
          <w:tcPr>
            <w:tcW w:w="1377" w:type="dxa"/>
            <w:tcBorders>
              <w:bottom w:val="single" w:color="009EE0" w:sz="2" w:space="0"/>
            </w:tcBorders>
            <w:tcMar>
              <w:top w:w="22" w:type="dxa"/>
              <w:left w:w="28" w:type="dxa"/>
              <w:bottom w:w="22" w:type="dxa"/>
              <w:right w:w="28" w:type="dxa"/>
            </w:tcMar>
          </w:tcPr>
          <w:p w:rsidR="006B6965" w:rsidRDefault="003A166B" w14:paraId="50ECBB2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4D51F90" w14:textId="77777777">
            <w:pPr>
              <w:pStyle w:val="p-table"/>
              <w:jc w:val="right"/>
              <w:rPr>
                <w:sz w:val="17"/>
              </w:rPr>
            </w:pPr>
            <w:r>
              <w:rPr>
                <w:sz w:val="17"/>
              </w:rPr>
              <w:t>4.184</w:t>
            </w:r>
          </w:p>
        </w:tc>
      </w:tr>
      <w:tr w:rsidR="006B6965" w14:paraId="0DC933E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4B412C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B41171D"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4B207DA4" w14:textId="77777777">
            <w:pPr>
              <w:pStyle w:val="p-table"/>
              <w:jc w:val="right"/>
              <w:rPr>
                <w:sz w:val="17"/>
              </w:rPr>
            </w:pPr>
            <w:r>
              <w:rPr>
                <w:i/>
                <w:sz w:val="17"/>
              </w:rPr>
              <w:t>39.674</w:t>
            </w:r>
          </w:p>
        </w:tc>
        <w:tc>
          <w:tcPr>
            <w:tcW w:w="1377" w:type="dxa"/>
            <w:tcBorders>
              <w:bottom w:val="single" w:color="009EE0" w:sz="2" w:space="0"/>
            </w:tcBorders>
            <w:tcMar>
              <w:top w:w="22" w:type="dxa"/>
              <w:left w:w="28" w:type="dxa"/>
              <w:bottom w:w="22" w:type="dxa"/>
              <w:right w:w="28" w:type="dxa"/>
            </w:tcMar>
          </w:tcPr>
          <w:p w:rsidR="006B6965" w:rsidRDefault="003A166B" w14:paraId="3880C8B5" w14:textId="77777777">
            <w:pPr>
              <w:pStyle w:val="p-table"/>
              <w:jc w:val="right"/>
              <w:rPr>
                <w:sz w:val="17"/>
              </w:rPr>
            </w:pPr>
            <w:r>
              <w:rPr>
                <w:i/>
                <w:sz w:val="17"/>
              </w:rPr>
              <w:t>‒</w:t>
            </w:r>
            <w:r>
              <w:rPr>
                <w:i/>
                <w:sz w:val="17"/>
              </w:rPr>
              <w:t xml:space="preserve"> 8.523</w:t>
            </w:r>
          </w:p>
        </w:tc>
        <w:tc>
          <w:tcPr>
            <w:tcW w:w="1377" w:type="dxa"/>
            <w:tcBorders>
              <w:bottom w:val="single" w:color="009EE0" w:sz="2" w:space="0"/>
            </w:tcBorders>
            <w:tcMar>
              <w:top w:w="22" w:type="dxa"/>
              <w:left w:w="28" w:type="dxa"/>
              <w:bottom w:w="22" w:type="dxa"/>
              <w:right w:w="28" w:type="dxa"/>
            </w:tcMar>
          </w:tcPr>
          <w:p w:rsidR="006B6965" w:rsidRDefault="003A166B" w14:paraId="3FA09036" w14:textId="77777777">
            <w:pPr>
              <w:pStyle w:val="p-table"/>
              <w:jc w:val="right"/>
              <w:rPr>
                <w:sz w:val="17"/>
              </w:rPr>
            </w:pPr>
            <w:r>
              <w:rPr>
                <w:i/>
                <w:sz w:val="17"/>
              </w:rPr>
              <w:t>31.151</w:t>
            </w:r>
          </w:p>
        </w:tc>
      </w:tr>
      <w:tr w:rsidR="006B6965" w14:paraId="41CC607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AD8AE9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5AE7486" w14:textId="77777777">
            <w:pPr>
              <w:pStyle w:val="p-table"/>
              <w:rPr>
                <w:sz w:val="17"/>
              </w:rPr>
            </w:pPr>
            <w:r>
              <w:rPr>
                <w:sz w:val="17"/>
              </w:rPr>
              <w:t>Bijdrage agentschap RWS</w:t>
            </w:r>
          </w:p>
        </w:tc>
        <w:tc>
          <w:tcPr>
            <w:tcW w:w="1377" w:type="dxa"/>
            <w:tcBorders>
              <w:bottom w:val="single" w:color="009EE0" w:sz="2" w:space="0"/>
            </w:tcBorders>
            <w:tcMar>
              <w:top w:w="22" w:type="dxa"/>
              <w:left w:w="28" w:type="dxa"/>
              <w:bottom w:w="22" w:type="dxa"/>
              <w:right w:w="28" w:type="dxa"/>
            </w:tcMar>
          </w:tcPr>
          <w:p w:rsidR="006B6965" w:rsidRDefault="003A166B" w14:paraId="70B9362F" w14:textId="77777777">
            <w:pPr>
              <w:pStyle w:val="p-table"/>
              <w:jc w:val="right"/>
              <w:rPr>
                <w:sz w:val="17"/>
              </w:rPr>
            </w:pPr>
            <w:r>
              <w:rPr>
                <w:sz w:val="17"/>
              </w:rPr>
              <w:t>4.505</w:t>
            </w:r>
          </w:p>
        </w:tc>
        <w:tc>
          <w:tcPr>
            <w:tcW w:w="1377" w:type="dxa"/>
            <w:tcBorders>
              <w:bottom w:val="single" w:color="009EE0" w:sz="2" w:space="0"/>
            </w:tcBorders>
            <w:tcMar>
              <w:top w:w="22" w:type="dxa"/>
              <w:left w:w="28" w:type="dxa"/>
              <w:bottom w:w="22" w:type="dxa"/>
              <w:right w:w="28" w:type="dxa"/>
            </w:tcMar>
          </w:tcPr>
          <w:p w:rsidR="006B6965" w:rsidRDefault="003A166B" w14:paraId="0C608C6F" w14:textId="77777777">
            <w:pPr>
              <w:pStyle w:val="p-table"/>
              <w:jc w:val="right"/>
              <w:rPr>
                <w:sz w:val="17"/>
              </w:rPr>
            </w:pPr>
            <w:r>
              <w:rPr>
                <w:sz w:val="17"/>
              </w:rPr>
              <w:t>‒</w:t>
            </w:r>
            <w:r>
              <w:rPr>
                <w:sz w:val="17"/>
              </w:rPr>
              <w:t xml:space="preserve"> 144</w:t>
            </w:r>
          </w:p>
        </w:tc>
        <w:tc>
          <w:tcPr>
            <w:tcW w:w="1377" w:type="dxa"/>
            <w:tcBorders>
              <w:bottom w:val="single" w:color="009EE0" w:sz="2" w:space="0"/>
            </w:tcBorders>
            <w:tcMar>
              <w:top w:w="22" w:type="dxa"/>
              <w:left w:w="28" w:type="dxa"/>
              <w:bottom w:w="22" w:type="dxa"/>
              <w:right w:w="28" w:type="dxa"/>
            </w:tcMar>
          </w:tcPr>
          <w:p w:rsidR="006B6965" w:rsidRDefault="003A166B" w14:paraId="6EF82C67" w14:textId="77777777">
            <w:pPr>
              <w:pStyle w:val="p-table"/>
              <w:jc w:val="right"/>
              <w:rPr>
                <w:sz w:val="17"/>
              </w:rPr>
            </w:pPr>
            <w:r>
              <w:rPr>
                <w:sz w:val="17"/>
              </w:rPr>
              <w:t>4.361</w:t>
            </w:r>
          </w:p>
        </w:tc>
      </w:tr>
      <w:tr w:rsidR="006B6965" w14:paraId="3B8E69A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89D37D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2748DC0" w14:textId="77777777">
            <w:pPr>
              <w:pStyle w:val="p-table"/>
              <w:rPr>
                <w:sz w:val="17"/>
              </w:rPr>
            </w:pPr>
            <w:r>
              <w:rPr>
                <w:sz w:val="17"/>
              </w:rPr>
              <w:t>Bijdrage agentschap NEA</w:t>
            </w:r>
          </w:p>
        </w:tc>
        <w:tc>
          <w:tcPr>
            <w:tcW w:w="1377" w:type="dxa"/>
            <w:tcBorders>
              <w:bottom w:val="single" w:color="009EE0" w:sz="2" w:space="0"/>
            </w:tcBorders>
            <w:tcMar>
              <w:top w:w="22" w:type="dxa"/>
              <w:left w:w="28" w:type="dxa"/>
              <w:bottom w:w="22" w:type="dxa"/>
              <w:right w:w="28" w:type="dxa"/>
            </w:tcMar>
          </w:tcPr>
          <w:p w:rsidR="006B6965" w:rsidRDefault="003A166B" w14:paraId="6C6EB346" w14:textId="77777777">
            <w:pPr>
              <w:pStyle w:val="p-table"/>
              <w:jc w:val="right"/>
              <w:rPr>
                <w:sz w:val="17"/>
              </w:rPr>
            </w:pPr>
            <w:r>
              <w:rPr>
                <w:sz w:val="17"/>
              </w:rPr>
              <w:t>6.052</w:t>
            </w:r>
          </w:p>
        </w:tc>
        <w:tc>
          <w:tcPr>
            <w:tcW w:w="1377" w:type="dxa"/>
            <w:tcBorders>
              <w:bottom w:val="single" w:color="009EE0" w:sz="2" w:space="0"/>
            </w:tcBorders>
            <w:tcMar>
              <w:top w:w="22" w:type="dxa"/>
              <w:left w:w="28" w:type="dxa"/>
              <w:bottom w:w="22" w:type="dxa"/>
              <w:right w:w="28" w:type="dxa"/>
            </w:tcMar>
          </w:tcPr>
          <w:p w:rsidR="006B6965" w:rsidRDefault="003A166B" w14:paraId="6DE06AEE"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57318E2" w14:textId="77777777">
            <w:pPr>
              <w:pStyle w:val="p-table"/>
              <w:jc w:val="right"/>
              <w:rPr>
                <w:sz w:val="17"/>
              </w:rPr>
            </w:pPr>
            <w:r>
              <w:rPr>
                <w:sz w:val="17"/>
              </w:rPr>
              <w:t>6.052</w:t>
            </w:r>
          </w:p>
        </w:tc>
      </w:tr>
      <w:tr w:rsidR="006B6965" w14:paraId="0915B9F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177CD1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C039F48" w14:textId="77777777">
            <w:pPr>
              <w:pStyle w:val="p-table"/>
              <w:rPr>
                <w:sz w:val="17"/>
              </w:rPr>
            </w:pPr>
            <w:r>
              <w:rPr>
                <w:sz w:val="17"/>
              </w:rPr>
              <w:t>Bijdrage agentschap RVO</w:t>
            </w:r>
          </w:p>
        </w:tc>
        <w:tc>
          <w:tcPr>
            <w:tcW w:w="1377" w:type="dxa"/>
            <w:tcBorders>
              <w:bottom w:val="single" w:color="009EE0" w:sz="2" w:space="0"/>
            </w:tcBorders>
            <w:tcMar>
              <w:top w:w="22" w:type="dxa"/>
              <w:left w:w="28" w:type="dxa"/>
              <w:bottom w:w="22" w:type="dxa"/>
              <w:right w:w="28" w:type="dxa"/>
            </w:tcMar>
          </w:tcPr>
          <w:p w:rsidR="006B6965" w:rsidRDefault="003A166B" w14:paraId="42026246" w14:textId="77777777">
            <w:pPr>
              <w:pStyle w:val="p-table"/>
              <w:jc w:val="right"/>
              <w:rPr>
                <w:sz w:val="17"/>
              </w:rPr>
            </w:pPr>
            <w:r>
              <w:rPr>
                <w:sz w:val="17"/>
              </w:rPr>
              <w:t>19.750</w:t>
            </w:r>
          </w:p>
        </w:tc>
        <w:tc>
          <w:tcPr>
            <w:tcW w:w="1377" w:type="dxa"/>
            <w:tcBorders>
              <w:bottom w:val="single" w:color="009EE0" w:sz="2" w:space="0"/>
            </w:tcBorders>
            <w:tcMar>
              <w:top w:w="22" w:type="dxa"/>
              <w:left w:w="28" w:type="dxa"/>
              <w:bottom w:w="22" w:type="dxa"/>
              <w:right w:w="28" w:type="dxa"/>
            </w:tcMar>
          </w:tcPr>
          <w:p w:rsidR="006B6965" w:rsidRDefault="003A166B" w14:paraId="7080FE74" w14:textId="77777777">
            <w:pPr>
              <w:pStyle w:val="p-table"/>
              <w:jc w:val="right"/>
              <w:rPr>
                <w:sz w:val="17"/>
              </w:rPr>
            </w:pPr>
            <w:r>
              <w:rPr>
                <w:sz w:val="17"/>
              </w:rPr>
              <w:t>40</w:t>
            </w:r>
          </w:p>
        </w:tc>
        <w:tc>
          <w:tcPr>
            <w:tcW w:w="1377" w:type="dxa"/>
            <w:tcBorders>
              <w:bottom w:val="single" w:color="009EE0" w:sz="2" w:space="0"/>
            </w:tcBorders>
            <w:tcMar>
              <w:top w:w="22" w:type="dxa"/>
              <w:left w:w="28" w:type="dxa"/>
              <w:bottom w:w="22" w:type="dxa"/>
              <w:right w:w="28" w:type="dxa"/>
            </w:tcMar>
          </w:tcPr>
          <w:p w:rsidR="006B6965" w:rsidRDefault="003A166B" w14:paraId="1FAE9EFB" w14:textId="77777777">
            <w:pPr>
              <w:pStyle w:val="p-table"/>
              <w:jc w:val="right"/>
              <w:rPr>
                <w:sz w:val="17"/>
              </w:rPr>
            </w:pPr>
            <w:r>
              <w:rPr>
                <w:sz w:val="17"/>
              </w:rPr>
              <w:t>19.790</w:t>
            </w:r>
          </w:p>
        </w:tc>
      </w:tr>
      <w:tr w:rsidR="006B6965" w14:paraId="6CB935B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18BBD6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8ECEFC2" w14:textId="77777777">
            <w:pPr>
              <w:pStyle w:val="p-table"/>
              <w:rPr>
                <w:sz w:val="17"/>
              </w:rPr>
            </w:pPr>
            <w:r>
              <w:rPr>
                <w:sz w:val="17"/>
              </w:rPr>
              <w:t>Bijdrage aan agentschap RIVM</w:t>
            </w:r>
          </w:p>
        </w:tc>
        <w:tc>
          <w:tcPr>
            <w:tcW w:w="1377" w:type="dxa"/>
            <w:tcBorders>
              <w:bottom w:val="single" w:color="009EE0" w:sz="2" w:space="0"/>
            </w:tcBorders>
            <w:tcMar>
              <w:top w:w="22" w:type="dxa"/>
              <w:left w:w="28" w:type="dxa"/>
              <w:bottom w:w="22" w:type="dxa"/>
              <w:right w:w="28" w:type="dxa"/>
            </w:tcMar>
          </w:tcPr>
          <w:p w:rsidR="006B6965" w:rsidRDefault="003A166B" w14:paraId="04B69DD4" w14:textId="77777777">
            <w:pPr>
              <w:pStyle w:val="p-table"/>
              <w:jc w:val="right"/>
              <w:rPr>
                <w:sz w:val="17"/>
              </w:rPr>
            </w:pPr>
            <w:r>
              <w:rPr>
                <w:sz w:val="17"/>
              </w:rPr>
              <w:t>567</w:t>
            </w:r>
          </w:p>
        </w:tc>
        <w:tc>
          <w:tcPr>
            <w:tcW w:w="1377" w:type="dxa"/>
            <w:tcBorders>
              <w:bottom w:val="single" w:color="009EE0" w:sz="2" w:space="0"/>
            </w:tcBorders>
            <w:tcMar>
              <w:top w:w="22" w:type="dxa"/>
              <w:left w:w="28" w:type="dxa"/>
              <w:bottom w:w="22" w:type="dxa"/>
              <w:right w:w="28" w:type="dxa"/>
            </w:tcMar>
          </w:tcPr>
          <w:p w:rsidR="006B6965" w:rsidRDefault="003A166B" w14:paraId="6CD171E7" w14:textId="77777777">
            <w:pPr>
              <w:pStyle w:val="p-table"/>
              <w:jc w:val="right"/>
              <w:rPr>
                <w:sz w:val="17"/>
              </w:rPr>
            </w:pPr>
            <w:r>
              <w:rPr>
                <w:sz w:val="17"/>
              </w:rPr>
              <w:t>49</w:t>
            </w:r>
          </w:p>
        </w:tc>
        <w:tc>
          <w:tcPr>
            <w:tcW w:w="1377" w:type="dxa"/>
            <w:tcBorders>
              <w:bottom w:val="single" w:color="009EE0" w:sz="2" w:space="0"/>
            </w:tcBorders>
            <w:tcMar>
              <w:top w:w="22" w:type="dxa"/>
              <w:left w:w="28" w:type="dxa"/>
              <w:bottom w:w="22" w:type="dxa"/>
              <w:right w:w="28" w:type="dxa"/>
            </w:tcMar>
          </w:tcPr>
          <w:p w:rsidR="006B6965" w:rsidRDefault="003A166B" w14:paraId="3A0BAB59" w14:textId="77777777">
            <w:pPr>
              <w:pStyle w:val="p-table"/>
              <w:jc w:val="right"/>
              <w:rPr>
                <w:sz w:val="17"/>
              </w:rPr>
            </w:pPr>
            <w:r>
              <w:rPr>
                <w:sz w:val="17"/>
              </w:rPr>
              <w:t>616</w:t>
            </w:r>
          </w:p>
        </w:tc>
      </w:tr>
      <w:tr w:rsidR="006B6965" w14:paraId="7E5AD18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84DC8A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B168FBE" w14:textId="77777777">
            <w:pPr>
              <w:pStyle w:val="p-table"/>
              <w:rPr>
                <w:sz w:val="17"/>
              </w:rPr>
            </w:pPr>
            <w:r>
              <w:rPr>
                <w:sz w:val="17"/>
              </w:rPr>
              <w:t xml:space="preserve">Overige bijdragen aan </w:t>
            </w:r>
            <w:r>
              <w:rPr>
                <w:sz w:val="17"/>
              </w:rPr>
              <w:t>agentschappen</w:t>
            </w:r>
          </w:p>
        </w:tc>
        <w:tc>
          <w:tcPr>
            <w:tcW w:w="1377" w:type="dxa"/>
            <w:tcBorders>
              <w:bottom w:val="single" w:color="009EE0" w:sz="2" w:space="0"/>
            </w:tcBorders>
            <w:tcMar>
              <w:top w:w="22" w:type="dxa"/>
              <w:left w:w="28" w:type="dxa"/>
              <w:bottom w:w="22" w:type="dxa"/>
              <w:right w:w="28" w:type="dxa"/>
            </w:tcMar>
          </w:tcPr>
          <w:p w:rsidR="006B6965" w:rsidRDefault="003A166B" w14:paraId="2B956243" w14:textId="77777777">
            <w:pPr>
              <w:pStyle w:val="p-table"/>
              <w:jc w:val="right"/>
              <w:rPr>
                <w:sz w:val="17"/>
              </w:rPr>
            </w:pPr>
            <w:r>
              <w:rPr>
                <w:sz w:val="17"/>
              </w:rPr>
              <w:t>8.800</w:t>
            </w:r>
          </w:p>
        </w:tc>
        <w:tc>
          <w:tcPr>
            <w:tcW w:w="1377" w:type="dxa"/>
            <w:tcBorders>
              <w:bottom w:val="single" w:color="009EE0" w:sz="2" w:space="0"/>
            </w:tcBorders>
            <w:tcMar>
              <w:top w:w="22" w:type="dxa"/>
              <w:left w:w="28" w:type="dxa"/>
              <w:bottom w:w="22" w:type="dxa"/>
              <w:right w:w="28" w:type="dxa"/>
            </w:tcMar>
          </w:tcPr>
          <w:p w:rsidR="006B6965" w:rsidRDefault="003A166B" w14:paraId="1CE77018" w14:textId="77777777">
            <w:pPr>
              <w:pStyle w:val="p-table"/>
              <w:jc w:val="right"/>
              <w:rPr>
                <w:sz w:val="17"/>
              </w:rPr>
            </w:pPr>
            <w:r>
              <w:rPr>
                <w:sz w:val="17"/>
              </w:rPr>
              <w:t>‒</w:t>
            </w:r>
            <w:r>
              <w:rPr>
                <w:sz w:val="17"/>
              </w:rPr>
              <w:t xml:space="preserve"> 8.468</w:t>
            </w:r>
          </w:p>
        </w:tc>
        <w:tc>
          <w:tcPr>
            <w:tcW w:w="1377" w:type="dxa"/>
            <w:tcBorders>
              <w:bottom w:val="single" w:color="009EE0" w:sz="2" w:space="0"/>
            </w:tcBorders>
            <w:tcMar>
              <w:top w:w="22" w:type="dxa"/>
              <w:left w:w="28" w:type="dxa"/>
              <w:bottom w:w="22" w:type="dxa"/>
              <w:right w:w="28" w:type="dxa"/>
            </w:tcMar>
          </w:tcPr>
          <w:p w:rsidR="006B6965" w:rsidRDefault="003A166B" w14:paraId="75C414B1" w14:textId="77777777">
            <w:pPr>
              <w:pStyle w:val="p-table"/>
              <w:jc w:val="right"/>
              <w:rPr>
                <w:sz w:val="17"/>
              </w:rPr>
            </w:pPr>
            <w:r>
              <w:rPr>
                <w:sz w:val="17"/>
              </w:rPr>
              <w:t>332</w:t>
            </w:r>
          </w:p>
        </w:tc>
      </w:tr>
      <w:tr w:rsidR="006B6965" w14:paraId="4C3097D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D25BC7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BBB8AD4"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54C9B504" w14:textId="77777777">
            <w:pPr>
              <w:pStyle w:val="p-table"/>
              <w:jc w:val="right"/>
              <w:rPr>
                <w:sz w:val="17"/>
              </w:rPr>
            </w:pPr>
            <w:r>
              <w:rPr>
                <w:i/>
                <w:sz w:val="17"/>
              </w:rPr>
              <w:t>36.050</w:t>
            </w:r>
          </w:p>
        </w:tc>
        <w:tc>
          <w:tcPr>
            <w:tcW w:w="1377" w:type="dxa"/>
            <w:tcBorders>
              <w:bottom w:val="single" w:color="009EE0" w:sz="2" w:space="0"/>
            </w:tcBorders>
            <w:tcMar>
              <w:top w:w="22" w:type="dxa"/>
              <w:left w:w="28" w:type="dxa"/>
              <w:bottom w:w="22" w:type="dxa"/>
              <w:right w:w="28" w:type="dxa"/>
            </w:tcMar>
          </w:tcPr>
          <w:p w:rsidR="006B6965" w:rsidRDefault="003A166B" w14:paraId="593237AA"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68E4D18" w14:textId="77777777">
            <w:pPr>
              <w:pStyle w:val="p-table"/>
              <w:jc w:val="right"/>
              <w:rPr>
                <w:sz w:val="17"/>
              </w:rPr>
            </w:pPr>
            <w:r>
              <w:rPr>
                <w:i/>
                <w:sz w:val="17"/>
              </w:rPr>
              <w:t>36.050</w:t>
            </w:r>
          </w:p>
        </w:tc>
      </w:tr>
      <w:tr w:rsidR="006B6965" w14:paraId="058F3A7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F3DF25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686C847" w14:textId="77777777">
            <w:pPr>
              <w:pStyle w:val="p-table"/>
              <w:rPr>
                <w:sz w:val="17"/>
              </w:rPr>
            </w:pPr>
            <w:r>
              <w:rPr>
                <w:sz w:val="17"/>
              </w:rPr>
              <w:t>Duurzame Mobiliteit</w:t>
            </w:r>
          </w:p>
        </w:tc>
        <w:tc>
          <w:tcPr>
            <w:tcW w:w="1377" w:type="dxa"/>
            <w:tcBorders>
              <w:bottom w:val="single" w:color="009EE0" w:sz="2" w:space="0"/>
            </w:tcBorders>
            <w:tcMar>
              <w:top w:w="22" w:type="dxa"/>
              <w:left w:w="28" w:type="dxa"/>
              <w:bottom w:w="22" w:type="dxa"/>
              <w:right w:w="28" w:type="dxa"/>
            </w:tcMar>
          </w:tcPr>
          <w:p w:rsidR="006B6965" w:rsidRDefault="003A166B" w14:paraId="7BBE0928" w14:textId="77777777">
            <w:pPr>
              <w:pStyle w:val="p-table"/>
              <w:jc w:val="right"/>
              <w:rPr>
                <w:sz w:val="17"/>
              </w:rPr>
            </w:pPr>
            <w:r>
              <w:rPr>
                <w:sz w:val="17"/>
              </w:rPr>
              <w:t>25.050</w:t>
            </w:r>
          </w:p>
        </w:tc>
        <w:tc>
          <w:tcPr>
            <w:tcW w:w="1377" w:type="dxa"/>
            <w:tcBorders>
              <w:bottom w:val="single" w:color="009EE0" w:sz="2" w:space="0"/>
            </w:tcBorders>
            <w:tcMar>
              <w:top w:w="22" w:type="dxa"/>
              <w:left w:w="28" w:type="dxa"/>
              <w:bottom w:w="22" w:type="dxa"/>
              <w:right w:w="28" w:type="dxa"/>
            </w:tcMar>
          </w:tcPr>
          <w:p w:rsidR="006B6965" w:rsidRDefault="003A166B" w14:paraId="44723AAB"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D4184C4" w14:textId="77777777">
            <w:pPr>
              <w:pStyle w:val="p-table"/>
              <w:jc w:val="right"/>
              <w:rPr>
                <w:sz w:val="17"/>
              </w:rPr>
            </w:pPr>
            <w:r>
              <w:rPr>
                <w:sz w:val="17"/>
              </w:rPr>
              <w:t>25.050</w:t>
            </w:r>
          </w:p>
        </w:tc>
      </w:tr>
      <w:tr w:rsidR="006B6965" w14:paraId="566D3FC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2C259A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4F6D3AE" w14:textId="77777777">
            <w:pPr>
              <w:pStyle w:val="p-table"/>
              <w:rPr>
                <w:sz w:val="17"/>
              </w:rPr>
            </w:pPr>
            <w:r>
              <w:rPr>
                <w:sz w:val="17"/>
              </w:rPr>
              <w:t>Mobiliteit en Gebieden</w:t>
            </w:r>
          </w:p>
        </w:tc>
        <w:tc>
          <w:tcPr>
            <w:tcW w:w="1377" w:type="dxa"/>
            <w:tcBorders>
              <w:bottom w:val="single" w:color="009EE0" w:sz="2" w:space="0"/>
            </w:tcBorders>
            <w:tcMar>
              <w:top w:w="22" w:type="dxa"/>
              <w:left w:w="28" w:type="dxa"/>
              <w:bottom w:w="22" w:type="dxa"/>
              <w:right w:w="28" w:type="dxa"/>
            </w:tcMar>
          </w:tcPr>
          <w:p w:rsidR="006B6965" w:rsidRDefault="003A166B" w14:paraId="1C239CE5" w14:textId="77777777">
            <w:pPr>
              <w:pStyle w:val="p-table"/>
              <w:jc w:val="right"/>
              <w:rPr>
                <w:sz w:val="17"/>
              </w:rPr>
            </w:pPr>
            <w:r>
              <w:rPr>
                <w:sz w:val="17"/>
              </w:rPr>
              <w:t>1.000</w:t>
            </w:r>
          </w:p>
        </w:tc>
        <w:tc>
          <w:tcPr>
            <w:tcW w:w="1377" w:type="dxa"/>
            <w:tcBorders>
              <w:bottom w:val="single" w:color="009EE0" w:sz="2" w:space="0"/>
            </w:tcBorders>
            <w:tcMar>
              <w:top w:w="22" w:type="dxa"/>
              <w:left w:w="28" w:type="dxa"/>
              <w:bottom w:w="22" w:type="dxa"/>
              <w:right w:w="28" w:type="dxa"/>
            </w:tcMar>
          </w:tcPr>
          <w:p w:rsidR="006B6965" w:rsidRDefault="003A166B" w14:paraId="1D46B923"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D39332E" w14:textId="77777777">
            <w:pPr>
              <w:pStyle w:val="p-table"/>
              <w:jc w:val="right"/>
              <w:rPr>
                <w:sz w:val="17"/>
              </w:rPr>
            </w:pPr>
            <w:r>
              <w:rPr>
                <w:sz w:val="17"/>
              </w:rPr>
              <w:t>1.000</w:t>
            </w:r>
          </w:p>
        </w:tc>
      </w:tr>
      <w:tr w:rsidR="006B6965" w14:paraId="5E04971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834ADD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7FE6800" w14:textId="77777777">
            <w:pPr>
              <w:pStyle w:val="p-table"/>
              <w:rPr>
                <w:sz w:val="17"/>
              </w:rPr>
            </w:pPr>
            <w:r>
              <w:rPr>
                <w:sz w:val="17"/>
              </w:rPr>
              <w:t>KF - Laadinfra</w:t>
            </w:r>
          </w:p>
        </w:tc>
        <w:tc>
          <w:tcPr>
            <w:tcW w:w="1377" w:type="dxa"/>
            <w:tcBorders>
              <w:bottom w:val="single" w:color="009EE0" w:sz="2" w:space="0"/>
            </w:tcBorders>
            <w:tcMar>
              <w:top w:w="22" w:type="dxa"/>
              <w:left w:w="28" w:type="dxa"/>
              <w:bottom w:w="22" w:type="dxa"/>
              <w:right w:w="28" w:type="dxa"/>
            </w:tcMar>
          </w:tcPr>
          <w:p w:rsidR="006B6965" w:rsidRDefault="003A166B" w14:paraId="55E89FBD" w14:textId="77777777">
            <w:pPr>
              <w:pStyle w:val="p-table"/>
              <w:jc w:val="right"/>
              <w:rPr>
                <w:sz w:val="17"/>
              </w:rPr>
            </w:pPr>
            <w:r>
              <w:rPr>
                <w:sz w:val="17"/>
              </w:rPr>
              <w:t>10.000</w:t>
            </w:r>
          </w:p>
        </w:tc>
        <w:tc>
          <w:tcPr>
            <w:tcW w:w="1377" w:type="dxa"/>
            <w:tcBorders>
              <w:bottom w:val="single" w:color="009EE0" w:sz="2" w:space="0"/>
            </w:tcBorders>
            <w:tcMar>
              <w:top w:w="22" w:type="dxa"/>
              <w:left w:w="28" w:type="dxa"/>
              <w:bottom w:w="22" w:type="dxa"/>
              <w:right w:w="28" w:type="dxa"/>
            </w:tcMar>
          </w:tcPr>
          <w:p w:rsidR="006B6965" w:rsidRDefault="003A166B" w14:paraId="58450A6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BACC4BE" w14:textId="77777777">
            <w:pPr>
              <w:pStyle w:val="p-table"/>
              <w:jc w:val="right"/>
              <w:rPr>
                <w:sz w:val="17"/>
              </w:rPr>
            </w:pPr>
            <w:r>
              <w:rPr>
                <w:sz w:val="17"/>
              </w:rPr>
              <w:t>10.000</w:t>
            </w:r>
          </w:p>
        </w:tc>
      </w:tr>
      <w:tr w:rsidR="006B6965" w14:paraId="0FD845C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12661E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8865BAA"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05778212" w14:textId="77777777">
            <w:pPr>
              <w:pStyle w:val="p-table"/>
              <w:jc w:val="right"/>
              <w:rPr>
                <w:sz w:val="17"/>
              </w:rPr>
            </w:pPr>
            <w:r>
              <w:rPr>
                <w:i/>
                <w:sz w:val="17"/>
              </w:rPr>
              <w:t>710</w:t>
            </w:r>
          </w:p>
        </w:tc>
        <w:tc>
          <w:tcPr>
            <w:tcW w:w="1377" w:type="dxa"/>
            <w:tcBorders>
              <w:bottom w:val="single" w:color="009EE0" w:sz="2" w:space="0"/>
            </w:tcBorders>
            <w:tcMar>
              <w:top w:w="22" w:type="dxa"/>
              <w:left w:w="28" w:type="dxa"/>
              <w:bottom w:w="22" w:type="dxa"/>
              <w:right w:w="28" w:type="dxa"/>
            </w:tcMar>
          </w:tcPr>
          <w:p w:rsidR="006B6965" w:rsidRDefault="003A166B" w14:paraId="54C5A2F0"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D08A615" w14:textId="77777777">
            <w:pPr>
              <w:pStyle w:val="p-table"/>
              <w:jc w:val="right"/>
              <w:rPr>
                <w:sz w:val="17"/>
              </w:rPr>
            </w:pPr>
            <w:r>
              <w:rPr>
                <w:i/>
                <w:sz w:val="17"/>
              </w:rPr>
              <w:t>710</w:t>
            </w:r>
          </w:p>
        </w:tc>
      </w:tr>
      <w:tr w:rsidR="006B6965" w14:paraId="577B697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6F8B39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E0E5D5B"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48203A35" w14:textId="77777777">
            <w:pPr>
              <w:pStyle w:val="p-table"/>
              <w:jc w:val="right"/>
              <w:rPr>
                <w:sz w:val="17"/>
              </w:rPr>
            </w:pPr>
            <w:r>
              <w:rPr>
                <w:sz w:val="17"/>
              </w:rPr>
              <w:t>710</w:t>
            </w:r>
          </w:p>
        </w:tc>
        <w:tc>
          <w:tcPr>
            <w:tcW w:w="1377" w:type="dxa"/>
            <w:tcBorders>
              <w:bottom w:val="single" w:color="009EE0" w:sz="2" w:space="0"/>
            </w:tcBorders>
            <w:tcMar>
              <w:top w:w="22" w:type="dxa"/>
              <w:left w:w="28" w:type="dxa"/>
              <w:bottom w:w="22" w:type="dxa"/>
              <w:right w:w="28" w:type="dxa"/>
            </w:tcMar>
          </w:tcPr>
          <w:p w:rsidR="006B6965" w:rsidRDefault="003A166B" w14:paraId="1765EE6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C77B584" w14:textId="77777777">
            <w:pPr>
              <w:pStyle w:val="p-table"/>
              <w:jc w:val="right"/>
              <w:rPr>
                <w:sz w:val="17"/>
              </w:rPr>
            </w:pPr>
            <w:r>
              <w:rPr>
                <w:sz w:val="17"/>
              </w:rPr>
              <w:t>710</w:t>
            </w:r>
          </w:p>
        </w:tc>
      </w:tr>
      <w:tr w:rsidR="006B6965" w14:paraId="58D26BD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489ABE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094CD88" w14:textId="77777777">
            <w:pPr>
              <w:pStyle w:val="p-table"/>
              <w:rPr>
                <w:sz w:val="17"/>
              </w:rPr>
            </w:pPr>
            <w:r>
              <w:rPr>
                <w:i/>
                <w:sz w:val="17"/>
              </w:rPr>
              <w:t>Bijdrage aan ZBO's/</w:t>
            </w:r>
            <w:proofErr w:type="spellStart"/>
            <w:r>
              <w:rPr>
                <w:i/>
                <w:sz w:val="17"/>
              </w:rPr>
              <w:t>RWT's</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079DA39D" w14:textId="77777777">
            <w:pPr>
              <w:pStyle w:val="p-table"/>
              <w:jc w:val="right"/>
              <w:rPr>
                <w:sz w:val="17"/>
              </w:rPr>
            </w:pPr>
            <w:r>
              <w:rPr>
                <w:i/>
                <w:sz w:val="17"/>
              </w:rPr>
              <w:t>2.500</w:t>
            </w:r>
          </w:p>
        </w:tc>
        <w:tc>
          <w:tcPr>
            <w:tcW w:w="1377" w:type="dxa"/>
            <w:tcBorders>
              <w:bottom w:val="single" w:color="009EE0" w:sz="2" w:space="0"/>
            </w:tcBorders>
            <w:tcMar>
              <w:top w:w="22" w:type="dxa"/>
              <w:left w:w="28" w:type="dxa"/>
              <w:bottom w:w="22" w:type="dxa"/>
              <w:right w:w="28" w:type="dxa"/>
            </w:tcMar>
          </w:tcPr>
          <w:p w:rsidR="006B6965" w:rsidRDefault="003A166B" w14:paraId="459A8345"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3AAC19C" w14:textId="77777777">
            <w:pPr>
              <w:pStyle w:val="p-table"/>
              <w:jc w:val="right"/>
              <w:rPr>
                <w:sz w:val="17"/>
              </w:rPr>
            </w:pPr>
            <w:r>
              <w:rPr>
                <w:i/>
                <w:sz w:val="17"/>
              </w:rPr>
              <w:t>2.500</w:t>
            </w:r>
          </w:p>
        </w:tc>
      </w:tr>
      <w:tr w:rsidR="006B6965" w14:paraId="53C4D7C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B7F0B3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3DE1219"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2969301C" w14:textId="77777777">
            <w:pPr>
              <w:pStyle w:val="p-table"/>
              <w:jc w:val="right"/>
              <w:rPr>
                <w:sz w:val="17"/>
              </w:rPr>
            </w:pPr>
            <w:r>
              <w:rPr>
                <w:sz w:val="17"/>
              </w:rPr>
              <w:t>2.500</w:t>
            </w:r>
          </w:p>
        </w:tc>
        <w:tc>
          <w:tcPr>
            <w:tcW w:w="1377" w:type="dxa"/>
            <w:tcBorders>
              <w:bottom w:val="single" w:color="009EE0" w:sz="2" w:space="0"/>
            </w:tcBorders>
            <w:tcMar>
              <w:top w:w="22" w:type="dxa"/>
              <w:left w:w="28" w:type="dxa"/>
              <w:bottom w:w="22" w:type="dxa"/>
              <w:right w:w="28" w:type="dxa"/>
            </w:tcMar>
          </w:tcPr>
          <w:p w:rsidR="006B6965" w:rsidRDefault="003A166B" w14:paraId="436772B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2A8E0CC" w14:textId="77777777">
            <w:pPr>
              <w:pStyle w:val="p-table"/>
              <w:jc w:val="right"/>
              <w:rPr>
                <w:sz w:val="17"/>
              </w:rPr>
            </w:pPr>
            <w:r>
              <w:rPr>
                <w:sz w:val="17"/>
              </w:rPr>
              <w:t>2.500</w:t>
            </w:r>
          </w:p>
        </w:tc>
      </w:tr>
      <w:tr w:rsidR="006B6965" w14:paraId="18343E4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197269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EB0504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D03F94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C7ED19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83B5B8E" w14:textId="77777777">
            <w:pPr>
              <w:pStyle w:val="p-table"/>
              <w:rPr>
                <w:sz w:val="17"/>
              </w:rPr>
            </w:pPr>
          </w:p>
        </w:tc>
      </w:tr>
      <w:tr w:rsidR="006B6965" w14:paraId="66E42F7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7465F5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1C4913A"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7D044B3D" w14:textId="77777777">
            <w:pPr>
              <w:pStyle w:val="p-table"/>
              <w:jc w:val="right"/>
              <w:rPr>
                <w:sz w:val="17"/>
              </w:rPr>
            </w:pPr>
            <w:r>
              <w:rPr>
                <w:b/>
                <w:sz w:val="17"/>
              </w:rPr>
              <w:t>5.782</w:t>
            </w:r>
          </w:p>
        </w:tc>
        <w:tc>
          <w:tcPr>
            <w:tcW w:w="1377" w:type="dxa"/>
            <w:tcBorders>
              <w:bottom w:val="single" w:color="009EE0" w:sz="2" w:space="0"/>
            </w:tcBorders>
            <w:tcMar>
              <w:top w:w="22" w:type="dxa"/>
              <w:left w:w="28" w:type="dxa"/>
              <w:bottom w:w="22" w:type="dxa"/>
              <w:right w:w="28" w:type="dxa"/>
            </w:tcMar>
          </w:tcPr>
          <w:p w:rsidR="006B6965" w:rsidRDefault="003A166B" w14:paraId="28C755F4" w14:textId="77777777">
            <w:pPr>
              <w:pStyle w:val="p-table"/>
              <w:jc w:val="right"/>
              <w:rPr>
                <w:sz w:val="17"/>
              </w:rPr>
            </w:pPr>
            <w:r>
              <w:rPr>
                <w:b/>
                <w:sz w:val="17"/>
              </w:rPr>
              <w:t>3.840</w:t>
            </w:r>
          </w:p>
        </w:tc>
        <w:tc>
          <w:tcPr>
            <w:tcW w:w="1377" w:type="dxa"/>
            <w:tcBorders>
              <w:bottom w:val="single" w:color="009EE0" w:sz="2" w:space="0"/>
            </w:tcBorders>
            <w:tcMar>
              <w:top w:w="22" w:type="dxa"/>
              <w:left w:w="28" w:type="dxa"/>
              <w:bottom w:w="22" w:type="dxa"/>
              <w:right w:w="28" w:type="dxa"/>
            </w:tcMar>
          </w:tcPr>
          <w:p w:rsidR="006B6965" w:rsidRDefault="003A166B" w14:paraId="02392F9C" w14:textId="77777777">
            <w:pPr>
              <w:pStyle w:val="p-table"/>
              <w:jc w:val="right"/>
              <w:rPr>
                <w:sz w:val="17"/>
              </w:rPr>
            </w:pPr>
            <w:r>
              <w:rPr>
                <w:b/>
                <w:sz w:val="17"/>
              </w:rPr>
              <w:t>9.622</w:t>
            </w:r>
          </w:p>
        </w:tc>
      </w:tr>
      <w:tr w:rsidR="006B6965" w14:paraId="0789526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FDC01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3C0589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512EE2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246ED1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6034C0C" w14:textId="77777777">
            <w:pPr>
              <w:pStyle w:val="p-table"/>
              <w:rPr>
                <w:sz w:val="17"/>
              </w:rPr>
            </w:pPr>
          </w:p>
        </w:tc>
      </w:tr>
    </w:tbl>
    <w:p w:rsidR="006B6965" w:rsidRDefault="006B6965" w14:paraId="3A2A5444" w14:textId="77777777">
      <w:pPr>
        <w:pStyle w:val="p-marginbottom"/>
      </w:pPr>
    </w:p>
    <w:p w:rsidR="006B6965" w:rsidRDefault="003A166B" w14:paraId="04EF864E" w14:textId="77777777">
      <w:pPr>
        <w:pStyle w:val="section-title-4"/>
      </w:pPr>
      <w:r>
        <w:t>Toelichting</w:t>
      </w:r>
    </w:p>
    <w:p w:rsidR="006B6965" w:rsidRDefault="003A166B" w14:paraId="74000A64" w14:textId="77777777">
      <w:pPr>
        <w:pStyle w:val="header-h1"/>
      </w:pPr>
      <w:r>
        <w:t>Verplichtingen</w:t>
      </w:r>
    </w:p>
    <w:p w:rsidR="006B6965" w:rsidRDefault="003A166B" w14:paraId="409B970A" w14:textId="77777777">
      <w:pPr>
        <w:pStyle w:val="p"/>
      </w:pPr>
      <w:r>
        <w:t xml:space="preserve">Het verplichtingenbudget wordt met € 27,1 miljoen verlaagd. Dit wordt </w:t>
      </w:r>
      <w:r>
        <w:t>verklaard door de hieronder toegelichte uitgavenmutaties.</w:t>
      </w:r>
    </w:p>
    <w:p w:rsidR="006B6965" w:rsidRDefault="003A166B" w14:paraId="2BFE2616" w14:textId="77777777">
      <w:pPr>
        <w:pStyle w:val="header-h1"/>
      </w:pPr>
      <w:r>
        <w:t>Uitgaven</w:t>
      </w:r>
    </w:p>
    <w:p w:rsidR="006B6965" w:rsidRDefault="003A166B" w14:paraId="5007F075" w14:textId="77777777">
      <w:pPr>
        <w:pStyle w:val="header-h1"/>
      </w:pPr>
      <w:r>
        <w:t>Artikel 14.01 Netwerk</w:t>
      </w:r>
    </w:p>
    <w:p w:rsidR="006B6965" w:rsidRDefault="003A166B" w14:paraId="5BA0A9DE" w14:textId="77777777">
      <w:pPr>
        <w:pStyle w:val="header-h2"/>
      </w:pPr>
      <w:r>
        <w:t>Opdrachten</w:t>
      </w:r>
    </w:p>
    <w:p w:rsidR="006B6965" w:rsidRDefault="003A166B" w14:paraId="3DA1A308" w14:textId="77777777">
      <w:pPr>
        <w:pStyle w:val="p"/>
      </w:pPr>
      <w:r>
        <w:t>De verlaging van het opdrachtenbudget met ‒ € 12,5 miljoen wordt met name veroorzaakt door:</w:t>
      </w:r>
    </w:p>
    <w:p w:rsidR="006B6965" w:rsidRDefault="003A166B" w14:paraId="7CF84DA2" w14:textId="77777777">
      <w:r>
        <w:rPr>
          <w:rStyle w:val="span-u"/>
        </w:rPr>
        <w:t>Voertuigen en Digitale Infrastructuur (VDI):</w:t>
      </w:r>
      <w:r>
        <w:t xml:space="preserve"> Het opdrachtenbudget is met € 2,7 miljoen verlaagd en wordt met name verklaard door:</w:t>
      </w:r>
    </w:p>
    <w:p w:rsidR="006B6965" w:rsidRDefault="003A166B" w14:paraId="5CC736FC" w14:textId="77777777">
      <w:pPr>
        <w:pStyle w:val="ol-p-l1"/>
        <w:numPr>
          <w:ilvl w:val="0"/>
          <w:numId w:val="12"/>
        </w:numPr>
      </w:pPr>
      <w:r>
        <w:rPr>
          <w:rStyle w:val="ol-text"/>
        </w:rPr>
        <w:t>Door de val van het Kabinet is het beleidsterrein van VDI vertraagd. Dit betekent dat de in 2025 gereserveerde middelen pas in 2026 worden verplicht en betaald. Gevolg hiervan is dat € 2,9 miljoen wordt doorgeschoven van 2025 naar 2026.</w:t>
      </w:r>
    </w:p>
    <w:p w:rsidR="006B6965" w:rsidRDefault="003A166B" w14:paraId="61955A8E" w14:textId="77777777">
      <w:pPr>
        <w:pStyle w:val="ol-p-l1"/>
        <w:numPr>
          <w:ilvl w:val="0"/>
          <w:numId w:val="5"/>
        </w:numPr>
      </w:pPr>
      <w:r>
        <w:rPr>
          <w:rStyle w:val="ol-text"/>
        </w:rPr>
        <w:t>In het kader van de CER- en NIS-2-richtlijn ontvangt VDI middelen om opdrachten uit te voeren. Het gaat om € 1,2 miljoen.</w:t>
      </w:r>
    </w:p>
    <w:p w:rsidR="006B6965" w:rsidRDefault="006B6965" w14:paraId="39BFE0D6" w14:textId="77777777"/>
    <w:p w:rsidR="006B6965" w:rsidRDefault="003A166B" w14:paraId="11215720" w14:textId="77777777">
      <w:r>
        <w:rPr>
          <w:rStyle w:val="span-u"/>
        </w:rPr>
        <w:t>Overige opdrachten:</w:t>
      </w:r>
      <w:r>
        <w:t xml:space="preserve"> Het opdrachtenbudget is met € 10,0 miljoen verlaagd en wordt met name verklaard door:</w:t>
      </w:r>
    </w:p>
    <w:p w:rsidR="006B6965" w:rsidRDefault="003A166B" w14:paraId="471810E2" w14:textId="77777777">
      <w:pPr>
        <w:pStyle w:val="ol-p-l1"/>
        <w:numPr>
          <w:ilvl w:val="0"/>
          <w:numId w:val="13"/>
        </w:numPr>
      </w:pPr>
      <w:r>
        <w:rPr>
          <w:rStyle w:val="ol-text"/>
        </w:rPr>
        <w:t xml:space="preserve">De ontvangen prijsbijstelling wordt deels ingezet voor de dekking van de HXII-opgave Voorjaar 2025 van </w:t>
      </w:r>
      <w:proofErr w:type="spellStart"/>
      <w:r>
        <w:rPr>
          <w:rStyle w:val="ol-text"/>
        </w:rPr>
        <w:t>IenW</w:t>
      </w:r>
      <w:proofErr w:type="spellEnd"/>
      <w:r>
        <w:rPr>
          <w:rStyle w:val="ol-text"/>
        </w:rPr>
        <w:t xml:space="preserve">. € 4,1 miljoen wordt ingezet ten behoeve van </w:t>
      </w:r>
      <w:proofErr w:type="spellStart"/>
      <w:r>
        <w:rPr>
          <w:rStyle w:val="ol-text"/>
        </w:rPr>
        <w:t>IenW</w:t>
      </w:r>
      <w:proofErr w:type="spellEnd"/>
      <w:r>
        <w:rPr>
          <w:rStyle w:val="ol-text"/>
        </w:rPr>
        <w:t>-brede problematiek.</w:t>
      </w:r>
    </w:p>
    <w:p w:rsidR="006B6965" w:rsidRDefault="003A166B" w14:paraId="014C9907" w14:textId="77777777">
      <w:pPr>
        <w:pStyle w:val="ol-p-l1"/>
        <w:numPr>
          <w:ilvl w:val="0"/>
          <w:numId w:val="5"/>
        </w:numPr>
      </w:pPr>
      <w:r>
        <w:rPr>
          <w:rStyle w:val="ol-text"/>
        </w:rPr>
        <w:t>De ontvangen LPO was bij Voorjaarsnota verzameld op artikel 14. De € 1,6 miljoen die bestemd was voor Openbaar Vervoer en Spoor wordt nu overgeboekt naar artikel 16.</w:t>
      </w:r>
    </w:p>
    <w:p w:rsidR="006B6965" w:rsidRDefault="003A166B" w14:paraId="72975CBC" w14:textId="77777777">
      <w:pPr>
        <w:pStyle w:val="ol-p-l1"/>
        <w:numPr>
          <w:ilvl w:val="0"/>
          <w:numId w:val="5"/>
        </w:numPr>
      </w:pPr>
      <w:r>
        <w:rPr>
          <w:rStyle w:val="ol-text"/>
        </w:rPr>
        <w:lastRenderedPageBreak/>
        <w:t>Ten behoeve van de implementatie van CER/NIS2 wordt € 1,2 miljoen aan algemeen opdrachtenbudget van de afdeling Voertuigen en Digitale Infrastructuur herschikt.</w:t>
      </w:r>
    </w:p>
    <w:p w:rsidR="006B6965" w:rsidRDefault="003A166B" w14:paraId="33CD852C" w14:textId="77777777">
      <w:pPr>
        <w:pStyle w:val="ol-p-l1"/>
        <w:numPr>
          <w:ilvl w:val="0"/>
          <w:numId w:val="5"/>
        </w:numPr>
      </w:pPr>
      <w:r>
        <w:rPr>
          <w:rStyle w:val="ol-text"/>
        </w:rPr>
        <w:t>€ 1,3 miljoen gaat naar het artikel van de Inspectie Leefomgeving en Transport ter dekking van het uitvoeren van nieuwe taken.</w:t>
      </w:r>
    </w:p>
    <w:p w:rsidR="006B6965" w:rsidRDefault="003A166B" w14:paraId="6E7AA526" w14:textId="77777777">
      <w:pPr>
        <w:pStyle w:val="ol-p-l1"/>
        <w:numPr>
          <w:ilvl w:val="0"/>
          <w:numId w:val="5"/>
        </w:numPr>
      </w:pPr>
      <w:r>
        <w:rPr>
          <w:rStyle w:val="ol-text"/>
        </w:rPr>
        <w:t xml:space="preserve">KIWA voert taken op het gebied van vergunningsverlening uit voor </w:t>
      </w:r>
      <w:proofErr w:type="spellStart"/>
      <w:r>
        <w:rPr>
          <w:rStyle w:val="ol-text"/>
        </w:rPr>
        <w:t>DGMo</w:t>
      </w:r>
      <w:proofErr w:type="spellEnd"/>
      <w:r>
        <w:rPr>
          <w:rStyle w:val="ol-text"/>
        </w:rPr>
        <w:t>, maar hanteerde tarieven die niet volledig kostendekkend waren. Ter compensatie hiervoor wordt € 0,9 miljoen overgeboekt naar artikel 24, omdat de vergoeding via de ILT loopt.</w:t>
      </w:r>
    </w:p>
    <w:p w:rsidR="006B6965" w:rsidRDefault="003A166B" w14:paraId="721E9D89" w14:textId="77777777">
      <w:pPr>
        <w:pStyle w:val="ol-p-l1"/>
        <w:numPr>
          <w:ilvl w:val="0"/>
          <w:numId w:val="5"/>
        </w:numPr>
      </w:pPr>
      <w:proofErr w:type="spellStart"/>
      <w:r>
        <w:rPr>
          <w:rStyle w:val="ol-text"/>
        </w:rPr>
        <w:t>IenW</w:t>
      </w:r>
      <w:proofErr w:type="spellEnd"/>
      <w:r>
        <w:rPr>
          <w:rStyle w:val="ol-text"/>
        </w:rPr>
        <w:t xml:space="preserve"> heeft voor de voorbereiding op en uitvoering van sectorale CSIRT-taken € 1,0 miljoen aan middelen gereserveerd die overgeheveld worden naar het Nationaal Cybersecurity Centrum (NCSC) van Justitie en Veiligheid. Het NCSC gebruikt deze middelen voor de daadwerkelijke uitvoering van de sectorale CSIRT-taken op basis van de NIS2-richtlijn.</w:t>
      </w:r>
    </w:p>
    <w:p w:rsidR="006B6965" w:rsidRDefault="003A166B" w14:paraId="1B8E7EFE" w14:textId="77777777">
      <w:pPr>
        <w:pStyle w:val="ol-p-l1"/>
        <w:numPr>
          <w:ilvl w:val="0"/>
          <w:numId w:val="5"/>
        </w:numPr>
      </w:pPr>
      <w:r>
        <w:rPr>
          <w:rStyle w:val="ol-text"/>
        </w:rPr>
        <w:t xml:space="preserve">Vanwege </w:t>
      </w:r>
      <w:proofErr w:type="spellStart"/>
      <w:r>
        <w:rPr>
          <w:rStyle w:val="ol-text"/>
        </w:rPr>
        <w:t>terugontvangsten</w:t>
      </w:r>
      <w:proofErr w:type="spellEnd"/>
      <w:r>
        <w:rPr>
          <w:rStyle w:val="ol-text"/>
        </w:rPr>
        <w:t xml:space="preserve"> van subsidies en </w:t>
      </w:r>
      <w:proofErr w:type="spellStart"/>
      <w:r>
        <w:rPr>
          <w:rStyle w:val="ol-text"/>
        </w:rPr>
        <w:t>SPUKs</w:t>
      </w:r>
      <w:proofErr w:type="spellEnd"/>
      <w:r>
        <w:rPr>
          <w:rStyle w:val="ol-text"/>
        </w:rPr>
        <w:t xml:space="preserve"> is er een meevaller op het opdrachtenbudget van € € 2,7 miljoen. Dit wordt overgeboekt naar artikel 18 voor een knelpunt bij wettelijke verplichte </w:t>
      </w:r>
      <w:proofErr w:type="spellStart"/>
      <w:r>
        <w:rPr>
          <w:rStyle w:val="ol-text"/>
        </w:rPr>
        <w:t>eFTI</w:t>
      </w:r>
      <w:proofErr w:type="spellEnd"/>
      <w:r>
        <w:rPr>
          <w:rStyle w:val="ol-text"/>
        </w:rPr>
        <w:t xml:space="preserve">- en </w:t>
      </w:r>
      <w:proofErr w:type="spellStart"/>
      <w:r>
        <w:rPr>
          <w:rStyle w:val="ol-text"/>
        </w:rPr>
        <w:t>EMSWe</w:t>
      </w:r>
      <w:proofErr w:type="spellEnd"/>
      <w:r>
        <w:rPr>
          <w:rStyle w:val="ol-text"/>
        </w:rPr>
        <w:t>-verordeningen voor de Digitale Transport Strategie.</w:t>
      </w:r>
    </w:p>
    <w:p w:rsidR="006B6965" w:rsidRDefault="006B6965" w14:paraId="44AA913E" w14:textId="77777777"/>
    <w:p w:rsidR="006B6965" w:rsidRDefault="003A166B" w14:paraId="5E92CF7D" w14:textId="77777777">
      <w:pPr>
        <w:pStyle w:val="header-h1"/>
      </w:pPr>
      <w:r>
        <w:t>Artikel 14.02 Verkeersveiligheid</w:t>
      </w:r>
    </w:p>
    <w:p w:rsidR="006B6965" w:rsidRDefault="003A166B" w14:paraId="412ED1B1" w14:textId="77777777">
      <w:pPr>
        <w:pStyle w:val="header-h2"/>
      </w:pPr>
      <w:r>
        <w:t>(Schade)vergoedingen</w:t>
      </w:r>
    </w:p>
    <w:p w:rsidR="006B6965" w:rsidRDefault="003A166B" w14:paraId="3C2F40A1" w14:textId="77777777">
      <w:pPr>
        <w:pStyle w:val="p"/>
      </w:pPr>
      <w:r>
        <w:t>De verlaging van het budget voor (schade)vergoedingen met ‒ € 11,0 miljoen wordt veroorzaakt door:</w:t>
      </w:r>
    </w:p>
    <w:p w:rsidR="006B6965" w:rsidRDefault="003A166B" w14:paraId="7BCF2558" w14:textId="77777777">
      <w:proofErr w:type="spellStart"/>
      <w:r>
        <w:rPr>
          <w:rStyle w:val="span-u"/>
        </w:rPr>
        <w:t>Stint</w:t>
      </w:r>
      <w:proofErr w:type="spellEnd"/>
      <w:r>
        <w:t>: Het subsidiebudget is met € 11,0 miljoen verlaagd en wordt met name verklaard door:</w:t>
      </w:r>
    </w:p>
    <w:p w:rsidR="006B6965" w:rsidRDefault="003A166B" w14:paraId="54D89E66" w14:textId="77777777">
      <w:pPr>
        <w:pStyle w:val="ol-p-l1"/>
        <w:numPr>
          <w:ilvl w:val="0"/>
          <w:numId w:val="14"/>
        </w:numPr>
      </w:pPr>
      <w:r>
        <w:rPr>
          <w:rStyle w:val="ol-text"/>
        </w:rPr>
        <w:t xml:space="preserve">Vanwege het uitstellen van de </w:t>
      </w:r>
      <w:proofErr w:type="spellStart"/>
      <w:r>
        <w:rPr>
          <w:rStyle w:val="ol-text"/>
        </w:rPr>
        <w:t>rechtzaak</w:t>
      </w:r>
      <w:proofErr w:type="spellEnd"/>
      <w:r>
        <w:rPr>
          <w:rStyle w:val="ol-text"/>
        </w:rPr>
        <w:t xml:space="preserve"> wordt € 5,5 miljoen van de gereserveerde middelen voor de schadevergoedingen van de </w:t>
      </w:r>
      <w:proofErr w:type="spellStart"/>
      <w:r>
        <w:rPr>
          <w:rStyle w:val="ol-text"/>
        </w:rPr>
        <w:t>Stint</w:t>
      </w:r>
      <w:proofErr w:type="spellEnd"/>
      <w:r>
        <w:rPr>
          <w:rStyle w:val="ol-text"/>
        </w:rPr>
        <w:t xml:space="preserve"> onder andere </w:t>
      </w:r>
      <w:proofErr w:type="spellStart"/>
      <w:r>
        <w:rPr>
          <w:rStyle w:val="ol-text"/>
        </w:rPr>
        <w:t>ingzet</w:t>
      </w:r>
      <w:proofErr w:type="spellEnd"/>
      <w:r>
        <w:rPr>
          <w:rStyle w:val="ol-text"/>
        </w:rPr>
        <w:t xml:space="preserve"> om een tekort op het apparaatsbudget bij het Programma Omgeving Luchthaven Schiphol te dekken.</w:t>
      </w:r>
    </w:p>
    <w:p w:rsidR="006B6965" w:rsidRDefault="003A166B" w14:paraId="15418B98" w14:textId="77777777">
      <w:pPr>
        <w:pStyle w:val="ol-p-l1"/>
        <w:numPr>
          <w:ilvl w:val="0"/>
          <w:numId w:val="5"/>
        </w:numPr>
      </w:pPr>
      <w:r>
        <w:rPr>
          <w:rStyle w:val="ol-text"/>
        </w:rPr>
        <w:t xml:space="preserve">Vanwege het uitstellen van de </w:t>
      </w:r>
      <w:proofErr w:type="spellStart"/>
      <w:r>
        <w:rPr>
          <w:rStyle w:val="ol-text"/>
        </w:rPr>
        <w:t>rechtzaak</w:t>
      </w:r>
      <w:proofErr w:type="spellEnd"/>
      <w:r>
        <w:rPr>
          <w:rStyle w:val="ol-text"/>
        </w:rPr>
        <w:t xml:space="preserve"> wordt € 5,5 miljoen van de gereserveerde middelen voor de schadevergoedingen van de </w:t>
      </w:r>
      <w:proofErr w:type="spellStart"/>
      <w:r>
        <w:rPr>
          <w:rStyle w:val="ol-text"/>
        </w:rPr>
        <w:t>Stint</w:t>
      </w:r>
      <w:proofErr w:type="spellEnd"/>
      <w:r>
        <w:rPr>
          <w:rStyle w:val="ol-text"/>
        </w:rPr>
        <w:t xml:space="preserve"> onder andere ingezet om de tekorten bij het Regeringsvliegtuig te dekken.</w:t>
      </w:r>
    </w:p>
    <w:p w:rsidR="006B6965" w:rsidRDefault="006B6965" w14:paraId="0E950636" w14:textId="77777777"/>
    <w:p w:rsidR="006B6965" w:rsidRDefault="003A166B" w14:paraId="061BFDBE" w14:textId="77777777">
      <w:pPr>
        <w:pStyle w:val="header-h1"/>
      </w:pPr>
      <w:r>
        <w:t>Artikel 14.03 Slimme en Duurzame Mobiliteit</w:t>
      </w:r>
    </w:p>
    <w:p w:rsidR="006B6965" w:rsidRDefault="003A166B" w14:paraId="7AE2175E" w14:textId="77777777">
      <w:pPr>
        <w:pStyle w:val="header-h2"/>
      </w:pPr>
      <w:r>
        <w:t>Opdrachten</w:t>
      </w:r>
    </w:p>
    <w:p w:rsidR="006B6965" w:rsidRDefault="003A166B" w14:paraId="4EA77DF0" w14:textId="77777777">
      <w:pPr>
        <w:pStyle w:val="p"/>
      </w:pPr>
      <w:r>
        <w:t>De verlaging van het opdrachtenbudget met ‒ € 7,7 miljoen wordt met name veroorzaakt door:</w:t>
      </w:r>
    </w:p>
    <w:p w:rsidR="006B6965" w:rsidRDefault="003A166B" w14:paraId="0A9745B8" w14:textId="77777777">
      <w:r>
        <w:rPr>
          <w:rStyle w:val="span-u"/>
        </w:rPr>
        <w:t>KF: Laadinfra Bouw:</w:t>
      </w:r>
      <w:r>
        <w:t xml:space="preserve"> Het opdrachtenbudget is met € 14,9 miljoen verlaagd en wordt met name verklaard door:</w:t>
      </w:r>
    </w:p>
    <w:p w:rsidR="006B6965" w:rsidRDefault="003A166B" w14:paraId="685A5C0A" w14:textId="77777777">
      <w:pPr>
        <w:pStyle w:val="ol-p-l1"/>
        <w:numPr>
          <w:ilvl w:val="0"/>
          <w:numId w:val="15"/>
        </w:numPr>
      </w:pPr>
      <w:r>
        <w:rPr>
          <w:rStyle w:val="ol-text"/>
        </w:rPr>
        <w:t>€ 13,6 miljoen wordt overgeboekt naar het MF, waar Rijkswaterstaat het inzet ten behoeve van laadinfrastructuur en baterijsystemen op de bouwplaats, onderzoekskosten en capaciteit bij RWS GPO.</w:t>
      </w:r>
    </w:p>
    <w:p w:rsidR="006B6965" w:rsidRDefault="003A166B" w14:paraId="6D89CE50" w14:textId="77777777">
      <w:pPr>
        <w:pStyle w:val="ol-p-l1"/>
        <w:numPr>
          <w:ilvl w:val="0"/>
          <w:numId w:val="5"/>
        </w:numPr>
      </w:pPr>
      <w:r>
        <w:rPr>
          <w:rStyle w:val="ol-text"/>
        </w:rPr>
        <w:t>De overheveling van middelen naar RWS is over de jaren heen verdeeld. Er wordt € 1,3 miljoen van 2025 naar latere jaren verschoven, zodat na overheveling aansluit bij de verwachte uitgaven.</w:t>
      </w:r>
    </w:p>
    <w:p w:rsidR="006B6965" w:rsidRDefault="006B6965" w14:paraId="5ABCB55E" w14:textId="77777777"/>
    <w:p w:rsidR="006B6965" w:rsidRDefault="003A166B" w14:paraId="1486BCFB" w14:textId="77777777">
      <w:pPr>
        <w:pStyle w:val="p"/>
      </w:pPr>
      <w:r>
        <w:rPr>
          <w:rStyle w:val="span-u"/>
        </w:rPr>
        <w:t>Klimaatakkoord:</w:t>
      </w:r>
      <w:r>
        <w:t xml:space="preserve"> Het </w:t>
      </w:r>
      <w:proofErr w:type="spellStart"/>
      <w:r>
        <w:t>oprachtenbudget</w:t>
      </w:r>
      <w:proofErr w:type="spellEnd"/>
      <w:r>
        <w:t xml:space="preserve"> is met € 2,9 miljoen verhoogd. We hebben in 2024 teveel betaald aan RVO voor de uitvoeringskosten. Deze middelen ontvangen we in 2025 weer terug van RVO waardoor we meer uitgavenbudget hebben.</w:t>
      </w:r>
    </w:p>
    <w:p w:rsidR="006B6965" w:rsidRDefault="003A166B" w14:paraId="100C96E5" w14:textId="77777777">
      <w:pPr>
        <w:pStyle w:val="header-h2"/>
      </w:pPr>
      <w:r>
        <w:t>Bijdragen aan agentschappen</w:t>
      </w:r>
    </w:p>
    <w:p w:rsidR="006B6965" w:rsidRDefault="003A166B" w14:paraId="4E057B06" w14:textId="77777777">
      <w:pPr>
        <w:pStyle w:val="p"/>
      </w:pPr>
      <w:r>
        <w:t xml:space="preserve">De verlaging van de bijdragen aan agentschappen met ‒ € 8,5 miljoen </w:t>
      </w:r>
      <w:r>
        <w:lastRenderedPageBreak/>
        <w:t>wordt met name veroorzaakt door:</w:t>
      </w:r>
    </w:p>
    <w:p w:rsidR="006B6965" w:rsidRDefault="003A166B" w14:paraId="434D78FC" w14:textId="77777777">
      <w:pPr>
        <w:pStyle w:val="p"/>
      </w:pPr>
      <w:r>
        <w:rPr>
          <w:rStyle w:val="span-u"/>
        </w:rPr>
        <w:t>Overige bijdragen aan agentschappen:</w:t>
      </w:r>
      <w:r>
        <w:t xml:space="preserve"> De overige bijdragen aan agentschappen zijn met € 8,5 miljoen verlaagd. Het betreft met name de € 8,1 miljoen die naar </w:t>
      </w:r>
      <w:proofErr w:type="spellStart"/>
      <w:r>
        <w:t>lateren</w:t>
      </w:r>
      <w:proofErr w:type="spellEnd"/>
      <w:r>
        <w:t xml:space="preserve"> jaren wordt doorgeschoven. Het Rijksvastgoedbedrijf ontvangt middelen in het kader van Schoon en </w:t>
      </w:r>
      <w:proofErr w:type="spellStart"/>
      <w:r>
        <w:t>Emissieloos</w:t>
      </w:r>
      <w:proofErr w:type="spellEnd"/>
      <w:r>
        <w:t xml:space="preserve"> Bouwen. In eerste instantie werd aangenomen dat het RVB deze middelen in één keer op zou vragen, maar ze vragen het verdeeld over de jaren op. De middelen worden in overeenstemming gebracht met de reeks waarin het RVB zal factureren.</w:t>
      </w:r>
    </w:p>
    <w:p w:rsidR="006B6965" w:rsidRDefault="003A166B" w14:paraId="0E27334B" w14:textId="77777777">
      <w:pPr>
        <w:pStyle w:val="header-h1"/>
      </w:pPr>
      <w:r>
        <w:t>Ontvangsten</w:t>
      </w:r>
    </w:p>
    <w:p w:rsidR="006B6965" w:rsidRDefault="003A166B" w14:paraId="10E76C43" w14:textId="77777777">
      <w:pPr>
        <w:pStyle w:val="p"/>
      </w:pPr>
      <w:r>
        <w:t xml:space="preserve">De ontvangstenmutaties zijn lager dan de voorgeschreven norm en worden daarom niet toegelicht (zie normering in de </w:t>
      </w:r>
      <w:proofErr w:type="spellStart"/>
      <w:r>
        <w:t>leeswĳzer</w:t>
      </w:r>
      <w:proofErr w:type="spellEnd"/>
      <w:r>
        <w:t>).</w:t>
      </w:r>
    </w:p>
    <w:p w:rsidR="006B6965" w:rsidRDefault="003A166B" w14:paraId="1930F9AB" w14:textId="77777777">
      <w:pPr>
        <w:pStyle w:val="section-title-3"/>
      </w:pPr>
      <w:r>
        <w:t>3.4 Artikel 16 Openbaar Vervoer en Spoor</w:t>
      </w:r>
    </w:p>
    <w:p w:rsidR="006B6965" w:rsidRDefault="003A166B" w14:paraId="06E6D8DC"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43F7C447"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611A2B30" w14:textId="77777777">
            <w:pPr>
              <w:pStyle w:val="kio2-table-title"/>
            </w:pPr>
            <w:r>
              <w:t>Tabel 7 Budgettaire gevolgen van beleid artikel 16 Openbaar Vervoer en Spoor (bedragen x € 1.000)</w:t>
            </w:r>
          </w:p>
        </w:tc>
      </w:tr>
      <w:tr w:rsidR="006B6965" w14:paraId="57A638AA"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1331AA97"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736A31AD"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C00BD59"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536CD0C7"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10924D25" w14:textId="77777777">
            <w:pPr>
              <w:pStyle w:val="p-table"/>
              <w:jc w:val="center"/>
              <w:rPr>
                <w:color w:val="000000"/>
                <w:sz w:val="17"/>
              </w:rPr>
            </w:pPr>
            <w:r>
              <w:rPr>
                <w:color w:val="000000"/>
                <w:sz w:val="17"/>
              </w:rPr>
              <w:t>Stand suppletoire begroting september (3) = (1) + (2)</w:t>
            </w:r>
          </w:p>
        </w:tc>
      </w:tr>
      <w:tr w:rsidR="006B6965" w14:paraId="44F0C38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1ED8C2C1"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7CB4164A"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23C80D38" w14:textId="77777777">
            <w:pPr>
              <w:pStyle w:val="p-table"/>
              <w:jc w:val="right"/>
              <w:rPr>
                <w:sz w:val="17"/>
              </w:rPr>
            </w:pPr>
            <w:r>
              <w:rPr>
                <w:b/>
                <w:sz w:val="17"/>
              </w:rPr>
              <w:t>76.368</w:t>
            </w:r>
          </w:p>
        </w:tc>
        <w:tc>
          <w:tcPr>
            <w:tcW w:w="1377" w:type="dxa"/>
            <w:tcBorders>
              <w:bottom w:val="single" w:color="009EE0" w:sz="2" w:space="0"/>
            </w:tcBorders>
            <w:tcMar>
              <w:top w:w="22" w:type="dxa"/>
              <w:left w:w="28" w:type="dxa"/>
              <w:bottom w:w="22" w:type="dxa"/>
              <w:right w:w="28" w:type="dxa"/>
            </w:tcMar>
          </w:tcPr>
          <w:p w:rsidR="006B6965" w:rsidRDefault="003A166B" w14:paraId="4CAFEC65" w14:textId="77777777">
            <w:pPr>
              <w:pStyle w:val="p-table"/>
              <w:jc w:val="right"/>
              <w:rPr>
                <w:sz w:val="17"/>
              </w:rPr>
            </w:pPr>
            <w:r>
              <w:rPr>
                <w:b/>
                <w:sz w:val="17"/>
              </w:rPr>
              <w:t>101.535</w:t>
            </w:r>
          </w:p>
        </w:tc>
        <w:tc>
          <w:tcPr>
            <w:tcW w:w="1377" w:type="dxa"/>
            <w:tcBorders>
              <w:bottom w:val="single" w:color="009EE0" w:sz="2" w:space="0"/>
            </w:tcBorders>
            <w:tcMar>
              <w:top w:w="22" w:type="dxa"/>
              <w:left w:w="28" w:type="dxa"/>
              <w:bottom w:w="22" w:type="dxa"/>
              <w:right w:w="28" w:type="dxa"/>
            </w:tcMar>
          </w:tcPr>
          <w:p w:rsidR="006B6965" w:rsidRDefault="003A166B" w14:paraId="140CAA5F" w14:textId="77777777">
            <w:pPr>
              <w:pStyle w:val="p-table"/>
              <w:jc w:val="right"/>
              <w:rPr>
                <w:sz w:val="17"/>
              </w:rPr>
            </w:pPr>
            <w:r>
              <w:rPr>
                <w:b/>
                <w:sz w:val="17"/>
              </w:rPr>
              <w:t>177.903</w:t>
            </w:r>
          </w:p>
        </w:tc>
      </w:tr>
      <w:tr w:rsidR="006B6965" w14:paraId="0D5A9E1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389AA5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357DFE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D36ACF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597459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755B055" w14:textId="77777777">
            <w:pPr>
              <w:pStyle w:val="p-table"/>
              <w:rPr>
                <w:sz w:val="17"/>
              </w:rPr>
            </w:pPr>
          </w:p>
        </w:tc>
      </w:tr>
      <w:tr w:rsidR="006B6965" w14:paraId="2601EBF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86FEA2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877393B"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00DB5C76" w14:textId="77777777">
            <w:pPr>
              <w:pStyle w:val="p-table"/>
              <w:jc w:val="right"/>
              <w:rPr>
                <w:sz w:val="17"/>
              </w:rPr>
            </w:pPr>
            <w:r>
              <w:rPr>
                <w:b/>
                <w:sz w:val="17"/>
              </w:rPr>
              <w:t>96.275</w:t>
            </w:r>
          </w:p>
        </w:tc>
        <w:tc>
          <w:tcPr>
            <w:tcW w:w="1377" w:type="dxa"/>
            <w:tcBorders>
              <w:bottom w:val="single" w:color="009EE0" w:sz="2" w:space="0"/>
            </w:tcBorders>
            <w:tcMar>
              <w:top w:w="22" w:type="dxa"/>
              <w:left w:w="28" w:type="dxa"/>
              <w:bottom w:w="22" w:type="dxa"/>
              <w:right w:w="28" w:type="dxa"/>
            </w:tcMar>
          </w:tcPr>
          <w:p w:rsidR="006B6965" w:rsidRDefault="003A166B" w14:paraId="7A76CE0A" w14:textId="77777777">
            <w:pPr>
              <w:pStyle w:val="p-table"/>
              <w:jc w:val="right"/>
              <w:rPr>
                <w:sz w:val="17"/>
              </w:rPr>
            </w:pPr>
            <w:r>
              <w:rPr>
                <w:b/>
                <w:sz w:val="17"/>
              </w:rPr>
              <w:t>88.912</w:t>
            </w:r>
          </w:p>
        </w:tc>
        <w:tc>
          <w:tcPr>
            <w:tcW w:w="1377" w:type="dxa"/>
            <w:tcBorders>
              <w:bottom w:val="single" w:color="009EE0" w:sz="2" w:space="0"/>
            </w:tcBorders>
            <w:tcMar>
              <w:top w:w="22" w:type="dxa"/>
              <w:left w:w="28" w:type="dxa"/>
              <w:bottom w:w="22" w:type="dxa"/>
              <w:right w:w="28" w:type="dxa"/>
            </w:tcMar>
          </w:tcPr>
          <w:p w:rsidR="006B6965" w:rsidRDefault="003A166B" w14:paraId="3ACB5829" w14:textId="77777777">
            <w:pPr>
              <w:pStyle w:val="p-table"/>
              <w:jc w:val="right"/>
              <w:rPr>
                <w:sz w:val="17"/>
              </w:rPr>
            </w:pPr>
            <w:r>
              <w:rPr>
                <w:b/>
                <w:sz w:val="17"/>
              </w:rPr>
              <w:t>185.187</w:t>
            </w:r>
          </w:p>
        </w:tc>
      </w:tr>
      <w:tr w:rsidR="006B6965" w14:paraId="3E7FAA3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2C56E9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B30823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F00D01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D3B3D0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4A1CE9A" w14:textId="77777777">
            <w:pPr>
              <w:pStyle w:val="p-table"/>
              <w:rPr>
                <w:sz w:val="17"/>
              </w:rPr>
            </w:pPr>
          </w:p>
        </w:tc>
      </w:tr>
      <w:tr w:rsidR="006B6965" w14:paraId="0629824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42B293CB" w14:textId="77777777">
            <w:pPr>
              <w:pStyle w:val="p-table"/>
              <w:rPr>
                <w:sz w:val="17"/>
              </w:rPr>
            </w:pPr>
            <w:r>
              <w:rPr>
                <w:b/>
                <w:sz w:val="17"/>
              </w:rPr>
              <w:t>16.1</w:t>
            </w:r>
          </w:p>
        </w:tc>
        <w:tc>
          <w:tcPr>
            <w:tcW w:w="4590" w:type="dxa"/>
            <w:tcBorders>
              <w:bottom w:val="single" w:color="009EE0" w:sz="2" w:space="0"/>
            </w:tcBorders>
            <w:tcMar>
              <w:top w:w="22" w:type="dxa"/>
              <w:left w:w="28" w:type="dxa"/>
              <w:bottom w:w="22" w:type="dxa"/>
              <w:right w:w="28" w:type="dxa"/>
            </w:tcMar>
          </w:tcPr>
          <w:p w:rsidR="006B6965" w:rsidRDefault="003A166B" w14:paraId="57DC9DF9" w14:textId="77777777">
            <w:pPr>
              <w:pStyle w:val="p-table"/>
              <w:rPr>
                <w:sz w:val="17"/>
              </w:rPr>
            </w:pPr>
            <w:r>
              <w:rPr>
                <w:b/>
                <w:sz w:val="17"/>
              </w:rPr>
              <w:t>OV en Spoor</w:t>
            </w:r>
          </w:p>
        </w:tc>
        <w:tc>
          <w:tcPr>
            <w:tcW w:w="1377" w:type="dxa"/>
            <w:tcBorders>
              <w:bottom w:val="single" w:color="009EE0" w:sz="2" w:space="0"/>
            </w:tcBorders>
            <w:tcMar>
              <w:top w:w="22" w:type="dxa"/>
              <w:left w:w="28" w:type="dxa"/>
              <w:bottom w:w="22" w:type="dxa"/>
              <w:right w:w="28" w:type="dxa"/>
            </w:tcMar>
          </w:tcPr>
          <w:p w:rsidR="006B6965" w:rsidRDefault="003A166B" w14:paraId="45A54162" w14:textId="77777777">
            <w:pPr>
              <w:pStyle w:val="p-table"/>
              <w:jc w:val="right"/>
              <w:rPr>
                <w:sz w:val="17"/>
              </w:rPr>
            </w:pPr>
            <w:r>
              <w:rPr>
                <w:b/>
                <w:sz w:val="17"/>
              </w:rPr>
              <w:t>77.513</w:t>
            </w:r>
          </w:p>
        </w:tc>
        <w:tc>
          <w:tcPr>
            <w:tcW w:w="1377" w:type="dxa"/>
            <w:tcBorders>
              <w:bottom w:val="single" w:color="009EE0" w:sz="2" w:space="0"/>
            </w:tcBorders>
            <w:tcMar>
              <w:top w:w="22" w:type="dxa"/>
              <w:left w:w="28" w:type="dxa"/>
              <w:bottom w:w="22" w:type="dxa"/>
              <w:right w:w="28" w:type="dxa"/>
            </w:tcMar>
          </w:tcPr>
          <w:p w:rsidR="006B6965" w:rsidRDefault="003A166B" w14:paraId="6FCA23F7" w14:textId="77777777">
            <w:pPr>
              <w:pStyle w:val="p-table"/>
              <w:jc w:val="right"/>
              <w:rPr>
                <w:sz w:val="17"/>
              </w:rPr>
            </w:pPr>
            <w:r>
              <w:rPr>
                <w:b/>
                <w:sz w:val="17"/>
              </w:rPr>
              <w:t>88.912</w:t>
            </w:r>
          </w:p>
        </w:tc>
        <w:tc>
          <w:tcPr>
            <w:tcW w:w="1377" w:type="dxa"/>
            <w:tcBorders>
              <w:bottom w:val="single" w:color="009EE0" w:sz="2" w:space="0"/>
            </w:tcBorders>
            <w:tcMar>
              <w:top w:w="22" w:type="dxa"/>
              <w:left w:w="28" w:type="dxa"/>
              <w:bottom w:w="22" w:type="dxa"/>
              <w:right w:w="28" w:type="dxa"/>
            </w:tcMar>
          </w:tcPr>
          <w:p w:rsidR="006B6965" w:rsidRDefault="003A166B" w14:paraId="38D2B2FE" w14:textId="77777777">
            <w:pPr>
              <w:pStyle w:val="p-table"/>
              <w:jc w:val="right"/>
              <w:rPr>
                <w:sz w:val="17"/>
              </w:rPr>
            </w:pPr>
            <w:r>
              <w:rPr>
                <w:b/>
                <w:sz w:val="17"/>
              </w:rPr>
              <w:t>166.425</w:t>
            </w:r>
          </w:p>
        </w:tc>
      </w:tr>
      <w:tr w:rsidR="006B6965" w14:paraId="065C1D7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177CCF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BFFCEAA"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4FA837E9" w14:textId="77777777">
            <w:pPr>
              <w:pStyle w:val="p-table"/>
              <w:jc w:val="right"/>
              <w:rPr>
                <w:sz w:val="17"/>
              </w:rPr>
            </w:pPr>
            <w:r>
              <w:rPr>
                <w:i/>
                <w:sz w:val="17"/>
              </w:rPr>
              <w:t>3.543</w:t>
            </w:r>
          </w:p>
        </w:tc>
        <w:tc>
          <w:tcPr>
            <w:tcW w:w="1377" w:type="dxa"/>
            <w:tcBorders>
              <w:bottom w:val="single" w:color="009EE0" w:sz="2" w:space="0"/>
            </w:tcBorders>
            <w:tcMar>
              <w:top w:w="22" w:type="dxa"/>
              <w:left w:w="28" w:type="dxa"/>
              <w:bottom w:w="22" w:type="dxa"/>
              <w:right w:w="28" w:type="dxa"/>
            </w:tcMar>
          </w:tcPr>
          <w:p w:rsidR="006B6965" w:rsidRDefault="003A166B" w14:paraId="0375B718" w14:textId="77777777">
            <w:pPr>
              <w:pStyle w:val="p-table"/>
              <w:jc w:val="right"/>
              <w:rPr>
                <w:sz w:val="17"/>
              </w:rPr>
            </w:pPr>
            <w:r>
              <w:rPr>
                <w:i/>
                <w:sz w:val="17"/>
              </w:rPr>
              <w:t>2.718</w:t>
            </w:r>
          </w:p>
        </w:tc>
        <w:tc>
          <w:tcPr>
            <w:tcW w:w="1377" w:type="dxa"/>
            <w:tcBorders>
              <w:bottom w:val="single" w:color="009EE0" w:sz="2" w:space="0"/>
            </w:tcBorders>
            <w:tcMar>
              <w:top w:w="22" w:type="dxa"/>
              <w:left w:w="28" w:type="dxa"/>
              <w:bottom w:w="22" w:type="dxa"/>
              <w:right w:w="28" w:type="dxa"/>
            </w:tcMar>
          </w:tcPr>
          <w:p w:rsidR="006B6965" w:rsidRDefault="003A166B" w14:paraId="55FDD834" w14:textId="77777777">
            <w:pPr>
              <w:pStyle w:val="p-table"/>
              <w:jc w:val="right"/>
              <w:rPr>
                <w:sz w:val="17"/>
              </w:rPr>
            </w:pPr>
            <w:r>
              <w:rPr>
                <w:i/>
                <w:sz w:val="17"/>
              </w:rPr>
              <w:t>6.261</w:t>
            </w:r>
          </w:p>
        </w:tc>
      </w:tr>
      <w:tr w:rsidR="006B6965" w14:paraId="622327E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6E3C25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AA24D9B" w14:textId="77777777">
            <w:pPr>
              <w:pStyle w:val="p-table"/>
              <w:rPr>
                <w:sz w:val="17"/>
              </w:rPr>
            </w:pPr>
            <w:r>
              <w:rPr>
                <w:sz w:val="17"/>
              </w:rPr>
              <w:t>OV &amp; Stations</w:t>
            </w:r>
          </w:p>
        </w:tc>
        <w:tc>
          <w:tcPr>
            <w:tcW w:w="1377" w:type="dxa"/>
            <w:tcBorders>
              <w:bottom w:val="single" w:color="009EE0" w:sz="2" w:space="0"/>
            </w:tcBorders>
            <w:tcMar>
              <w:top w:w="22" w:type="dxa"/>
              <w:left w:w="28" w:type="dxa"/>
              <w:bottom w:w="22" w:type="dxa"/>
              <w:right w:w="28" w:type="dxa"/>
            </w:tcMar>
          </w:tcPr>
          <w:p w:rsidR="006B6965" w:rsidRDefault="003A166B" w14:paraId="7F880547" w14:textId="77777777">
            <w:pPr>
              <w:pStyle w:val="p-table"/>
              <w:jc w:val="right"/>
              <w:rPr>
                <w:sz w:val="17"/>
              </w:rPr>
            </w:pPr>
            <w:r>
              <w:rPr>
                <w:sz w:val="17"/>
              </w:rPr>
              <w:t>491</w:t>
            </w:r>
          </w:p>
        </w:tc>
        <w:tc>
          <w:tcPr>
            <w:tcW w:w="1377" w:type="dxa"/>
            <w:tcBorders>
              <w:bottom w:val="single" w:color="009EE0" w:sz="2" w:space="0"/>
            </w:tcBorders>
            <w:tcMar>
              <w:top w:w="22" w:type="dxa"/>
              <w:left w:w="28" w:type="dxa"/>
              <w:bottom w:w="22" w:type="dxa"/>
              <w:right w:w="28" w:type="dxa"/>
            </w:tcMar>
          </w:tcPr>
          <w:p w:rsidR="006B6965" w:rsidRDefault="003A166B" w14:paraId="203F6A0F" w14:textId="77777777">
            <w:pPr>
              <w:pStyle w:val="p-table"/>
              <w:jc w:val="right"/>
              <w:rPr>
                <w:sz w:val="17"/>
              </w:rPr>
            </w:pPr>
            <w:r>
              <w:rPr>
                <w:sz w:val="17"/>
              </w:rPr>
              <w:t>1.079</w:t>
            </w:r>
          </w:p>
        </w:tc>
        <w:tc>
          <w:tcPr>
            <w:tcW w:w="1377" w:type="dxa"/>
            <w:tcBorders>
              <w:bottom w:val="single" w:color="009EE0" w:sz="2" w:space="0"/>
            </w:tcBorders>
            <w:tcMar>
              <w:top w:w="22" w:type="dxa"/>
              <w:left w:w="28" w:type="dxa"/>
              <w:bottom w:w="22" w:type="dxa"/>
              <w:right w:w="28" w:type="dxa"/>
            </w:tcMar>
          </w:tcPr>
          <w:p w:rsidR="006B6965" w:rsidRDefault="003A166B" w14:paraId="3BD47F44" w14:textId="77777777">
            <w:pPr>
              <w:pStyle w:val="p-table"/>
              <w:jc w:val="right"/>
              <w:rPr>
                <w:sz w:val="17"/>
              </w:rPr>
            </w:pPr>
            <w:r>
              <w:rPr>
                <w:sz w:val="17"/>
              </w:rPr>
              <w:t>1.570</w:t>
            </w:r>
          </w:p>
        </w:tc>
      </w:tr>
      <w:tr w:rsidR="006B6965" w14:paraId="3AFEBFB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9BF68D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F26E836" w14:textId="77777777">
            <w:pPr>
              <w:pStyle w:val="p-table"/>
              <w:rPr>
                <w:sz w:val="17"/>
              </w:rPr>
            </w:pPr>
            <w:r>
              <w:rPr>
                <w:sz w:val="17"/>
              </w:rPr>
              <w:t>ACM</w:t>
            </w:r>
          </w:p>
        </w:tc>
        <w:tc>
          <w:tcPr>
            <w:tcW w:w="1377" w:type="dxa"/>
            <w:tcBorders>
              <w:bottom w:val="single" w:color="009EE0" w:sz="2" w:space="0"/>
            </w:tcBorders>
            <w:tcMar>
              <w:top w:w="22" w:type="dxa"/>
              <w:left w:w="28" w:type="dxa"/>
              <w:bottom w:w="22" w:type="dxa"/>
              <w:right w:w="28" w:type="dxa"/>
            </w:tcMar>
          </w:tcPr>
          <w:p w:rsidR="006B6965" w:rsidRDefault="003A166B" w14:paraId="52A73842" w14:textId="77777777">
            <w:pPr>
              <w:pStyle w:val="p-table"/>
              <w:jc w:val="right"/>
              <w:rPr>
                <w:sz w:val="17"/>
              </w:rPr>
            </w:pPr>
            <w:r>
              <w:rPr>
                <w:sz w:val="17"/>
              </w:rPr>
              <w:t>826</w:t>
            </w:r>
          </w:p>
        </w:tc>
        <w:tc>
          <w:tcPr>
            <w:tcW w:w="1377" w:type="dxa"/>
            <w:tcBorders>
              <w:bottom w:val="single" w:color="009EE0" w:sz="2" w:space="0"/>
            </w:tcBorders>
            <w:tcMar>
              <w:top w:w="22" w:type="dxa"/>
              <w:left w:w="28" w:type="dxa"/>
              <w:bottom w:w="22" w:type="dxa"/>
              <w:right w:w="28" w:type="dxa"/>
            </w:tcMar>
          </w:tcPr>
          <w:p w:rsidR="006B6965" w:rsidRDefault="003A166B" w14:paraId="7426113E" w14:textId="77777777">
            <w:pPr>
              <w:pStyle w:val="p-table"/>
              <w:jc w:val="right"/>
              <w:rPr>
                <w:sz w:val="17"/>
              </w:rPr>
            </w:pPr>
            <w:r>
              <w:rPr>
                <w:sz w:val="17"/>
              </w:rPr>
              <w:t>305</w:t>
            </w:r>
          </w:p>
        </w:tc>
        <w:tc>
          <w:tcPr>
            <w:tcW w:w="1377" w:type="dxa"/>
            <w:tcBorders>
              <w:bottom w:val="single" w:color="009EE0" w:sz="2" w:space="0"/>
            </w:tcBorders>
            <w:tcMar>
              <w:top w:w="22" w:type="dxa"/>
              <w:left w:w="28" w:type="dxa"/>
              <w:bottom w:w="22" w:type="dxa"/>
              <w:right w:w="28" w:type="dxa"/>
            </w:tcMar>
          </w:tcPr>
          <w:p w:rsidR="006B6965" w:rsidRDefault="003A166B" w14:paraId="73706C7C" w14:textId="77777777">
            <w:pPr>
              <w:pStyle w:val="p-table"/>
              <w:jc w:val="right"/>
              <w:rPr>
                <w:sz w:val="17"/>
              </w:rPr>
            </w:pPr>
            <w:r>
              <w:rPr>
                <w:sz w:val="17"/>
              </w:rPr>
              <w:t>1.131</w:t>
            </w:r>
          </w:p>
        </w:tc>
      </w:tr>
      <w:tr w:rsidR="006B6965" w14:paraId="766DD5F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0DB44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AC92D94"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72E66C4A" w14:textId="77777777">
            <w:pPr>
              <w:pStyle w:val="p-table"/>
              <w:jc w:val="right"/>
              <w:rPr>
                <w:sz w:val="17"/>
              </w:rPr>
            </w:pPr>
            <w:r>
              <w:rPr>
                <w:sz w:val="17"/>
              </w:rPr>
              <w:t>2.226</w:t>
            </w:r>
          </w:p>
        </w:tc>
        <w:tc>
          <w:tcPr>
            <w:tcW w:w="1377" w:type="dxa"/>
            <w:tcBorders>
              <w:bottom w:val="single" w:color="009EE0" w:sz="2" w:space="0"/>
            </w:tcBorders>
            <w:tcMar>
              <w:top w:w="22" w:type="dxa"/>
              <w:left w:w="28" w:type="dxa"/>
              <w:bottom w:w="22" w:type="dxa"/>
              <w:right w:w="28" w:type="dxa"/>
            </w:tcMar>
          </w:tcPr>
          <w:p w:rsidR="006B6965" w:rsidRDefault="003A166B" w14:paraId="0CD557CF" w14:textId="77777777">
            <w:pPr>
              <w:pStyle w:val="p-table"/>
              <w:jc w:val="right"/>
              <w:rPr>
                <w:sz w:val="17"/>
              </w:rPr>
            </w:pPr>
            <w:r>
              <w:rPr>
                <w:sz w:val="17"/>
              </w:rPr>
              <w:t>1.334</w:t>
            </w:r>
          </w:p>
        </w:tc>
        <w:tc>
          <w:tcPr>
            <w:tcW w:w="1377" w:type="dxa"/>
            <w:tcBorders>
              <w:bottom w:val="single" w:color="009EE0" w:sz="2" w:space="0"/>
            </w:tcBorders>
            <w:tcMar>
              <w:top w:w="22" w:type="dxa"/>
              <w:left w:w="28" w:type="dxa"/>
              <w:bottom w:w="22" w:type="dxa"/>
              <w:right w:w="28" w:type="dxa"/>
            </w:tcMar>
          </w:tcPr>
          <w:p w:rsidR="006B6965" w:rsidRDefault="003A166B" w14:paraId="6F965CAA" w14:textId="77777777">
            <w:pPr>
              <w:pStyle w:val="p-table"/>
              <w:jc w:val="right"/>
              <w:rPr>
                <w:sz w:val="17"/>
              </w:rPr>
            </w:pPr>
            <w:r>
              <w:rPr>
                <w:sz w:val="17"/>
              </w:rPr>
              <w:t>3.560</w:t>
            </w:r>
          </w:p>
        </w:tc>
      </w:tr>
      <w:tr w:rsidR="006B6965" w14:paraId="3AAA29C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EB79BB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4DE5E21"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31CDE1F2" w14:textId="77777777">
            <w:pPr>
              <w:pStyle w:val="p-table"/>
              <w:jc w:val="right"/>
              <w:rPr>
                <w:sz w:val="17"/>
              </w:rPr>
            </w:pPr>
            <w:r>
              <w:rPr>
                <w:i/>
                <w:sz w:val="17"/>
              </w:rPr>
              <w:t>69.805</w:t>
            </w:r>
          </w:p>
        </w:tc>
        <w:tc>
          <w:tcPr>
            <w:tcW w:w="1377" w:type="dxa"/>
            <w:tcBorders>
              <w:bottom w:val="single" w:color="009EE0" w:sz="2" w:space="0"/>
            </w:tcBorders>
            <w:tcMar>
              <w:top w:w="22" w:type="dxa"/>
              <w:left w:w="28" w:type="dxa"/>
              <w:bottom w:w="22" w:type="dxa"/>
              <w:right w:w="28" w:type="dxa"/>
            </w:tcMar>
          </w:tcPr>
          <w:p w:rsidR="006B6965" w:rsidRDefault="003A166B" w14:paraId="4261BF1B" w14:textId="77777777">
            <w:pPr>
              <w:pStyle w:val="p-table"/>
              <w:jc w:val="right"/>
              <w:rPr>
                <w:sz w:val="17"/>
              </w:rPr>
            </w:pPr>
            <w:r>
              <w:rPr>
                <w:i/>
                <w:sz w:val="17"/>
              </w:rPr>
              <w:t>64.612</w:t>
            </w:r>
          </w:p>
        </w:tc>
        <w:tc>
          <w:tcPr>
            <w:tcW w:w="1377" w:type="dxa"/>
            <w:tcBorders>
              <w:bottom w:val="single" w:color="009EE0" w:sz="2" w:space="0"/>
            </w:tcBorders>
            <w:tcMar>
              <w:top w:w="22" w:type="dxa"/>
              <w:left w:w="28" w:type="dxa"/>
              <w:bottom w:w="22" w:type="dxa"/>
              <w:right w:w="28" w:type="dxa"/>
            </w:tcMar>
          </w:tcPr>
          <w:p w:rsidR="006B6965" w:rsidRDefault="003A166B" w14:paraId="3AED3F82" w14:textId="77777777">
            <w:pPr>
              <w:pStyle w:val="p-table"/>
              <w:jc w:val="right"/>
              <w:rPr>
                <w:sz w:val="17"/>
              </w:rPr>
            </w:pPr>
            <w:r>
              <w:rPr>
                <w:i/>
                <w:sz w:val="17"/>
              </w:rPr>
              <w:t>134.417</w:t>
            </w:r>
          </w:p>
        </w:tc>
      </w:tr>
      <w:tr w:rsidR="006B6965" w14:paraId="7AA05E4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D10AE8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4051E1A" w14:textId="77777777">
            <w:pPr>
              <w:pStyle w:val="p-table"/>
              <w:rPr>
                <w:sz w:val="17"/>
              </w:rPr>
            </w:pPr>
            <w:r>
              <w:rPr>
                <w:sz w:val="17"/>
              </w:rPr>
              <w:t xml:space="preserve">NS Sociale </w:t>
            </w:r>
            <w:r>
              <w:rPr>
                <w:sz w:val="17"/>
              </w:rPr>
              <w:t>Veiligheid</w:t>
            </w:r>
          </w:p>
        </w:tc>
        <w:tc>
          <w:tcPr>
            <w:tcW w:w="1377" w:type="dxa"/>
            <w:tcBorders>
              <w:bottom w:val="single" w:color="009EE0" w:sz="2" w:space="0"/>
            </w:tcBorders>
            <w:tcMar>
              <w:top w:w="22" w:type="dxa"/>
              <w:left w:w="28" w:type="dxa"/>
              <w:bottom w:w="22" w:type="dxa"/>
              <w:right w:w="28" w:type="dxa"/>
            </w:tcMar>
          </w:tcPr>
          <w:p w:rsidR="006B6965" w:rsidRDefault="003A166B" w14:paraId="0360C535" w14:textId="77777777">
            <w:pPr>
              <w:pStyle w:val="p-table"/>
              <w:jc w:val="right"/>
              <w:rPr>
                <w:sz w:val="17"/>
              </w:rPr>
            </w:pPr>
            <w:r>
              <w:rPr>
                <w:sz w:val="17"/>
              </w:rPr>
              <w:t>2.300</w:t>
            </w:r>
          </w:p>
        </w:tc>
        <w:tc>
          <w:tcPr>
            <w:tcW w:w="1377" w:type="dxa"/>
            <w:tcBorders>
              <w:bottom w:val="single" w:color="009EE0" w:sz="2" w:space="0"/>
            </w:tcBorders>
            <w:tcMar>
              <w:top w:w="22" w:type="dxa"/>
              <w:left w:w="28" w:type="dxa"/>
              <w:bottom w:w="22" w:type="dxa"/>
              <w:right w:w="28" w:type="dxa"/>
            </w:tcMar>
          </w:tcPr>
          <w:p w:rsidR="006B6965" w:rsidRDefault="003A166B" w14:paraId="327A3C2D"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6634D7C" w14:textId="77777777">
            <w:pPr>
              <w:pStyle w:val="p-table"/>
              <w:jc w:val="right"/>
              <w:rPr>
                <w:sz w:val="17"/>
              </w:rPr>
            </w:pPr>
            <w:r>
              <w:rPr>
                <w:sz w:val="17"/>
              </w:rPr>
              <w:t>2.300</w:t>
            </w:r>
          </w:p>
        </w:tc>
      </w:tr>
      <w:tr w:rsidR="006B6965" w14:paraId="5D02889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54E51B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8A0C340" w14:textId="77777777">
            <w:pPr>
              <w:pStyle w:val="p-table"/>
              <w:rPr>
                <w:sz w:val="17"/>
              </w:rPr>
            </w:pPr>
            <w:r>
              <w:rPr>
                <w:sz w:val="17"/>
              </w:rPr>
              <w:t>NS-concessie</w:t>
            </w:r>
          </w:p>
        </w:tc>
        <w:tc>
          <w:tcPr>
            <w:tcW w:w="1377" w:type="dxa"/>
            <w:tcBorders>
              <w:bottom w:val="single" w:color="009EE0" w:sz="2" w:space="0"/>
            </w:tcBorders>
            <w:tcMar>
              <w:top w:w="22" w:type="dxa"/>
              <w:left w:w="28" w:type="dxa"/>
              <w:bottom w:w="22" w:type="dxa"/>
              <w:right w:w="28" w:type="dxa"/>
            </w:tcMar>
          </w:tcPr>
          <w:p w:rsidR="006B6965" w:rsidRDefault="003A166B" w14:paraId="2A6F40E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9197872" w14:textId="77777777">
            <w:pPr>
              <w:pStyle w:val="p-table"/>
              <w:jc w:val="right"/>
              <w:rPr>
                <w:sz w:val="17"/>
              </w:rPr>
            </w:pPr>
            <w:r>
              <w:rPr>
                <w:sz w:val="17"/>
              </w:rPr>
              <w:t>16.966</w:t>
            </w:r>
          </w:p>
        </w:tc>
        <w:tc>
          <w:tcPr>
            <w:tcW w:w="1377" w:type="dxa"/>
            <w:tcBorders>
              <w:bottom w:val="single" w:color="009EE0" w:sz="2" w:space="0"/>
            </w:tcBorders>
            <w:tcMar>
              <w:top w:w="22" w:type="dxa"/>
              <w:left w:w="28" w:type="dxa"/>
              <w:bottom w:w="22" w:type="dxa"/>
              <w:right w:w="28" w:type="dxa"/>
            </w:tcMar>
          </w:tcPr>
          <w:p w:rsidR="006B6965" w:rsidRDefault="003A166B" w14:paraId="312E6C6E" w14:textId="77777777">
            <w:pPr>
              <w:pStyle w:val="p-table"/>
              <w:jc w:val="right"/>
              <w:rPr>
                <w:sz w:val="17"/>
              </w:rPr>
            </w:pPr>
            <w:r>
              <w:rPr>
                <w:sz w:val="17"/>
              </w:rPr>
              <w:t>16.966</w:t>
            </w:r>
          </w:p>
        </w:tc>
      </w:tr>
      <w:tr w:rsidR="006B6965" w14:paraId="5012824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53EA70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F9B7F48"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5B6EB3AA" w14:textId="77777777">
            <w:pPr>
              <w:pStyle w:val="p-table"/>
              <w:jc w:val="right"/>
              <w:rPr>
                <w:sz w:val="17"/>
              </w:rPr>
            </w:pPr>
            <w:r>
              <w:rPr>
                <w:sz w:val="17"/>
              </w:rPr>
              <w:t>67.505</w:t>
            </w:r>
          </w:p>
        </w:tc>
        <w:tc>
          <w:tcPr>
            <w:tcW w:w="1377" w:type="dxa"/>
            <w:tcBorders>
              <w:bottom w:val="single" w:color="009EE0" w:sz="2" w:space="0"/>
            </w:tcBorders>
            <w:tcMar>
              <w:top w:w="22" w:type="dxa"/>
              <w:left w:w="28" w:type="dxa"/>
              <w:bottom w:w="22" w:type="dxa"/>
              <w:right w:w="28" w:type="dxa"/>
            </w:tcMar>
          </w:tcPr>
          <w:p w:rsidR="006B6965" w:rsidRDefault="003A166B" w14:paraId="40EF57AD" w14:textId="77777777">
            <w:pPr>
              <w:pStyle w:val="p-table"/>
              <w:jc w:val="right"/>
              <w:rPr>
                <w:sz w:val="17"/>
              </w:rPr>
            </w:pPr>
            <w:r>
              <w:rPr>
                <w:sz w:val="17"/>
              </w:rPr>
              <w:t>47.646</w:t>
            </w:r>
          </w:p>
        </w:tc>
        <w:tc>
          <w:tcPr>
            <w:tcW w:w="1377" w:type="dxa"/>
            <w:tcBorders>
              <w:bottom w:val="single" w:color="009EE0" w:sz="2" w:space="0"/>
            </w:tcBorders>
            <w:tcMar>
              <w:top w:w="22" w:type="dxa"/>
              <w:left w:w="28" w:type="dxa"/>
              <w:bottom w:w="22" w:type="dxa"/>
              <w:right w:w="28" w:type="dxa"/>
            </w:tcMar>
          </w:tcPr>
          <w:p w:rsidR="006B6965" w:rsidRDefault="003A166B" w14:paraId="3903564C" w14:textId="77777777">
            <w:pPr>
              <w:pStyle w:val="p-table"/>
              <w:jc w:val="right"/>
              <w:rPr>
                <w:sz w:val="17"/>
              </w:rPr>
            </w:pPr>
            <w:r>
              <w:rPr>
                <w:sz w:val="17"/>
              </w:rPr>
              <w:t>115.151</w:t>
            </w:r>
          </w:p>
        </w:tc>
      </w:tr>
      <w:tr w:rsidR="006B6965" w14:paraId="090DD48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11C50A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6500537"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26E4FF4D" w14:textId="77777777">
            <w:pPr>
              <w:pStyle w:val="p-table"/>
              <w:jc w:val="right"/>
              <w:rPr>
                <w:sz w:val="17"/>
              </w:rPr>
            </w:pPr>
            <w:r>
              <w:rPr>
                <w:i/>
                <w:sz w:val="17"/>
              </w:rPr>
              <w:t>1.059</w:t>
            </w:r>
          </w:p>
        </w:tc>
        <w:tc>
          <w:tcPr>
            <w:tcW w:w="1377" w:type="dxa"/>
            <w:tcBorders>
              <w:bottom w:val="single" w:color="009EE0" w:sz="2" w:space="0"/>
            </w:tcBorders>
            <w:tcMar>
              <w:top w:w="22" w:type="dxa"/>
              <w:left w:w="28" w:type="dxa"/>
              <w:bottom w:w="22" w:type="dxa"/>
              <w:right w:w="28" w:type="dxa"/>
            </w:tcMar>
          </w:tcPr>
          <w:p w:rsidR="006B6965" w:rsidRDefault="003A166B" w14:paraId="3A22EB2A" w14:textId="77777777">
            <w:pPr>
              <w:pStyle w:val="p-table"/>
              <w:jc w:val="right"/>
              <w:rPr>
                <w:sz w:val="17"/>
              </w:rPr>
            </w:pPr>
            <w:r>
              <w:rPr>
                <w:i/>
                <w:sz w:val="17"/>
              </w:rPr>
              <w:t>112</w:t>
            </w:r>
          </w:p>
        </w:tc>
        <w:tc>
          <w:tcPr>
            <w:tcW w:w="1377" w:type="dxa"/>
            <w:tcBorders>
              <w:bottom w:val="single" w:color="009EE0" w:sz="2" w:space="0"/>
            </w:tcBorders>
            <w:tcMar>
              <w:top w:w="22" w:type="dxa"/>
              <w:left w:w="28" w:type="dxa"/>
              <w:bottom w:w="22" w:type="dxa"/>
              <w:right w:w="28" w:type="dxa"/>
            </w:tcMar>
          </w:tcPr>
          <w:p w:rsidR="006B6965" w:rsidRDefault="003A166B" w14:paraId="68A47AF4" w14:textId="77777777">
            <w:pPr>
              <w:pStyle w:val="p-table"/>
              <w:jc w:val="right"/>
              <w:rPr>
                <w:sz w:val="17"/>
              </w:rPr>
            </w:pPr>
            <w:r>
              <w:rPr>
                <w:i/>
                <w:sz w:val="17"/>
              </w:rPr>
              <w:t>1.171</w:t>
            </w:r>
          </w:p>
        </w:tc>
      </w:tr>
      <w:tr w:rsidR="006B6965" w14:paraId="02D8B1F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29F42D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2D41F59" w14:textId="77777777">
            <w:pPr>
              <w:pStyle w:val="p-table"/>
              <w:rPr>
                <w:sz w:val="17"/>
              </w:rPr>
            </w:pPr>
            <w:r>
              <w:rPr>
                <w:sz w:val="17"/>
              </w:rPr>
              <w:t>Bijdrage aan agentschap RWS</w:t>
            </w:r>
          </w:p>
        </w:tc>
        <w:tc>
          <w:tcPr>
            <w:tcW w:w="1377" w:type="dxa"/>
            <w:tcBorders>
              <w:bottom w:val="single" w:color="009EE0" w:sz="2" w:space="0"/>
            </w:tcBorders>
            <w:tcMar>
              <w:top w:w="22" w:type="dxa"/>
              <w:left w:w="28" w:type="dxa"/>
              <w:bottom w:w="22" w:type="dxa"/>
              <w:right w:w="28" w:type="dxa"/>
            </w:tcMar>
          </w:tcPr>
          <w:p w:rsidR="006B6965" w:rsidRDefault="003A166B" w14:paraId="7EC3933D" w14:textId="77777777">
            <w:pPr>
              <w:pStyle w:val="p-table"/>
              <w:jc w:val="right"/>
              <w:rPr>
                <w:sz w:val="17"/>
              </w:rPr>
            </w:pPr>
            <w:r>
              <w:rPr>
                <w:sz w:val="17"/>
              </w:rPr>
              <w:t>768</w:t>
            </w:r>
          </w:p>
        </w:tc>
        <w:tc>
          <w:tcPr>
            <w:tcW w:w="1377" w:type="dxa"/>
            <w:tcBorders>
              <w:bottom w:val="single" w:color="009EE0" w:sz="2" w:space="0"/>
            </w:tcBorders>
            <w:tcMar>
              <w:top w:w="22" w:type="dxa"/>
              <w:left w:w="28" w:type="dxa"/>
              <w:bottom w:w="22" w:type="dxa"/>
              <w:right w:w="28" w:type="dxa"/>
            </w:tcMar>
          </w:tcPr>
          <w:p w:rsidR="006B6965" w:rsidRDefault="003A166B" w14:paraId="2FF4794E" w14:textId="77777777">
            <w:pPr>
              <w:pStyle w:val="p-table"/>
              <w:jc w:val="right"/>
              <w:rPr>
                <w:sz w:val="17"/>
              </w:rPr>
            </w:pPr>
            <w:r>
              <w:rPr>
                <w:sz w:val="17"/>
              </w:rPr>
              <w:t>112</w:t>
            </w:r>
          </w:p>
        </w:tc>
        <w:tc>
          <w:tcPr>
            <w:tcW w:w="1377" w:type="dxa"/>
            <w:tcBorders>
              <w:bottom w:val="single" w:color="009EE0" w:sz="2" w:space="0"/>
            </w:tcBorders>
            <w:tcMar>
              <w:top w:w="22" w:type="dxa"/>
              <w:left w:w="28" w:type="dxa"/>
              <w:bottom w:w="22" w:type="dxa"/>
              <w:right w:w="28" w:type="dxa"/>
            </w:tcMar>
          </w:tcPr>
          <w:p w:rsidR="006B6965" w:rsidRDefault="003A166B" w14:paraId="50DE7FC6" w14:textId="77777777">
            <w:pPr>
              <w:pStyle w:val="p-table"/>
              <w:jc w:val="right"/>
              <w:rPr>
                <w:sz w:val="17"/>
              </w:rPr>
            </w:pPr>
            <w:r>
              <w:rPr>
                <w:sz w:val="17"/>
              </w:rPr>
              <w:t>880</w:t>
            </w:r>
          </w:p>
        </w:tc>
      </w:tr>
      <w:tr w:rsidR="006B6965" w14:paraId="3DF114B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E30EF5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65A611A" w14:textId="77777777">
            <w:pPr>
              <w:pStyle w:val="p-table"/>
              <w:rPr>
                <w:sz w:val="17"/>
              </w:rPr>
            </w:pPr>
            <w:r>
              <w:rPr>
                <w:sz w:val="17"/>
              </w:rPr>
              <w:t>Bijdrage aan agentschap KNMI</w:t>
            </w:r>
          </w:p>
        </w:tc>
        <w:tc>
          <w:tcPr>
            <w:tcW w:w="1377" w:type="dxa"/>
            <w:tcBorders>
              <w:bottom w:val="single" w:color="009EE0" w:sz="2" w:space="0"/>
            </w:tcBorders>
            <w:tcMar>
              <w:top w:w="22" w:type="dxa"/>
              <w:left w:w="28" w:type="dxa"/>
              <w:bottom w:w="22" w:type="dxa"/>
              <w:right w:w="28" w:type="dxa"/>
            </w:tcMar>
          </w:tcPr>
          <w:p w:rsidR="006B6965" w:rsidRDefault="003A166B" w14:paraId="144C0F65" w14:textId="77777777">
            <w:pPr>
              <w:pStyle w:val="p-table"/>
              <w:jc w:val="right"/>
              <w:rPr>
                <w:sz w:val="17"/>
              </w:rPr>
            </w:pPr>
            <w:r>
              <w:rPr>
                <w:sz w:val="17"/>
              </w:rPr>
              <w:t>16</w:t>
            </w:r>
          </w:p>
        </w:tc>
        <w:tc>
          <w:tcPr>
            <w:tcW w:w="1377" w:type="dxa"/>
            <w:tcBorders>
              <w:bottom w:val="single" w:color="009EE0" w:sz="2" w:space="0"/>
            </w:tcBorders>
            <w:tcMar>
              <w:top w:w="22" w:type="dxa"/>
              <w:left w:w="28" w:type="dxa"/>
              <w:bottom w:w="22" w:type="dxa"/>
              <w:right w:w="28" w:type="dxa"/>
            </w:tcMar>
          </w:tcPr>
          <w:p w:rsidR="006B6965" w:rsidRDefault="003A166B" w14:paraId="44F74D3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E5A014F" w14:textId="77777777">
            <w:pPr>
              <w:pStyle w:val="p-table"/>
              <w:jc w:val="right"/>
              <w:rPr>
                <w:sz w:val="17"/>
              </w:rPr>
            </w:pPr>
            <w:r>
              <w:rPr>
                <w:sz w:val="17"/>
              </w:rPr>
              <w:t>16</w:t>
            </w:r>
          </w:p>
        </w:tc>
      </w:tr>
      <w:tr w:rsidR="006B6965" w14:paraId="3BD7898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4B52C6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574C5BB" w14:textId="77777777">
            <w:pPr>
              <w:pStyle w:val="p-table"/>
              <w:rPr>
                <w:sz w:val="17"/>
              </w:rPr>
            </w:pPr>
            <w:r>
              <w:rPr>
                <w:sz w:val="17"/>
              </w:rPr>
              <w:t xml:space="preserve">Bijdrage aan </w:t>
            </w:r>
            <w:r>
              <w:rPr>
                <w:sz w:val="17"/>
              </w:rPr>
              <w:t>agentschap RVO</w:t>
            </w:r>
          </w:p>
        </w:tc>
        <w:tc>
          <w:tcPr>
            <w:tcW w:w="1377" w:type="dxa"/>
            <w:tcBorders>
              <w:bottom w:val="single" w:color="009EE0" w:sz="2" w:space="0"/>
            </w:tcBorders>
            <w:tcMar>
              <w:top w:w="22" w:type="dxa"/>
              <w:left w:w="28" w:type="dxa"/>
              <w:bottom w:w="22" w:type="dxa"/>
              <w:right w:w="28" w:type="dxa"/>
            </w:tcMar>
          </w:tcPr>
          <w:p w:rsidR="006B6965" w:rsidRDefault="003A166B" w14:paraId="3BD262C3" w14:textId="77777777">
            <w:pPr>
              <w:pStyle w:val="p-table"/>
              <w:jc w:val="right"/>
              <w:rPr>
                <w:sz w:val="17"/>
              </w:rPr>
            </w:pPr>
            <w:r>
              <w:rPr>
                <w:sz w:val="17"/>
              </w:rPr>
              <w:t>275</w:t>
            </w:r>
          </w:p>
        </w:tc>
        <w:tc>
          <w:tcPr>
            <w:tcW w:w="1377" w:type="dxa"/>
            <w:tcBorders>
              <w:bottom w:val="single" w:color="009EE0" w:sz="2" w:space="0"/>
            </w:tcBorders>
            <w:tcMar>
              <w:top w:w="22" w:type="dxa"/>
              <w:left w:w="28" w:type="dxa"/>
              <w:bottom w:w="22" w:type="dxa"/>
              <w:right w:w="28" w:type="dxa"/>
            </w:tcMar>
          </w:tcPr>
          <w:p w:rsidR="006B6965" w:rsidRDefault="003A166B" w14:paraId="1123A5C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F9BECC8" w14:textId="77777777">
            <w:pPr>
              <w:pStyle w:val="p-table"/>
              <w:jc w:val="right"/>
              <w:rPr>
                <w:sz w:val="17"/>
              </w:rPr>
            </w:pPr>
            <w:r>
              <w:rPr>
                <w:sz w:val="17"/>
              </w:rPr>
              <w:t>275</w:t>
            </w:r>
          </w:p>
        </w:tc>
      </w:tr>
      <w:tr w:rsidR="006B6965" w14:paraId="284B786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6C4B85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3E0E4CE"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75B68EB2" w14:textId="77777777">
            <w:pPr>
              <w:pStyle w:val="p-table"/>
              <w:jc w:val="right"/>
              <w:rPr>
                <w:sz w:val="17"/>
              </w:rPr>
            </w:pPr>
            <w:r>
              <w:rPr>
                <w:i/>
                <w:sz w:val="17"/>
              </w:rPr>
              <w:t>3.004</w:t>
            </w:r>
          </w:p>
        </w:tc>
        <w:tc>
          <w:tcPr>
            <w:tcW w:w="1377" w:type="dxa"/>
            <w:tcBorders>
              <w:bottom w:val="single" w:color="009EE0" w:sz="2" w:space="0"/>
            </w:tcBorders>
            <w:tcMar>
              <w:top w:w="22" w:type="dxa"/>
              <w:left w:w="28" w:type="dxa"/>
              <w:bottom w:w="22" w:type="dxa"/>
              <w:right w:w="28" w:type="dxa"/>
            </w:tcMar>
          </w:tcPr>
          <w:p w:rsidR="006B6965" w:rsidRDefault="003A166B" w14:paraId="778D3706" w14:textId="77777777">
            <w:pPr>
              <w:pStyle w:val="p-table"/>
              <w:jc w:val="right"/>
              <w:rPr>
                <w:sz w:val="17"/>
              </w:rPr>
            </w:pPr>
            <w:r>
              <w:rPr>
                <w:i/>
                <w:sz w:val="17"/>
              </w:rPr>
              <w:t>21.470</w:t>
            </w:r>
          </w:p>
        </w:tc>
        <w:tc>
          <w:tcPr>
            <w:tcW w:w="1377" w:type="dxa"/>
            <w:tcBorders>
              <w:bottom w:val="single" w:color="009EE0" w:sz="2" w:space="0"/>
            </w:tcBorders>
            <w:tcMar>
              <w:top w:w="22" w:type="dxa"/>
              <w:left w:w="28" w:type="dxa"/>
              <w:bottom w:w="22" w:type="dxa"/>
              <w:right w:w="28" w:type="dxa"/>
            </w:tcMar>
          </w:tcPr>
          <w:p w:rsidR="006B6965" w:rsidRDefault="003A166B" w14:paraId="7F84E4D3" w14:textId="77777777">
            <w:pPr>
              <w:pStyle w:val="p-table"/>
              <w:jc w:val="right"/>
              <w:rPr>
                <w:sz w:val="17"/>
              </w:rPr>
            </w:pPr>
            <w:r>
              <w:rPr>
                <w:i/>
                <w:sz w:val="17"/>
              </w:rPr>
              <w:t>24.474</w:t>
            </w:r>
          </w:p>
        </w:tc>
      </w:tr>
      <w:tr w:rsidR="006B6965" w14:paraId="74AFFDF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256C3B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59FE59B" w14:textId="77777777">
            <w:pPr>
              <w:pStyle w:val="p-table"/>
              <w:rPr>
                <w:sz w:val="17"/>
              </w:rPr>
            </w:pPr>
            <w:r>
              <w:rPr>
                <w:sz w:val="17"/>
              </w:rPr>
              <w:t>CLU Betuweroute en HSL</w:t>
            </w:r>
          </w:p>
        </w:tc>
        <w:tc>
          <w:tcPr>
            <w:tcW w:w="1377" w:type="dxa"/>
            <w:tcBorders>
              <w:bottom w:val="single" w:color="009EE0" w:sz="2" w:space="0"/>
            </w:tcBorders>
            <w:tcMar>
              <w:top w:w="22" w:type="dxa"/>
              <w:left w:w="28" w:type="dxa"/>
              <w:bottom w:w="22" w:type="dxa"/>
              <w:right w:w="28" w:type="dxa"/>
            </w:tcMar>
          </w:tcPr>
          <w:p w:rsidR="006B6965" w:rsidRDefault="003A166B" w14:paraId="62382AC5" w14:textId="77777777">
            <w:pPr>
              <w:pStyle w:val="p-table"/>
              <w:jc w:val="right"/>
              <w:rPr>
                <w:sz w:val="17"/>
              </w:rPr>
            </w:pPr>
            <w:r>
              <w:rPr>
                <w:sz w:val="17"/>
              </w:rPr>
              <w:t>2.439</w:t>
            </w:r>
          </w:p>
        </w:tc>
        <w:tc>
          <w:tcPr>
            <w:tcW w:w="1377" w:type="dxa"/>
            <w:tcBorders>
              <w:bottom w:val="single" w:color="009EE0" w:sz="2" w:space="0"/>
            </w:tcBorders>
            <w:tcMar>
              <w:top w:w="22" w:type="dxa"/>
              <w:left w:w="28" w:type="dxa"/>
              <w:bottom w:w="22" w:type="dxa"/>
              <w:right w:w="28" w:type="dxa"/>
            </w:tcMar>
          </w:tcPr>
          <w:p w:rsidR="006B6965" w:rsidRDefault="003A166B" w14:paraId="1FCDC200" w14:textId="77777777">
            <w:pPr>
              <w:pStyle w:val="p-table"/>
              <w:jc w:val="right"/>
              <w:rPr>
                <w:sz w:val="17"/>
              </w:rPr>
            </w:pPr>
            <w:r>
              <w:rPr>
                <w:sz w:val="17"/>
              </w:rPr>
              <w:t>570</w:t>
            </w:r>
          </w:p>
        </w:tc>
        <w:tc>
          <w:tcPr>
            <w:tcW w:w="1377" w:type="dxa"/>
            <w:tcBorders>
              <w:bottom w:val="single" w:color="009EE0" w:sz="2" w:space="0"/>
            </w:tcBorders>
            <w:tcMar>
              <w:top w:w="22" w:type="dxa"/>
              <w:left w:w="28" w:type="dxa"/>
              <w:bottom w:w="22" w:type="dxa"/>
              <w:right w:w="28" w:type="dxa"/>
            </w:tcMar>
          </w:tcPr>
          <w:p w:rsidR="006B6965" w:rsidRDefault="003A166B" w14:paraId="33984C33" w14:textId="77777777">
            <w:pPr>
              <w:pStyle w:val="p-table"/>
              <w:jc w:val="right"/>
              <w:rPr>
                <w:sz w:val="17"/>
              </w:rPr>
            </w:pPr>
            <w:r>
              <w:rPr>
                <w:sz w:val="17"/>
              </w:rPr>
              <w:t>3.009</w:t>
            </w:r>
          </w:p>
        </w:tc>
      </w:tr>
      <w:tr w:rsidR="006B6965" w14:paraId="1033382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EAEEAD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773E231"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73B95275" w14:textId="77777777">
            <w:pPr>
              <w:pStyle w:val="p-table"/>
              <w:jc w:val="right"/>
              <w:rPr>
                <w:sz w:val="17"/>
              </w:rPr>
            </w:pPr>
            <w:r>
              <w:rPr>
                <w:sz w:val="17"/>
              </w:rPr>
              <w:t>565</w:t>
            </w:r>
          </w:p>
        </w:tc>
        <w:tc>
          <w:tcPr>
            <w:tcW w:w="1377" w:type="dxa"/>
            <w:tcBorders>
              <w:bottom w:val="single" w:color="009EE0" w:sz="2" w:space="0"/>
            </w:tcBorders>
            <w:tcMar>
              <w:top w:w="22" w:type="dxa"/>
              <w:left w:w="28" w:type="dxa"/>
              <w:bottom w:w="22" w:type="dxa"/>
              <w:right w:w="28" w:type="dxa"/>
            </w:tcMar>
          </w:tcPr>
          <w:p w:rsidR="006B6965" w:rsidRDefault="003A166B" w14:paraId="279D387C" w14:textId="77777777">
            <w:pPr>
              <w:pStyle w:val="p-table"/>
              <w:jc w:val="right"/>
              <w:rPr>
                <w:sz w:val="17"/>
              </w:rPr>
            </w:pPr>
            <w:r>
              <w:rPr>
                <w:sz w:val="17"/>
              </w:rPr>
              <w:t>20.900</w:t>
            </w:r>
          </w:p>
        </w:tc>
        <w:tc>
          <w:tcPr>
            <w:tcW w:w="1377" w:type="dxa"/>
            <w:tcBorders>
              <w:bottom w:val="single" w:color="009EE0" w:sz="2" w:space="0"/>
            </w:tcBorders>
            <w:tcMar>
              <w:top w:w="22" w:type="dxa"/>
              <w:left w:w="28" w:type="dxa"/>
              <w:bottom w:w="22" w:type="dxa"/>
              <w:right w:w="28" w:type="dxa"/>
            </w:tcMar>
          </w:tcPr>
          <w:p w:rsidR="006B6965" w:rsidRDefault="003A166B" w14:paraId="558CA8C4" w14:textId="77777777">
            <w:pPr>
              <w:pStyle w:val="p-table"/>
              <w:jc w:val="right"/>
              <w:rPr>
                <w:sz w:val="17"/>
              </w:rPr>
            </w:pPr>
            <w:r>
              <w:rPr>
                <w:sz w:val="17"/>
              </w:rPr>
              <w:t>21.465</w:t>
            </w:r>
          </w:p>
        </w:tc>
      </w:tr>
      <w:tr w:rsidR="006B6965" w14:paraId="3DBEFFF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7FD040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0918485"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4995D0AF" w14:textId="77777777">
            <w:pPr>
              <w:pStyle w:val="p-table"/>
              <w:jc w:val="right"/>
              <w:rPr>
                <w:sz w:val="17"/>
              </w:rPr>
            </w:pPr>
            <w:r>
              <w:rPr>
                <w:i/>
                <w:sz w:val="17"/>
              </w:rPr>
              <w:t>102</w:t>
            </w:r>
          </w:p>
        </w:tc>
        <w:tc>
          <w:tcPr>
            <w:tcW w:w="1377" w:type="dxa"/>
            <w:tcBorders>
              <w:bottom w:val="single" w:color="009EE0" w:sz="2" w:space="0"/>
            </w:tcBorders>
            <w:tcMar>
              <w:top w:w="22" w:type="dxa"/>
              <w:left w:w="28" w:type="dxa"/>
              <w:bottom w:w="22" w:type="dxa"/>
              <w:right w:w="28" w:type="dxa"/>
            </w:tcMar>
          </w:tcPr>
          <w:p w:rsidR="006B6965" w:rsidRDefault="003A166B" w14:paraId="1373B8C5"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9842652" w14:textId="77777777">
            <w:pPr>
              <w:pStyle w:val="p-table"/>
              <w:jc w:val="right"/>
              <w:rPr>
                <w:sz w:val="17"/>
              </w:rPr>
            </w:pPr>
            <w:r>
              <w:rPr>
                <w:i/>
                <w:sz w:val="17"/>
              </w:rPr>
              <w:t>102</w:t>
            </w:r>
          </w:p>
        </w:tc>
      </w:tr>
      <w:tr w:rsidR="006B6965" w14:paraId="6F32388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36D867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BCC2266"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61509279" w14:textId="77777777">
            <w:pPr>
              <w:pStyle w:val="p-table"/>
              <w:jc w:val="right"/>
              <w:rPr>
                <w:sz w:val="17"/>
              </w:rPr>
            </w:pPr>
            <w:r>
              <w:rPr>
                <w:sz w:val="17"/>
              </w:rPr>
              <w:t>102</w:t>
            </w:r>
          </w:p>
        </w:tc>
        <w:tc>
          <w:tcPr>
            <w:tcW w:w="1377" w:type="dxa"/>
            <w:tcBorders>
              <w:bottom w:val="single" w:color="009EE0" w:sz="2" w:space="0"/>
            </w:tcBorders>
            <w:tcMar>
              <w:top w:w="22" w:type="dxa"/>
              <w:left w:w="28" w:type="dxa"/>
              <w:bottom w:w="22" w:type="dxa"/>
              <w:right w:w="28" w:type="dxa"/>
            </w:tcMar>
          </w:tcPr>
          <w:p w:rsidR="006B6965" w:rsidRDefault="003A166B" w14:paraId="6B1009B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150AE0E" w14:textId="77777777">
            <w:pPr>
              <w:pStyle w:val="p-table"/>
              <w:jc w:val="right"/>
              <w:rPr>
                <w:sz w:val="17"/>
              </w:rPr>
            </w:pPr>
            <w:r>
              <w:rPr>
                <w:sz w:val="17"/>
              </w:rPr>
              <w:t>102</w:t>
            </w:r>
          </w:p>
        </w:tc>
      </w:tr>
      <w:tr w:rsidR="006B6965" w14:paraId="67CB205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74AEC2DE" w14:textId="77777777">
            <w:pPr>
              <w:pStyle w:val="p-table"/>
              <w:rPr>
                <w:sz w:val="17"/>
              </w:rPr>
            </w:pPr>
            <w:r>
              <w:rPr>
                <w:b/>
                <w:sz w:val="17"/>
              </w:rPr>
              <w:t>16.2</w:t>
            </w:r>
          </w:p>
        </w:tc>
        <w:tc>
          <w:tcPr>
            <w:tcW w:w="4590" w:type="dxa"/>
            <w:tcBorders>
              <w:bottom w:val="single" w:color="009EE0" w:sz="2" w:space="0"/>
            </w:tcBorders>
            <w:tcMar>
              <w:top w:w="22" w:type="dxa"/>
              <w:left w:w="28" w:type="dxa"/>
              <w:bottom w:w="22" w:type="dxa"/>
              <w:right w:w="28" w:type="dxa"/>
            </w:tcMar>
          </w:tcPr>
          <w:p w:rsidR="006B6965" w:rsidRDefault="003A166B" w14:paraId="6F76B15C" w14:textId="77777777">
            <w:pPr>
              <w:pStyle w:val="p-table"/>
              <w:rPr>
                <w:sz w:val="17"/>
              </w:rPr>
            </w:pPr>
            <w:r>
              <w:rPr>
                <w:b/>
                <w:sz w:val="17"/>
              </w:rPr>
              <w:t>Maatregelenpakket OVS</w:t>
            </w:r>
          </w:p>
        </w:tc>
        <w:tc>
          <w:tcPr>
            <w:tcW w:w="1377" w:type="dxa"/>
            <w:tcBorders>
              <w:bottom w:val="single" w:color="009EE0" w:sz="2" w:space="0"/>
            </w:tcBorders>
            <w:tcMar>
              <w:top w:w="22" w:type="dxa"/>
              <w:left w:w="28" w:type="dxa"/>
              <w:bottom w:w="22" w:type="dxa"/>
              <w:right w:w="28" w:type="dxa"/>
            </w:tcMar>
          </w:tcPr>
          <w:p w:rsidR="006B6965" w:rsidRDefault="003A166B" w14:paraId="377F1A39" w14:textId="77777777">
            <w:pPr>
              <w:pStyle w:val="p-table"/>
              <w:jc w:val="right"/>
              <w:rPr>
                <w:sz w:val="17"/>
              </w:rPr>
            </w:pPr>
            <w:r>
              <w:rPr>
                <w:b/>
                <w:sz w:val="17"/>
              </w:rPr>
              <w:t>18.762</w:t>
            </w:r>
          </w:p>
        </w:tc>
        <w:tc>
          <w:tcPr>
            <w:tcW w:w="1377" w:type="dxa"/>
            <w:tcBorders>
              <w:bottom w:val="single" w:color="009EE0" w:sz="2" w:space="0"/>
            </w:tcBorders>
            <w:tcMar>
              <w:top w:w="22" w:type="dxa"/>
              <w:left w:w="28" w:type="dxa"/>
              <w:bottom w:w="22" w:type="dxa"/>
              <w:right w:w="28" w:type="dxa"/>
            </w:tcMar>
          </w:tcPr>
          <w:p w:rsidR="006B6965" w:rsidRDefault="003A166B" w14:paraId="221DC3AB"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AE82B1E" w14:textId="77777777">
            <w:pPr>
              <w:pStyle w:val="p-table"/>
              <w:jc w:val="right"/>
              <w:rPr>
                <w:sz w:val="17"/>
              </w:rPr>
            </w:pPr>
            <w:r>
              <w:rPr>
                <w:b/>
                <w:sz w:val="17"/>
              </w:rPr>
              <w:t>18.762</w:t>
            </w:r>
          </w:p>
        </w:tc>
      </w:tr>
      <w:tr w:rsidR="006B6965" w14:paraId="6774E05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6A4D94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D31A9E1"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654EF214" w14:textId="77777777">
            <w:pPr>
              <w:pStyle w:val="p-table"/>
              <w:jc w:val="right"/>
              <w:rPr>
                <w:sz w:val="17"/>
              </w:rPr>
            </w:pPr>
            <w:r>
              <w:rPr>
                <w:i/>
                <w:sz w:val="17"/>
              </w:rPr>
              <w:t>18.762</w:t>
            </w:r>
          </w:p>
        </w:tc>
        <w:tc>
          <w:tcPr>
            <w:tcW w:w="1377" w:type="dxa"/>
            <w:tcBorders>
              <w:bottom w:val="single" w:color="009EE0" w:sz="2" w:space="0"/>
            </w:tcBorders>
            <w:tcMar>
              <w:top w:w="22" w:type="dxa"/>
              <w:left w:w="28" w:type="dxa"/>
              <w:bottom w:w="22" w:type="dxa"/>
              <w:right w:w="28" w:type="dxa"/>
            </w:tcMar>
          </w:tcPr>
          <w:p w:rsidR="006B6965" w:rsidRDefault="003A166B" w14:paraId="20A9E533"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0CA99A3" w14:textId="77777777">
            <w:pPr>
              <w:pStyle w:val="p-table"/>
              <w:jc w:val="right"/>
              <w:rPr>
                <w:sz w:val="17"/>
              </w:rPr>
            </w:pPr>
            <w:r>
              <w:rPr>
                <w:i/>
                <w:sz w:val="17"/>
              </w:rPr>
              <w:t>18.762</w:t>
            </w:r>
          </w:p>
        </w:tc>
      </w:tr>
      <w:tr w:rsidR="006B6965" w14:paraId="1BECAE7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9CEAF6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92B3DA2" w14:textId="77777777">
            <w:pPr>
              <w:pStyle w:val="p-table"/>
              <w:rPr>
                <w:sz w:val="17"/>
              </w:rPr>
            </w:pPr>
            <w:r>
              <w:rPr>
                <w:sz w:val="17"/>
              </w:rPr>
              <w:t>Beschikbaarheidsvergoeding OV-sector</w:t>
            </w:r>
          </w:p>
        </w:tc>
        <w:tc>
          <w:tcPr>
            <w:tcW w:w="1377" w:type="dxa"/>
            <w:tcBorders>
              <w:bottom w:val="single" w:color="009EE0" w:sz="2" w:space="0"/>
            </w:tcBorders>
            <w:tcMar>
              <w:top w:w="22" w:type="dxa"/>
              <w:left w:w="28" w:type="dxa"/>
              <w:bottom w:w="22" w:type="dxa"/>
              <w:right w:w="28" w:type="dxa"/>
            </w:tcMar>
          </w:tcPr>
          <w:p w:rsidR="006B6965" w:rsidRDefault="003A166B" w14:paraId="6AE8536E" w14:textId="77777777">
            <w:pPr>
              <w:pStyle w:val="p-table"/>
              <w:jc w:val="right"/>
              <w:rPr>
                <w:sz w:val="17"/>
              </w:rPr>
            </w:pPr>
            <w:r>
              <w:rPr>
                <w:sz w:val="17"/>
              </w:rPr>
              <w:t>3.204</w:t>
            </w:r>
          </w:p>
        </w:tc>
        <w:tc>
          <w:tcPr>
            <w:tcW w:w="1377" w:type="dxa"/>
            <w:tcBorders>
              <w:bottom w:val="single" w:color="009EE0" w:sz="2" w:space="0"/>
            </w:tcBorders>
            <w:tcMar>
              <w:top w:w="22" w:type="dxa"/>
              <w:left w:w="28" w:type="dxa"/>
              <w:bottom w:w="22" w:type="dxa"/>
              <w:right w:w="28" w:type="dxa"/>
            </w:tcMar>
          </w:tcPr>
          <w:p w:rsidR="006B6965" w:rsidRDefault="003A166B" w14:paraId="6DD58C2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46EDBA2" w14:textId="77777777">
            <w:pPr>
              <w:pStyle w:val="p-table"/>
              <w:jc w:val="right"/>
              <w:rPr>
                <w:sz w:val="17"/>
              </w:rPr>
            </w:pPr>
            <w:r>
              <w:rPr>
                <w:sz w:val="17"/>
              </w:rPr>
              <w:t>3.204</w:t>
            </w:r>
          </w:p>
        </w:tc>
      </w:tr>
      <w:tr w:rsidR="006B6965" w14:paraId="5658FE0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1EEED0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6088D99" w14:textId="77777777">
            <w:pPr>
              <w:pStyle w:val="p-table"/>
              <w:rPr>
                <w:sz w:val="17"/>
              </w:rPr>
            </w:pPr>
            <w:r>
              <w:rPr>
                <w:sz w:val="17"/>
              </w:rPr>
              <w:t>Transitievangnet OV</w:t>
            </w:r>
          </w:p>
        </w:tc>
        <w:tc>
          <w:tcPr>
            <w:tcW w:w="1377" w:type="dxa"/>
            <w:tcBorders>
              <w:bottom w:val="single" w:color="009EE0" w:sz="2" w:space="0"/>
            </w:tcBorders>
            <w:tcMar>
              <w:top w:w="22" w:type="dxa"/>
              <w:left w:w="28" w:type="dxa"/>
              <w:bottom w:w="22" w:type="dxa"/>
              <w:right w:w="28" w:type="dxa"/>
            </w:tcMar>
          </w:tcPr>
          <w:p w:rsidR="006B6965" w:rsidRDefault="003A166B" w14:paraId="312CEED0" w14:textId="77777777">
            <w:pPr>
              <w:pStyle w:val="p-table"/>
              <w:jc w:val="right"/>
              <w:rPr>
                <w:sz w:val="17"/>
              </w:rPr>
            </w:pPr>
            <w:r>
              <w:rPr>
                <w:sz w:val="17"/>
              </w:rPr>
              <w:t>15.558</w:t>
            </w:r>
          </w:p>
        </w:tc>
        <w:tc>
          <w:tcPr>
            <w:tcW w:w="1377" w:type="dxa"/>
            <w:tcBorders>
              <w:bottom w:val="single" w:color="009EE0" w:sz="2" w:space="0"/>
            </w:tcBorders>
            <w:tcMar>
              <w:top w:w="22" w:type="dxa"/>
              <w:left w:w="28" w:type="dxa"/>
              <w:bottom w:w="22" w:type="dxa"/>
              <w:right w:w="28" w:type="dxa"/>
            </w:tcMar>
          </w:tcPr>
          <w:p w:rsidR="006B6965" w:rsidRDefault="003A166B" w14:paraId="23D27F4D"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D6A695D" w14:textId="77777777">
            <w:pPr>
              <w:pStyle w:val="p-table"/>
              <w:jc w:val="right"/>
              <w:rPr>
                <w:sz w:val="17"/>
              </w:rPr>
            </w:pPr>
            <w:r>
              <w:rPr>
                <w:sz w:val="17"/>
              </w:rPr>
              <w:t>15.558</w:t>
            </w:r>
          </w:p>
        </w:tc>
      </w:tr>
      <w:tr w:rsidR="006B6965" w14:paraId="6036F5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F17672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2FDD3DF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59F6E7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05ECD5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FF835DC" w14:textId="77777777">
            <w:pPr>
              <w:pStyle w:val="p-table"/>
              <w:rPr>
                <w:sz w:val="17"/>
              </w:rPr>
            </w:pPr>
          </w:p>
        </w:tc>
      </w:tr>
      <w:tr w:rsidR="006B6965" w14:paraId="684E115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77C46B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5B0C167"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58F862BC" w14:textId="77777777">
            <w:pPr>
              <w:pStyle w:val="p-table"/>
              <w:jc w:val="right"/>
              <w:rPr>
                <w:sz w:val="17"/>
              </w:rPr>
            </w:pPr>
            <w:r>
              <w:rPr>
                <w:b/>
                <w:sz w:val="17"/>
              </w:rPr>
              <w:t>65.370</w:t>
            </w:r>
          </w:p>
        </w:tc>
        <w:tc>
          <w:tcPr>
            <w:tcW w:w="1377" w:type="dxa"/>
            <w:tcBorders>
              <w:bottom w:val="single" w:color="009EE0" w:sz="2" w:space="0"/>
            </w:tcBorders>
            <w:tcMar>
              <w:top w:w="22" w:type="dxa"/>
              <w:left w:w="28" w:type="dxa"/>
              <w:bottom w:w="22" w:type="dxa"/>
              <w:right w:w="28" w:type="dxa"/>
            </w:tcMar>
          </w:tcPr>
          <w:p w:rsidR="006B6965" w:rsidRDefault="003A166B" w14:paraId="4BF0A9BA" w14:textId="77777777">
            <w:pPr>
              <w:pStyle w:val="p-table"/>
              <w:jc w:val="right"/>
              <w:rPr>
                <w:sz w:val="17"/>
              </w:rPr>
            </w:pPr>
            <w:r>
              <w:rPr>
                <w:b/>
                <w:sz w:val="17"/>
              </w:rPr>
              <w:t>50.112</w:t>
            </w:r>
          </w:p>
        </w:tc>
        <w:tc>
          <w:tcPr>
            <w:tcW w:w="1377" w:type="dxa"/>
            <w:tcBorders>
              <w:bottom w:val="single" w:color="009EE0" w:sz="2" w:space="0"/>
            </w:tcBorders>
            <w:tcMar>
              <w:top w:w="22" w:type="dxa"/>
              <w:left w:w="28" w:type="dxa"/>
              <w:bottom w:w="22" w:type="dxa"/>
              <w:right w:w="28" w:type="dxa"/>
            </w:tcMar>
          </w:tcPr>
          <w:p w:rsidR="006B6965" w:rsidRDefault="003A166B" w14:paraId="6AAC1FD5" w14:textId="77777777">
            <w:pPr>
              <w:pStyle w:val="p-table"/>
              <w:jc w:val="right"/>
              <w:rPr>
                <w:sz w:val="17"/>
              </w:rPr>
            </w:pPr>
            <w:r>
              <w:rPr>
                <w:b/>
                <w:sz w:val="17"/>
              </w:rPr>
              <w:t>115.482</w:t>
            </w:r>
          </w:p>
        </w:tc>
      </w:tr>
      <w:tr w:rsidR="006B6965" w14:paraId="4F1AE88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5FCCE3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1E80CF8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EA55D6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8FE2F6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A6E9370" w14:textId="77777777">
            <w:pPr>
              <w:pStyle w:val="p-table"/>
              <w:rPr>
                <w:sz w:val="17"/>
              </w:rPr>
            </w:pPr>
          </w:p>
        </w:tc>
      </w:tr>
    </w:tbl>
    <w:p w:rsidR="006B6965" w:rsidRDefault="006B6965" w14:paraId="56588A9E" w14:textId="77777777">
      <w:pPr>
        <w:pStyle w:val="p-marginbottom"/>
      </w:pPr>
    </w:p>
    <w:p w:rsidR="006B6965" w:rsidRDefault="003A166B" w14:paraId="1DCAB2FB" w14:textId="77777777">
      <w:pPr>
        <w:pStyle w:val="section-title-4"/>
      </w:pPr>
      <w:r>
        <w:t>Toelichting</w:t>
      </w:r>
    </w:p>
    <w:p w:rsidR="006B6965" w:rsidRDefault="003A166B" w14:paraId="04410A06" w14:textId="77777777">
      <w:pPr>
        <w:pStyle w:val="header-h1"/>
      </w:pPr>
      <w:r>
        <w:t>Verplichtingen</w:t>
      </w:r>
    </w:p>
    <w:p w:rsidR="006B6965" w:rsidRDefault="003A166B" w14:paraId="4E2A3C8E" w14:textId="77777777">
      <w:pPr>
        <w:pStyle w:val="p"/>
      </w:pPr>
      <w:r>
        <w:t xml:space="preserve">Het verplichtingenbudget op artikel 16 is in 2025 met € 101,5 miljoen verhoogd. Dit wordt onder andere verklaard door een verplichtingenschuif </w:t>
      </w:r>
      <w:r>
        <w:lastRenderedPageBreak/>
        <w:t>met betrekking tot de maatregelen uit het regeerakkoord (€ 12 miljoen) en een verplichtingenschuif om de opdracht van nut en noodzaak Gnoe vast te leggen (€ 0,6 miljoen). Het resterende bedrag wordt verklaard door de hieronder toegelichte uitgavenmutaties.</w:t>
      </w:r>
    </w:p>
    <w:p w:rsidR="006B6965" w:rsidRDefault="003A166B" w14:paraId="4561EC27" w14:textId="77777777">
      <w:pPr>
        <w:pStyle w:val="header-h1"/>
      </w:pPr>
      <w:r>
        <w:t>Uitgaven</w:t>
      </w:r>
    </w:p>
    <w:p w:rsidR="006B6965" w:rsidRDefault="003A166B" w14:paraId="58AD6278" w14:textId="77777777">
      <w:pPr>
        <w:pStyle w:val="header-h1"/>
      </w:pPr>
      <w:r>
        <w:t>Artikel 16.01 OV en Spoor</w:t>
      </w:r>
    </w:p>
    <w:p w:rsidR="006B6965" w:rsidRDefault="003A166B" w14:paraId="0EA76851" w14:textId="77777777">
      <w:pPr>
        <w:pStyle w:val="header-h2"/>
      </w:pPr>
      <w:r>
        <w:t>Opdrachten</w:t>
      </w:r>
    </w:p>
    <w:p w:rsidR="006B6965" w:rsidRDefault="003A166B" w14:paraId="4759B348" w14:textId="77777777">
      <w:pPr>
        <w:pStyle w:val="p"/>
      </w:pPr>
      <w:r>
        <w:t xml:space="preserve">De verhoging van het </w:t>
      </w:r>
      <w:r>
        <w:t>opdrachtenbudget met € 2,7 miljoen wordt met name veroorzaakt door:</w:t>
      </w:r>
    </w:p>
    <w:p w:rsidR="006B6965" w:rsidRDefault="003A166B" w14:paraId="573FB269" w14:textId="77777777">
      <w:r>
        <w:rPr>
          <w:rStyle w:val="span-u"/>
        </w:rPr>
        <w:t>Algemene opdrachten mutaties:</w:t>
      </w:r>
    </w:p>
    <w:p w:rsidR="006B6965" w:rsidRDefault="003A166B" w14:paraId="41AC5D81" w14:textId="77777777">
      <w:pPr>
        <w:pStyle w:val="ol-p-l1"/>
        <w:numPr>
          <w:ilvl w:val="0"/>
          <w:numId w:val="16"/>
        </w:numPr>
      </w:pPr>
      <w:r>
        <w:rPr>
          <w:rStyle w:val="ol-text"/>
        </w:rPr>
        <w:t>Het opdrachtenbudget is met € 1,6 miljoen verhoogd door de toedeling van de Loon- en Prijsbijstelling.</w:t>
      </w:r>
    </w:p>
    <w:p w:rsidR="006B6965" w:rsidRDefault="003A166B" w14:paraId="0C8C0545" w14:textId="77777777">
      <w:pPr>
        <w:pStyle w:val="ol-p-l1"/>
        <w:numPr>
          <w:ilvl w:val="0"/>
          <w:numId w:val="5"/>
        </w:numPr>
      </w:pPr>
      <w:r>
        <w:rPr>
          <w:rStyle w:val="ol-text"/>
        </w:rPr>
        <w:t xml:space="preserve">Het opdrachtenbudget is met € 0,9 miljoen verhoogd door de correctie die is opgevoerd op de </w:t>
      </w:r>
      <w:proofErr w:type="spellStart"/>
      <w:r>
        <w:rPr>
          <w:rStyle w:val="ol-text"/>
        </w:rPr>
        <w:t>IenW</w:t>
      </w:r>
      <w:proofErr w:type="spellEnd"/>
      <w:r>
        <w:rPr>
          <w:rStyle w:val="ol-text"/>
        </w:rPr>
        <w:t>-brede dekkingsopgave van het Voorjaar 2025. Middels deze mutatie wordt dit uit de prijsbijstelling gedekt.</w:t>
      </w:r>
    </w:p>
    <w:p w:rsidR="006B6965" w:rsidRDefault="006B6965" w14:paraId="72B2CEA7" w14:textId="77777777"/>
    <w:p w:rsidR="006B6965" w:rsidRDefault="003A166B" w14:paraId="50AECB69" w14:textId="77777777">
      <w:r>
        <w:rPr>
          <w:rStyle w:val="span-u"/>
        </w:rPr>
        <w:t>OV &amp; Stations:</w:t>
      </w:r>
      <w:r>
        <w:t xml:space="preserve"> Het opdrachtenbudget is met € 1,1 miljoen verhoogd en wordt met name verklaard door:</w:t>
      </w:r>
    </w:p>
    <w:p w:rsidR="006B6965" w:rsidRDefault="003A166B" w14:paraId="5CBE66F7" w14:textId="77777777">
      <w:pPr>
        <w:pStyle w:val="ol-p-l1"/>
        <w:numPr>
          <w:ilvl w:val="0"/>
          <w:numId w:val="17"/>
        </w:numPr>
      </w:pPr>
      <w:r>
        <w:rPr>
          <w:rStyle w:val="ol-text"/>
        </w:rPr>
        <w:t>De prijsbijstelling gelden ter hoogte van € 0,6 miljoen worden overgeboekt naar het opdrachtenbudget waarvandaan het bij Najaarsnota naar artikel 24 wordt overgeboekt. De middelen zijn bestemd voor de taken die de ILT uitvoert in het kader van OV en Spoor.</w:t>
      </w:r>
    </w:p>
    <w:p w:rsidR="006B6965" w:rsidRDefault="003A166B" w14:paraId="0F80FA2F" w14:textId="77777777">
      <w:pPr>
        <w:pStyle w:val="ol-p-l1"/>
        <w:numPr>
          <w:ilvl w:val="0"/>
          <w:numId w:val="5"/>
        </w:numPr>
      </w:pPr>
      <w:r>
        <w:rPr>
          <w:rStyle w:val="ol-text"/>
        </w:rPr>
        <w:t>Een overboeking van € 0,3 miljoen naar HXII artikel 24 voor taken die de ILT uitvoert in het kader van ERTMS. De uitrol van ERTMS en de digitalisering van het spoor is een complexe veranderopgave die een impact heeft voor de volledige spoorbranche in Nederland. De ILT zal met die veranderingen moeten meebewegen en continue een passende organisatie in stand houden om haar rol als toezichthouder adequaat te blijven vervullen. Daarvoor is aanvullende capaciteit nodig en moeten ICT-kosten worden gemaakt.</w:t>
      </w:r>
    </w:p>
    <w:p w:rsidR="006B6965" w:rsidRDefault="003A166B" w14:paraId="620A987E" w14:textId="77777777">
      <w:pPr>
        <w:pStyle w:val="ol-p-l1"/>
        <w:numPr>
          <w:ilvl w:val="0"/>
          <w:numId w:val="5"/>
        </w:numPr>
      </w:pPr>
      <w:r>
        <w:rPr>
          <w:rStyle w:val="ol-text"/>
        </w:rPr>
        <w:t>Diverse mutaties (€ 0,1 miljoen): Tot slot zijn er diverse kleine mutaties die het resterende verschil verklaren.</w:t>
      </w:r>
    </w:p>
    <w:p w:rsidR="006B6965" w:rsidRDefault="006B6965" w14:paraId="4B88F530" w14:textId="77777777"/>
    <w:p w:rsidR="006B6965" w:rsidRDefault="003A166B" w14:paraId="6032FCFD" w14:textId="77777777">
      <w:pPr>
        <w:pStyle w:val="header-h2"/>
      </w:pPr>
      <w:r>
        <w:t>Subsidies (regelingen)</w:t>
      </w:r>
    </w:p>
    <w:p w:rsidR="006B6965" w:rsidRDefault="003A166B" w14:paraId="1F206BDA" w14:textId="77777777">
      <w:pPr>
        <w:pStyle w:val="p"/>
      </w:pPr>
      <w:r>
        <w:t>De verhoging van het subsidiebudget met € 64,6 miljoen wordt met name veroorzaakt door:</w:t>
      </w:r>
    </w:p>
    <w:p w:rsidR="006B6965" w:rsidRDefault="003A166B" w14:paraId="39D639ED" w14:textId="77777777">
      <w:r>
        <w:rPr>
          <w:rStyle w:val="span-u"/>
        </w:rPr>
        <w:t>Overige subsidies:</w:t>
      </w:r>
      <w:r>
        <w:t xml:space="preserve"> Het subsidiebudget is met € 64,6 miljoen verhoogd en wordt met name verklaard door:</w:t>
      </w:r>
    </w:p>
    <w:p w:rsidR="006B6965" w:rsidRDefault="003A166B" w14:paraId="6A79079F" w14:textId="77777777">
      <w:pPr>
        <w:pStyle w:val="ol-p-l1"/>
        <w:numPr>
          <w:ilvl w:val="0"/>
          <w:numId w:val="18"/>
        </w:numPr>
      </w:pPr>
      <w:r>
        <w:rPr>
          <w:rStyle w:val="ol-text"/>
        </w:rPr>
        <w:t xml:space="preserve">De verrekening NS met </w:t>
      </w:r>
      <w:proofErr w:type="spellStart"/>
      <w:r>
        <w:rPr>
          <w:rStyle w:val="ol-text"/>
        </w:rPr>
        <w:t>IenW</w:t>
      </w:r>
      <w:proofErr w:type="spellEnd"/>
      <w:r>
        <w:rPr>
          <w:rStyle w:val="ol-text"/>
        </w:rPr>
        <w:t xml:space="preserve"> van € 50 miljoen. Het hogere uitgavenbudget hangt samen met de afwikkeling van enkele openstaande financiële verplichtingen tussen </w:t>
      </w:r>
      <w:proofErr w:type="spellStart"/>
      <w:r>
        <w:rPr>
          <w:rStyle w:val="ol-text"/>
        </w:rPr>
        <w:t>IenW</w:t>
      </w:r>
      <w:proofErr w:type="spellEnd"/>
      <w:r>
        <w:rPr>
          <w:rStyle w:val="ol-text"/>
        </w:rPr>
        <w:t xml:space="preserve"> en NS uit de vorige concessieperiode. </w:t>
      </w:r>
      <w:proofErr w:type="spellStart"/>
      <w:r>
        <w:rPr>
          <w:rStyle w:val="ol-text"/>
        </w:rPr>
        <w:t>IenW</w:t>
      </w:r>
      <w:proofErr w:type="spellEnd"/>
      <w:r>
        <w:rPr>
          <w:rStyle w:val="ol-text"/>
        </w:rPr>
        <w:t xml:space="preserve"> en NS stellen de vergoeding voor de door </w:t>
      </w:r>
      <w:proofErr w:type="spellStart"/>
      <w:r>
        <w:rPr>
          <w:rStyle w:val="ol-text"/>
        </w:rPr>
        <w:t>IenW</w:t>
      </w:r>
      <w:proofErr w:type="spellEnd"/>
      <w:r>
        <w:rPr>
          <w:rStyle w:val="ol-text"/>
        </w:rPr>
        <w:t xml:space="preserve"> gestelde spoorstaafschade op de HSL-infrastructuur tot en met 2024 vast op een bedrag van € 50 miljoen. </w:t>
      </w:r>
      <w:proofErr w:type="spellStart"/>
      <w:r>
        <w:rPr>
          <w:rStyle w:val="ol-text"/>
        </w:rPr>
        <w:t>IenW</w:t>
      </w:r>
      <w:proofErr w:type="spellEnd"/>
      <w:r>
        <w:rPr>
          <w:rStyle w:val="ol-text"/>
        </w:rPr>
        <w:t xml:space="preserve"> en NS stellen de door NS aangevraagde vergoeding voor het op orde houden van de dienstregeling tijdens de coronapandemie vast op hetzelfde bedrag. Deze verrekening zal zonde</w:t>
      </w:r>
      <w:r>
        <w:rPr>
          <w:rStyle w:val="ol-text"/>
        </w:rPr>
        <w:t>r betaling plaatsvinden vanwege de gelijke omvang van de verplichtingen. De vastlegging in de begroting vindt plaats via een desaldering.</w:t>
      </w:r>
    </w:p>
    <w:p w:rsidR="006B6965" w:rsidRDefault="003A166B" w14:paraId="40264663" w14:textId="77777777">
      <w:pPr>
        <w:pStyle w:val="ol-p-l1"/>
        <w:numPr>
          <w:ilvl w:val="0"/>
          <w:numId w:val="5"/>
        </w:numPr>
      </w:pPr>
      <w:r>
        <w:rPr>
          <w:rStyle w:val="ol-text"/>
        </w:rPr>
        <w:t xml:space="preserve">De correctie vergoeding OV-betalen NS van € 14,7 miljoen. NS heeft in de jaren 2015-2024 kosten gemaakt voor de invoering van OV-betalen, met als doel om betalen en reizen in het openbaar vervoer gemakkelijker te maken. NS ontvangt hiervoor in 2025 een eenmalige compensatie. De middelen ter dekking van </w:t>
      </w:r>
      <w:r>
        <w:rPr>
          <w:rStyle w:val="ol-text"/>
        </w:rPr>
        <w:lastRenderedPageBreak/>
        <w:t>die compensatie worden overgeboekt naar HXII artikel 16, omdat de compensatie vanuit daar als een subsidie aan NS kan worden verstrekt.</w:t>
      </w:r>
    </w:p>
    <w:p w:rsidR="006B6965" w:rsidRDefault="003A166B" w14:paraId="176725D3" w14:textId="77777777">
      <w:pPr>
        <w:pStyle w:val="ol-p-l1"/>
        <w:numPr>
          <w:ilvl w:val="0"/>
          <w:numId w:val="5"/>
        </w:numPr>
      </w:pPr>
      <w:r>
        <w:rPr>
          <w:rStyle w:val="ol-text"/>
        </w:rPr>
        <w:t>Diverse mutaties (- € 0,1 miljoen): Tot slot zijn er diverse kleine mutaties die het resterende verschil verklaren.</w:t>
      </w:r>
    </w:p>
    <w:p w:rsidR="006B6965" w:rsidRDefault="006B6965" w14:paraId="6B22CBAB" w14:textId="77777777"/>
    <w:p w:rsidR="006B6965" w:rsidRDefault="003A166B" w14:paraId="30EC4BEB" w14:textId="77777777">
      <w:pPr>
        <w:pStyle w:val="p"/>
      </w:pPr>
      <w:r>
        <w:t>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w:t>
      </w:r>
    </w:p>
    <w:p w:rsidR="006B6965" w:rsidRDefault="003A166B" w14:paraId="74294651" w14:textId="77777777">
      <w:pPr>
        <w:pStyle w:val="p"/>
      </w:pPr>
      <w:r>
        <w:t xml:space="preserve">In de tabel budgettaire gevolgen van beleid bij dit beleidsartikel is een bedrag van € 50 miljoen aan subsidieverplichtingen aan NS voor het jaar 2025 opgenomen. Dit bedrag heeft betrekking op de mogelijke verlening van een subsidie voor de afwikkeling van enkele openstaande financiële rekeningen tussen </w:t>
      </w:r>
      <w:proofErr w:type="spellStart"/>
      <w:r>
        <w:t>IenW</w:t>
      </w:r>
      <w:proofErr w:type="spellEnd"/>
      <w:r>
        <w:t xml:space="preserve"> en NS uit de vorige concessieperiode. </w:t>
      </w:r>
      <w:proofErr w:type="spellStart"/>
      <w:r>
        <w:t>IenW</w:t>
      </w:r>
      <w:proofErr w:type="spellEnd"/>
      <w:r>
        <w:t xml:space="preserve"> en NS stellen de vergoeding voor de door </w:t>
      </w:r>
      <w:proofErr w:type="spellStart"/>
      <w:r>
        <w:t>IenW</w:t>
      </w:r>
      <w:proofErr w:type="spellEnd"/>
      <w:r>
        <w:t xml:space="preserve"> gestelde spoorstaafschade op de HSL-infrastructuur tot en met 2024 vast op een bedrag van € 50 miljoen. </w:t>
      </w:r>
      <w:proofErr w:type="spellStart"/>
      <w:r>
        <w:t>IenW</w:t>
      </w:r>
      <w:proofErr w:type="spellEnd"/>
      <w:r>
        <w:t xml:space="preserve"> en NS stellen de door NS aangevraagde vergoeding voor het op orde houden van de dienstregeling tijdens de coronapandemie vast op hetzelfde bedrag. Deze verrekening zal zonder betaling plaatsvinden vanwege de gelijke omvang van de verplichtingen op grond van een vaststellingsovereenkomst tussen </w:t>
      </w:r>
      <w:proofErr w:type="spellStart"/>
      <w:r>
        <w:t>IenW</w:t>
      </w:r>
      <w:proofErr w:type="spellEnd"/>
      <w:r>
        <w:t xml:space="preserve"> en NS.</w:t>
      </w:r>
    </w:p>
    <w:p w:rsidR="006B6965" w:rsidRDefault="003A166B" w14:paraId="6E7B8A5C" w14:textId="77777777">
      <w:pPr>
        <w:pStyle w:val="p"/>
      </w:pPr>
      <w:r>
        <w:t>Deze begrotingsvermeldingen vormen de wettelijke grondslag voor de hier bedoelde subsidieverlening(en) als bedoeld in artikel 4:23, derde lid, onder c, van de Algemene Wet Bestuursrecht.</w:t>
      </w:r>
    </w:p>
    <w:p w:rsidR="006B6965" w:rsidRDefault="003A166B" w14:paraId="1477CBDC" w14:textId="77777777">
      <w:pPr>
        <w:pStyle w:val="header-h2"/>
      </w:pPr>
      <w:r>
        <w:t>Bijdrage aan medeoverheden</w:t>
      </w:r>
    </w:p>
    <w:p w:rsidR="006B6965" w:rsidRDefault="003A166B" w14:paraId="52D461B5" w14:textId="77777777">
      <w:pPr>
        <w:pStyle w:val="p"/>
      </w:pPr>
      <w:r>
        <w:t>De verhoging van de bijdragen aan medeoverheden met € 21,5 miljoen wordt met name veroorzaakt door:</w:t>
      </w:r>
    </w:p>
    <w:p w:rsidR="006B6965" w:rsidRDefault="003A166B" w14:paraId="38B52BBB" w14:textId="77777777">
      <w:pPr>
        <w:pStyle w:val="p"/>
      </w:pPr>
      <w:r>
        <w:rPr>
          <w:rStyle w:val="span-u"/>
        </w:rPr>
        <w:t>Overige bijdragen:</w:t>
      </w:r>
      <w:r>
        <w:t xml:space="preserve"> De overige bijdrage aan medeoverheden is met € 20,9 miljoen verhoogd en komt met name door een overboeking van het MF naar HXII Decentraal Spoor van € 20,9 miljoen voor de exploitatie bijdragen decentraal spoor in 2025. Dit bedrag zal in 2025 aan provincies worden beschikt via een SPUK. Het gaat om de provincies Overijssel (€ 11,9 miljoen), Drenthe (€ 2,4 miljoen), Limburg (€ 0,3 miljoen) en Utrecht (€ 6,3 miljoen).</w:t>
      </w:r>
    </w:p>
    <w:p w:rsidR="006B6965" w:rsidRDefault="003A166B" w14:paraId="195B69A5" w14:textId="77777777">
      <w:pPr>
        <w:pStyle w:val="header-h1"/>
      </w:pPr>
      <w:r>
        <w:t>Ontvangsten</w:t>
      </w:r>
    </w:p>
    <w:p w:rsidR="006B6965" w:rsidRDefault="003A166B" w14:paraId="62F0A812" w14:textId="77777777">
      <w:r>
        <w:t>De verhoging van de ontvangsten met € 50,1 miljoen wordt met name veroorzaakt door:</w:t>
      </w:r>
    </w:p>
    <w:p w:rsidR="006B6965" w:rsidRDefault="003A166B" w14:paraId="456C9F2B" w14:textId="77777777">
      <w:pPr>
        <w:pStyle w:val="ol-p-l1"/>
        <w:numPr>
          <w:ilvl w:val="0"/>
          <w:numId w:val="19"/>
        </w:numPr>
      </w:pPr>
      <w:r>
        <w:rPr>
          <w:rStyle w:val="ol-text"/>
        </w:rPr>
        <w:t xml:space="preserve">Verrekening NS met </w:t>
      </w:r>
      <w:proofErr w:type="spellStart"/>
      <w:r>
        <w:rPr>
          <w:rStyle w:val="ol-text"/>
        </w:rPr>
        <w:t>IenW</w:t>
      </w:r>
      <w:proofErr w:type="spellEnd"/>
      <w:r>
        <w:rPr>
          <w:rStyle w:val="ol-text"/>
        </w:rPr>
        <w:t xml:space="preserve"> (€ 50 miljoen): Het hogere uitgavenbudget hangt samen met de afwikkeling van enkele openstaande financiële verplichtingen tussen </w:t>
      </w:r>
      <w:proofErr w:type="spellStart"/>
      <w:r>
        <w:rPr>
          <w:rStyle w:val="ol-text"/>
        </w:rPr>
        <w:t>IenW</w:t>
      </w:r>
      <w:proofErr w:type="spellEnd"/>
      <w:r>
        <w:rPr>
          <w:rStyle w:val="ol-text"/>
        </w:rPr>
        <w:t xml:space="preserve"> en NS uit de vorige concessieperiode. </w:t>
      </w:r>
      <w:proofErr w:type="spellStart"/>
      <w:r>
        <w:rPr>
          <w:rStyle w:val="ol-text"/>
        </w:rPr>
        <w:t>IenW</w:t>
      </w:r>
      <w:proofErr w:type="spellEnd"/>
      <w:r>
        <w:rPr>
          <w:rStyle w:val="ol-text"/>
        </w:rPr>
        <w:t xml:space="preserve"> en NS stellen de vergoeding voor de door </w:t>
      </w:r>
      <w:proofErr w:type="spellStart"/>
      <w:r>
        <w:rPr>
          <w:rStyle w:val="ol-text"/>
        </w:rPr>
        <w:t>IenW</w:t>
      </w:r>
      <w:proofErr w:type="spellEnd"/>
      <w:r>
        <w:rPr>
          <w:rStyle w:val="ol-text"/>
        </w:rPr>
        <w:t xml:space="preserve"> gestelde spoorstaafschade op de HSL-infrastructuur tot en met 2024 vast op een bedrag van € 50 miljoen. </w:t>
      </w:r>
      <w:proofErr w:type="spellStart"/>
      <w:r>
        <w:rPr>
          <w:rStyle w:val="ol-text"/>
        </w:rPr>
        <w:t>IenW</w:t>
      </w:r>
      <w:proofErr w:type="spellEnd"/>
      <w:r>
        <w:rPr>
          <w:rStyle w:val="ol-text"/>
        </w:rPr>
        <w:t xml:space="preserve"> en NS stellen de door NS aangevraagde vergoeding voor het op orde houden van de dienstregeling tijdens de coronapandemie vast op hetzelfde bedrag. Deze verrekening zal zonder </w:t>
      </w:r>
      <w:r>
        <w:rPr>
          <w:rStyle w:val="ol-text"/>
        </w:rPr>
        <w:t>betaling plaatsvinden vanwege de gelijke omvang van de verplichtingen. De vastlegging in de begroting vindt plaats via een desaldering.</w:t>
      </w:r>
    </w:p>
    <w:p w:rsidR="006B6965" w:rsidRDefault="006B6965" w14:paraId="73230C49" w14:textId="77777777"/>
    <w:p w:rsidR="006B6965" w:rsidRDefault="003A166B" w14:paraId="229B3A4B" w14:textId="77777777">
      <w:pPr>
        <w:pStyle w:val="section-title-3"/>
      </w:pPr>
      <w:r>
        <w:lastRenderedPageBreak/>
        <w:t>3.5 Artikel 17 Luchtvaart</w:t>
      </w:r>
    </w:p>
    <w:p w:rsidR="006B6965" w:rsidRDefault="003A166B" w14:paraId="381806C5"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02929B3A"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0CC87DE6" w14:textId="77777777">
            <w:pPr>
              <w:pStyle w:val="kio2-table-title"/>
            </w:pPr>
            <w:r>
              <w:t xml:space="preserve">Tabel 8 Budgettaire gevolgen van </w:t>
            </w:r>
            <w:r>
              <w:t>beleid artikel 17 Luchtvaart (bedragen x € 1.000)</w:t>
            </w:r>
          </w:p>
        </w:tc>
      </w:tr>
      <w:tr w:rsidR="006B6965" w14:paraId="68DE3A2D"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4D59BC2A"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069464AA"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05E68A3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78519CF2"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6DFEF3DC" w14:textId="77777777">
            <w:pPr>
              <w:pStyle w:val="p-table"/>
              <w:jc w:val="center"/>
              <w:rPr>
                <w:color w:val="000000"/>
                <w:sz w:val="17"/>
              </w:rPr>
            </w:pPr>
            <w:r>
              <w:rPr>
                <w:color w:val="000000"/>
                <w:sz w:val="17"/>
              </w:rPr>
              <w:t>Stand suppletoire begroting september (3) = (1) + (2)</w:t>
            </w:r>
          </w:p>
        </w:tc>
      </w:tr>
      <w:tr w:rsidR="006B6965" w14:paraId="557DEB2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306AC8E9"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0BAA5017"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1FCF33BC" w14:textId="77777777">
            <w:pPr>
              <w:pStyle w:val="p-table"/>
              <w:jc w:val="right"/>
              <w:rPr>
                <w:sz w:val="17"/>
              </w:rPr>
            </w:pPr>
            <w:r>
              <w:rPr>
                <w:b/>
                <w:sz w:val="17"/>
              </w:rPr>
              <w:t>213.027</w:t>
            </w:r>
          </w:p>
        </w:tc>
        <w:tc>
          <w:tcPr>
            <w:tcW w:w="1377" w:type="dxa"/>
            <w:tcBorders>
              <w:bottom w:val="single" w:color="009EE0" w:sz="2" w:space="0"/>
            </w:tcBorders>
            <w:tcMar>
              <w:top w:w="22" w:type="dxa"/>
              <w:left w:w="28" w:type="dxa"/>
              <w:bottom w:w="22" w:type="dxa"/>
              <w:right w:w="28" w:type="dxa"/>
            </w:tcMar>
          </w:tcPr>
          <w:p w:rsidR="006B6965" w:rsidRDefault="003A166B" w14:paraId="6B0081AB" w14:textId="77777777">
            <w:pPr>
              <w:pStyle w:val="p-table"/>
              <w:jc w:val="right"/>
              <w:rPr>
                <w:sz w:val="17"/>
              </w:rPr>
            </w:pPr>
            <w:r>
              <w:rPr>
                <w:b/>
                <w:sz w:val="17"/>
              </w:rPr>
              <w:t>13.739</w:t>
            </w:r>
          </w:p>
        </w:tc>
        <w:tc>
          <w:tcPr>
            <w:tcW w:w="1377" w:type="dxa"/>
            <w:tcBorders>
              <w:bottom w:val="single" w:color="009EE0" w:sz="2" w:space="0"/>
            </w:tcBorders>
            <w:tcMar>
              <w:top w:w="22" w:type="dxa"/>
              <w:left w:w="28" w:type="dxa"/>
              <w:bottom w:w="22" w:type="dxa"/>
              <w:right w:w="28" w:type="dxa"/>
            </w:tcMar>
          </w:tcPr>
          <w:p w:rsidR="006B6965" w:rsidRDefault="003A166B" w14:paraId="0D7B7D2D" w14:textId="77777777">
            <w:pPr>
              <w:pStyle w:val="p-table"/>
              <w:jc w:val="right"/>
              <w:rPr>
                <w:sz w:val="17"/>
              </w:rPr>
            </w:pPr>
            <w:r>
              <w:rPr>
                <w:b/>
                <w:sz w:val="17"/>
              </w:rPr>
              <w:t>226.766</w:t>
            </w:r>
          </w:p>
        </w:tc>
      </w:tr>
      <w:tr w:rsidR="006B6965" w14:paraId="6A33788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B3462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2A964FB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37CA5E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FF6406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51177F2" w14:textId="77777777">
            <w:pPr>
              <w:pStyle w:val="p-table"/>
              <w:rPr>
                <w:sz w:val="17"/>
              </w:rPr>
            </w:pPr>
          </w:p>
        </w:tc>
      </w:tr>
      <w:tr w:rsidR="006B6965" w14:paraId="0596C49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3A37EF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24A1B0D"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2FFC9558" w14:textId="77777777">
            <w:pPr>
              <w:pStyle w:val="p-table"/>
              <w:jc w:val="right"/>
              <w:rPr>
                <w:sz w:val="17"/>
              </w:rPr>
            </w:pPr>
            <w:r>
              <w:rPr>
                <w:b/>
                <w:sz w:val="17"/>
              </w:rPr>
              <w:t>83.872</w:t>
            </w:r>
          </w:p>
        </w:tc>
        <w:tc>
          <w:tcPr>
            <w:tcW w:w="1377" w:type="dxa"/>
            <w:tcBorders>
              <w:bottom w:val="single" w:color="009EE0" w:sz="2" w:space="0"/>
            </w:tcBorders>
            <w:tcMar>
              <w:top w:w="22" w:type="dxa"/>
              <w:left w:w="28" w:type="dxa"/>
              <w:bottom w:w="22" w:type="dxa"/>
              <w:right w:w="28" w:type="dxa"/>
            </w:tcMar>
          </w:tcPr>
          <w:p w:rsidR="006B6965" w:rsidRDefault="003A166B" w14:paraId="07FA1FB9" w14:textId="77777777">
            <w:pPr>
              <w:pStyle w:val="p-table"/>
              <w:jc w:val="right"/>
              <w:rPr>
                <w:sz w:val="17"/>
              </w:rPr>
            </w:pPr>
            <w:r>
              <w:rPr>
                <w:b/>
                <w:sz w:val="17"/>
              </w:rPr>
              <w:t>‒</w:t>
            </w:r>
            <w:r>
              <w:rPr>
                <w:b/>
                <w:sz w:val="17"/>
              </w:rPr>
              <w:t xml:space="preserve"> 756</w:t>
            </w:r>
          </w:p>
        </w:tc>
        <w:tc>
          <w:tcPr>
            <w:tcW w:w="1377" w:type="dxa"/>
            <w:tcBorders>
              <w:bottom w:val="single" w:color="009EE0" w:sz="2" w:space="0"/>
            </w:tcBorders>
            <w:tcMar>
              <w:top w:w="22" w:type="dxa"/>
              <w:left w:w="28" w:type="dxa"/>
              <w:bottom w:w="22" w:type="dxa"/>
              <w:right w:w="28" w:type="dxa"/>
            </w:tcMar>
          </w:tcPr>
          <w:p w:rsidR="006B6965" w:rsidRDefault="003A166B" w14:paraId="219FAC03" w14:textId="77777777">
            <w:pPr>
              <w:pStyle w:val="p-table"/>
              <w:jc w:val="right"/>
              <w:rPr>
                <w:sz w:val="17"/>
              </w:rPr>
            </w:pPr>
            <w:r>
              <w:rPr>
                <w:b/>
                <w:sz w:val="17"/>
              </w:rPr>
              <w:t>83.116</w:t>
            </w:r>
          </w:p>
        </w:tc>
      </w:tr>
      <w:tr w:rsidR="006B6965" w14:paraId="63C07E8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4006BA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1F2E081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3F8EC7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F954F9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E1B98C4" w14:textId="77777777">
            <w:pPr>
              <w:pStyle w:val="p-table"/>
              <w:rPr>
                <w:sz w:val="17"/>
              </w:rPr>
            </w:pPr>
          </w:p>
        </w:tc>
      </w:tr>
      <w:tr w:rsidR="006B6965" w14:paraId="4EC51E1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AC2ED63" w14:textId="77777777">
            <w:pPr>
              <w:pStyle w:val="p-table"/>
              <w:rPr>
                <w:sz w:val="17"/>
              </w:rPr>
            </w:pPr>
            <w:r>
              <w:rPr>
                <w:b/>
                <w:sz w:val="17"/>
              </w:rPr>
              <w:t>17.1</w:t>
            </w:r>
          </w:p>
        </w:tc>
        <w:tc>
          <w:tcPr>
            <w:tcW w:w="4590" w:type="dxa"/>
            <w:tcBorders>
              <w:bottom w:val="single" w:color="009EE0" w:sz="2" w:space="0"/>
            </w:tcBorders>
            <w:tcMar>
              <w:top w:w="22" w:type="dxa"/>
              <w:left w:w="28" w:type="dxa"/>
              <w:bottom w:w="22" w:type="dxa"/>
              <w:right w:w="28" w:type="dxa"/>
            </w:tcMar>
          </w:tcPr>
          <w:p w:rsidR="006B6965" w:rsidRDefault="003A166B" w14:paraId="5319E1D4" w14:textId="77777777">
            <w:pPr>
              <w:pStyle w:val="p-table"/>
              <w:rPr>
                <w:sz w:val="17"/>
              </w:rPr>
            </w:pPr>
            <w:r>
              <w:rPr>
                <w:b/>
                <w:sz w:val="17"/>
              </w:rPr>
              <w:t>Luchtvaart</w:t>
            </w:r>
          </w:p>
        </w:tc>
        <w:tc>
          <w:tcPr>
            <w:tcW w:w="1377" w:type="dxa"/>
            <w:tcBorders>
              <w:bottom w:val="single" w:color="009EE0" w:sz="2" w:space="0"/>
            </w:tcBorders>
            <w:tcMar>
              <w:top w:w="22" w:type="dxa"/>
              <w:left w:w="28" w:type="dxa"/>
              <w:bottom w:w="22" w:type="dxa"/>
              <w:right w:w="28" w:type="dxa"/>
            </w:tcMar>
          </w:tcPr>
          <w:p w:rsidR="006B6965" w:rsidRDefault="003A166B" w14:paraId="22F96D51" w14:textId="77777777">
            <w:pPr>
              <w:pStyle w:val="p-table"/>
              <w:jc w:val="right"/>
              <w:rPr>
                <w:sz w:val="17"/>
              </w:rPr>
            </w:pPr>
            <w:r>
              <w:rPr>
                <w:b/>
                <w:sz w:val="17"/>
              </w:rPr>
              <w:t>83.872</w:t>
            </w:r>
          </w:p>
        </w:tc>
        <w:tc>
          <w:tcPr>
            <w:tcW w:w="1377" w:type="dxa"/>
            <w:tcBorders>
              <w:bottom w:val="single" w:color="009EE0" w:sz="2" w:space="0"/>
            </w:tcBorders>
            <w:tcMar>
              <w:top w:w="22" w:type="dxa"/>
              <w:left w:w="28" w:type="dxa"/>
              <w:bottom w:w="22" w:type="dxa"/>
              <w:right w:w="28" w:type="dxa"/>
            </w:tcMar>
          </w:tcPr>
          <w:p w:rsidR="006B6965" w:rsidRDefault="003A166B" w14:paraId="55E37419" w14:textId="77777777">
            <w:pPr>
              <w:pStyle w:val="p-table"/>
              <w:jc w:val="right"/>
              <w:rPr>
                <w:sz w:val="17"/>
              </w:rPr>
            </w:pPr>
            <w:r>
              <w:rPr>
                <w:b/>
                <w:sz w:val="17"/>
              </w:rPr>
              <w:t>‒</w:t>
            </w:r>
            <w:r>
              <w:rPr>
                <w:b/>
                <w:sz w:val="17"/>
              </w:rPr>
              <w:t xml:space="preserve"> 756</w:t>
            </w:r>
          </w:p>
        </w:tc>
        <w:tc>
          <w:tcPr>
            <w:tcW w:w="1377" w:type="dxa"/>
            <w:tcBorders>
              <w:bottom w:val="single" w:color="009EE0" w:sz="2" w:space="0"/>
            </w:tcBorders>
            <w:tcMar>
              <w:top w:w="22" w:type="dxa"/>
              <w:left w:w="28" w:type="dxa"/>
              <w:bottom w:w="22" w:type="dxa"/>
              <w:right w:w="28" w:type="dxa"/>
            </w:tcMar>
          </w:tcPr>
          <w:p w:rsidR="006B6965" w:rsidRDefault="003A166B" w14:paraId="11E9BB5A" w14:textId="77777777">
            <w:pPr>
              <w:pStyle w:val="p-table"/>
              <w:jc w:val="right"/>
              <w:rPr>
                <w:sz w:val="17"/>
              </w:rPr>
            </w:pPr>
            <w:r>
              <w:rPr>
                <w:b/>
                <w:sz w:val="17"/>
              </w:rPr>
              <w:t>83.116</w:t>
            </w:r>
          </w:p>
        </w:tc>
      </w:tr>
      <w:tr w:rsidR="006B6965" w14:paraId="1072616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B216E7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C97B7F3"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7378D4B1" w14:textId="77777777">
            <w:pPr>
              <w:pStyle w:val="p-table"/>
              <w:jc w:val="right"/>
              <w:rPr>
                <w:sz w:val="17"/>
              </w:rPr>
            </w:pPr>
            <w:r>
              <w:rPr>
                <w:i/>
                <w:sz w:val="17"/>
              </w:rPr>
              <w:t>20.771</w:t>
            </w:r>
          </w:p>
        </w:tc>
        <w:tc>
          <w:tcPr>
            <w:tcW w:w="1377" w:type="dxa"/>
            <w:tcBorders>
              <w:bottom w:val="single" w:color="009EE0" w:sz="2" w:space="0"/>
            </w:tcBorders>
            <w:tcMar>
              <w:top w:w="22" w:type="dxa"/>
              <w:left w:w="28" w:type="dxa"/>
              <w:bottom w:w="22" w:type="dxa"/>
              <w:right w:w="28" w:type="dxa"/>
            </w:tcMar>
          </w:tcPr>
          <w:p w:rsidR="006B6965" w:rsidRDefault="003A166B" w14:paraId="7D848E52" w14:textId="77777777">
            <w:pPr>
              <w:pStyle w:val="p-table"/>
              <w:jc w:val="right"/>
              <w:rPr>
                <w:sz w:val="17"/>
              </w:rPr>
            </w:pPr>
            <w:r>
              <w:rPr>
                <w:i/>
                <w:sz w:val="17"/>
              </w:rPr>
              <w:t>‒</w:t>
            </w:r>
            <w:r>
              <w:rPr>
                <w:i/>
                <w:sz w:val="17"/>
              </w:rPr>
              <w:t xml:space="preserve"> 2.493</w:t>
            </w:r>
          </w:p>
        </w:tc>
        <w:tc>
          <w:tcPr>
            <w:tcW w:w="1377" w:type="dxa"/>
            <w:tcBorders>
              <w:bottom w:val="single" w:color="009EE0" w:sz="2" w:space="0"/>
            </w:tcBorders>
            <w:tcMar>
              <w:top w:w="22" w:type="dxa"/>
              <w:left w:w="28" w:type="dxa"/>
              <w:bottom w:w="22" w:type="dxa"/>
              <w:right w:w="28" w:type="dxa"/>
            </w:tcMar>
          </w:tcPr>
          <w:p w:rsidR="006B6965" w:rsidRDefault="003A166B" w14:paraId="6154E216" w14:textId="77777777">
            <w:pPr>
              <w:pStyle w:val="p-table"/>
              <w:jc w:val="right"/>
              <w:rPr>
                <w:sz w:val="17"/>
              </w:rPr>
            </w:pPr>
            <w:r>
              <w:rPr>
                <w:i/>
                <w:sz w:val="17"/>
              </w:rPr>
              <w:t>18.278</w:t>
            </w:r>
          </w:p>
        </w:tc>
      </w:tr>
      <w:tr w:rsidR="006B6965" w14:paraId="64D1996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F0F661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CCD3B21" w14:textId="77777777">
            <w:pPr>
              <w:pStyle w:val="p-table"/>
              <w:rPr>
                <w:sz w:val="17"/>
              </w:rPr>
            </w:pPr>
            <w:r>
              <w:rPr>
                <w:sz w:val="17"/>
              </w:rPr>
              <w:t>Caribisch Nederland</w:t>
            </w:r>
          </w:p>
        </w:tc>
        <w:tc>
          <w:tcPr>
            <w:tcW w:w="1377" w:type="dxa"/>
            <w:tcBorders>
              <w:bottom w:val="single" w:color="009EE0" w:sz="2" w:space="0"/>
            </w:tcBorders>
            <w:tcMar>
              <w:top w:w="22" w:type="dxa"/>
              <w:left w:w="28" w:type="dxa"/>
              <w:bottom w:w="22" w:type="dxa"/>
              <w:right w:w="28" w:type="dxa"/>
            </w:tcMar>
          </w:tcPr>
          <w:p w:rsidR="006B6965" w:rsidRDefault="003A166B" w14:paraId="48623D99" w14:textId="77777777">
            <w:pPr>
              <w:pStyle w:val="p-table"/>
              <w:jc w:val="right"/>
              <w:rPr>
                <w:sz w:val="17"/>
              </w:rPr>
            </w:pPr>
            <w:r>
              <w:rPr>
                <w:sz w:val="17"/>
              </w:rPr>
              <w:t>395</w:t>
            </w:r>
          </w:p>
        </w:tc>
        <w:tc>
          <w:tcPr>
            <w:tcW w:w="1377" w:type="dxa"/>
            <w:tcBorders>
              <w:bottom w:val="single" w:color="009EE0" w:sz="2" w:space="0"/>
            </w:tcBorders>
            <w:tcMar>
              <w:top w:w="22" w:type="dxa"/>
              <w:left w:w="28" w:type="dxa"/>
              <w:bottom w:w="22" w:type="dxa"/>
              <w:right w:w="28" w:type="dxa"/>
            </w:tcMar>
          </w:tcPr>
          <w:p w:rsidR="006B6965" w:rsidRDefault="003A166B" w14:paraId="7BE203E6" w14:textId="77777777">
            <w:pPr>
              <w:pStyle w:val="p-table"/>
              <w:jc w:val="right"/>
              <w:rPr>
                <w:sz w:val="17"/>
              </w:rPr>
            </w:pPr>
            <w:r>
              <w:rPr>
                <w:sz w:val="17"/>
              </w:rPr>
              <w:t>74</w:t>
            </w:r>
          </w:p>
        </w:tc>
        <w:tc>
          <w:tcPr>
            <w:tcW w:w="1377" w:type="dxa"/>
            <w:tcBorders>
              <w:bottom w:val="single" w:color="009EE0" w:sz="2" w:space="0"/>
            </w:tcBorders>
            <w:tcMar>
              <w:top w:w="22" w:type="dxa"/>
              <w:left w:w="28" w:type="dxa"/>
              <w:bottom w:w="22" w:type="dxa"/>
              <w:right w:w="28" w:type="dxa"/>
            </w:tcMar>
          </w:tcPr>
          <w:p w:rsidR="006B6965" w:rsidRDefault="003A166B" w14:paraId="28BC8F49" w14:textId="77777777">
            <w:pPr>
              <w:pStyle w:val="p-table"/>
              <w:jc w:val="right"/>
              <w:rPr>
                <w:sz w:val="17"/>
              </w:rPr>
            </w:pPr>
            <w:r>
              <w:rPr>
                <w:sz w:val="17"/>
              </w:rPr>
              <w:t>469</w:t>
            </w:r>
          </w:p>
        </w:tc>
      </w:tr>
      <w:tr w:rsidR="006B6965" w14:paraId="580CFC1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7F6822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6EC9A97" w14:textId="77777777">
            <w:pPr>
              <w:pStyle w:val="p-table"/>
              <w:rPr>
                <w:sz w:val="17"/>
              </w:rPr>
            </w:pPr>
            <w:r>
              <w:rPr>
                <w:sz w:val="17"/>
              </w:rPr>
              <w:t>NGF Project - Luchtvaart in Transitie</w:t>
            </w:r>
          </w:p>
        </w:tc>
        <w:tc>
          <w:tcPr>
            <w:tcW w:w="1377" w:type="dxa"/>
            <w:tcBorders>
              <w:bottom w:val="single" w:color="009EE0" w:sz="2" w:space="0"/>
            </w:tcBorders>
            <w:tcMar>
              <w:top w:w="22" w:type="dxa"/>
              <w:left w:w="28" w:type="dxa"/>
              <w:bottom w:w="22" w:type="dxa"/>
              <w:right w:w="28" w:type="dxa"/>
            </w:tcMar>
          </w:tcPr>
          <w:p w:rsidR="006B6965" w:rsidRDefault="003A166B" w14:paraId="5DF36D11" w14:textId="77777777">
            <w:pPr>
              <w:pStyle w:val="p-table"/>
              <w:jc w:val="right"/>
              <w:rPr>
                <w:sz w:val="17"/>
              </w:rPr>
            </w:pPr>
            <w:r>
              <w:rPr>
                <w:sz w:val="17"/>
              </w:rPr>
              <w:t>210</w:t>
            </w:r>
          </w:p>
        </w:tc>
        <w:tc>
          <w:tcPr>
            <w:tcW w:w="1377" w:type="dxa"/>
            <w:tcBorders>
              <w:bottom w:val="single" w:color="009EE0" w:sz="2" w:space="0"/>
            </w:tcBorders>
            <w:tcMar>
              <w:top w:w="22" w:type="dxa"/>
              <w:left w:w="28" w:type="dxa"/>
              <w:bottom w:w="22" w:type="dxa"/>
              <w:right w:w="28" w:type="dxa"/>
            </w:tcMar>
          </w:tcPr>
          <w:p w:rsidR="006B6965" w:rsidRDefault="003A166B" w14:paraId="5EAC19B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B626017" w14:textId="77777777">
            <w:pPr>
              <w:pStyle w:val="p-table"/>
              <w:jc w:val="right"/>
              <w:rPr>
                <w:sz w:val="17"/>
              </w:rPr>
            </w:pPr>
            <w:r>
              <w:rPr>
                <w:sz w:val="17"/>
              </w:rPr>
              <w:t>210</w:t>
            </w:r>
          </w:p>
        </w:tc>
      </w:tr>
      <w:tr w:rsidR="006B6965" w14:paraId="1CF515F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52FDED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8859C54" w14:textId="77777777">
            <w:pPr>
              <w:pStyle w:val="p-table"/>
              <w:rPr>
                <w:sz w:val="17"/>
              </w:rPr>
            </w:pPr>
            <w:r>
              <w:rPr>
                <w:sz w:val="17"/>
              </w:rPr>
              <w:t>GIS-4 regeling</w:t>
            </w:r>
          </w:p>
        </w:tc>
        <w:tc>
          <w:tcPr>
            <w:tcW w:w="1377" w:type="dxa"/>
            <w:tcBorders>
              <w:bottom w:val="single" w:color="009EE0" w:sz="2" w:space="0"/>
            </w:tcBorders>
            <w:tcMar>
              <w:top w:w="22" w:type="dxa"/>
              <w:left w:w="28" w:type="dxa"/>
              <w:bottom w:w="22" w:type="dxa"/>
              <w:right w:w="28" w:type="dxa"/>
            </w:tcMar>
          </w:tcPr>
          <w:p w:rsidR="006B6965" w:rsidRDefault="003A166B" w14:paraId="58CB0666" w14:textId="77777777">
            <w:pPr>
              <w:pStyle w:val="p-table"/>
              <w:jc w:val="right"/>
              <w:rPr>
                <w:sz w:val="17"/>
              </w:rPr>
            </w:pPr>
            <w:r>
              <w:rPr>
                <w:sz w:val="17"/>
              </w:rPr>
              <w:t>2.258</w:t>
            </w:r>
          </w:p>
        </w:tc>
        <w:tc>
          <w:tcPr>
            <w:tcW w:w="1377" w:type="dxa"/>
            <w:tcBorders>
              <w:bottom w:val="single" w:color="009EE0" w:sz="2" w:space="0"/>
            </w:tcBorders>
            <w:tcMar>
              <w:top w:w="22" w:type="dxa"/>
              <w:left w:w="28" w:type="dxa"/>
              <w:bottom w:w="22" w:type="dxa"/>
              <w:right w:w="28" w:type="dxa"/>
            </w:tcMar>
          </w:tcPr>
          <w:p w:rsidR="006B6965" w:rsidRDefault="003A166B" w14:paraId="7FC1669F" w14:textId="77777777">
            <w:pPr>
              <w:pStyle w:val="p-table"/>
              <w:jc w:val="right"/>
              <w:rPr>
                <w:sz w:val="17"/>
              </w:rPr>
            </w:pPr>
            <w:r>
              <w:rPr>
                <w:sz w:val="17"/>
              </w:rPr>
              <w:t>2.242</w:t>
            </w:r>
          </w:p>
        </w:tc>
        <w:tc>
          <w:tcPr>
            <w:tcW w:w="1377" w:type="dxa"/>
            <w:tcBorders>
              <w:bottom w:val="single" w:color="009EE0" w:sz="2" w:space="0"/>
            </w:tcBorders>
            <w:tcMar>
              <w:top w:w="22" w:type="dxa"/>
              <w:left w:w="28" w:type="dxa"/>
              <w:bottom w:w="22" w:type="dxa"/>
              <w:right w:w="28" w:type="dxa"/>
            </w:tcMar>
          </w:tcPr>
          <w:p w:rsidR="006B6965" w:rsidRDefault="003A166B" w14:paraId="398ACD5C" w14:textId="77777777">
            <w:pPr>
              <w:pStyle w:val="p-table"/>
              <w:jc w:val="right"/>
              <w:rPr>
                <w:sz w:val="17"/>
              </w:rPr>
            </w:pPr>
            <w:r>
              <w:rPr>
                <w:sz w:val="17"/>
              </w:rPr>
              <w:t>4.500</w:t>
            </w:r>
          </w:p>
        </w:tc>
      </w:tr>
      <w:tr w:rsidR="006B6965" w14:paraId="3ECE771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15892E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E0775AA" w14:textId="77777777">
            <w:pPr>
              <w:pStyle w:val="p-table"/>
              <w:rPr>
                <w:sz w:val="17"/>
              </w:rPr>
            </w:pPr>
            <w:r>
              <w:rPr>
                <w:sz w:val="17"/>
              </w:rPr>
              <w:t>Programma Omgeving Luchthaven Schiphol</w:t>
            </w:r>
          </w:p>
        </w:tc>
        <w:tc>
          <w:tcPr>
            <w:tcW w:w="1377" w:type="dxa"/>
            <w:tcBorders>
              <w:bottom w:val="single" w:color="009EE0" w:sz="2" w:space="0"/>
            </w:tcBorders>
            <w:tcMar>
              <w:top w:w="22" w:type="dxa"/>
              <w:left w:w="28" w:type="dxa"/>
              <w:bottom w:w="22" w:type="dxa"/>
              <w:right w:w="28" w:type="dxa"/>
            </w:tcMar>
          </w:tcPr>
          <w:p w:rsidR="006B6965" w:rsidRDefault="003A166B" w14:paraId="3F39CFE1" w14:textId="77777777">
            <w:pPr>
              <w:pStyle w:val="p-table"/>
              <w:jc w:val="right"/>
              <w:rPr>
                <w:sz w:val="17"/>
              </w:rPr>
            </w:pPr>
            <w:r>
              <w:rPr>
                <w:sz w:val="17"/>
              </w:rPr>
              <w:t>4.604</w:t>
            </w:r>
          </w:p>
        </w:tc>
        <w:tc>
          <w:tcPr>
            <w:tcW w:w="1377" w:type="dxa"/>
            <w:tcBorders>
              <w:bottom w:val="single" w:color="009EE0" w:sz="2" w:space="0"/>
            </w:tcBorders>
            <w:tcMar>
              <w:top w:w="22" w:type="dxa"/>
              <w:left w:w="28" w:type="dxa"/>
              <w:bottom w:w="22" w:type="dxa"/>
              <w:right w:w="28" w:type="dxa"/>
            </w:tcMar>
          </w:tcPr>
          <w:p w:rsidR="006B6965" w:rsidRDefault="003A166B" w14:paraId="27E8B6DE" w14:textId="77777777">
            <w:pPr>
              <w:pStyle w:val="p-table"/>
              <w:jc w:val="right"/>
              <w:rPr>
                <w:sz w:val="17"/>
              </w:rPr>
            </w:pPr>
            <w:r>
              <w:rPr>
                <w:sz w:val="17"/>
              </w:rPr>
              <w:t>‒</w:t>
            </w:r>
            <w:r>
              <w:rPr>
                <w:sz w:val="17"/>
              </w:rPr>
              <w:t xml:space="preserve"> 1.400</w:t>
            </w:r>
          </w:p>
        </w:tc>
        <w:tc>
          <w:tcPr>
            <w:tcW w:w="1377" w:type="dxa"/>
            <w:tcBorders>
              <w:bottom w:val="single" w:color="009EE0" w:sz="2" w:space="0"/>
            </w:tcBorders>
            <w:tcMar>
              <w:top w:w="22" w:type="dxa"/>
              <w:left w:w="28" w:type="dxa"/>
              <w:bottom w:w="22" w:type="dxa"/>
              <w:right w:w="28" w:type="dxa"/>
            </w:tcMar>
          </w:tcPr>
          <w:p w:rsidR="006B6965" w:rsidRDefault="003A166B" w14:paraId="25BC2B1B" w14:textId="77777777">
            <w:pPr>
              <w:pStyle w:val="p-table"/>
              <w:jc w:val="right"/>
              <w:rPr>
                <w:sz w:val="17"/>
              </w:rPr>
            </w:pPr>
            <w:r>
              <w:rPr>
                <w:sz w:val="17"/>
              </w:rPr>
              <w:t>3.204</w:t>
            </w:r>
          </w:p>
        </w:tc>
      </w:tr>
      <w:tr w:rsidR="006B6965" w14:paraId="4657008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1BB5D6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BFA6300" w14:textId="77777777">
            <w:pPr>
              <w:pStyle w:val="p-table"/>
              <w:rPr>
                <w:sz w:val="17"/>
              </w:rPr>
            </w:pPr>
            <w:r>
              <w:rPr>
                <w:sz w:val="17"/>
              </w:rPr>
              <w:t>Luchtruim Regio Luchthaven</w:t>
            </w:r>
          </w:p>
        </w:tc>
        <w:tc>
          <w:tcPr>
            <w:tcW w:w="1377" w:type="dxa"/>
            <w:tcBorders>
              <w:bottom w:val="single" w:color="009EE0" w:sz="2" w:space="0"/>
            </w:tcBorders>
            <w:tcMar>
              <w:top w:w="22" w:type="dxa"/>
              <w:left w:w="28" w:type="dxa"/>
              <w:bottom w:w="22" w:type="dxa"/>
              <w:right w:w="28" w:type="dxa"/>
            </w:tcMar>
          </w:tcPr>
          <w:p w:rsidR="006B6965" w:rsidRDefault="003A166B" w14:paraId="2FB4CE25" w14:textId="77777777">
            <w:pPr>
              <w:pStyle w:val="p-table"/>
              <w:jc w:val="right"/>
              <w:rPr>
                <w:sz w:val="17"/>
              </w:rPr>
            </w:pPr>
            <w:r>
              <w:rPr>
                <w:sz w:val="17"/>
              </w:rPr>
              <w:t>1.903</w:t>
            </w:r>
          </w:p>
        </w:tc>
        <w:tc>
          <w:tcPr>
            <w:tcW w:w="1377" w:type="dxa"/>
            <w:tcBorders>
              <w:bottom w:val="single" w:color="009EE0" w:sz="2" w:space="0"/>
            </w:tcBorders>
            <w:tcMar>
              <w:top w:w="22" w:type="dxa"/>
              <w:left w:w="28" w:type="dxa"/>
              <w:bottom w:w="22" w:type="dxa"/>
              <w:right w:w="28" w:type="dxa"/>
            </w:tcMar>
          </w:tcPr>
          <w:p w:rsidR="006B6965" w:rsidRDefault="003A166B" w14:paraId="46551E6F" w14:textId="77777777">
            <w:pPr>
              <w:pStyle w:val="p-table"/>
              <w:jc w:val="right"/>
              <w:rPr>
                <w:sz w:val="17"/>
              </w:rPr>
            </w:pPr>
            <w:r>
              <w:rPr>
                <w:sz w:val="17"/>
              </w:rPr>
              <w:t>‒</w:t>
            </w:r>
            <w:r>
              <w:rPr>
                <w:sz w:val="17"/>
              </w:rPr>
              <w:t xml:space="preserve"> 553</w:t>
            </w:r>
          </w:p>
        </w:tc>
        <w:tc>
          <w:tcPr>
            <w:tcW w:w="1377" w:type="dxa"/>
            <w:tcBorders>
              <w:bottom w:val="single" w:color="009EE0" w:sz="2" w:space="0"/>
            </w:tcBorders>
            <w:tcMar>
              <w:top w:w="22" w:type="dxa"/>
              <w:left w:w="28" w:type="dxa"/>
              <w:bottom w:w="22" w:type="dxa"/>
              <w:right w:w="28" w:type="dxa"/>
            </w:tcMar>
          </w:tcPr>
          <w:p w:rsidR="006B6965" w:rsidRDefault="003A166B" w14:paraId="4A7D5C9E" w14:textId="77777777">
            <w:pPr>
              <w:pStyle w:val="p-table"/>
              <w:jc w:val="right"/>
              <w:rPr>
                <w:sz w:val="17"/>
              </w:rPr>
            </w:pPr>
            <w:r>
              <w:rPr>
                <w:sz w:val="17"/>
              </w:rPr>
              <w:t>1.350</w:t>
            </w:r>
          </w:p>
        </w:tc>
      </w:tr>
      <w:tr w:rsidR="006B6965" w14:paraId="43FC348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2BB05F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BDFC76B" w14:textId="77777777">
            <w:pPr>
              <w:pStyle w:val="p-table"/>
              <w:rPr>
                <w:sz w:val="17"/>
              </w:rPr>
            </w:pPr>
            <w:r>
              <w:rPr>
                <w:sz w:val="17"/>
              </w:rPr>
              <w:t>Luchtruimherziening</w:t>
            </w:r>
          </w:p>
        </w:tc>
        <w:tc>
          <w:tcPr>
            <w:tcW w:w="1377" w:type="dxa"/>
            <w:tcBorders>
              <w:bottom w:val="single" w:color="009EE0" w:sz="2" w:space="0"/>
            </w:tcBorders>
            <w:tcMar>
              <w:top w:w="22" w:type="dxa"/>
              <w:left w:w="28" w:type="dxa"/>
              <w:bottom w:w="22" w:type="dxa"/>
              <w:right w:w="28" w:type="dxa"/>
            </w:tcMar>
          </w:tcPr>
          <w:p w:rsidR="006B6965" w:rsidRDefault="003A166B" w14:paraId="42F217AE" w14:textId="77777777">
            <w:pPr>
              <w:pStyle w:val="p-table"/>
              <w:jc w:val="right"/>
              <w:rPr>
                <w:sz w:val="17"/>
              </w:rPr>
            </w:pPr>
            <w:r>
              <w:rPr>
                <w:sz w:val="17"/>
              </w:rPr>
              <w:t>1.333</w:t>
            </w:r>
          </w:p>
        </w:tc>
        <w:tc>
          <w:tcPr>
            <w:tcW w:w="1377" w:type="dxa"/>
            <w:tcBorders>
              <w:bottom w:val="single" w:color="009EE0" w:sz="2" w:space="0"/>
            </w:tcBorders>
            <w:tcMar>
              <w:top w:w="22" w:type="dxa"/>
              <w:left w:w="28" w:type="dxa"/>
              <w:bottom w:w="22" w:type="dxa"/>
              <w:right w:w="28" w:type="dxa"/>
            </w:tcMar>
          </w:tcPr>
          <w:p w:rsidR="006B6965" w:rsidRDefault="003A166B" w14:paraId="5C8356CF" w14:textId="77777777">
            <w:pPr>
              <w:pStyle w:val="p-table"/>
              <w:jc w:val="right"/>
              <w:rPr>
                <w:sz w:val="17"/>
              </w:rPr>
            </w:pPr>
            <w:r>
              <w:rPr>
                <w:sz w:val="17"/>
              </w:rPr>
              <w:t>‒</w:t>
            </w:r>
            <w:r>
              <w:rPr>
                <w:sz w:val="17"/>
              </w:rPr>
              <w:t xml:space="preserve"> 93</w:t>
            </w:r>
          </w:p>
        </w:tc>
        <w:tc>
          <w:tcPr>
            <w:tcW w:w="1377" w:type="dxa"/>
            <w:tcBorders>
              <w:bottom w:val="single" w:color="009EE0" w:sz="2" w:space="0"/>
            </w:tcBorders>
            <w:tcMar>
              <w:top w:w="22" w:type="dxa"/>
              <w:left w:w="28" w:type="dxa"/>
              <w:bottom w:w="22" w:type="dxa"/>
              <w:right w:w="28" w:type="dxa"/>
            </w:tcMar>
          </w:tcPr>
          <w:p w:rsidR="006B6965" w:rsidRDefault="003A166B" w14:paraId="35A632EB" w14:textId="77777777">
            <w:pPr>
              <w:pStyle w:val="p-table"/>
              <w:jc w:val="right"/>
              <w:rPr>
                <w:sz w:val="17"/>
              </w:rPr>
            </w:pPr>
            <w:r>
              <w:rPr>
                <w:sz w:val="17"/>
              </w:rPr>
              <w:t>1.240</w:t>
            </w:r>
          </w:p>
        </w:tc>
      </w:tr>
      <w:tr w:rsidR="006B6965" w14:paraId="4067E2C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D7883C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3651801" w14:textId="77777777">
            <w:pPr>
              <w:pStyle w:val="p-table"/>
              <w:rPr>
                <w:sz w:val="17"/>
              </w:rPr>
            </w:pPr>
            <w:r>
              <w:rPr>
                <w:sz w:val="17"/>
              </w:rPr>
              <w:t>KF: Luchtvaartverkeer energie</w:t>
            </w:r>
          </w:p>
        </w:tc>
        <w:tc>
          <w:tcPr>
            <w:tcW w:w="1377" w:type="dxa"/>
            <w:tcBorders>
              <w:bottom w:val="single" w:color="009EE0" w:sz="2" w:space="0"/>
            </w:tcBorders>
            <w:tcMar>
              <w:top w:w="22" w:type="dxa"/>
              <w:left w:w="28" w:type="dxa"/>
              <w:bottom w:w="22" w:type="dxa"/>
              <w:right w:w="28" w:type="dxa"/>
            </w:tcMar>
          </w:tcPr>
          <w:p w:rsidR="006B6965" w:rsidRDefault="003A166B" w14:paraId="6856B19B" w14:textId="77777777">
            <w:pPr>
              <w:pStyle w:val="p-table"/>
              <w:jc w:val="right"/>
              <w:rPr>
                <w:sz w:val="17"/>
              </w:rPr>
            </w:pPr>
            <w:r>
              <w:rPr>
                <w:sz w:val="17"/>
              </w:rPr>
              <w:t>417</w:t>
            </w:r>
          </w:p>
        </w:tc>
        <w:tc>
          <w:tcPr>
            <w:tcW w:w="1377" w:type="dxa"/>
            <w:tcBorders>
              <w:bottom w:val="single" w:color="009EE0" w:sz="2" w:space="0"/>
            </w:tcBorders>
            <w:tcMar>
              <w:top w:w="22" w:type="dxa"/>
              <w:left w:w="28" w:type="dxa"/>
              <w:bottom w:w="22" w:type="dxa"/>
              <w:right w:w="28" w:type="dxa"/>
            </w:tcMar>
          </w:tcPr>
          <w:p w:rsidR="006B6965" w:rsidRDefault="003A166B" w14:paraId="60E87FF1" w14:textId="77777777">
            <w:pPr>
              <w:pStyle w:val="p-table"/>
              <w:jc w:val="right"/>
              <w:rPr>
                <w:sz w:val="17"/>
              </w:rPr>
            </w:pPr>
            <w:r>
              <w:rPr>
                <w:sz w:val="17"/>
              </w:rPr>
              <w:t>350</w:t>
            </w:r>
          </w:p>
        </w:tc>
        <w:tc>
          <w:tcPr>
            <w:tcW w:w="1377" w:type="dxa"/>
            <w:tcBorders>
              <w:bottom w:val="single" w:color="009EE0" w:sz="2" w:space="0"/>
            </w:tcBorders>
            <w:tcMar>
              <w:top w:w="22" w:type="dxa"/>
              <w:left w:w="28" w:type="dxa"/>
              <w:bottom w:w="22" w:type="dxa"/>
              <w:right w:w="28" w:type="dxa"/>
            </w:tcMar>
          </w:tcPr>
          <w:p w:rsidR="006B6965" w:rsidRDefault="003A166B" w14:paraId="52812B53" w14:textId="77777777">
            <w:pPr>
              <w:pStyle w:val="p-table"/>
              <w:jc w:val="right"/>
              <w:rPr>
                <w:sz w:val="17"/>
              </w:rPr>
            </w:pPr>
            <w:r>
              <w:rPr>
                <w:sz w:val="17"/>
              </w:rPr>
              <w:t>767</w:t>
            </w:r>
          </w:p>
        </w:tc>
      </w:tr>
      <w:tr w:rsidR="006B6965" w14:paraId="761B7CA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C7394A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91BAD61"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25D737E2" w14:textId="77777777">
            <w:pPr>
              <w:pStyle w:val="p-table"/>
              <w:jc w:val="right"/>
              <w:rPr>
                <w:sz w:val="17"/>
              </w:rPr>
            </w:pPr>
            <w:r>
              <w:rPr>
                <w:sz w:val="17"/>
              </w:rPr>
              <w:t>9.651</w:t>
            </w:r>
          </w:p>
        </w:tc>
        <w:tc>
          <w:tcPr>
            <w:tcW w:w="1377" w:type="dxa"/>
            <w:tcBorders>
              <w:bottom w:val="single" w:color="009EE0" w:sz="2" w:space="0"/>
            </w:tcBorders>
            <w:tcMar>
              <w:top w:w="22" w:type="dxa"/>
              <w:left w:w="28" w:type="dxa"/>
              <w:bottom w:w="22" w:type="dxa"/>
              <w:right w:w="28" w:type="dxa"/>
            </w:tcMar>
          </w:tcPr>
          <w:p w:rsidR="006B6965" w:rsidRDefault="003A166B" w14:paraId="4C87A42E" w14:textId="77777777">
            <w:pPr>
              <w:pStyle w:val="p-table"/>
              <w:jc w:val="right"/>
              <w:rPr>
                <w:sz w:val="17"/>
              </w:rPr>
            </w:pPr>
            <w:r>
              <w:rPr>
                <w:sz w:val="17"/>
              </w:rPr>
              <w:t>‒</w:t>
            </w:r>
            <w:r>
              <w:rPr>
                <w:sz w:val="17"/>
              </w:rPr>
              <w:t xml:space="preserve"> 3.113</w:t>
            </w:r>
          </w:p>
        </w:tc>
        <w:tc>
          <w:tcPr>
            <w:tcW w:w="1377" w:type="dxa"/>
            <w:tcBorders>
              <w:bottom w:val="single" w:color="009EE0" w:sz="2" w:space="0"/>
            </w:tcBorders>
            <w:tcMar>
              <w:top w:w="22" w:type="dxa"/>
              <w:left w:w="28" w:type="dxa"/>
              <w:bottom w:w="22" w:type="dxa"/>
              <w:right w:w="28" w:type="dxa"/>
            </w:tcMar>
          </w:tcPr>
          <w:p w:rsidR="006B6965" w:rsidRDefault="003A166B" w14:paraId="0AB252B4" w14:textId="77777777">
            <w:pPr>
              <w:pStyle w:val="p-table"/>
              <w:jc w:val="right"/>
              <w:rPr>
                <w:sz w:val="17"/>
              </w:rPr>
            </w:pPr>
            <w:r>
              <w:rPr>
                <w:sz w:val="17"/>
              </w:rPr>
              <w:t>6.538</w:t>
            </w:r>
          </w:p>
        </w:tc>
      </w:tr>
      <w:tr w:rsidR="006B6965" w14:paraId="3A4D870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7894A5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8F6A0D7" w14:textId="77777777">
            <w:pPr>
              <w:pStyle w:val="p-table"/>
              <w:rPr>
                <w:sz w:val="17"/>
              </w:rPr>
            </w:pPr>
            <w:r>
              <w:rPr>
                <w:i/>
                <w:sz w:val="17"/>
              </w:rPr>
              <w:t xml:space="preserve">Subsidies </w:t>
            </w:r>
            <w:r>
              <w:rPr>
                <w:i/>
                <w:sz w:val="17"/>
              </w:rPr>
              <w:t>(regelingen)</w:t>
            </w:r>
          </w:p>
        </w:tc>
        <w:tc>
          <w:tcPr>
            <w:tcW w:w="1377" w:type="dxa"/>
            <w:tcBorders>
              <w:bottom w:val="single" w:color="009EE0" w:sz="2" w:space="0"/>
            </w:tcBorders>
            <w:tcMar>
              <w:top w:w="22" w:type="dxa"/>
              <w:left w:w="28" w:type="dxa"/>
              <w:bottom w:w="22" w:type="dxa"/>
              <w:right w:w="28" w:type="dxa"/>
            </w:tcMar>
          </w:tcPr>
          <w:p w:rsidR="006B6965" w:rsidRDefault="003A166B" w14:paraId="7884FD6B" w14:textId="77777777">
            <w:pPr>
              <w:pStyle w:val="p-table"/>
              <w:jc w:val="right"/>
              <w:rPr>
                <w:sz w:val="17"/>
              </w:rPr>
            </w:pPr>
            <w:r>
              <w:rPr>
                <w:i/>
                <w:sz w:val="17"/>
              </w:rPr>
              <w:t>57.617</w:t>
            </w:r>
          </w:p>
        </w:tc>
        <w:tc>
          <w:tcPr>
            <w:tcW w:w="1377" w:type="dxa"/>
            <w:tcBorders>
              <w:bottom w:val="single" w:color="009EE0" w:sz="2" w:space="0"/>
            </w:tcBorders>
            <w:tcMar>
              <w:top w:w="22" w:type="dxa"/>
              <w:left w:w="28" w:type="dxa"/>
              <w:bottom w:w="22" w:type="dxa"/>
              <w:right w:w="28" w:type="dxa"/>
            </w:tcMar>
          </w:tcPr>
          <w:p w:rsidR="006B6965" w:rsidRDefault="003A166B" w14:paraId="20FADD3F" w14:textId="77777777">
            <w:pPr>
              <w:pStyle w:val="p-table"/>
              <w:jc w:val="right"/>
              <w:rPr>
                <w:sz w:val="17"/>
              </w:rPr>
            </w:pPr>
            <w:r>
              <w:rPr>
                <w:i/>
                <w:sz w:val="17"/>
              </w:rPr>
              <w:t>1.026</w:t>
            </w:r>
          </w:p>
        </w:tc>
        <w:tc>
          <w:tcPr>
            <w:tcW w:w="1377" w:type="dxa"/>
            <w:tcBorders>
              <w:bottom w:val="single" w:color="009EE0" w:sz="2" w:space="0"/>
            </w:tcBorders>
            <w:tcMar>
              <w:top w:w="22" w:type="dxa"/>
              <w:left w:w="28" w:type="dxa"/>
              <w:bottom w:w="22" w:type="dxa"/>
              <w:right w:w="28" w:type="dxa"/>
            </w:tcMar>
          </w:tcPr>
          <w:p w:rsidR="006B6965" w:rsidRDefault="003A166B" w14:paraId="5306789A" w14:textId="77777777">
            <w:pPr>
              <w:pStyle w:val="p-table"/>
              <w:jc w:val="right"/>
              <w:rPr>
                <w:sz w:val="17"/>
              </w:rPr>
            </w:pPr>
            <w:r>
              <w:rPr>
                <w:i/>
                <w:sz w:val="17"/>
              </w:rPr>
              <w:t>58.643</w:t>
            </w:r>
          </w:p>
        </w:tc>
      </w:tr>
      <w:tr w:rsidR="006B6965" w14:paraId="33E62B8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B431F7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91C04D4" w14:textId="77777777">
            <w:pPr>
              <w:pStyle w:val="p-table"/>
              <w:rPr>
                <w:sz w:val="17"/>
              </w:rPr>
            </w:pPr>
            <w:r>
              <w:rPr>
                <w:sz w:val="17"/>
              </w:rPr>
              <w:t>Tarieven Bonaire</w:t>
            </w:r>
          </w:p>
        </w:tc>
        <w:tc>
          <w:tcPr>
            <w:tcW w:w="1377" w:type="dxa"/>
            <w:tcBorders>
              <w:bottom w:val="single" w:color="009EE0" w:sz="2" w:space="0"/>
            </w:tcBorders>
            <w:tcMar>
              <w:top w:w="22" w:type="dxa"/>
              <w:left w:w="28" w:type="dxa"/>
              <w:bottom w:w="22" w:type="dxa"/>
              <w:right w:w="28" w:type="dxa"/>
            </w:tcMar>
          </w:tcPr>
          <w:p w:rsidR="006B6965" w:rsidRDefault="003A166B" w14:paraId="72F233F8" w14:textId="77777777">
            <w:pPr>
              <w:pStyle w:val="p-table"/>
              <w:jc w:val="right"/>
              <w:rPr>
                <w:sz w:val="17"/>
              </w:rPr>
            </w:pPr>
            <w:r>
              <w:rPr>
                <w:sz w:val="17"/>
              </w:rPr>
              <w:t>860</w:t>
            </w:r>
          </w:p>
        </w:tc>
        <w:tc>
          <w:tcPr>
            <w:tcW w:w="1377" w:type="dxa"/>
            <w:tcBorders>
              <w:bottom w:val="single" w:color="009EE0" w:sz="2" w:space="0"/>
            </w:tcBorders>
            <w:tcMar>
              <w:top w:w="22" w:type="dxa"/>
              <w:left w:w="28" w:type="dxa"/>
              <w:bottom w:w="22" w:type="dxa"/>
              <w:right w:w="28" w:type="dxa"/>
            </w:tcMar>
          </w:tcPr>
          <w:p w:rsidR="006B6965" w:rsidRDefault="003A166B" w14:paraId="50C0B41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BC8DD80" w14:textId="77777777">
            <w:pPr>
              <w:pStyle w:val="p-table"/>
              <w:jc w:val="right"/>
              <w:rPr>
                <w:sz w:val="17"/>
              </w:rPr>
            </w:pPr>
            <w:r>
              <w:rPr>
                <w:sz w:val="17"/>
              </w:rPr>
              <w:t>860</w:t>
            </w:r>
          </w:p>
        </w:tc>
      </w:tr>
      <w:tr w:rsidR="006B6965" w14:paraId="17F205A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01FA99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9B9C265" w14:textId="77777777">
            <w:pPr>
              <w:pStyle w:val="p-table"/>
              <w:rPr>
                <w:sz w:val="17"/>
              </w:rPr>
            </w:pPr>
            <w:r>
              <w:rPr>
                <w:sz w:val="17"/>
              </w:rPr>
              <w:t>Omploegen graanresten</w:t>
            </w:r>
          </w:p>
        </w:tc>
        <w:tc>
          <w:tcPr>
            <w:tcW w:w="1377" w:type="dxa"/>
            <w:tcBorders>
              <w:bottom w:val="single" w:color="009EE0" w:sz="2" w:space="0"/>
            </w:tcBorders>
            <w:tcMar>
              <w:top w:w="22" w:type="dxa"/>
              <w:left w:w="28" w:type="dxa"/>
              <w:bottom w:w="22" w:type="dxa"/>
              <w:right w:w="28" w:type="dxa"/>
            </w:tcMar>
          </w:tcPr>
          <w:p w:rsidR="006B6965" w:rsidRDefault="003A166B" w14:paraId="666393E6" w14:textId="77777777">
            <w:pPr>
              <w:pStyle w:val="p-table"/>
              <w:jc w:val="right"/>
              <w:rPr>
                <w:sz w:val="17"/>
              </w:rPr>
            </w:pPr>
            <w:r>
              <w:rPr>
                <w:sz w:val="17"/>
              </w:rPr>
              <w:t>1.500</w:t>
            </w:r>
          </w:p>
        </w:tc>
        <w:tc>
          <w:tcPr>
            <w:tcW w:w="1377" w:type="dxa"/>
            <w:tcBorders>
              <w:bottom w:val="single" w:color="009EE0" w:sz="2" w:space="0"/>
            </w:tcBorders>
            <w:tcMar>
              <w:top w:w="22" w:type="dxa"/>
              <w:left w:w="28" w:type="dxa"/>
              <w:bottom w:w="22" w:type="dxa"/>
              <w:right w:w="28" w:type="dxa"/>
            </w:tcMar>
          </w:tcPr>
          <w:p w:rsidR="006B6965" w:rsidRDefault="003A166B" w14:paraId="152DDE7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BBC0AAB" w14:textId="77777777">
            <w:pPr>
              <w:pStyle w:val="p-table"/>
              <w:jc w:val="right"/>
              <w:rPr>
                <w:sz w:val="17"/>
              </w:rPr>
            </w:pPr>
            <w:r>
              <w:rPr>
                <w:sz w:val="17"/>
              </w:rPr>
              <w:t>1.500</w:t>
            </w:r>
          </w:p>
        </w:tc>
      </w:tr>
      <w:tr w:rsidR="006B6965" w14:paraId="01D5F53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ACEE49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E23DB9B" w14:textId="77777777">
            <w:pPr>
              <w:pStyle w:val="p-table"/>
              <w:rPr>
                <w:sz w:val="17"/>
              </w:rPr>
            </w:pPr>
            <w:r>
              <w:rPr>
                <w:sz w:val="17"/>
              </w:rPr>
              <w:t>NGF-project Luchtvaart in transitie</w:t>
            </w:r>
          </w:p>
        </w:tc>
        <w:tc>
          <w:tcPr>
            <w:tcW w:w="1377" w:type="dxa"/>
            <w:tcBorders>
              <w:bottom w:val="single" w:color="009EE0" w:sz="2" w:space="0"/>
            </w:tcBorders>
            <w:tcMar>
              <w:top w:w="22" w:type="dxa"/>
              <w:left w:w="28" w:type="dxa"/>
              <w:bottom w:w="22" w:type="dxa"/>
              <w:right w:w="28" w:type="dxa"/>
            </w:tcMar>
          </w:tcPr>
          <w:p w:rsidR="006B6965" w:rsidRDefault="003A166B" w14:paraId="30AC9AFB" w14:textId="77777777">
            <w:pPr>
              <w:pStyle w:val="p-table"/>
              <w:jc w:val="right"/>
              <w:rPr>
                <w:sz w:val="17"/>
              </w:rPr>
            </w:pPr>
            <w:r>
              <w:rPr>
                <w:sz w:val="17"/>
              </w:rPr>
              <w:t>53.000</w:t>
            </w:r>
          </w:p>
        </w:tc>
        <w:tc>
          <w:tcPr>
            <w:tcW w:w="1377" w:type="dxa"/>
            <w:tcBorders>
              <w:bottom w:val="single" w:color="009EE0" w:sz="2" w:space="0"/>
            </w:tcBorders>
            <w:tcMar>
              <w:top w:w="22" w:type="dxa"/>
              <w:left w:w="28" w:type="dxa"/>
              <w:bottom w:w="22" w:type="dxa"/>
              <w:right w:w="28" w:type="dxa"/>
            </w:tcMar>
          </w:tcPr>
          <w:p w:rsidR="006B6965" w:rsidRDefault="003A166B" w14:paraId="68C26892" w14:textId="77777777">
            <w:pPr>
              <w:pStyle w:val="p-table"/>
              <w:jc w:val="right"/>
              <w:rPr>
                <w:sz w:val="17"/>
              </w:rPr>
            </w:pPr>
            <w:r>
              <w:rPr>
                <w:sz w:val="17"/>
              </w:rPr>
              <w:t>1.100</w:t>
            </w:r>
          </w:p>
        </w:tc>
        <w:tc>
          <w:tcPr>
            <w:tcW w:w="1377" w:type="dxa"/>
            <w:tcBorders>
              <w:bottom w:val="single" w:color="009EE0" w:sz="2" w:space="0"/>
            </w:tcBorders>
            <w:tcMar>
              <w:top w:w="22" w:type="dxa"/>
              <w:left w:w="28" w:type="dxa"/>
              <w:bottom w:w="22" w:type="dxa"/>
              <w:right w:w="28" w:type="dxa"/>
            </w:tcMar>
          </w:tcPr>
          <w:p w:rsidR="006B6965" w:rsidRDefault="003A166B" w14:paraId="05329DA2" w14:textId="77777777">
            <w:pPr>
              <w:pStyle w:val="p-table"/>
              <w:jc w:val="right"/>
              <w:rPr>
                <w:sz w:val="17"/>
              </w:rPr>
            </w:pPr>
            <w:r>
              <w:rPr>
                <w:sz w:val="17"/>
              </w:rPr>
              <w:t>54.100</w:t>
            </w:r>
          </w:p>
        </w:tc>
      </w:tr>
      <w:tr w:rsidR="006B6965" w14:paraId="6CDB24D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82E178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B486A62" w14:textId="77777777">
            <w:pPr>
              <w:pStyle w:val="p-table"/>
              <w:rPr>
                <w:sz w:val="17"/>
              </w:rPr>
            </w:pPr>
            <w:r>
              <w:rPr>
                <w:sz w:val="17"/>
              </w:rPr>
              <w:t>Subsidie Maatschappelijke Raad Schiphol (MRS)</w:t>
            </w:r>
          </w:p>
        </w:tc>
        <w:tc>
          <w:tcPr>
            <w:tcW w:w="1377" w:type="dxa"/>
            <w:tcBorders>
              <w:bottom w:val="single" w:color="009EE0" w:sz="2" w:space="0"/>
            </w:tcBorders>
            <w:tcMar>
              <w:top w:w="22" w:type="dxa"/>
              <w:left w:w="28" w:type="dxa"/>
              <w:bottom w:w="22" w:type="dxa"/>
              <w:right w:w="28" w:type="dxa"/>
            </w:tcMar>
          </w:tcPr>
          <w:p w:rsidR="006B6965" w:rsidRDefault="003A166B" w14:paraId="54261D1D" w14:textId="77777777">
            <w:pPr>
              <w:pStyle w:val="p-table"/>
              <w:jc w:val="right"/>
              <w:rPr>
                <w:sz w:val="17"/>
              </w:rPr>
            </w:pPr>
            <w:r>
              <w:rPr>
                <w:sz w:val="17"/>
              </w:rPr>
              <w:t>1.153</w:t>
            </w:r>
          </w:p>
        </w:tc>
        <w:tc>
          <w:tcPr>
            <w:tcW w:w="1377" w:type="dxa"/>
            <w:tcBorders>
              <w:bottom w:val="single" w:color="009EE0" w:sz="2" w:space="0"/>
            </w:tcBorders>
            <w:tcMar>
              <w:top w:w="22" w:type="dxa"/>
              <w:left w:w="28" w:type="dxa"/>
              <w:bottom w:w="22" w:type="dxa"/>
              <w:right w:w="28" w:type="dxa"/>
            </w:tcMar>
          </w:tcPr>
          <w:p w:rsidR="006B6965" w:rsidRDefault="003A166B" w14:paraId="5537C54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797927A" w14:textId="77777777">
            <w:pPr>
              <w:pStyle w:val="p-table"/>
              <w:jc w:val="right"/>
              <w:rPr>
                <w:sz w:val="17"/>
              </w:rPr>
            </w:pPr>
            <w:r>
              <w:rPr>
                <w:sz w:val="17"/>
              </w:rPr>
              <w:t>1.153</w:t>
            </w:r>
          </w:p>
        </w:tc>
      </w:tr>
      <w:tr w:rsidR="006B6965" w14:paraId="6077191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E203F3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626F4C8"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3F896C88" w14:textId="77777777">
            <w:pPr>
              <w:pStyle w:val="p-table"/>
              <w:jc w:val="right"/>
              <w:rPr>
                <w:sz w:val="17"/>
              </w:rPr>
            </w:pPr>
            <w:r>
              <w:rPr>
                <w:sz w:val="17"/>
              </w:rPr>
              <w:t>1.104</w:t>
            </w:r>
          </w:p>
        </w:tc>
        <w:tc>
          <w:tcPr>
            <w:tcW w:w="1377" w:type="dxa"/>
            <w:tcBorders>
              <w:bottom w:val="single" w:color="009EE0" w:sz="2" w:space="0"/>
            </w:tcBorders>
            <w:tcMar>
              <w:top w:w="22" w:type="dxa"/>
              <w:left w:w="28" w:type="dxa"/>
              <w:bottom w:w="22" w:type="dxa"/>
              <w:right w:w="28" w:type="dxa"/>
            </w:tcMar>
          </w:tcPr>
          <w:p w:rsidR="006B6965" w:rsidRDefault="003A166B" w14:paraId="16156903" w14:textId="77777777">
            <w:pPr>
              <w:pStyle w:val="p-table"/>
              <w:jc w:val="right"/>
              <w:rPr>
                <w:sz w:val="17"/>
              </w:rPr>
            </w:pPr>
            <w:r>
              <w:rPr>
                <w:sz w:val="17"/>
              </w:rPr>
              <w:t>‒</w:t>
            </w:r>
            <w:r>
              <w:rPr>
                <w:sz w:val="17"/>
              </w:rPr>
              <w:t xml:space="preserve"> 74</w:t>
            </w:r>
          </w:p>
        </w:tc>
        <w:tc>
          <w:tcPr>
            <w:tcW w:w="1377" w:type="dxa"/>
            <w:tcBorders>
              <w:bottom w:val="single" w:color="009EE0" w:sz="2" w:space="0"/>
            </w:tcBorders>
            <w:tcMar>
              <w:top w:w="22" w:type="dxa"/>
              <w:left w:w="28" w:type="dxa"/>
              <w:bottom w:w="22" w:type="dxa"/>
              <w:right w:w="28" w:type="dxa"/>
            </w:tcMar>
          </w:tcPr>
          <w:p w:rsidR="006B6965" w:rsidRDefault="003A166B" w14:paraId="4E6A5621" w14:textId="77777777">
            <w:pPr>
              <w:pStyle w:val="p-table"/>
              <w:jc w:val="right"/>
              <w:rPr>
                <w:sz w:val="17"/>
              </w:rPr>
            </w:pPr>
            <w:r>
              <w:rPr>
                <w:sz w:val="17"/>
              </w:rPr>
              <w:t>1.030</w:t>
            </w:r>
          </w:p>
        </w:tc>
      </w:tr>
      <w:tr w:rsidR="006B6965" w14:paraId="6F1C5D7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40B414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ED52A06"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62B9F61A" w14:textId="77777777">
            <w:pPr>
              <w:pStyle w:val="p-table"/>
              <w:jc w:val="right"/>
              <w:rPr>
                <w:sz w:val="17"/>
              </w:rPr>
            </w:pPr>
            <w:r>
              <w:rPr>
                <w:i/>
                <w:sz w:val="17"/>
              </w:rPr>
              <w:t>2.056</w:t>
            </w:r>
          </w:p>
        </w:tc>
        <w:tc>
          <w:tcPr>
            <w:tcW w:w="1377" w:type="dxa"/>
            <w:tcBorders>
              <w:bottom w:val="single" w:color="009EE0" w:sz="2" w:space="0"/>
            </w:tcBorders>
            <w:tcMar>
              <w:top w:w="22" w:type="dxa"/>
              <w:left w:w="28" w:type="dxa"/>
              <w:bottom w:w="22" w:type="dxa"/>
              <w:right w:w="28" w:type="dxa"/>
            </w:tcMar>
          </w:tcPr>
          <w:p w:rsidR="006B6965" w:rsidRDefault="003A166B" w14:paraId="1323400E" w14:textId="77777777">
            <w:pPr>
              <w:pStyle w:val="p-table"/>
              <w:jc w:val="right"/>
              <w:rPr>
                <w:sz w:val="17"/>
              </w:rPr>
            </w:pPr>
            <w:r>
              <w:rPr>
                <w:i/>
                <w:sz w:val="17"/>
              </w:rPr>
              <w:t>193</w:t>
            </w:r>
          </w:p>
        </w:tc>
        <w:tc>
          <w:tcPr>
            <w:tcW w:w="1377" w:type="dxa"/>
            <w:tcBorders>
              <w:bottom w:val="single" w:color="009EE0" w:sz="2" w:space="0"/>
            </w:tcBorders>
            <w:tcMar>
              <w:top w:w="22" w:type="dxa"/>
              <w:left w:w="28" w:type="dxa"/>
              <w:bottom w:w="22" w:type="dxa"/>
              <w:right w:w="28" w:type="dxa"/>
            </w:tcMar>
          </w:tcPr>
          <w:p w:rsidR="006B6965" w:rsidRDefault="003A166B" w14:paraId="4A5D0F2F" w14:textId="77777777">
            <w:pPr>
              <w:pStyle w:val="p-table"/>
              <w:jc w:val="right"/>
              <w:rPr>
                <w:sz w:val="17"/>
              </w:rPr>
            </w:pPr>
            <w:r>
              <w:rPr>
                <w:i/>
                <w:sz w:val="17"/>
              </w:rPr>
              <w:t>2.249</w:t>
            </w:r>
          </w:p>
        </w:tc>
      </w:tr>
      <w:tr w:rsidR="006B6965" w14:paraId="4597498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E3A341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9EDF183" w14:textId="77777777">
            <w:pPr>
              <w:pStyle w:val="p-table"/>
              <w:rPr>
                <w:sz w:val="17"/>
              </w:rPr>
            </w:pPr>
            <w:r>
              <w:rPr>
                <w:sz w:val="17"/>
              </w:rPr>
              <w:t>Bijdrage aan agentschap RWS</w:t>
            </w:r>
          </w:p>
        </w:tc>
        <w:tc>
          <w:tcPr>
            <w:tcW w:w="1377" w:type="dxa"/>
            <w:tcBorders>
              <w:bottom w:val="single" w:color="009EE0" w:sz="2" w:space="0"/>
            </w:tcBorders>
            <w:tcMar>
              <w:top w:w="22" w:type="dxa"/>
              <w:left w:w="28" w:type="dxa"/>
              <w:bottom w:w="22" w:type="dxa"/>
              <w:right w:w="28" w:type="dxa"/>
            </w:tcMar>
          </w:tcPr>
          <w:p w:rsidR="006B6965" w:rsidRDefault="003A166B" w14:paraId="0856F22E" w14:textId="77777777">
            <w:pPr>
              <w:pStyle w:val="p-table"/>
              <w:jc w:val="right"/>
              <w:rPr>
                <w:sz w:val="17"/>
              </w:rPr>
            </w:pPr>
            <w:r>
              <w:rPr>
                <w:sz w:val="17"/>
              </w:rPr>
              <w:t>334</w:t>
            </w:r>
          </w:p>
        </w:tc>
        <w:tc>
          <w:tcPr>
            <w:tcW w:w="1377" w:type="dxa"/>
            <w:tcBorders>
              <w:bottom w:val="single" w:color="009EE0" w:sz="2" w:space="0"/>
            </w:tcBorders>
            <w:tcMar>
              <w:top w:w="22" w:type="dxa"/>
              <w:left w:w="28" w:type="dxa"/>
              <w:bottom w:w="22" w:type="dxa"/>
              <w:right w:w="28" w:type="dxa"/>
            </w:tcMar>
          </w:tcPr>
          <w:p w:rsidR="006B6965" w:rsidRDefault="003A166B" w14:paraId="0A957C0C"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3C487B7" w14:textId="77777777">
            <w:pPr>
              <w:pStyle w:val="p-table"/>
              <w:jc w:val="right"/>
              <w:rPr>
                <w:sz w:val="17"/>
              </w:rPr>
            </w:pPr>
            <w:r>
              <w:rPr>
                <w:sz w:val="17"/>
              </w:rPr>
              <w:t>334</w:t>
            </w:r>
          </w:p>
        </w:tc>
      </w:tr>
      <w:tr w:rsidR="006B6965" w14:paraId="00DB691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7EC95E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A3FEBA1" w14:textId="77777777">
            <w:pPr>
              <w:pStyle w:val="p-table"/>
              <w:rPr>
                <w:sz w:val="17"/>
              </w:rPr>
            </w:pPr>
            <w:r>
              <w:rPr>
                <w:sz w:val="17"/>
              </w:rPr>
              <w:t>Bijdrage aan agentschap KNMI</w:t>
            </w:r>
          </w:p>
        </w:tc>
        <w:tc>
          <w:tcPr>
            <w:tcW w:w="1377" w:type="dxa"/>
            <w:tcBorders>
              <w:bottom w:val="single" w:color="009EE0" w:sz="2" w:space="0"/>
            </w:tcBorders>
            <w:tcMar>
              <w:top w:w="22" w:type="dxa"/>
              <w:left w:w="28" w:type="dxa"/>
              <w:bottom w:w="22" w:type="dxa"/>
              <w:right w:w="28" w:type="dxa"/>
            </w:tcMar>
          </w:tcPr>
          <w:p w:rsidR="006B6965" w:rsidRDefault="003A166B" w14:paraId="713F4D1C" w14:textId="77777777">
            <w:pPr>
              <w:pStyle w:val="p-table"/>
              <w:jc w:val="right"/>
              <w:rPr>
                <w:sz w:val="17"/>
              </w:rPr>
            </w:pPr>
            <w:r>
              <w:rPr>
                <w:sz w:val="17"/>
              </w:rPr>
              <w:t>30</w:t>
            </w:r>
          </w:p>
        </w:tc>
        <w:tc>
          <w:tcPr>
            <w:tcW w:w="1377" w:type="dxa"/>
            <w:tcBorders>
              <w:bottom w:val="single" w:color="009EE0" w:sz="2" w:space="0"/>
            </w:tcBorders>
            <w:tcMar>
              <w:top w:w="22" w:type="dxa"/>
              <w:left w:w="28" w:type="dxa"/>
              <w:bottom w:w="22" w:type="dxa"/>
              <w:right w:w="28" w:type="dxa"/>
            </w:tcMar>
          </w:tcPr>
          <w:p w:rsidR="006B6965" w:rsidRDefault="003A166B" w14:paraId="247E324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85B47BA" w14:textId="77777777">
            <w:pPr>
              <w:pStyle w:val="p-table"/>
              <w:jc w:val="right"/>
              <w:rPr>
                <w:sz w:val="17"/>
              </w:rPr>
            </w:pPr>
            <w:r>
              <w:rPr>
                <w:sz w:val="17"/>
              </w:rPr>
              <w:t>30</w:t>
            </w:r>
          </w:p>
        </w:tc>
      </w:tr>
      <w:tr w:rsidR="006B6965" w14:paraId="12B78D5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C5A510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FE30E3A" w14:textId="77777777">
            <w:pPr>
              <w:pStyle w:val="p-table"/>
              <w:rPr>
                <w:sz w:val="17"/>
              </w:rPr>
            </w:pPr>
            <w:r>
              <w:rPr>
                <w:sz w:val="17"/>
              </w:rPr>
              <w:t>Bijdrage aan agentschap RVO</w:t>
            </w:r>
          </w:p>
        </w:tc>
        <w:tc>
          <w:tcPr>
            <w:tcW w:w="1377" w:type="dxa"/>
            <w:tcBorders>
              <w:bottom w:val="single" w:color="009EE0" w:sz="2" w:space="0"/>
            </w:tcBorders>
            <w:tcMar>
              <w:top w:w="22" w:type="dxa"/>
              <w:left w:w="28" w:type="dxa"/>
              <w:bottom w:w="22" w:type="dxa"/>
              <w:right w:w="28" w:type="dxa"/>
            </w:tcMar>
          </w:tcPr>
          <w:p w:rsidR="006B6965" w:rsidRDefault="003A166B" w14:paraId="34A58B2E" w14:textId="77777777">
            <w:pPr>
              <w:pStyle w:val="p-table"/>
              <w:jc w:val="right"/>
              <w:rPr>
                <w:sz w:val="17"/>
              </w:rPr>
            </w:pPr>
            <w:r>
              <w:rPr>
                <w:sz w:val="17"/>
              </w:rPr>
              <w:t>852</w:t>
            </w:r>
          </w:p>
        </w:tc>
        <w:tc>
          <w:tcPr>
            <w:tcW w:w="1377" w:type="dxa"/>
            <w:tcBorders>
              <w:bottom w:val="single" w:color="009EE0" w:sz="2" w:space="0"/>
            </w:tcBorders>
            <w:tcMar>
              <w:top w:w="22" w:type="dxa"/>
              <w:left w:w="28" w:type="dxa"/>
              <w:bottom w:w="22" w:type="dxa"/>
              <w:right w:w="28" w:type="dxa"/>
            </w:tcMar>
          </w:tcPr>
          <w:p w:rsidR="006B6965" w:rsidRDefault="003A166B" w14:paraId="4DD941D2" w14:textId="77777777">
            <w:pPr>
              <w:pStyle w:val="p-table"/>
              <w:jc w:val="right"/>
              <w:rPr>
                <w:sz w:val="17"/>
              </w:rPr>
            </w:pPr>
            <w:r>
              <w:rPr>
                <w:sz w:val="17"/>
              </w:rPr>
              <w:t>‒</w:t>
            </w:r>
            <w:r>
              <w:rPr>
                <w:sz w:val="17"/>
              </w:rPr>
              <w:t xml:space="preserve"> 55</w:t>
            </w:r>
          </w:p>
        </w:tc>
        <w:tc>
          <w:tcPr>
            <w:tcW w:w="1377" w:type="dxa"/>
            <w:tcBorders>
              <w:bottom w:val="single" w:color="009EE0" w:sz="2" w:space="0"/>
            </w:tcBorders>
            <w:tcMar>
              <w:top w:w="22" w:type="dxa"/>
              <w:left w:w="28" w:type="dxa"/>
              <w:bottom w:w="22" w:type="dxa"/>
              <w:right w:w="28" w:type="dxa"/>
            </w:tcMar>
          </w:tcPr>
          <w:p w:rsidR="006B6965" w:rsidRDefault="003A166B" w14:paraId="22BEF486" w14:textId="77777777">
            <w:pPr>
              <w:pStyle w:val="p-table"/>
              <w:jc w:val="right"/>
              <w:rPr>
                <w:sz w:val="17"/>
              </w:rPr>
            </w:pPr>
            <w:r>
              <w:rPr>
                <w:sz w:val="17"/>
              </w:rPr>
              <w:t>797</w:t>
            </w:r>
          </w:p>
        </w:tc>
      </w:tr>
      <w:tr w:rsidR="006B6965" w14:paraId="154D9C9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6B672E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0633DD8" w14:textId="77777777">
            <w:pPr>
              <w:pStyle w:val="p-table"/>
              <w:rPr>
                <w:sz w:val="17"/>
              </w:rPr>
            </w:pPr>
            <w:r>
              <w:rPr>
                <w:sz w:val="17"/>
              </w:rPr>
              <w:t>Bijdrage aan agentschap RIVM</w:t>
            </w:r>
          </w:p>
        </w:tc>
        <w:tc>
          <w:tcPr>
            <w:tcW w:w="1377" w:type="dxa"/>
            <w:tcBorders>
              <w:bottom w:val="single" w:color="009EE0" w:sz="2" w:space="0"/>
            </w:tcBorders>
            <w:tcMar>
              <w:top w:w="22" w:type="dxa"/>
              <w:left w:w="28" w:type="dxa"/>
              <w:bottom w:w="22" w:type="dxa"/>
              <w:right w:w="28" w:type="dxa"/>
            </w:tcMar>
          </w:tcPr>
          <w:p w:rsidR="006B6965" w:rsidRDefault="003A166B" w14:paraId="3A486235" w14:textId="77777777">
            <w:pPr>
              <w:pStyle w:val="p-table"/>
              <w:jc w:val="right"/>
              <w:rPr>
                <w:sz w:val="17"/>
              </w:rPr>
            </w:pPr>
            <w:r>
              <w:rPr>
                <w:sz w:val="17"/>
              </w:rPr>
              <w:t>330</w:t>
            </w:r>
          </w:p>
        </w:tc>
        <w:tc>
          <w:tcPr>
            <w:tcW w:w="1377" w:type="dxa"/>
            <w:tcBorders>
              <w:bottom w:val="single" w:color="009EE0" w:sz="2" w:space="0"/>
            </w:tcBorders>
            <w:tcMar>
              <w:top w:w="22" w:type="dxa"/>
              <w:left w:w="28" w:type="dxa"/>
              <w:bottom w:w="22" w:type="dxa"/>
              <w:right w:w="28" w:type="dxa"/>
            </w:tcMar>
          </w:tcPr>
          <w:p w:rsidR="006B6965" w:rsidRDefault="003A166B" w14:paraId="05EC63D3" w14:textId="77777777">
            <w:pPr>
              <w:pStyle w:val="p-table"/>
              <w:jc w:val="right"/>
              <w:rPr>
                <w:sz w:val="17"/>
              </w:rPr>
            </w:pPr>
            <w:r>
              <w:rPr>
                <w:sz w:val="17"/>
              </w:rPr>
              <w:t>10</w:t>
            </w:r>
          </w:p>
        </w:tc>
        <w:tc>
          <w:tcPr>
            <w:tcW w:w="1377" w:type="dxa"/>
            <w:tcBorders>
              <w:bottom w:val="single" w:color="009EE0" w:sz="2" w:space="0"/>
            </w:tcBorders>
            <w:tcMar>
              <w:top w:w="22" w:type="dxa"/>
              <w:left w:w="28" w:type="dxa"/>
              <w:bottom w:w="22" w:type="dxa"/>
              <w:right w:w="28" w:type="dxa"/>
            </w:tcMar>
          </w:tcPr>
          <w:p w:rsidR="006B6965" w:rsidRDefault="003A166B" w14:paraId="58BE3D97" w14:textId="77777777">
            <w:pPr>
              <w:pStyle w:val="p-table"/>
              <w:jc w:val="right"/>
              <w:rPr>
                <w:sz w:val="17"/>
              </w:rPr>
            </w:pPr>
            <w:r>
              <w:rPr>
                <w:sz w:val="17"/>
              </w:rPr>
              <w:t>340</w:t>
            </w:r>
          </w:p>
        </w:tc>
      </w:tr>
      <w:tr w:rsidR="006B6965" w14:paraId="0C2F55F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D7CA19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1513206" w14:textId="77777777">
            <w:pPr>
              <w:pStyle w:val="p-table"/>
              <w:rPr>
                <w:sz w:val="17"/>
              </w:rPr>
            </w:pPr>
            <w:r>
              <w:rPr>
                <w:sz w:val="17"/>
              </w:rPr>
              <w:t xml:space="preserve">Bijdrage aan agentschap RWS </w:t>
            </w:r>
            <w:r>
              <w:rPr>
                <w:sz w:val="17"/>
              </w:rPr>
              <w:t>(Caribisch Nederland)</w:t>
            </w:r>
          </w:p>
        </w:tc>
        <w:tc>
          <w:tcPr>
            <w:tcW w:w="1377" w:type="dxa"/>
            <w:tcBorders>
              <w:bottom w:val="single" w:color="009EE0" w:sz="2" w:space="0"/>
            </w:tcBorders>
            <w:tcMar>
              <w:top w:w="22" w:type="dxa"/>
              <w:left w:w="28" w:type="dxa"/>
              <w:bottom w:w="22" w:type="dxa"/>
              <w:right w:w="28" w:type="dxa"/>
            </w:tcMar>
          </w:tcPr>
          <w:p w:rsidR="006B6965" w:rsidRDefault="003A166B" w14:paraId="72F8BAD0" w14:textId="77777777">
            <w:pPr>
              <w:pStyle w:val="p-table"/>
              <w:jc w:val="right"/>
              <w:rPr>
                <w:sz w:val="17"/>
              </w:rPr>
            </w:pPr>
            <w:r>
              <w:rPr>
                <w:sz w:val="17"/>
              </w:rPr>
              <w:t>10</w:t>
            </w:r>
          </w:p>
        </w:tc>
        <w:tc>
          <w:tcPr>
            <w:tcW w:w="1377" w:type="dxa"/>
            <w:tcBorders>
              <w:bottom w:val="single" w:color="009EE0" w:sz="2" w:space="0"/>
            </w:tcBorders>
            <w:tcMar>
              <w:top w:w="22" w:type="dxa"/>
              <w:left w:w="28" w:type="dxa"/>
              <w:bottom w:w="22" w:type="dxa"/>
              <w:right w:w="28" w:type="dxa"/>
            </w:tcMar>
          </w:tcPr>
          <w:p w:rsidR="006B6965" w:rsidRDefault="003A166B" w14:paraId="4B23A4F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17C64AF" w14:textId="77777777">
            <w:pPr>
              <w:pStyle w:val="p-table"/>
              <w:jc w:val="right"/>
              <w:rPr>
                <w:sz w:val="17"/>
              </w:rPr>
            </w:pPr>
            <w:r>
              <w:rPr>
                <w:sz w:val="17"/>
              </w:rPr>
              <w:t>10</w:t>
            </w:r>
          </w:p>
        </w:tc>
      </w:tr>
      <w:tr w:rsidR="006B6965" w14:paraId="0CA95D9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F015D5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265A093" w14:textId="77777777">
            <w:pPr>
              <w:pStyle w:val="p-table"/>
              <w:rPr>
                <w:sz w:val="17"/>
              </w:rPr>
            </w:pPr>
            <w:r>
              <w:rPr>
                <w:sz w:val="17"/>
              </w:rPr>
              <w:t>Bijdrage aan agentschap RVO (NGF)</w:t>
            </w:r>
          </w:p>
        </w:tc>
        <w:tc>
          <w:tcPr>
            <w:tcW w:w="1377" w:type="dxa"/>
            <w:tcBorders>
              <w:bottom w:val="single" w:color="009EE0" w:sz="2" w:space="0"/>
            </w:tcBorders>
            <w:tcMar>
              <w:top w:w="22" w:type="dxa"/>
              <w:left w:w="28" w:type="dxa"/>
              <w:bottom w:w="22" w:type="dxa"/>
              <w:right w:w="28" w:type="dxa"/>
            </w:tcMar>
          </w:tcPr>
          <w:p w:rsidR="006B6965" w:rsidRDefault="003A166B" w14:paraId="4FCE116D" w14:textId="77777777">
            <w:pPr>
              <w:pStyle w:val="p-table"/>
              <w:jc w:val="right"/>
              <w:rPr>
                <w:sz w:val="17"/>
              </w:rPr>
            </w:pPr>
            <w:r>
              <w:rPr>
                <w:sz w:val="17"/>
              </w:rPr>
              <w:t>500</w:t>
            </w:r>
          </w:p>
        </w:tc>
        <w:tc>
          <w:tcPr>
            <w:tcW w:w="1377" w:type="dxa"/>
            <w:tcBorders>
              <w:bottom w:val="single" w:color="009EE0" w:sz="2" w:space="0"/>
            </w:tcBorders>
            <w:tcMar>
              <w:top w:w="22" w:type="dxa"/>
              <w:left w:w="28" w:type="dxa"/>
              <w:bottom w:w="22" w:type="dxa"/>
              <w:right w:w="28" w:type="dxa"/>
            </w:tcMar>
          </w:tcPr>
          <w:p w:rsidR="006B6965" w:rsidRDefault="003A166B" w14:paraId="2F7F5D43"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429A4F0" w14:textId="77777777">
            <w:pPr>
              <w:pStyle w:val="p-table"/>
              <w:jc w:val="right"/>
              <w:rPr>
                <w:sz w:val="17"/>
              </w:rPr>
            </w:pPr>
            <w:r>
              <w:rPr>
                <w:sz w:val="17"/>
              </w:rPr>
              <w:t>500</w:t>
            </w:r>
          </w:p>
        </w:tc>
      </w:tr>
      <w:tr w:rsidR="006B6965" w14:paraId="021046A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878FC0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4691732"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3EABA8A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A7250E1" w14:textId="77777777">
            <w:pPr>
              <w:pStyle w:val="p-table"/>
              <w:jc w:val="right"/>
              <w:rPr>
                <w:sz w:val="17"/>
              </w:rPr>
            </w:pPr>
            <w:r>
              <w:rPr>
                <w:sz w:val="17"/>
              </w:rPr>
              <w:t>238</w:t>
            </w:r>
          </w:p>
        </w:tc>
        <w:tc>
          <w:tcPr>
            <w:tcW w:w="1377" w:type="dxa"/>
            <w:tcBorders>
              <w:bottom w:val="single" w:color="009EE0" w:sz="2" w:space="0"/>
            </w:tcBorders>
            <w:tcMar>
              <w:top w:w="22" w:type="dxa"/>
              <w:left w:w="28" w:type="dxa"/>
              <w:bottom w:w="22" w:type="dxa"/>
              <w:right w:w="28" w:type="dxa"/>
            </w:tcMar>
          </w:tcPr>
          <w:p w:rsidR="006B6965" w:rsidRDefault="003A166B" w14:paraId="6E95C0BF" w14:textId="77777777">
            <w:pPr>
              <w:pStyle w:val="p-table"/>
              <w:jc w:val="right"/>
              <w:rPr>
                <w:sz w:val="17"/>
              </w:rPr>
            </w:pPr>
            <w:r>
              <w:rPr>
                <w:sz w:val="17"/>
              </w:rPr>
              <w:t>238</w:t>
            </w:r>
          </w:p>
        </w:tc>
      </w:tr>
      <w:tr w:rsidR="006B6965" w14:paraId="15DCCE9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572C0B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E591795"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1AEAA8D1" w14:textId="77777777">
            <w:pPr>
              <w:pStyle w:val="p-table"/>
              <w:jc w:val="right"/>
              <w:rPr>
                <w:sz w:val="17"/>
              </w:rPr>
            </w:pPr>
            <w:r>
              <w:rPr>
                <w:i/>
                <w:sz w:val="17"/>
              </w:rPr>
              <w:t>1.427</w:t>
            </w:r>
          </w:p>
        </w:tc>
        <w:tc>
          <w:tcPr>
            <w:tcW w:w="1377" w:type="dxa"/>
            <w:tcBorders>
              <w:bottom w:val="single" w:color="009EE0" w:sz="2" w:space="0"/>
            </w:tcBorders>
            <w:tcMar>
              <w:top w:w="22" w:type="dxa"/>
              <w:left w:w="28" w:type="dxa"/>
              <w:bottom w:w="22" w:type="dxa"/>
              <w:right w:w="28" w:type="dxa"/>
            </w:tcMar>
          </w:tcPr>
          <w:p w:rsidR="006B6965" w:rsidRDefault="003A166B" w14:paraId="375B0CCE"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B06FB20" w14:textId="77777777">
            <w:pPr>
              <w:pStyle w:val="p-table"/>
              <w:jc w:val="right"/>
              <w:rPr>
                <w:sz w:val="17"/>
              </w:rPr>
            </w:pPr>
            <w:r>
              <w:rPr>
                <w:i/>
                <w:sz w:val="17"/>
              </w:rPr>
              <w:t>1.427</w:t>
            </w:r>
          </w:p>
        </w:tc>
      </w:tr>
      <w:tr w:rsidR="006B6965" w14:paraId="7087CB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2EF74F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767F5D6" w14:textId="77777777">
            <w:pPr>
              <w:pStyle w:val="p-table"/>
              <w:rPr>
                <w:sz w:val="17"/>
              </w:rPr>
            </w:pPr>
            <w:r>
              <w:rPr>
                <w:sz w:val="17"/>
              </w:rPr>
              <w:t>Bijdrage Caribisch Nederland</w:t>
            </w:r>
          </w:p>
        </w:tc>
        <w:tc>
          <w:tcPr>
            <w:tcW w:w="1377" w:type="dxa"/>
            <w:tcBorders>
              <w:bottom w:val="single" w:color="009EE0" w:sz="2" w:space="0"/>
            </w:tcBorders>
            <w:tcMar>
              <w:top w:w="22" w:type="dxa"/>
              <w:left w:w="28" w:type="dxa"/>
              <w:bottom w:w="22" w:type="dxa"/>
              <w:right w:w="28" w:type="dxa"/>
            </w:tcMar>
          </w:tcPr>
          <w:p w:rsidR="006B6965" w:rsidRDefault="003A166B" w14:paraId="7A4EEA1B" w14:textId="77777777">
            <w:pPr>
              <w:pStyle w:val="p-table"/>
              <w:jc w:val="right"/>
              <w:rPr>
                <w:sz w:val="17"/>
              </w:rPr>
            </w:pPr>
            <w:r>
              <w:rPr>
                <w:sz w:val="17"/>
              </w:rPr>
              <w:t>1.427</w:t>
            </w:r>
          </w:p>
        </w:tc>
        <w:tc>
          <w:tcPr>
            <w:tcW w:w="1377" w:type="dxa"/>
            <w:tcBorders>
              <w:bottom w:val="single" w:color="009EE0" w:sz="2" w:space="0"/>
            </w:tcBorders>
            <w:tcMar>
              <w:top w:w="22" w:type="dxa"/>
              <w:left w:w="28" w:type="dxa"/>
              <w:bottom w:w="22" w:type="dxa"/>
              <w:right w:w="28" w:type="dxa"/>
            </w:tcMar>
          </w:tcPr>
          <w:p w:rsidR="006B6965" w:rsidRDefault="003A166B" w14:paraId="40780612"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78DA88B" w14:textId="77777777">
            <w:pPr>
              <w:pStyle w:val="p-table"/>
              <w:jc w:val="right"/>
              <w:rPr>
                <w:sz w:val="17"/>
              </w:rPr>
            </w:pPr>
            <w:r>
              <w:rPr>
                <w:sz w:val="17"/>
              </w:rPr>
              <w:t>1.427</w:t>
            </w:r>
          </w:p>
        </w:tc>
      </w:tr>
      <w:tr w:rsidR="006B6965" w14:paraId="3CA27A0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49E0E0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E8E174F"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0C2124F1" w14:textId="77777777">
            <w:pPr>
              <w:pStyle w:val="p-table"/>
              <w:jc w:val="right"/>
              <w:rPr>
                <w:sz w:val="17"/>
              </w:rPr>
            </w:pPr>
            <w:r>
              <w:rPr>
                <w:i/>
                <w:sz w:val="17"/>
              </w:rPr>
              <w:t>1.627</w:t>
            </w:r>
          </w:p>
        </w:tc>
        <w:tc>
          <w:tcPr>
            <w:tcW w:w="1377" w:type="dxa"/>
            <w:tcBorders>
              <w:bottom w:val="single" w:color="009EE0" w:sz="2" w:space="0"/>
            </w:tcBorders>
            <w:tcMar>
              <w:top w:w="22" w:type="dxa"/>
              <w:left w:w="28" w:type="dxa"/>
              <w:bottom w:w="22" w:type="dxa"/>
              <w:right w:w="28" w:type="dxa"/>
            </w:tcMar>
          </w:tcPr>
          <w:p w:rsidR="006B6965" w:rsidRDefault="003A166B" w14:paraId="6E92F2F6"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67FB72A" w14:textId="77777777">
            <w:pPr>
              <w:pStyle w:val="p-table"/>
              <w:jc w:val="right"/>
              <w:rPr>
                <w:sz w:val="17"/>
              </w:rPr>
            </w:pPr>
            <w:r>
              <w:rPr>
                <w:i/>
                <w:sz w:val="17"/>
              </w:rPr>
              <w:t>1.627</w:t>
            </w:r>
          </w:p>
        </w:tc>
      </w:tr>
      <w:tr w:rsidR="006B6965" w14:paraId="1598AC3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030727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DA3950C" w14:textId="77777777">
            <w:pPr>
              <w:pStyle w:val="p-table"/>
              <w:rPr>
                <w:sz w:val="17"/>
              </w:rPr>
            </w:pPr>
            <w:r>
              <w:rPr>
                <w:sz w:val="17"/>
              </w:rPr>
              <w:t>ICAO (HGIS)</w:t>
            </w:r>
          </w:p>
        </w:tc>
        <w:tc>
          <w:tcPr>
            <w:tcW w:w="1377" w:type="dxa"/>
            <w:tcBorders>
              <w:bottom w:val="single" w:color="009EE0" w:sz="2" w:space="0"/>
            </w:tcBorders>
            <w:tcMar>
              <w:top w:w="22" w:type="dxa"/>
              <w:left w:w="28" w:type="dxa"/>
              <w:bottom w:w="22" w:type="dxa"/>
              <w:right w:w="28" w:type="dxa"/>
            </w:tcMar>
          </w:tcPr>
          <w:p w:rsidR="006B6965" w:rsidRDefault="003A166B" w14:paraId="2799BD16" w14:textId="77777777">
            <w:pPr>
              <w:pStyle w:val="p-table"/>
              <w:jc w:val="right"/>
              <w:rPr>
                <w:sz w:val="17"/>
              </w:rPr>
            </w:pPr>
            <w:r>
              <w:rPr>
                <w:sz w:val="17"/>
              </w:rPr>
              <w:t>1.455</w:t>
            </w:r>
          </w:p>
        </w:tc>
        <w:tc>
          <w:tcPr>
            <w:tcW w:w="1377" w:type="dxa"/>
            <w:tcBorders>
              <w:bottom w:val="single" w:color="009EE0" w:sz="2" w:space="0"/>
            </w:tcBorders>
            <w:tcMar>
              <w:top w:w="22" w:type="dxa"/>
              <w:left w:w="28" w:type="dxa"/>
              <w:bottom w:w="22" w:type="dxa"/>
              <w:right w:w="28" w:type="dxa"/>
            </w:tcMar>
          </w:tcPr>
          <w:p w:rsidR="006B6965" w:rsidRDefault="003A166B" w14:paraId="4FF7B2A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C8DC3AD" w14:textId="77777777">
            <w:pPr>
              <w:pStyle w:val="p-table"/>
              <w:jc w:val="right"/>
              <w:rPr>
                <w:sz w:val="17"/>
              </w:rPr>
            </w:pPr>
            <w:r>
              <w:rPr>
                <w:sz w:val="17"/>
              </w:rPr>
              <w:t>1.455</w:t>
            </w:r>
          </w:p>
        </w:tc>
      </w:tr>
      <w:tr w:rsidR="006B6965" w14:paraId="02694F4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D13E19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EC26AB9"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23850144" w14:textId="77777777">
            <w:pPr>
              <w:pStyle w:val="p-table"/>
              <w:jc w:val="right"/>
              <w:rPr>
                <w:sz w:val="17"/>
              </w:rPr>
            </w:pPr>
            <w:r>
              <w:rPr>
                <w:sz w:val="17"/>
              </w:rPr>
              <w:t>172</w:t>
            </w:r>
          </w:p>
        </w:tc>
        <w:tc>
          <w:tcPr>
            <w:tcW w:w="1377" w:type="dxa"/>
            <w:tcBorders>
              <w:bottom w:val="single" w:color="009EE0" w:sz="2" w:space="0"/>
            </w:tcBorders>
            <w:tcMar>
              <w:top w:w="22" w:type="dxa"/>
              <w:left w:w="28" w:type="dxa"/>
              <w:bottom w:w="22" w:type="dxa"/>
              <w:right w:w="28" w:type="dxa"/>
            </w:tcMar>
          </w:tcPr>
          <w:p w:rsidR="006B6965" w:rsidRDefault="003A166B" w14:paraId="408E612C"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132BC29" w14:textId="77777777">
            <w:pPr>
              <w:pStyle w:val="p-table"/>
              <w:jc w:val="right"/>
              <w:rPr>
                <w:sz w:val="17"/>
              </w:rPr>
            </w:pPr>
            <w:r>
              <w:rPr>
                <w:sz w:val="17"/>
              </w:rPr>
              <w:t>172</w:t>
            </w:r>
          </w:p>
        </w:tc>
      </w:tr>
      <w:tr w:rsidR="006B6965" w14:paraId="60F60C4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D14381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BB841D1" w14:textId="77777777">
            <w:pPr>
              <w:pStyle w:val="p-table"/>
              <w:rPr>
                <w:sz w:val="17"/>
              </w:rPr>
            </w:pPr>
            <w:r>
              <w:rPr>
                <w:i/>
                <w:sz w:val="17"/>
              </w:rPr>
              <w:t>Bijdrage aan ZBO's/</w:t>
            </w:r>
            <w:proofErr w:type="spellStart"/>
            <w:r>
              <w:rPr>
                <w:i/>
                <w:sz w:val="17"/>
              </w:rPr>
              <w:t>RWT's</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56C1C4A5" w14:textId="77777777">
            <w:pPr>
              <w:pStyle w:val="p-table"/>
              <w:jc w:val="right"/>
              <w:rPr>
                <w:sz w:val="17"/>
              </w:rPr>
            </w:pPr>
            <w:r>
              <w:rPr>
                <w:i/>
                <w:sz w:val="17"/>
              </w:rPr>
              <w:t>374</w:t>
            </w:r>
          </w:p>
        </w:tc>
        <w:tc>
          <w:tcPr>
            <w:tcW w:w="1377" w:type="dxa"/>
            <w:tcBorders>
              <w:bottom w:val="single" w:color="009EE0" w:sz="2" w:space="0"/>
            </w:tcBorders>
            <w:tcMar>
              <w:top w:w="22" w:type="dxa"/>
              <w:left w:w="28" w:type="dxa"/>
              <w:bottom w:w="22" w:type="dxa"/>
              <w:right w:w="28" w:type="dxa"/>
            </w:tcMar>
          </w:tcPr>
          <w:p w:rsidR="006B6965" w:rsidRDefault="003A166B" w14:paraId="62A1BFFC" w14:textId="77777777">
            <w:pPr>
              <w:pStyle w:val="p-table"/>
              <w:jc w:val="right"/>
              <w:rPr>
                <w:sz w:val="17"/>
              </w:rPr>
            </w:pPr>
            <w:r>
              <w:rPr>
                <w:i/>
                <w:sz w:val="17"/>
              </w:rPr>
              <w:t>518</w:t>
            </w:r>
          </w:p>
        </w:tc>
        <w:tc>
          <w:tcPr>
            <w:tcW w:w="1377" w:type="dxa"/>
            <w:tcBorders>
              <w:bottom w:val="single" w:color="009EE0" w:sz="2" w:space="0"/>
            </w:tcBorders>
            <w:tcMar>
              <w:top w:w="22" w:type="dxa"/>
              <w:left w:w="28" w:type="dxa"/>
              <w:bottom w:w="22" w:type="dxa"/>
              <w:right w:w="28" w:type="dxa"/>
            </w:tcMar>
          </w:tcPr>
          <w:p w:rsidR="006B6965" w:rsidRDefault="003A166B" w14:paraId="724F22C6" w14:textId="77777777">
            <w:pPr>
              <w:pStyle w:val="p-table"/>
              <w:jc w:val="right"/>
              <w:rPr>
                <w:sz w:val="17"/>
              </w:rPr>
            </w:pPr>
            <w:r>
              <w:rPr>
                <w:i/>
                <w:sz w:val="17"/>
              </w:rPr>
              <w:t>892</w:t>
            </w:r>
          </w:p>
        </w:tc>
      </w:tr>
      <w:tr w:rsidR="006B6965" w14:paraId="058B113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41CD7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975427A"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128404C9" w14:textId="77777777">
            <w:pPr>
              <w:pStyle w:val="p-table"/>
              <w:jc w:val="right"/>
              <w:rPr>
                <w:sz w:val="17"/>
              </w:rPr>
            </w:pPr>
            <w:r>
              <w:rPr>
                <w:sz w:val="17"/>
              </w:rPr>
              <w:t>374</w:t>
            </w:r>
          </w:p>
        </w:tc>
        <w:tc>
          <w:tcPr>
            <w:tcW w:w="1377" w:type="dxa"/>
            <w:tcBorders>
              <w:bottom w:val="single" w:color="009EE0" w:sz="2" w:space="0"/>
            </w:tcBorders>
            <w:tcMar>
              <w:top w:w="22" w:type="dxa"/>
              <w:left w:w="28" w:type="dxa"/>
              <w:bottom w:w="22" w:type="dxa"/>
              <w:right w:w="28" w:type="dxa"/>
            </w:tcMar>
          </w:tcPr>
          <w:p w:rsidR="006B6965" w:rsidRDefault="003A166B" w14:paraId="6DB84AEA" w14:textId="77777777">
            <w:pPr>
              <w:pStyle w:val="p-table"/>
              <w:jc w:val="right"/>
              <w:rPr>
                <w:sz w:val="17"/>
              </w:rPr>
            </w:pPr>
            <w:r>
              <w:rPr>
                <w:sz w:val="17"/>
              </w:rPr>
              <w:t>518</w:t>
            </w:r>
          </w:p>
        </w:tc>
        <w:tc>
          <w:tcPr>
            <w:tcW w:w="1377" w:type="dxa"/>
            <w:tcBorders>
              <w:bottom w:val="single" w:color="009EE0" w:sz="2" w:space="0"/>
            </w:tcBorders>
            <w:tcMar>
              <w:top w:w="22" w:type="dxa"/>
              <w:left w:w="28" w:type="dxa"/>
              <w:bottom w:w="22" w:type="dxa"/>
              <w:right w:w="28" w:type="dxa"/>
            </w:tcMar>
          </w:tcPr>
          <w:p w:rsidR="006B6965" w:rsidRDefault="003A166B" w14:paraId="521EE02D" w14:textId="77777777">
            <w:pPr>
              <w:pStyle w:val="p-table"/>
              <w:jc w:val="right"/>
              <w:rPr>
                <w:sz w:val="17"/>
              </w:rPr>
            </w:pPr>
            <w:r>
              <w:rPr>
                <w:sz w:val="17"/>
              </w:rPr>
              <w:t>892</w:t>
            </w:r>
          </w:p>
        </w:tc>
      </w:tr>
      <w:tr w:rsidR="006B6965" w14:paraId="660EF88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3202FE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4DB020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0EA384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47D3B2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3524431" w14:textId="77777777">
            <w:pPr>
              <w:pStyle w:val="p-table"/>
              <w:rPr>
                <w:sz w:val="17"/>
              </w:rPr>
            </w:pPr>
          </w:p>
        </w:tc>
      </w:tr>
      <w:tr w:rsidR="006B6965" w14:paraId="647DDC2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760F5A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DBD2B17"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2D2ACAE7" w14:textId="77777777">
            <w:pPr>
              <w:pStyle w:val="p-table"/>
              <w:jc w:val="right"/>
              <w:rPr>
                <w:sz w:val="17"/>
              </w:rPr>
            </w:pPr>
            <w:r>
              <w:rPr>
                <w:b/>
                <w:sz w:val="17"/>
              </w:rPr>
              <w:t>14.452</w:t>
            </w:r>
          </w:p>
        </w:tc>
        <w:tc>
          <w:tcPr>
            <w:tcW w:w="1377" w:type="dxa"/>
            <w:tcBorders>
              <w:bottom w:val="single" w:color="009EE0" w:sz="2" w:space="0"/>
            </w:tcBorders>
            <w:tcMar>
              <w:top w:w="22" w:type="dxa"/>
              <w:left w:w="28" w:type="dxa"/>
              <w:bottom w:w="22" w:type="dxa"/>
              <w:right w:w="28" w:type="dxa"/>
            </w:tcMar>
          </w:tcPr>
          <w:p w:rsidR="006B6965" w:rsidRDefault="003A166B" w14:paraId="5DB6C693" w14:textId="77777777">
            <w:pPr>
              <w:pStyle w:val="p-table"/>
              <w:jc w:val="right"/>
              <w:rPr>
                <w:sz w:val="17"/>
              </w:rPr>
            </w:pPr>
            <w:r>
              <w:rPr>
                <w:b/>
                <w:sz w:val="17"/>
              </w:rPr>
              <w:t>2.187</w:t>
            </w:r>
          </w:p>
        </w:tc>
        <w:tc>
          <w:tcPr>
            <w:tcW w:w="1377" w:type="dxa"/>
            <w:tcBorders>
              <w:bottom w:val="single" w:color="009EE0" w:sz="2" w:space="0"/>
            </w:tcBorders>
            <w:tcMar>
              <w:top w:w="22" w:type="dxa"/>
              <w:left w:w="28" w:type="dxa"/>
              <w:bottom w:w="22" w:type="dxa"/>
              <w:right w:w="28" w:type="dxa"/>
            </w:tcMar>
          </w:tcPr>
          <w:p w:rsidR="006B6965" w:rsidRDefault="003A166B" w14:paraId="47ECDA41" w14:textId="77777777">
            <w:pPr>
              <w:pStyle w:val="p-table"/>
              <w:jc w:val="right"/>
              <w:rPr>
                <w:sz w:val="17"/>
              </w:rPr>
            </w:pPr>
            <w:r>
              <w:rPr>
                <w:b/>
                <w:sz w:val="17"/>
              </w:rPr>
              <w:t>16.639</w:t>
            </w:r>
          </w:p>
        </w:tc>
      </w:tr>
      <w:tr w:rsidR="006B6965" w14:paraId="7B519B2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B74D87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CA1C59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5271D8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8A5C4A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A75FC01" w14:textId="77777777">
            <w:pPr>
              <w:pStyle w:val="p-table"/>
              <w:rPr>
                <w:sz w:val="17"/>
              </w:rPr>
            </w:pPr>
          </w:p>
        </w:tc>
      </w:tr>
    </w:tbl>
    <w:p w:rsidR="006B6965" w:rsidRDefault="006B6965" w14:paraId="04BB5EB4"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3820"/>
        <w:gridCol w:w="1968"/>
        <w:gridCol w:w="1958"/>
        <w:gridCol w:w="1948"/>
      </w:tblGrid>
      <w:tr w:rsidR="006B6965" w14:paraId="06CE00EA" w14:textId="77777777">
        <w:tblPrEx>
          <w:tblCellMar>
            <w:top w:w="0" w:type="dxa"/>
            <w:bottom w:w="0" w:type="dxa"/>
          </w:tblCellMar>
        </w:tblPrEx>
        <w:trPr>
          <w:tblHeader/>
        </w:trPr>
        <w:tc>
          <w:tcPr>
            <w:tcW w:w="9180" w:type="dxa"/>
            <w:gridSpan w:val="4"/>
            <w:tcMar>
              <w:top w:w="22" w:type="dxa"/>
              <w:left w:w="113" w:type="dxa"/>
              <w:bottom w:w="22" w:type="dxa"/>
            </w:tcMar>
          </w:tcPr>
          <w:p w:rsidR="006B6965" w:rsidRDefault="003A166B" w14:paraId="232CBFFD" w14:textId="77777777">
            <w:pPr>
              <w:pStyle w:val="kio2-table-title"/>
            </w:pPr>
            <w:r>
              <w:t>Tabel 9 Uitsplitsing verplichtingen (bedragen x € 1.000)</w:t>
            </w:r>
          </w:p>
        </w:tc>
      </w:tr>
      <w:tr w:rsidR="006B6965" w14:paraId="5370E48A" w14:textId="77777777">
        <w:tblPrEx>
          <w:tblCellMar>
            <w:top w:w="0" w:type="dxa"/>
            <w:bottom w:w="0" w:type="dxa"/>
          </w:tblCellMar>
        </w:tblPrEx>
        <w:trPr>
          <w:tblHeader/>
        </w:trPr>
        <w:tc>
          <w:tcPr>
            <w:tcW w:w="3617" w:type="dxa"/>
            <w:tcBorders>
              <w:top w:val="single" w:color="000000" w:sz="2" w:space="0"/>
              <w:bottom w:val="single" w:color="009EE0" w:sz="2" w:space="0"/>
            </w:tcBorders>
            <w:tcMar>
              <w:top w:w="28" w:type="dxa"/>
              <w:bottom w:w="28" w:type="dxa"/>
              <w:right w:w="28" w:type="dxa"/>
            </w:tcMar>
          </w:tcPr>
          <w:p w:rsidR="006B6965" w:rsidRDefault="006B6965" w14:paraId="2805C6BC" w14:textId="77777777">
            <w:pPr>
              <w:pStyle w:val="p-table"/>
              <w:rPr>
                <w:color w:val="000000"/>
                <w:sz w:val="17"/>
              </w:rPr>
            </w:pPr>
          </w:p>
        </w:tc>
        <w:tc>
          <w:tcPr>
            <w:tcW w:w="1864"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00A5D6D8" w14:textId="77777777">
            <w:pPr>
              <w:pStyle w:val="p-table"/>
              <w:rPr>
                <w:color w:val="000000"/>
                <w:sz w:val="17"/>
              </w:rPr>
            </w:pPr>
            <w:r>
              <w:rPr>
                <w:color w:val="000000"/>
                <w:sz w:val="17"/>
              </w:rPr>
              <w:t xml:space="preserve">Stand </w:t>
            </w:r>
            <w:r>
              <w:rPr>
                <w:color w:val="000000"/>
                <w:sz w:val="17"/>
              </w:rPr>
              <w:t xml:space="preserve">eerste suppletoire begroting (incl. amendementen en </w:t>
            </w:r>
            <w:proofErr w:type="spellStart"/>
            <w:r>
              <w:rPr>
                <w:color w:val="000000"/>
                <w:sz w:val="17"/>
              </w:rPr>
              <w:t>NvW</w:t>
            </w:r>
            <w:proofErr w:type="spellEnd"/>
            <w:r>
              <w:rPr>
                <w:color w:val="000000"/>
                <w:sz w:val="17"/>
              </w:rPr>
              <w:t>) (1)</w:t>
            </w:r>
          </w:p>
        </w:tc>
        <w:tc>
          <w:tcPr>
            <w:tcW w:w="1854"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752FC6F3" w14:textId="77777777">
            <w:pPr>
              <w:pStyle w:val="p-table"/>
              <w:rPr>
                <w:color w:val="000000"/>
                <w:sz w:val="17"/>
              </w:rPr>
            </w:pPr>
            <w:r>
              <w:rPr>
                <w:color w:val="000000"/>
                <w:sz w:val="17"/>
              </w:rPr>
              <w:t>Mutaties Suppletoire begroting september (2)</w:t>
            </w: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44F0581B" w14:textId="77777777">
            <w:pPr>
              <w:pStyle w:val="p-table"/>
              <w:rPr>
                <w:color w:val="000000"/>
                <w:sz w:val="17"/>
              </w:rPr>
            </w:pPr>
            <w:r>
              <w:rPr>
                <w:color w:val="000000"/>
                <w:sz w:val="17"/>
              </w:rPr>
              <w:t>Stand suppletoire begroting september (3) = (1) + (2)</w:t>
            </w:r>
          </w:p>
        </w:tc>
      </w:tr>
      <w:tr w:rsidR="006B6965" w14:paraId="51331B13" w14:textId="77777777">
        <w:tblPrEx>
          <w:tblCellMar>
            <w:top w:w="0" w:type="dxa"/>
            <w:bottom w:w="0" w:type="dxa"/>
          </w:tblCellMar>
        </w:tblPrEx>
        <w:tc>
          <w:tcPr>
            <w:tcW w:w="3617" w:type="dxa"/>
            <w:tcBorders>
              <w:bottom w:val="single" w:color="009EE0" w:sz="2" w:space="0"/>
            </w:tcBorders>
            <w:tcMar>
              <w:top w:w="22" w:type="dxa"/>
              <w:bottom w:w="22" w:type="dxa"/>
              <w:right w:w="28" w:type="dxa"/>
            </w:tcMar>
            <w:vAlign w:val="bottom"/>
          </w:tcPr>
          <w:p w:rsidR="006B6965" w:rsidRDefault="003A166B" w14:paraId="2CFC6F14" w14:textId="77777777">
            <w:pPr>
              <w:pStyle w:val="p-table"/>
              <w:rPr>
                <w:sz w:val="17"/>
              </w:rPr>
            </w:pPr>
            <w:r>
              <w:rPr>
                <w:b/>
                <w:sz w:val="17"/>
              </w:rPr>
              <w:t>Verplichtingen</w:t>
            </w:r>
          </w:p>
        </w:tc>
        <w:tc>
          <w:tcPr>
            <w:tcW w:w="1864" w:type="dxa"/>
            <w:tcBorders>
              <w:bottom w:val="single" w:color="009EE0" w:sz="2" w:space="0"/>
            </w:tcBorders>
            <w:tcMar>
              <w:top w:w="22" w:type="dxa"/>
              <w:left w:w="28" w:type="dxa"/>
              <w:bottom w:w="22" w:type="dxa"/>
              <w:right w:w="28" w:type="dxa"/>
            </w:tcMar>
            <w:vAlign w:val="center"/>
          </w:tcPr>
          <w:p w:rsidR="006B6965" w:rsidRDefault="003A166B" w14:paraId="6B3E3026" w14:textId="77777777">
            <w:pPr>
              <w:pStyle w:val="p-table"/>
              <w:jc w:val="right"/>
              <w:rPr>
                <w:sz w:val="17"/>
              </w:rPr>
            </w:pPr>
            <w:r>
              <w:rPr>
                <w:b/>
                <w:sz w:val="17"/>
              </w:rPr>
              <w:t>213.027</w:t>
            </w:r>
          </w:p>
        </w:tc>
        <w:tc>
          <w:tcPr>
            <w:tcW w:w="1854" w:type="dxa"/>
            <w:tcBorders>
              <w:bottom w:val="single" w:color="009EE0" w:sz="2" w:space="0"/>
            </w:tcBorders>
            <w:tcMar>
              <w:top w:w="22" w:type="dxa"/>
              <w:left w:w="28" w:type="dxa"/>
              <w:bottom w:w="22" w:type="dxa"/>
              <w:right w:w="28" w:type="dxa"/>
            </w:tcMar>
            <w:vAlign w:val="center"/>
          </w:tcPr>
          <w:p w:rsidR="006B6965" w:rsidRDefault="003A166B" w14:paraId="4BCA127F" w14:textId="77777777">
            <w:pPr>
              <w:pStyle w:val="p-table"/>
              <w:jc w:val="right"/>
              <w:rPr>
                <w:sz w:val="17"/>
              </w:rPr>
            </w:pPr>
            <w:r>
              <w:rPr>
                <w:b/>
                <w:sz w:val="17"/>
              </w:rPr>
              <w:t>11.767</w:t>
            </w:r>
          </w:p>
        </w:tc>
        <w:tc>
          <w:tcPr>
            <w:tcW w:w="1845" w:type="dxa"/>
            <w:tcBorders>
              <w:bottom w:val="single" w:color="009EE0" w:sz="2" w:space="0"/>
            </w:tcBorders>
            <w:tcMar>
              <w:top w:w="22" w:type="dxa"/>
              <w:left w:w="28" w:type="dxa"/>
              <w:bottom w:w="22" w:type="dxa"/>
              <w:right w:w="28" w:type="dxa"/>
            </w:tcMar>
            <w:vAlign w:val="center"/>
          </w:tcPr>
          <w:p w:rsidR="006B6965" w:rsidRDefault="003A166B" w14:paraId="2234732C" w14:textId="77777777">
            <w:pPr>
              <w:pStyle w:val="p-table"/>
              <w:jc w:val="right"/>
              <w:rPr>
                <w:sz w:val="17"/>
              </w:rPr>
            </w:pPr>
            <w:r>
              <w:rPr>
                <w:b/>
                <w:sz w:val="17"/>
              </w:rPr>
              <w:t>224.794</w:t>
            </w:r>
          </w:p>
        </w:tc>
      </w:tr>
      <w:tr w:rsidR="006B6965" w14:paraId="1356C27E" w14:textId="77777777">
        <w:tblPrEx>
          <w:tblCellMar>
            <w:top w:w="0" w:type="dxa"/>
            <w:bottom w:w="0" w:type="dxa"/>
          </w:tblCellMar>
        </w:tblPrEx>
        <w:tc>
          <w:tcPr>
            <w:tcW w:w="3617" w:type="dxa"/>
            <w:tcBorders>
              <w:bottom w:val="single" w:color="009EE0" w:sz="2" w:space="0"/>
            </w:tcBorders>
            <w:tcMar>
              <w:top w:w="22" w:type="dxa"/>
              <w:bottom w:w="22" w:type="dxa"/>
              <w:right w:w="28" w:type="dxa"/>
            </w:tcMar>
            <w:vAlign w:val="bottom"/>
          </w:tcPr>
          <w:p w:rsidR="006B6965" w:rsidRDefault="003A166B" w14:paraId="30A29BAB" w14:textId="77777777">
            <w:pPr>
              <w:pStyle w:val="p-table"/>
              <w:rPr>
                <w:sz w:val="17"/>
              </w:rPr>
            </w:pPr>
            <w:r>
              <w:rPr>
                <w:sz w:val="17"/>
              </w:rPr>
              <w:t>waarvan garantieverplichtingen</w:t>
            </w:r>
          </w:p>
        </w:tc>
        <w:tc>
          <w:tcPr>
            <w:tcW w:w="1864" w:type="dxa"/>
            <w:tcBorders>
              <w:bottom w:val="single" w:color="009EE0" w:sz="2" w:space="0"/>
            </w:tcBorders>
            <w:tcMar>
              <w:top w:w="22" w:type="dxa"/>
              <w:left w:w="28" w:type="dxa"/>
              <w:bottom w:w="22" w:type="dxa"/>
              <w:right w:w="28" w:type="dxa"/>
            </w:tcMar>
            <w:vAlign w:val="center"/>
          </w:tcPr>
          <w:p w:rsidR="006B6965" w:rsidRDefault="003A166B" w14:paraId="693ABAF2" w14:textId="77777777">
            <w:pPr>
              <w:pStyle w:val="p-table"/>
              <w:jc w:val="right"/>
              <w:rPr>
                <w:sz w:val="17"/>
              </w:rPr>
            </w:pPr>
            <w:r>
              <w:rPr>
                <w:b/>
                <w:sz w:val="17"/>
              </w:rPr>
              <w:t>73.300</w:t>
            </w:r>
          </w:p>
        </w:tc>
        <w:tc>
          <w:tcPr>
            <w:tcW w:w="1854" w:type="dxa"/>
            <w:tcBorders>
              <w:bottom w:val="single" w:color="009EE0" w:sz="2" w:space="0"/>
            </w:tcBorders>
            <w:tcMar>
              <w:top w:w="22" w:type="dxa"/>
              <w:left w:w="28" w:type="dxa"/>
              <w:bottom w:w="22" w:type="dxa"/>
              <w:right w:w="28" w:type="dxa"/>
            </w:tcMar>
            <w:vAlign w:val="center"/>
          </w:tcPr>
          <w:p w:rsidR="006B6965" w:rsidRDefault="003A166B" w14:paraId="0D22CF3A" w14:textId="77777777">
            <w:pPr>
              <w:pStyle w:val="p-table"/>
              <w:jc w:val="right"/>
              <w:rPr>
                <w:sz w:val="17"/>
              </w:rPr>
            </w:pPr>
            <w:r>
              <w:rPr>
                <w:sz w:val="17"/>
              </w:rPr>
              <w:t>0</w:t>
            </w:r>
          </w:p>
        </w:tc>
        <w:tc>
          <w:tcPr>
            <w:tcW w:w="1845" w:type="dxa"/>
            <w:tcBorders>
              <w:bottom w:val="single" w:color="009EE0" w:sz="2" w:space="0"/>
            </w:tcBorders>
            <w:tcMar>
              <w:top w:w="22" w:type="dxa"/>
              <w:left w:w="28" w:type="dxa"/>
              <w:bottom w:w="22" w:type="dxa"/>
              <w:right w:w="28" w:type="dxa"/>
            </w:tcMar>
            <w:vAlign w:val="center"/>
          </w:tcPr>
          <w:p w:rsidR="006B6965" w:rsidRDefault="003A166B" w14:paraId="0B749A79" w14:textId="77777777">
            <w:pPr>
              <w:pStyle w:val="p-table"/>
              <w:jc w:val="right"/>
              <w:rPr>
                <w:sz w:val="17"/>
              </w:rPr>
            </w:pPr>
            <w:r>
              <w:rPr>
                <w:sz w:val="17"/>
              </w:rPr>
              <w:t>73.300</w:t>
            </w:r>
          </w:p>
        </w:tc>
      </w:tr>
      <w:tr w:rsidR="006B6965" w14:paraId="14AF533E" w14:textId="77777777">
        <w:tblPrEx>
          <w:tblCellMar>
            <w:top w:w="0" w:type="dxa"/>
            <w:bottom w:w="0" w:type="dxa"/>
          </w:tblCellMar>
        </w:tblPrEx>
        <w:tc>
          <w:tcPr>
            <w:tcW w:w="3617" w:type="dxa"/>
            <w:tcBorders>
              <w:bottom w:val="single" w:color="009EE0" w:sz="2" w:space="0"/>
            </w:tcBorders>
            <w:tcMar>
              <w:top w:w="22" w:type="dxa"/>
              <w:bottom w:w="22" w:type="dxa"/>
              <w:right w:w="28" w:type="dxa"/>
            </w:tcMar>
            <w:vAlign w:val="bottom"/>
          </w:tcPr>
          <w:p w:rsidR="006B6965" w:rsidRDefault="003A166B" w14:paraId="02700789" w14:textId="77777777">
            <w:pPr>
              <w:pStyle w:val="p-table"/>
              <w:rPr>
                <w:sz w:val="17"/>
              </w:rPr>
            </w:pPr>
            <w:r>
              <w:rPr>
                <w:sz w:val="17"/>
              </w:rPr>
              <w:t>waarvan overige verplichtingen</w:t>
            </w:r>
          </w:p>
        </w:tc>
        <w:tc>
          <w:tcPr>
            <w:tcW w:w="1864" w:type="dxa"/>
            <w:tcBorders>
              <w:bottom w:val="single" w:color="009EE0" w:sz="2" w:space="0"/>
            </w:tcBorders>
            <w:tcMar>
              <w:top w:w="22" w:type="dxa"/>
              <w:left w:w="28" w:type="dxa"/>
              <w:bottom w:w="22" w:type="dxa"/>
              <w:right w:w="28" w:type="dxa"/>
            </w:tcMar>
            <w:vAlign w:val="center"/>
          </w:tcPr>
          <w:p w:rsidR="006B6965" w:rsidRDefault="003A166B" w14:paraId="1EDDC93F" w14:textId="77777777">
            <w:pPr>
              <w:pStyle w:val="p-table"/>
              <w:jc w:val="right"/>
              <w:rPr>
                <w:sz w:val="17"/>
              </w:rPr>
            </w:pPr>
            <w:r>
              <w:rPr>
                <w:sz w:val="17"/>
              </w:rPr>
              <w:t>139.727</w:t>
            </w:r>
          </w:p>
        </w:tc>
        <w:tc>
          <w:tcPr>
            <w:tcW w:w="1854" w:type="dxa"/>
            <w:tcBorders>
              <w:bottom w:val="single" w:color="009EE0" w:sz="2" w:space="0"/>
            </w:tcBorders>
            <w:tcMar>
              <w:top w:w="22" w:type="dxa"/>
              <w:left w:w="28" w:type="dxa"/>
              <w:bottom w:w="22" w:type="dxa"/>
              <w:right w:w="28" w:type="dxa"/>
            </w:tcMar>
            <w:vAlign w:val="center"/>
          </w:tcPr>
          <w:p w:rsidR="006B6965" w:rsidRDefault="003A166B" w14:paraId="3D7E2B63" w14:textId="77777777">
            <w:pPr>
              <w:pStyle w:val="p-table"/>
              <w:jc w:val="right"/>
              <w:rPr>
                <w:sz w:val="17"/>
              </w:rPr>
            </w:pPr>
            <w:r>
              <w:rPr>
                <w:sz w:val="17"/>
              </w:rPr>
              <w:t>11.767</w:t>
            </w:r>
          </w:p>
        </w:tc>
        <w:tc>
          <w:tcPr>
            <w:tcW w:w="1845" w:type="dxa"/>
            <w:tcBorders>
              <w:bottom w:val="single" w:color="009EE0" w:sz="2" w:space="0"/>
            </w:tcBorders>
            <w:tcMar>
              <w:top w:w="22" w:type="dxa"/>
              <w:left w:w="28" w:type="dxa"/>
              <w:bottom w:w="22" w:type="dxa"/>
              <w:right w:w="28" w:type="dxa"/>
            </w:tcMar>
            <w:vAlign w:val="center"/>
          </w:tcPr>
          <w:p w:rsidR="006B6965" w:rsidRDefault="003A166B" w14:paraId="2C5359F8" w14:textId="77777777">
            <w:pPr>
              <w:pStyle w:val="p-table"/>
              <w:jc w:val="right"/>
              <w:rPr>
                <w:sz w:val="17"/>
              </w:rPr>
            </w:pPr>
            <w:r>
              <w:rPr>
                <w:sz w:val="17"/>
              </w:rPr>
              <w:t>151.494</w:t>
            </w:r>
          </w:p>
        </w:tc>
      </w:tr>
    </w:tbl>
    <w:p w:rsidR="006B6965" w:rsidRDefault="006B6965" w14:paraId="25192454" w14:textId="77777777">
      <w:pPr>
        <w:pStyle w:val="p-marginbottom"/>
      </w:pPr>
    </w:p>
    <w:p w:rsidR="006B6965" w:rsidRDefault="003A166B" w14:paraId="509363D6" w14:textId="77777777">
      <w:pPr>
        <w:pStyle w:val="section-title-4"/>
      </w:pPr>
      <w:r>
        <w:lastRenderedPageBreak/>
        <w:t>Toelichting</w:t>
      </w:r>
    </w:p>
    <w:p w:rsidR="006B6965" w:rsidRDefault="003A166B" w14:paraId="4169E0DC" w14:textId="77777777">
      <w:pPr>
        <w:pStyle w:val="header-h1"/>
      </w:pPr>
      <w:r>
        <w:t>Verplichtingen</w:t>
      </w:r>
    </w:p>
    <w:p w:rsidR="006B6965" w:rsidRDefault="003A166B" w14:paraId="15E422C7" w14:textId="77777777">
      <w:pPr>
        <w:pStyle w:val="p"/>
      </w:pPr>
      <w:r>
        <w:t xml:space="preserve">Het verplichtingenbudget is in 2025 met 13,7 miljoen verhoogd. Dit komt met name door de onder uitgaven toegelichte mutaties. Daarnaast, wordt het veroorzaakt door de </w:t>
      </w:r>
      <w:r>
        <w:t>volgende mutaties:</w:t>
      </w:r>
    </w:p>
    <w:p w:rsidR="006B6965" w:rsidRDefault="003A166B" w14:paraId="6C16F160" w14:textId="77777777">
      <w:r>
        <w:rPr>
          <w:rStyle w:val="span-u"/>
        </w:rPr>
        <w:t>GIS-4 regeling</w:t>
      </w:r>
    </w:p>
    <w:p w:rsidR="006B6965" w:rsidRDefault="003A166B" w14:paraId="4736DBD9" w14:textId="77777777">
      <w:pPr>
        <w:pStyle w:val="ol-p-l1"/>
        <w:numPr>
          <w:ilvl w:val="0"/>
          <w:numId w:val="20"/>
        </w:numPr>
      </w:pPr>
      <w:r>
        <w:rPr>
          <w:rStyle w:val="ol-text"/>
        </w:rPr>
        <w:t>In 2024 is een deel van de middelen voor de GIS-4 regeling niet voor de jaarwisseling besteed. Dit deel van het budget (€ 9,7 miljoen) van 2024 wordt toegevoegd aan het budget voor 2025 om verplichtingen hiervoor te kunnen betalen.</w:t>
      </w:r>
    </w:p>
    <w:p w:rsidR="006B6965" w:rsidRDefault="003A166B" w14:paraId="1E9CE3EF" w14:textId="77777777">
      <w:pPr>
        <w:pStyle w:val="ol-p-l1"/>
        <w:numPr>
          <w:ilvl w:val="0"/>
          <w:numId w:val="5"/>
        </w:numPr>
      </w:pPr>
      <w:r>
        <w:rPr>
          <w:rStyle w:val="ol-text"/>
        </w:rPr>
        <w:t>Er wordt € 3,6 miljoen aan verplichtingen naar 2025 geschoven om het GIS-4 budget in het goede ritme te zetten. Er worden dit jaar meer bestekken op de markt gebracht dan verwacht bij vorig rapportagemoment.</w:t>
      </w:r>
    </w:p>
    <w:p w:rsidR="006B6965" w:rsidRDefault="006B6965" w14:paraId="03E101F9" w14:textId="77777777"/>
    <w:p w:rsidR="006B6965" w:rsidRDefault="003A166B" w14:paraId="6A155F22" w14:textId="77777777">
      <w:r>
        <w:rPr>
          <w:rStyle w:val="span-u"/>
        </w:rPr>
        <w:t>Overige opdrachten</w:t>
      </w:r>
    </w:p>
    <w:p w:rsidR="006B6965" w:rsidRDefault="003A166B" w14:paraId="50EF8599" w14:textId="77777777">
      <w:pPr>
        <w:pStyle w:val="ol-p-l1"/>
        <w:numPr>
          <w:ilvl w:val="0"/>
          <w:numId w:val="21"/>
        </w:numPr>
      </w:pPr>
      <w:r>
        <w:rPr>
          <w:rStyle w:val="ol-text"/>
        </w:rPr>
        <w:t>Het verplichtingenbudget wordt opgehoogd met € 5,5 miljoen. Dit betreft verplichtingen voor te Rijdt en een aantal kleine opdrachten die in 2024 niet meer aangegaan zijn en nu in 2025 verplicht worden.</w:t>
      </w:r>
    </w:p>
    <w:p w:rsidR="006B6965" w:rsidRDefault="003A166B" w14:paraId="0FE52E27" w14:textId="77777777">
      <w:pPr>
        <w:pStyle w:val="ol-p-l1"/>
        <w:numPr>
          <w:ilvl w:val="0"/>
          <w:numId w:val="5"/>
        </w:numPr>
      </w:pPr>
      <w:r>
        <w:rPr>
          <w:rStyle w:val="ol-text"/>
        </w:rPr>
        <w:t>Daarnaast zijn er een aantal verplichtingenschuiven doorgevoerd naar latere jaren zodat het beter aansluit op de programmering.</w:t>
      </w:r>
    </w:p>
    <w:p w:rsidR="006B6965" w:rsidRDefault="006B6965" w14:paraId="66285366" w14:textId="77777777"/>
    <w:p w:rsidR="006B6965" w:rsidRDefault="003A166B" w14:paraId="341469F7" w14:textId="77777777">
      <w:pPr>
        <w:pStyle w:val="header-h1"/>
      </w:pPr>
      <w:r>
        <w:t>Uitgaven</w:t>
      </w:r>
    </w:p>
    <w:p w:rsidR="006B6965" w:rsidRDefault="003A166B" w14:paraId="0E31F084" w14:textId="77777777">
      <w:pPr>
        <w:pStyle w:val="header-h1"/>
      </w:pPr>
      <w:r>
        <w:t>Artikel 17.01 Luchtvaart</w:t>
      </w:r>
    </w:p>
    <w:p w:rsidR="006B6965" w:rsidRDefault="003A166B" w14:paraId="2CE4ABE1" w14:textId="77777777">
      <w:pPr>
        <w:pStyle w:val="header-h2"/>
      </w:pPr>
      <w:r>
        <w:t>Opdrachten</w:t>
      </w:r>
    </w:p>
    <w:p w:rsidR="006B6965" w:rsidRDefault="003A166B" w14:paraId="5BA2ABDB" w14:textId="77777777">
      <w:pPr>
        <w:pStyle w:val="p"/>
      </w:pPr>
      <w:r>
        <w:t>Het opdrachtenbudget is in 2025 met € 2,5 miljoen verlaagd. Dit komt met name door de volgende mutaties:</w:t>
      </w:r>
    </w:p>
    <w:p w:rsidR="006B6965" w:rsidRDefault="003A166B" w14:paraId="0AA7D797" w14:textId="77777777">
      <w:pPr>
        <w:pStyle w:val="p"/>
      </w:pPr>
      <w:r>
        <w:rPr>
          <w:rStyle w:val="span-u"/>
        </w:rPr>
        <w:t>GIS-4 regeling</w:t>
      </w:r>
      <w:r>
        <w:t>: Het opdrachtenbudget is met € 2,2 miljoen verhoogd. Dit wordt met name verklaard doordat in 2024 een deel van de middelen voor de GIS-4 regeling niet voor de jaarwisseling besteed is. Dit deel van het budget (€ 2,2 miljoen) van 2024 wordt toegevoegd aan het budget voor 2025 om verplichtingen hiervoor te kunnen betalen.</w:t>
      </w:r>
    </w:p>
    <w:p w:rsidR="006B6965" w:rsidRDefault="003A166B" w14:paraId="640665F7" w14:textId="77777777">
      <w:pPr>
        <w:pStyle w:val="p"/>
      </w:pPr>
      <w:r>
        <w:rPr>
          <w:rStyle w:val="span-u"/>
        </w:rPr>
        <w:t>Programma Omgeving Luchthaven Schiphol</w:t>
      </w:r>
      <w:r>
        <w:t xml:space="preserve">: Het opdrachtenbudget is met € 1,4 miljoen verlaagd. Dit komt omdat een aantal opdrachten voor het programma omgeving luchthaven Schiphol (POLS) vertraging op loopt. Dit wordt veroorzaakt door vertragingen in inhoudelijke en politieke besluitvorming, juridische procedures en zeer complexe samenhang van verschillende </w:t>
      </w:r>
      <w:proofErr w:type="spellStart"/>
      <w:r>
        <w:t>programma-onderdelen</w:t>
      </w:r>
      <w:proofErr w:type="spellEnd"/>
      <w:r>
        <w:t>. Activiteiten schuiven door, waardoor er € 1,4 miljoen doorschuift naar 2027.</w:t>
      </w:r>
    </w:p>
    <w:p w:rsidR="006B6965" w:rsidRDefault="003A166B" w14:paraId="648291B7" w14:textId="77777777">
      <w:r>
        <w:rPr>
          <w:rStyle w:val="span-u"/>
        </w:rPr>
        <w:t>Overige opdrachten:</w:t>
      </w:r>
      <w:r>
        <w:t xml:space="preserve"> Het overige opdrachtenbudget is met € 3,1 miljoen verlaagd en wordt met name verklaard door:</w:t>
      </w:r>
    </w:p>
    <w:p w:rsidR="006B6965" w:rsidRDefault="003A166B" w14:paraId="001D0349" w14:textId="77777777">
      <w:pPr>
        <w:pStyle w:val="ol-p-l1"/>
        <w:numPr>
          <w:ilvl w:val="0"/>
          <w:numId w:val="22"/>
        </w:numPr>
      </w:pPr>
      <w:r>
        <w:rPr>
          <w:rStyle w:val="ol-text"/>
        </w:rPr>
        <w:t>De herverdeling van de ontvangen prijsbijstelling van in totaal € 1,2 miljoen. Bij de voorjaarsnota is de prijsbijstelling voor de budgetten van DGLM tijdelijk gereserveerd op het opdrachtenbudget op artikel 17. Nu wordt een deel daarvan overgeboekt naar de budgetten voor subsidies, bijdrage aan agentschappen, bijdrage aan internationale organisaties en bijdrage aan ZBO’s en RWT. Daarnaast wordt een deel overgeboekt naar artikel 18, waar de prijsbijstelling ook voor is.</w:t>
      </w:r>
    </w:p>
    <w:p w:rsidR="006B6965" w:rsidRDefault="003A166B" w14:paraId="7413A6E9" w14:textId="77777777">
      <w:pPr>
        <w:pStyle w:val="ol-p-l1"/>
        <w:numPr>
          <w:ilvl w:val="0"/>
          <w:numId w:val="5"/>
        </w:numPr>
      </w:pPr>
      <w:r>
        <w:rPr>
          <w:rStyle w:val="ol-text"/>
        </w:rPr>
        <w:t>Er wordt € 1,1 miljoen vanuit 2025 naar 2027 en 2028 geschoven zodat het budget beter aansluit op de programmering.</w:t>
      </w:r>
    </w:p>
    <w:p w:rsidR="006B6965" w:rsidRDefault="006B6965" w14:paraId="30F73CF8" w14:textId="77777777"/>
    <w:p w:rsidR="006B6965" w:rsidRDefault="003A166B" w14:paraId="17EAD5C8" w14:textId="77777777">
      <w:pPr>
        <w:pStyle w:val="header-h2"/>
      </w:pPr>
      <w:r>
        <w:t>Subsidies</w:t>
      </w:r>
    </w:p>
    <w:p w:rsidR="006B6965" w:rsidRDefault="003A166B" w14:paraId="27180B69" w14:textId="77777777">
      <w:pPr>
        <w:pStyle w:val="p"/>
      </w:pPr>
      <w:r>
        <w:t>Het subsidiebudget is in 2025 met € 1,0 miljoen verhoogd. Dit komt met name door de volgende mutatie:</w:t>
      </w:r>
    </w:p>
    <w:p w:rsidR="006B6965" w:rsidRDefault="003A166B" w14:paraId="607A85FF" w14:textId="77777777">
      <w:r>
        <w:rPr>
          <w:rStyle w:val="span-u"/>
        </w:rPr>
        <w:lastRenderedPageBreak/>
        <w:t>NGF-project Luchtvaart in Transitie:</w:t>
      </w:r>
      <w:r>
        <w:t xml:space="preserve"> Het subsidiebudget is met € 1,1 miljoen verhoogd en betreft met name door de volgende mutaties:</w:t>
      </w:r>
    </w:p>
    <w:p w:rsidR="006B6965" w:rsidRDefault="003A166B" w14:paraId="57737315" w14:textId="77777777">
      <w:pPr>
        <w:pStyle w:val="ol-p-l1"/>
        <w:numPr>
          <w:ilvl w:val="0"/>
          <w:numId w:val="23"/>
        </w:numPr>
      </w:pPr>
      <w:r>
        <w:rPr>
          <w:rStyle w:val="ol-text"/>
        </w:rPr>
        <w:t>De afrekening van de subsidie van het NGF deelproject van HOT fase 1 leidt tot € 2,5 miljoen extra ontvangsten, aangezien de kosten lager zijn uitgevallen dan voorheen begroot. Deze ontvangsten worden ingezet voor het NGF deelproject HOT fase 2. De middelen die uit de afrekening van de NGF subsidie HOT fase 1 komen, zijn middels een kasschuif in het juiste ritme gezet voor de nieuwe subsidie.</w:t>
      </w:r>
    </w:p>
    <w:p w:rsidR="006B6965" w:rsidRDefault="003A166B" w14:paraId="0312D89B" w14:textId="77777777">
      <w:pPr>
        <w:pStyle w:val="ol-p-l1"/>
        <w:numPr>
          <w:ilvl w:val="0"/>
          <w:numId w:val="5"/>
        </w:numPr>
      </w:pPr>
      <w:r>
        <w:rPr>
          <w:rStyle w:val="ol-text"/>
        </w:rPr>
        <w:t xml:space="preserve">Daarnaast wordt er € 1,4 miljoen naar latere jaren geschoven. Een aantal vertrekkingen voldeed te laat aan de eisen waardoor er vertraging is opgelopen n de opdrachten pas in 2026 verplicht en betaald </w:t>
      </w:r>
      <w:r>
        <w:rPr>
          <w:rStyle w:val="ol-text"/>
        </w:rPr>
        <w:t>worden.</w:t>
      </w:r>
    </w:p>
    <w:p w:rsidR="006B6965" w:rsidRDefault="006B6965" w14:paraId="050C5BF9" w14:textId="77777777"/>
    <w:p w:rsidR="006B6965" w:rsidRDefault="003A166B" w14:paraId="463112A3" w14:textId="77777777">
      <w:pPr>
        <w:pStyle w:val="header-h1"/>
      </w:pPr>
      <w:r>
        <w:t>Ontvangsten</w:t>
      </w:r>
    </w:p>
    <w:p w:rsidR="006B6965" w:rsidRDefault="003A166B" w14:paraId="63A4C401" w14:textId="77777777">
      <w:pPr>
        <w:pStyle w:val="p"/>
      </w:pPr>
      <w:r>
        <w:t>De verhoging van het ontvangstenbudget met € 2,2 miljoen wordt met name veroorzaakt door:</w:t>
      </w:r>
    </w:p>
    <w:p w:rsidR="006B6965" w:rsidRDefault="003A166B" w14:paraId="43005240" w14:textId="77777777">
      <w:pPr>
        <w:pStyle w:val="p"/>
      </w:pPr>
      <w:r>
        <w:rPr>
          <w:rStyle w:val="span-u"/>
        </w:rPr>
        <w:t>NGF-project Luchtvaart in Transitie</w:t>
      </w:r>
      <w:r>
        <w:t>: Zoals hierboven beschreven leidt de afrekening van de NGF subsidie HOT fase 1 tot hogere ontvangsten van € 2,5 miljoen. De kosten zijn lager uitgevallen dan begroot, waardoor deze ontvangsten voor het NGF deelproject HOT fase 2 ingezet kunnen worden.</w:t>
      </w:r>
    </w:p>
    <w:p w:rsidR="006B6965" w:rsidRDefault="003A166B" w14:paraId="7E602CB3" w14:textId="77777777">
      <w:pPr>
        <w:pStyle w:val="section-title-3"/>
      </w:pPr>
      <w:r>
        <w:lastRenderedPageBreak/>
        <w:t>3.6 Artikel 18 Scheepvaart en Havens</w:t>
      </w:r>
    </w:p>
    <w:p w:rsidR="006B6965" w:rsidRDefault="003A166B" w14:paraId="4A9FCBDC"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4AF6F3DC"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6F5C8213" w14:textId="77777777">
            <w:pPr>
              <w:pStyle w:val="kio2-table-title"/>
            </w:pPr>
            <w:r>
              <w:t>Tabel 10 Budgettaire gevolgen van beleid artikel 18 Scheepvaart en Havens(bedragen x € 1.000)</w:t>
            </w:r>
          </w:p>
        </w:tc>
      </w:tr>
      <w:tr w:rsidR="006B6965" w14:paraId="4918FBC4"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7EF61A8E"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4265BF68"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546CE281"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703A5404"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08B5FF8A" w14:textId="77777777">
            <w:pPr>
              <w:pStyle w:val="p-table"/>
              <w:jc w:val="center"/>
              <w:rPr>
                <w:color w:val="000000"/>
                <w:sz w:val="17"/>
              </w:rPr>
            </w:pPr>
            <w:r>
              <w:rPr>
                <w:color w:val="000000"/>
                <w:sz w:val="17"/>
              </w:rPr>
              <w:t>Stand suppletoire begroting september (3) = (1) + (2)</w:t>
            </w:r>
          </w:p>
        </w:tc>
      </w:tr>
      <w:tr w:rsidR="006B6965" w14:paraId="1C7EA94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5E7F759A"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5ACF8842"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66AB3AB8" w14:textId="77777777">
            <w:pPr>
              <w:pStyle w:val="p-table"/>
              <w:jc w:val="right"/>
              <w:rPr>
                <w:sz w:val="17"/>
              </w:rPr>
            </w:pPr>
            <w:r>
              <w:rPr>
                <w:b/>
                <w:sz w:val="17"/>
              </w:rPr>
              <w:t>107.788</w:t>
            </w:r>
          </w:p>
        </w:tc>
        <w:tc>
          <w:tcPr>
            <w:tcW w:w="1377" w:type="dxa"/>
            <w:tcBorders>
              <w:bottom w:val="single" w:color="009EE0" w:sz="2" w:space="0"/>
            </w:tcBorders>
            <w:tcMar>
              <w:top w:w="22" w:type="dxa"/>
              <w:left w:w="28" w:type="dxa"/>
              <w:bottom w:w="22" w:type="dxa"/>
              <w:right w:w="28" w:type="dxa"/>
            </w:tcMar>
          </w:tcPr>
          <w:p w:rsidR="006B6965" w:rsidRDefault="003A166B" w14:paraId="51F89084" w14:textId="77777777">
            <w:pPr>
              <w:pStyle w:val="p-table"/>
              <w:jc w:val="right"/>
              <w:rPr>
                <w:sz w:val="17"/>
              </w:rPr>
            </w:pPr>
            <w:r>
              <w:rPr>
                <w:b/>
                <w:sz w:val="17"/>
              </w:rPr>
              <w:t>‒</w:t>
            </w:r>
            <w:r>
              <w:rPr>
                <w:b/>
                <w:sz w:val="17"/>
              </w:rPr>
              <w:t xml:space="preserve"> </w:t>
            </w:r>
            <w:r>
              <w:rPr>
                <w:b/>
                <w:sz w:val="17"/>
              </w:rPr>
              <w:t>4.217</w:t>
            </w:r>
          </w:p>
        </w:tc>
        <w:tc>
          <w:tcPr>
            <w:tcW w:w="1377" w:type="dxa"/>
            <w:tcBorders>
              <w:bottom w:val="single" w:color="009EE0" w:sz="2" w:space="0"/>
            </w:tcBorders>
            <w:tcMar>
              <w:top w:w="22" w:type="dxa"/>
              <w:left w:w="28" w:type="dxa"/>
              <w:bottom w:w="22" w:type="dxa"/>
              <w:right w:w="28" w:type="dxa"/>
            </w:tcMar>
          </w:tcPr>
          <w:p w:rsidR="006B6965" w:rsidRDefault="003A166B" w14:paraId="47CCF277" w14:textId="77777777">
            <w:pPr>
              <w:pStyle w:val="p-table"/>
              <w:jc w:val="right"/>
              <w:rPr>
                <w:sz w:val="17"/>
              </w:rPr>
            </w:pPr>
            <w:r>
              <w:rPr>
                <w:b/>
                <w:sz w:val="17"/>
              </w:rPr>
              <w:t>103.571</w:t>
            </w:r>
          </w:p>
        </w:tc>
      </w:tr>
      <w:tr w:rsidR="006B6965" w14:paraId="086ABC5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22FFD4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6145E6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675F4C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63B3C1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97D5675" w14:textId="77777777">
            <w:pPr>
              <w:pStyle w:val="p-table"/>
              <w:rPr>
                <w:sz w:val="17"/>
              </w:rPr>
            </w:pPr>
          </w:p>
        </w:tc>
      </w:tr>
      <w:tr w:rsidR="006B6965" w14:paraId="1CFDE70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1C9314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E741D14"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678C4927" w14:textId="77777777">
            <w:pPr>
              <w:pStyle w:val="p-table"/>
              <w:jc w:val="right"/>
              <w:rPr>
                <w:sz w:val="17"/>
              </w:rPr>
            </w:pPr>
            <w:r>
              <w:rPr>
                <w:b/>
                <w:sz w:val="17"/>
              </w:rPr>
              <w:t>172.523</w:t>
            </w:r>
          </w:p>
        </w:tc>
        <w:tc>
          <w:tcPr>
            <w:tcW w:w="1377" w:type="dxa"/>
            <w:tcBorders>
              <w:bottom w:val="single" w:color="009EE0" w:sz="2" w:space="0"/>
            </w:tcBorders>
            <w:tcMar>
              <w:top w:w="22" w:type="dxa"/>
              <w:left w:w="28" w:type="dxa"/>
              <w:bottom w:w="22" w:type="dxa"/>
              <w:right w:w="28" w:type="dxa"/>
            </w:tcMar>
          </w:tcPr>
          <w:p w:rsidR="006B6965" w:rsidRDefault="003A166B" w14:paraId="0BDF598D" w14:textId="77777777">
            <w:pPr>
              <w:pStyle w:val="p-table"/>
              <w:jc w:val="right"/>
              <w:rPr>
                <w:sz w:val="17"/>
              </w:rPr>
            </w:pPr>
            <w:r>
              <w:rPr>
                <w:b/>
                <w:sz w:val="17"/>
              </w:rPr>
              <w:t>6.505</w:t>
            </w:r>
          </w:p>
        </w:tc>
        <w:tc>
          <w:tcPr>
            <w:tcW w:w="1377" w:type="dxa"/>
            <w:tcBorders>
              <w:bottom w:val="single" w:color="009EE0" w:sz="2" w:space="0"/>
            </w:tcBorders>
            <w:tcMar>
              <w:top w:w="22" w:type="dxa"/>
              <w:left w:w="28" w:type="dxa"/>
              <w:bottom w:w="22" w:type="dxa"/>
              <w:right w:w="28" w:type="dxa"/>
            </w:tcMar>
          </w:tcPr>
          <w:p w:rsidR="006B6965" w:rsidRDefault="003A166B" w14:paraId="127B3DC8" w14:textId="77777777">
            <w:pPr>
              <w:pStyle w:val="p-table"/>
              <w:jc w:val="right"/>
              <w:rPr>
                <w:sz w:val="17"/>
              </w:rPr>
            </w:pPr>
            <w:r>
              <w:rPr>
                <w:b/>
                <w:sz w:val="17"/>
              </w:rPr>
              <w:t>179.028</w:t>
            </w:r>
          </w:p>
        </w:tc>
      </w:tr>
      <w:tr w:rsidR="006B6965" w14:paraId="78D1DD7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3954C1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2195DA7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CE9D5B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1B90EA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373B41F" w14:textId="77777777">
            <w:pPr>
              <w:pStyle w:val="p-table"/>
              <w:rPr>
                <w:sz w:val="17"/>
              </w:rPr>
            </w:pPr>
          </w:p>
        </w:tc>
      </w:tr>
      <w:tr w:rsidR="006B6965" w14:paraId="0628F53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262AAED2" w14:textId="77777777">
            <w:pPr>
              <w:pStyle w:val="p-table"/>
              <w:rPr>
                <w:sz w:val="17"/>
              </w:rPr>
            </w:pPr>
            <w:r>
              <w:rPr>
                <w:b/>
                <w:sz w:val="17"/>
              </w:rPr>
              <w:t>18.1</w:t>
            </w:r>
          </w:p>
        </w:tc>
        <w:tc>
          <w:tcPr>
            <w:tcW w:w="4590" w:type="dxa"/>
            <w:tcBorders>
              <w:bottom w:val="single" w:color="009EE0" w:sz="2" w:space="0"/>
            </w:tcBorders>
            <w:tcMar>
              <w:top w:w="22" w:type="dxa"/>
              <w:left w:w="28" w:type="dxa"/>
              <w:bottom w:w="22" w:type="dxa"/>
              <w:right w:w="28" w:type="dxa"/>
            </w:tcMar>
          </w:tcPr>
          <w:p w:rsidR="006B6965" w:rsidRDefault="003A166B" w14:paraId="4E8180EF" w14:textId="77777777">
            <w:pPr>
              <w:pStyle w:val="p-table"/>
              <w:rPr>
                <w:sz w:val="17"/>
              </w:rPr>
            </w:pPr>
            <w:r>
              <w:rPr>
                <w:b/>
                <w:sz w:val="17"/>
              </w:rPr>
              <w:t>Scheepvaart en havens</w:t>
            </w:r>
          </w:p>
        </w:tc>
        <w:tc>
          <w:tcPr>
            <w:tcW w:w="1377" w:type="dxa"/>
            <w:tcBorders>
              <w:bottom w:val="single" w:color="009EE0" w:sz="2" w:space="0"/>
            </w:tcBorders>
            <w:tcMar>
              <w:top w:w="22" w:type="dxa"/>
              <w:left w:w="28" w:type="dxa"/>
              <w:bottom w:w="22" w:type="dxa"/>
              <w:right w:w="28" w:type="dxa"/>
            </w:tcMar>
          </w:tcPr>
          <w:p w:rsidR="006B6965" w:rsidRDefault="003A166B" w14:paraId="593C3813" w14:textId="77777777">
            <w:pPr>
              <w:pStyle w:val="p-table"/>
              <w:jc w:val="right"/>
              <w:rPr>
                <w:sz w:val="17"/>
              </w:rPr>
            </w:pPr>
            <w:r>
              <w:rPr>
                <w:b/>
                <w:sz w:val="17"/>
              </w:rPr>
              <w:t>172.523</w:t>
            </w:r>
          </w:p>
        </w:tc>
        <w:tc>
          <w:tcPr>
            <w:tcW w:w="1377" w:type="dxa"/>
            <w:tcBorders>
              <w:bottom w:val="single" w:color="009EE0" w:sz="2" w:space="0"/>
            </w:tcBorders>
            <w:tcMar>
              <w:top w:w="22" w:type="dxa"/>
              <w:left w:w="28" w:type="dxa"/>
              <w:bottom w:w="22" w:type="dxa"/>
              <w:right w:w="28" w:type="dxa"/>
            </w:tcMar>
          </w:tcPr>
          <w:p w:rsidR="006B6965" w:rsidRDefault="003A166B" w14:paraId="76401647" w14:textId="77777777">
            <w:pPr>
              <w:pStyle w:val="p-table"/>
              <w:jc w:val="right"/>
              <w:rPr>
                <w:sz w:val="17"/>
              </w:rPr>
            </w:pPr>
            <w:r>
              <w:rPr>
                <w:b/>
                <w:sz w:val="17"/>
              </w:rPr>
              <w:t>6.505</w:t>
            </w:r>
          </w:p>
        </w:tc>
        <w:tc>
          <w:tcPr>
            <w:tcW w:w="1377" w:type="dxa"/>
            <w:tcBorders>
              <w:bottom w:val="single" w:color="009EE0" w:sz="2" w:space="0"/>
            </w:tcBorders>
            <w:tcMar>
              <w:top w:w="22" w:type="dxa"/>
              <w:left w:w="28" w:type="dxa"/>
              <w:bottom w:w="22" w:type="dxa"/>
              <w:right w:w="28" w:type="dxa"/>
            </w:tcMar>
          </w:tcPr>
          <w:p w:rsidR="006B6965" w:rsidRDefault="003A166B" w14:paraId="13A398C8" w14:textId="77777777">
            <w:pPr>
              <w:pStyle w:val="p-table"/>
              <w:jc w:val="right"/>
              <w:rPr>
                <w:sz w:val="17"/>
              </w:rPr>
            </w:pPr>
            <w:r>
              <w:rPr>
                <w:b/>
                <w:sz w:val="17"/>
              </w:rPr>
              <w:t>179.028</w:t>
            </w:r>
          </w:p>
        </w:tc>
      </w:tr>
      <w:tr w:rsidR="006B6965" w14:paraId="2CE7ACB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C54208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27114A3"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7731AE91" w14:textId="77777777">
            <w:pPr>
              <w:pStyle w:val="p-table"/>
              <w:jc w:val="right"/>
              <w:rPr>
                <w:sz w:val="17"/>
              </w:rPr>
            </w:pPr>
            <w:r>
              <w:rPr>
                <w:i/>
                <w:sz w:val="17"/>
              </w:rPr>
              <w:t>39.278</w:t>
            </w:r>
          </w:p>
        </w:tc>
        <w:tc>
          <w:tcPr>
            <w:tcW w:w="1377" w:type="dxa"/>
            <w:tcBorders>
              <w:bottom w:val="single" w:color="009EE0" w:sz="2" w:space="0"/>
            </w:tcBorders>
            <w:tcMar>
              <w:top w:w="22" w:type="dxa"/>
              <w:left w:w="28" w:type="dxa"/>
              <w:bottom w:w="22" w:type="dxa"/>
              <w:right w:w="28" w:type="dxa"/>
            </w:tcMar>
          </w:tcPr>
          <w:p w:rsidR="006B6965" w:rsidRDefault="003A166B" w14:paraId="4802EC88" w14:textId="77777777">
            <w:pPr>
              <w:pStyle w:val="p-table"/>
              <w:jc w:val="right"/>
              <w:rPr>
                <w:sz w:val="17"/>
              </w:rPr>
            </w:pPr>
            <w:r>
              <w:rPr>
                <w:i/>
                <w:sz w:val="17"/>
              </w:rPr>
              <w:t>‒</w:t>
            </w:r>
            <w:r>
              <w:rPr>
                <w:i/>
                <w:sz w:val="17"/>
              </w:rPr>
              <w:t xml:space="preserve"> 4.193</w:t>
            </w:r>
          </w:p>
        </w:tc>
        <w:tc>
          <w:tcPr>
            <w:tcW w:w="1377" w:type="dxa"/>
            <w:tcBorders>
              <w:bottom w:val="single" w:color="009EE0" w:sz="2" w:space="0"/>
            </w:tcBorders>
            <w:tcMar>
              <w:top w:w="22" w:type="dxa"/>
              <w:left w:w="28" w:type="dxa"/>
              <w:bottom w:w="22" w:type="dxa"/>
              <w:right w:w="28" w:type="dxa"/>
            </w:tcMar>
          </w:tcPr>
          <w:p w:rsidR="006B6965" w:rsidRDefault="003A166B" w14:paraId="333900FD" w14:textId="77777777">
            <w:pPr>
              <w:pStyle w:val="p-table"/>
              <w:jc w:val="right"/>
              <w:rPr>
                <w:sz w:val="17"/>
              </w:rPr>
            </w:pPr>
            <w:r>
              <w:rPr>
                <w:i/>
                <w:sz w:val="17"/>
              </w:rPr>
              <w:t>35.085</w:t>
            </w:r>
          </w:p>
        </w:tc>
      </w:tr>
      <w:tr w:rsidR="006B6965" w14:paraId="765EB6A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EDAF62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1210231" w14:textId="77777777">
            <w:pPr>
              <w:pStyle w:val="p-table"/>
              <w:rPr>
                <w:sz w:val="17"/>
              </w:rPr>
            </w:pPr>
            <w:r>
              <w:rPr>
                <w:sz w:val="17"/>
              </w:rPr>
              <w:t>Topsector Logistiek</w:t>
            </w:r>
          </w:p>
        </w:tc>
        <w:tc>
          <w:tcPr>
            <w:tcW w:w="1377" w:type="dxa"/>
            <w:tcBorders>
              <w:bottom w:val="single" w:color="009EE0" w:sz="2" w:space="0"/>
            </w:tcBorders>
            <w:tcMar>
              <w:top w:w="22" w:type="dxa"/>
              <w:left w:w="28" w:type="dxa"/>
              <w:bottom w:w="22" w:type="dxa"/>
              <w:right w:w="28" w:type="dxa"/>
            </w:tcMar>
          </w:tcPr>
          <w:p w:rsidR="006B6965" w:rsidRDefault="003A166B" w14:paraId="2A5DE01A" w14:textId="77777777">
            <w:pPr>
              <w:pStyle w:val="p-table"/>
              <w:jc w:val="right"/>
              <w:rPr>
                <w:sz w:val="17"/>
              </w:rPr>
            </w:pPr>
            <w:r>
              <w:rPr>
                <w:sz w:val="17"/>
              </w:rPr>
              <w:t>6.000</w:t>
            </w:r>
          </w:p>
        </w:tc>
        <w:tc>
          <w:tcPr>
            <w:tcW w:w="1377" w:type="dxa"/>
            <w:tcBorders>
              <w:bottom w:val="single" w:color="009EE0" w:sz="2" w:space="0"/>
            </w:tcBorders>
            <w:tcMar>
              <w:top w:w="22" w:type="dxa"/>
              <w:left w:w="28" w:type="dxa"/>
              <w:bottom w:w="22" w:type="dxa"/>
              <w:right w:w="28" w:type="dxa"/>
            </w:tcMar>
          </w:tcPr>
          <w:p w:rsidR="006B6965" w:rsidRDefault="003A166B" w14:paraId="6E6B182A" w14:textId="77777777">
            <w:pPr>
              <w:pStyle w:val="p-table"/>
              <w:jc w:val="right"/>
              <w:rPr>
                <w:sz w:val="17"/>
              </w:rPr>
            </w:pPr>
            <w:r>
              <w:rPr>
                <w:sz w:val="17"/>
              </w:rPr>
              <w:t>‒</w:t>
            </w:r>
            <w:r>
              <w:rPr>
                <w:sz w:val="17"/>
              </w:rPr>
              <w:t xml:space="preserve"> 271</w:t>
            </w:r>
          </w:p>
        </w:tc>
        <w:tc>
          <w:tcPr>
            <w:tcW w:w="1377" w:type="dxa"/>
            <w:tcBorders>
              <w:bottom w:val="single" w:color="009EE0" w:sz="2" w:space="0"/>
            </w:tcBorders>
            <w:tcMar>
              <w:top w:w="22" w:type="dxa"/>
              <w:left w:w="28" w:type="dxa"/>
              <w:bottom w:w="22" w:type="dxa"/>
              <w:right w:w="28" w:type="dxa"/>
            </w:tcMar>
          </w:tcPr>
          <w:p w:rsidR="006B6965" w:rsidRDefault="003A166B" w14:paraId="1D8AF17B" w14:textId="77777777">
            <w:pPr>
              <w:pStyle w:val="p-table"/>
              <w:jc w:val="right"/>
              <w:rPr>
                <w:sz w:val="17"/>
              </w:rPr>
            </w:pPr>
            <w:r>
              <w:rPr>
                <w:sz w:val="17"/>
              </w:rPr>
              <w:t>5.729</w:t>
            </w:r>
          </w:p>
        </w:tc>
      </w:tr>
      <w:tr w:rsidR="006B6965" w14:paraId="770D316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A91FCA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D95B648" w14:textId="77777777">
            <w:pPr>
              <w:pStyle w:val="p-table"/>
              <w:rPr>
                <w:sz w:val="17"/>
              </w:rPr>
            </w:pPr>
            <w:r>
              <w:rPr>
                <w:sz w:val="17"/>
              </w:rPr>
              <w:t>Caribisch Nederland</w:t>
            </w:r>
          </w:p>
        </w:tc>
        <w:tc>
          <w:tcPr>
            <w:tcW w:w="1377" w:type="dxa"/>
            <w:tcBorders>
              <w:bottom w:val="single" w:color="009EE0" w:sz="2" w:space="0"/>
            </w:tcBorders>
            <w:tcMar>
              <w:top w:w="22" w:type="dxa"/>
              <w:left w:w="28" w:type="dxa"/>
              <w:bottom w:w="22" w:type="dxa"/>
              <w:right w:w="28" w:type="dxa"/>
            </w:tcMar>
          </w:tcPr>
          <w:p w:rsidR="006B6965" w:rsidRDefault="003A166B" w14:paraId="337EC36C" w14:textId="77777777">
            <w:pPr>
              <w:pStyle w:val="p-table"/>
              <w:jc w:val="right"/>
              <w:rPr>
                <w:sz w:val="17"/>
              </w:rPr>
            </w:pPr>
            <w:r>
              <w:rPr>
                <w:sz w:val="17"/>
              </w:rPr>
              <w:t>100</w:t>
            </w:r>
          </w:p>
        </w:tc>
        <w:tc>
          <w:tcPr>
            <w:tcW w:w="1377" w:type="dxa"/>
            <w:tcBorders>
              <w:bottom w:val="single" w:color="009EE0" w:sz="2" w:space="0"/>
            </w:tcBorders>
            <w:tcMar>
              <w:top w:w="22" w:type="dxa"/>
              <w:left w:w="28" w:type="dxa"/>
              <w:bottom w:w="22" w:type="dxa"/>
              <w:right w:w="28" w:type="dxa"/>
            </w:tcMar>
          </w:tcPr>
          <w:p w:rsidR="006B6965" w:rsidRDefault="003A166B" w14:paraId="211BC2DB"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10EFD03" w14:textId="77777777">
            <w:pPr>
              <w:pStyle w:val="p-table"/>
              <w:jc w:val="right"/>
              <w:rPr>
                <w:sz w:val="17"/>
              </w:rPr>
            </w:pPr>
            <w:r>
              <w:rPr>
                <w:sz w:val="17"/>
              </w:rPr>
              <w:t>100</w:t>
            </w:r>
          </w:p>
        </w:tc>
      </w:tr>
      <w:tr w:rsidR="006B6965" w14:paraId="68F951F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02E44E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A15C974" w14:textId="77777777">
            <w:pPr>
              <w:pStyle w:val="p-table"/>
              <w:rPr>
                <w:sz w:val="17"/>
              </w:rPr>
            </w:pPr>
            <w:r>
              <w:rPr>
                <w:sz w:val="17"/>
              </w:rPr>
              <w:t xml:space="preserve">NGF Project - Digitale </w:t>
            </w:r>
            <w:r>
              <w:rPr>
                <w:sz w:val="17"/>
              </w:rPr>
              <w:t>Infrastructuur Logistiek</w:t>
            </w:r>
          </w:p>
        </w:tc>
        <w:tc>
          <w:tcPr>
            <w:tcW w:w="1377" w:type="dxa"/>
            <w:tcBorders>
              <w:bottom w:val="single" w:color="009EE0" w:sz="2" w:space="0"/>
            </w:tcBorders>
            <w:tcMar>
              <w:top w:w="22" w:type="dxa"/>
              <w:left w:w="28" w:type="dxa"/>
              <w:bottom w:w="22" w:type="dxa"/>
              <w:right w:w="28" w:type="dxa"/>
            </w:tcMar>
          </w:tcPr>
          <w:p w:rsidR="006B6965" w:rsidRDefault="003A166B" w14:paraId="50DE2CD3" w14:textId="77777777">
            <w:pPr>
              <w:pStyle w:val="p-table"/>
              <w:jc w:val="right"/>
              <w:rPr>
                <w:sz w:val="17"/>
              </w:rPr>
            </w:pPr>
            <w:r>
              <w:rPr>
                <w:sz w:val="17"/>
              </w:rPr>
              <w:t>12.193</w:t>
            </w:r>
          </w:p>
        </w:tc>
        <w:tc>
          <w:tcPr>
            <w:tcW w:w="1377" w:type="dxa"/>
            <w:tcBorders>
              <w:bottom w:val="single" w:color="009EE0" w:sz="2" w:space="0"/>
            </w:tcBorders>
            <w:tcMar>
              <w:top w:w="22" w:type="dxa"/>
              <w:left w:w="28" w:type="dxa"/>
              <w:bottom w:w="22" w:type="dxa"/>
              <w:right w:w="28" w:type="dxa"/>
            </w:tcMar>
          </w:tcPr>
          <w:p w:rsidR="006B6965" w:rsidRDefault="003A166B" w14:paraId="766A71A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C969C5B" w14:textId="77777777">
            <w:pPr>
              <w:pStyle w:val="p-table"/>
              <w:jc w:val="right"/>
              <w:rPr>
                <w:sz w:val="17"/>
              </w:rPr>
            </w:pPr>
            <w:r>
              <w:rPr>
                <w:sz w:val="17"/>
              </w:rPr>
              <w:t>12.193</w:t>
            </w:r>
          </w:p>
        </w:tc>
      </w:tr>
      <w:tr w:rsidR="006B6965" w14:paraId="25B27E4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FCA0A6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4FF036A" w14:textId="77777777">
            <w:pPr>
              <w:pStyle w:val="p-table"/>
              <w:rPr>
                <w:sz w:val="17"/>
              </w:rPr>
            </w:pPr>
            <w:r>
              <w:rPr>
                <w:sz w:val="17"/>
              </w:rPr>
              <w:t>NGF Project - Maritiem Masterplan</w:t>
            </w:r>
          </w:p>
        </w:tc>
        <w:tc>
          <w:tcPr>
            <w:tcW w:w="1377" w:type="dxa"/>
            <w:tcBorders>
              <w:bottom w:val="single" w:color="009EE0" w:sz="2" w:space="0"/>
            </w:tcBorders>
            <w:tcMar>
              <w:top w:w="22" w:type="dxa"/>
              <w:left w:w="28" w:type="dxa"/>
              <w:bottom w:w="22" w:type="dxa"/>
              <w:right w:w="28" w:type="dxa"/>
            </w:tcMar>
          </w:tcPr>
          <w:p w:rsidR="006B6965" w:rsidRDefault="003A166B" w14:paraId="0632D11A" w14:textId="77777777">
            <w:pPr>
              <w:pStyle w:val="p-table"/>
              <w:jc w:val="right"/>
              <w:rPr>
                <w:sz w:val="17"/>
              </w:rPr>
            </w:pPr>
            <w:r>
              <w:rPr>
                <w:sz w:val="17"/>
              </w:rPr>
              <w:t>221</w:t>
            </w:r>
          </w:p>
        </w:tc>
        <w:tc>
          <w:tcPr>
            <w:tcW w:w="1377" w:type="dxa"/>
            <w:tcBorders>
              <w:bottom w:val="single" w:color="009EE0" w:sz="2" w:space="0"/>
            </w:tcBorders>
            <w:tcMar>
              <w:top w:w="22" w:type="dxa"/>
              <w:left w:w="28" w:type="dxa"/>
              <w:bottom w:w="22" w:type="dxa"/>
              <w:right w:w="28" w:type="dxa"/>
            </w:tcMar>
          </w:tcPr>
          <w:p w:rsidR="006B6965" w:rsidRDefault="003A166B" w14:paraId="668C92E2" w14:textId="77777777">
            <w:pPr>
              <w:pStyle w:val="p-table"/>
              <w:jc w:val="right"/>
              <w:rPr>
                <w:sz w:val="17"/>
              </w:rPr>
            </w:pPr>
            <w:r>
              <w:rPr>
                <w:sz w:val="17"/>
              </w:rPr>
              <w:t>‒</w:t>
            </w:r>
            <w:r>
              <w:rPr>
                <w:sz w:val="17"/>
              </w:rPr>
              <w:t xml:space="preserve"> 219</w:t>
            </w:r>
          </w:p>
        </w:tc>
        <w:tc>
          <w:tcPr>
            <w:tcW w:w="1377" w:type="dxa"/>
            <w:tcBorders>
              <w:bottom w:val="single" w:color="009EE0" w:sz="2" w:space="0"/>
            </w:tcBorders>
            <w:tcMar>
              <w:top w:w="22" w:type="dxa"/>
              <w:left w:w="28" w:type="dxa"/>
              <w:bottom w:w="22" w:type="dxa"/>
              <w:right w:w="28" w:type="dxa"/>
            </w:tcMar>
          </w:tcPr>
          <w:p w:rsidR="006B6965" w:rsidRDefault="003A166B" w14:paraId="39EBCA09" w14:textId="77777777">
            <w:pPr>
              <w:pStyle w:val="p-table"/>
              <w:jc w:val="right"/>
              <w:rPr>
                <w:sz w:val="17"/>
              </w:rPr>
            </w:pPr>
            <w:r>
              <w:rPr>
                <w:sz w:val="17"/>
              </w:rPr>
              <w:t>2</w:t>
            </w:r>
          </w:p>
        </w:tc>
      </w:tr>
      <w:tr w:rsidR="006B6965" w14:paraId="173D68E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BA26C4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1212335" w14:textId="77777777">
            <w:pPr>
              <w:pStyle w:val="p-table"/>
              <w:rPr>
                <w:sz w:val="17"/>
              </w:rPr>
            </w:pPr>
            <w:r>
              <w:rPr>
                <w:sz w:val="17"/>
              </w:rPr>
              <w:t>Zeehavens/Zeevaart</w:t>
            </w:r>
          </w:p>
        </w:tc>
        <w:tc>
          <w:tcPr>
            <w:tcW w:w="1377" w:type="dxa"/>
            <w:tcBorders>
              <w:bottom w:val="single" w:color="009EE0" w:sz="2" w:space="0"/>
            </w:tcBorders>
            <w:tcMar>
              <w:top w:w="22" w:type="dxa"/>
              <w:left w:w="28" w:type="dxa"/>
              <w:bottom w:w="22" w:type="dxa"/>
              <w:right w:w="28" w:type="dxa"/>
            </w:tcMar>
          </w:tcPr>
          <w:p w:rsidR="006B6965" w:rsidRDefault="003A166B" w14:paraId="5F50774D" w14:textId="77777777">
            <w:pPr>
              <w:pStyle w:val="p-table"/>
              <w:jc w:val="right"/>
              <w:rPr>
                <w:sz w:val="17"/>
              </w:rPr>
            </w:pPr>
            <w:r>
              <w:rPr>
                <w:sz w:val="17"/>
              </w:rPr>
              <w:t>3.608</w:t>
            </w:r>
          </w:p>
        </w:tc>
        <w:tc>
          <w:tcPr>
            <w:tcW w:w="1377" w:type="dxa"/>
            <w:tcBorders>
              <w:bottom w:val="single" w:color="009EE0" w:sz="2" w:space="0"/>
            </w:tcBorders>
            <w:tcMar>
              <w:top w:w="22" w:type="dxa"/>
              <w:left w:w="28" w:type="dxa"/>
              <w:bottom w:w="22" w:type="dxa"/>
              <w:right w:w="28" w:type="dxa"/>
            </w:tcMar>
          </w:tcPr>
          <w:p w:rsidR="006B6965" w:rsidRDefault="003A166B" w14:paraId="2CFDB704" w14:textId="77777777">
            <w:pPr>
              <w:pStyle w:val="p-table"/>
              <w:jc w:val="right"/>
              <w:rPr>
                <w:sz w:val="17"/>
              </w:rPr>
            </w:pPr>
            <w:r>
              <w:rPr>
                <w:sz w:val="17"/>
              </w:rPr>
              <w:t>533</w:t>
            </w:r>
          </w:p>
        </w:tc>
        <w:tc>
          <w:tcPr>
            <w:tcW w:w="1377" w:type="dxa"/>
            <w:tcBorders>
              <w:bottom w:val="single" w:color="009EE0" w:sz="2" w:space="0"/>
            </w:tcBorders>
            <w:tcMar>
              <w:top w:w="22" w:type="dxa"/>
              <w:left w:w="28" w:type="dxa"/>
              <w:bottom w:w="22" w:type="dxa"/>
              <w:right w:w="28" w:type="dxa"/>
            </w:tcMar>
          </w:tcPr>
          <w:p w:rsidR="006B6965" w:rsidRDefault="003A166B" w14:paraId="1C62D977" w14:textId="77777777">
            <w:pPr>
              <w:pStyle w:val="p-table"/>
              <w:jc w:val="right"/>
              <w:rPr>
                <w:sz w:val="17"/>
              </w:rPr>
            </w:pPr>
            <w:r>
              <w:rPr>
                <w:sz w:val="17"/>
              </w:rPr>
              <w:t>4.141</w:t>
            </w:r>
          </w:p>
        </w:tc>
      </w:tr>
      <w:tr w:rsidR="006B6965" w14:paraId="5B1115E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9ED072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53862B3" w14:textId="77777777">
            <w:pPr>
              <w:pStyle w:val="p-table"/>
              <w:rPr>
                <w:sz w:val="17"/>
              </w:rPr>
            </w:pPr>
            <w:r>
              <w:rPr>
                <w:sz w:val="17"/>
              </w:rPr>
              <w:t>KF - Verduurzaming Zeevaart</w:t>
            </w:r>
          </w:p>
        </w:tc>
        <w:tc>
          <w:tcPr>
            <w:tcW w:w="1377" w:type="dxa"/>
            <w:tcBorders>
              <w:bottom w:val="single" w:color="009EE0" w:sz="2" w:space="0"/>
            </w:tcBorders>
            <w:tcMar>
              <w:top w:w="22" w:type="dxa"/>
              <w:left w:w="28" w:type="dxa"/>
              <w:bottom w:w="22" w:type="dxa"/>
              <w:right w:w="28" w:type="dxa"/>
            </w:tcMar>
          </w:tcPr>
          <w:p w:rsidR="006B6965" w:rsidRDefault="003A166B" w14:paraId="5F2F2659" w14:textId="77777777">
            <w:pPr>
              <w:pStyle w:val="p-table"/>
              <w:jc w:val="right"/>
              <w:rPr>
                <w:sz w:val="17"/>
              </w:rPr>
            </w:pPr>
            <w:r>
              <w:rPr>
                <w:sz w:val="17"/>
              </w:rPr>
              <w:t>300</w:t>
            </w:r>
          </w:p>
        </w:tc>
        <w:tc>
          <w:tcPr>
            <w:tcW w:w="1377" w:type="dxa"/>
            <w:tcBorders>
              <w:bottom w:val="single" w:color="009EE0" w:sz="2" w:space="0"/>
            </w:tcBorders>
            <w:tcMar>
              <w:top w:w="22" w:type="dxa"/>
              <w:left w:w="28" w:type="dxa"/>
              <w:bottom w:w="22" w:type="dxa"/>
              <w:right w:w="28" w:type="dxa"/>
            </w:tcMar>
          </w:tcPr>
          <w:p w:rsidR="006B6965" w:rsidRDefault="003A166B" w14:paraId="2EDEFC73" w14:textId="77777777">
            <w:pPr>
              <w:pStyle w:val="p-table"/>
              <w:jc w:val="right"/>
              <w:rPr>
                <w:sz w:val="17"/>
              </w:rPr>
            </w:pPr>
            <w:r>
              <w:rPr>
                <w:sz w:val="17"/>
              </w:rPr>
              <w:t>‒</w:t>
            </w:r>
            <w:r>
              <w:rPr>
                <w:sz w:val="17"/>
              </w:rPr>
              <w:t xml:space="preserve"> 195</w:t>
            </w:r>
          </w:p>
        </w:tc>
        <w:tc>
          <w:tcPr>
            <w:tcW w:w="1377" w:type="dxa"/>
            <w:tcBorders>
              <w:bottom w:val="single" w:color="009EE0" w:sz="2" w:space="0"/>
            </w:tcBorders>
            <w:tcMar>
              <w:top w:w="22" w:type="dxa"/>
              <w:left w:w="28" w:type="dxa"/>
              <w:bottom w:w="22" w:type="dxa"/>
              <w:right w:w="28" w:type="dxa"/>
            </w:tcMar>
          </w:tcPr>
          <w:p w:rsidR="006B6965" w:rsidRDefault="003A166B" w14:paraId="3B8792A2" w14:textId="77777777">
            <w:pPr>
              <w:pStyle w:val="p-table"/>
              <w:jc w:val="right"/>
              <w:rPr>
                <w:sz w:val="17"/>
              </w:rPr>
            </w:pPr>
            <w:r>
              <w:rPr>
                <w:sz w:val="17"/>
              </w:rPr>
              <w:t>105</w:t>
            </w:r>
          </w:p>
        </w:tc>
      </w:tr>
      <w:tr w:rsidR="006B6965" w14:paraId="7DFA629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9835DC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FB22B21" w14:textId="77777777">
            <w:pPr>
              <w:pStyle w:val="p-table"/>
              <w:rPr>
                <w:sz w:val="17"/>
              </w:rPr>
            </w:pPr>
            <w:r>
              <w:rPr>
                <w:sz w:val="17"/>
              </w:rPr>
              <w:t>KF: Verduurzaming Binnenvaart</w:t>
            </w:r>
          </w:p>
        </w:tc>
        <w:tc>
          <w:tcPr>
            <w:tcW w:w="1377" w:type="dxa"/>
            <w:tcBorders>
              <w:bottom w:val="single" w:color="009EE0" w:sz="2" w:space="0"/>
            </w:tcBorders>
            <w:tcMar>
              <w:top w:w="22" w:type="dxa"/>
              <w:left w:w="28" w:type="dxa"/>
              <w:bottom w:w="22" w:type="dxa"/>
              <w:right w:w="28" w:type="dxa"/>
            </w:tcMar>
          </w:tcPr>
          <w:p w:rsidR="006B6965" w:rsidRDefault="003A166B" w14:paraId="712D90E3" w14:textId="77777777">
            <w:pPr>
              <w:pStyle w:val="p-table"/>
              <w:jc w:val="right"/>
              <w:rPr>
                <w:sz w:val="17"/>
              </w:rPr>
            </w:pPr>
            <w:r>
              <w:rPr>
                <w:sz w:val="17"/>
              </w:rPr>
              <w:t>480</w:t>
            </w:r>
          </w:p>
        </w:tc>
        <w:tc>
          <w:tcPr>
            <w:tcW w:w="1377" w:type="dxa"/>
            <w:tcBorders>
              <w:bottom w:val="single" w:color="009EE0" w:sz="2" w:space="0"/>
            </w:tcBorders>
            <w:tcMar>
              <w:top w:w="22" w:type="dxa"/>
              <w:left w:w="28" w:type="dxa"/>
              <w:bottom w:w="22" w:type="dxa"/>
              <w:right w:w="28" w:type="dxa"/>
            </w:tcMar>
          </w:tcPr>
          <w:p w:rsidR="006B6965" w:rsidRDefault="003A166B" w14:paraId="7C1C5710" w14:textId="77777777">
            <w:pPr>
              <w:pStyle w:val="p-table"/>
              <w:jc w:val="right"/>
              <w:rPr>
                <w:sz w:val="17"/>
              </w:rPr>
            </w:pPr>
            <w:r>
              <w:rPr>
                <w:sz w:val="17"/>
              </w:rPr>
              <w:t>‒</w:t>
            </w:r>
            <w:r>
              <w:rPr>
                <w:sz w:val="17"/>
              </w:rPr>
              <w:t xml:space="preserve"> 415</w:t>
            </w:r>
          </w:p>
        </w:tc>
        <w:tc>
          <w:tcPr>
            <w:tcW w:w="1377" w:type="dxa"/>
            <w:tcBorders>
              <w:bottom w:val="single" w:color="009EE0" w:sz="2" w:space="0"/>
            </w:tcBorders>
            <w:tcMar>
              <w:top w:w="22" w:type="dxa"/>
              <w:left w:w="28" w:type="dxa"/>
              <w:bottom w:w="22" w:type="dxa"/>
              <w:right w:w="28" w:type="dxa"/>
            </w:tcMar>
          </w:tcPr>
          <w:p w:rsidR="006B6965" w:rsidRDefault="003A166B" w14:paraId="6644F1BA" w14:textId="77777777">
            <w:pPr>
              <w:pStyle w:val="p-table"/>
              <w:jc w:val="right"/>
              <w:rPr>
                <w:sz w:val="17"/>
              </w:rPr>
            </w:pPr>
            <w:r>
              <w:rPr>
                <w:sz w:val="17"/>
              </w:rPr>
              <w:t>65</w:t>
            </w:r>
          </w:p>
        </w:tc>
      </w:tr>
      <w:tr w:rsidR="006B6965" w14:paraId="66C2215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9A4CB3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213E15C" w14:textId="77777777">
            <w:pPr>
              <w:pStyle w:val="p-table"/>
              <w:rPr>
                <w:sz w:val="17"/>
              </w:rPr>
            </w:pPr>
            <w:r>
              <w:rPr>
                <w:sz w:val="17"/>
              </w:rPr>
              <w:t>Opdrachten PBNI</w:t>
            </w:r>
          </w:p>
        </w:tc>
        <w:tc>
          <w:tcPr>
            <w:tcW w:w="1377" w:type="dxa"/>
            <w:tcBorders>
              <w:bottom w:val="single" w:color="009EE0" w:sz="2" w:space="0"/>
            </w:tcBorders>
            <w:tcMar>
              <w:top w:w="22" w:type="dxa"/>
              <w:left w:w="28" w:type="dxa"/>
              <w:bottom w:w="22" w:type="dxa"/>
              <w:right w:w="28" w:type="dxa"/>
            </w:tcMar>
          </w:tcPr>
          <w:p w:rsidR="006B6965" w:rsidRDefault="003A166B" w14:paraId="1FB92FA2" w14:textId="77777777">
            <w:pPr>
              <w:pStyle w:val="p-table"/>
              <w:jc w:val="right"/>
              <w:rPr>
                <w:sz w:val="17"/>
              </w:rPr>
            </w:pPr>
            <w:r>
              <w:rPr>
                <w:sz w:val="17"/>
              </w:rPr>
              <w:t>6.993</w:t>
            </w:r>
          </w:p>
        </w:tc>
        <w:tc>
          <w:tcPr>
            <w:tcW w:w="1377" w:type="dxa"/>
            <w:tcBorders>
              <w:bottom w:val="single" w:color="009EE0" w:sz="2" w:space="0"/>
            </w:tcBorders>
            <w:tcMar>
              <w:top w:w="22" w:type="dxa"/>
              <w:left w:w="28" w:type="dxa"/>
              <w:bottom w:w="22" w:type="dxa"/>
              <w:right w:w="28" w:type="dxa"/>
            </w:tcMar>
          </w:tcPr>
          <w:p w:rsidR="006B6965" w:rsidRDefault="003A166B" w14:paraId="1E652FF2" w14:textId="77777777">
            <w:pPr>
              <w:pStyle w:val="p-table"/>
              <w:jc w:val="right"/>
              <w:rPr>
                <w:sz w:val="17"/>
              </w:rPr>
            </w:pPr>
            <w:r>
              <w:rPr>
                <w:sz w:val="17"/>
              </w:rPr>
              <w:t>‒</w:t>
            </w:r>
            <w:r>
              <w:rPr>
                <w:sz w:val="17"/>
              </w:rPr>
              <w:t xml:space="preserve"> 1.560</w:t>
            </w:r>
          </w:p>
        </w:tc>
        <w:tc>
          <w:tcPr>
            <w:tcW w:w="1377" w:type="dxa"/>
            <w:tcBorders>
              <w:bottom w:val="single" w:color="009EE0" w:sz="2" w:space="0"/>
            </w:tcBorders>
            <w:tcMar>
              <w:top w:w="22" w:type="dxa"/>
              <w:left w:w="28" w:type="dxa"/>
              <w:bottom w:w="22" w:type="dxa"/>
              <w:right w:w="28" w:type="dxa"/>
            </w:tcMar>
          </w:tcPr>
          <w:p w:rsidR="006B6965" w:rsidRDefault="003A166B" w14:paraId="2AED2571" w14:textId="77777777">
            <w:pPr>
              <w:pStyle w:val="p-table"/>
              <w:jc w:val="right"/>
              <w:rPr>
                <w:sz w:val="17"/>
              </w:rPr>
            </w:pPr>
            <w:r>
              <w:rPr>
                <w:sz w:val="17"/>
              </w:rPr>
              <w:t>5.433</w:t>
            </w:r>
          </w:p>
        </w:tc>
      </w:tr>
      <w:tr w:rsidR="006B6965" w14:paraId="14B1BCD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084DBE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3F5A8C1" w14:textId="77777777">
            <w:pPr>
              <w:pStyle w:val="p-table"/>
              <w:rPr>
                <w:sz w:val="17"/>
              </w:rPr>
            </w:pPr>
            <w:r>
              <w:rPr>
                <w:sz w:val="17"/>
              </w:rPr>
              <w:t>CER/NIS2</w:t>
            </w:r>
          </w:p>
        </w:tc>
        <w:tc>
          <w:tcPr>
            <w:tcW w:w="1377" w:type="dxa"/>
            <w:tcBorders>
              <w:bottom w:val="single" w:color="009EE0" w:sz="2" w:space="0"/>
            </w:tcBorders>
            <w:tcMar>
              <w:top w:w="22" w:type="dxa"/>
              <w:left w:w="28" w:type="dxa"/>
              <w:bottom w:w="22" w:type="dxa"/>
              <w:right w:w="28" w:type="dxa"/>
            </w:tcMar>
          </w:tcPr>
          <w:p w:rsidR="006B6965" w:rsidRDefault="003A166B" w14:paraId="4257BA8C" w14:textId="77777777">
            <w:pPr>
              <w:pStyle w:val="p-table"/>
              <w:jc w:val="right"/>
              <w:rPr>
                <w:sz w:val="17"/>
              </w:rPr>
            </w:pPr>
            <w:r>
              <w:rPr>
                <w:sz w:val="17"/>
              </w:rPr>
              <w:t>1.340</w:t>
            </w:r>
          </w:p>
        </w:tc>
        <w:tc>
          <w:tcPr>
            <w:tcW w:w="1377" w:type="dxa"/>
            <w:tcBorders>
              <w:bottom w:val="single" w:color="009EE0" w:sz="2" w:space="0"/>
            </w:tcBorders>
            <w:tcMar>
              <w:top w:w="22" w:type="dxa"/>
              <w:left w:w="28" w:type="dxa"/>
              <w:bottom w:w="22" w:type="dxa"/>
              <w:right w:w="28" w:type="dxa"/>
            </w:tcMar>
          </w:tcPr>
          <w:p w:rsidR="006B6965" w:rsidRDefault="003A166B" w14:paraId="3A9C5CCF" w14:textId="77777777">
            <w:pPr>
              <w:pStyle w:val="p-table"/>
              <w:jc w:val="right"/>
              <w:rPr>
                <w:sz w:val="17"/>
              </w:rPr>
            </w:pPr>
            <w:r>
              <w:rPr>
                <w:sz w:val="17"/>
              </w:rPr>
              <w:t>‒</w:t>
            </w:r>
            <w:r>
              <w:rPr>
                <w:sz w:val="17"/>
              </w:rPr>
              <w:t xml:space="preserve"> 691</w:t>
            </w:r>
          </w:p>
        </w:tc>
        <w:tc>
          <w:tcPr>
            <w:tcW w:w="1377" w:type="dxa"/>
            <w:tcBorders>
              <w:bottom w:val="single" w:color="009EE0" w:sz="2" w:space="0"/>
            </w:tcBorders>
            <w:tcMar>
              <w:top w:w="22" w:type="dxa"/>
              <w:left w:w="28" w:type="dxa"/>
              <w:bottom w:w="22" w:type="dxa"/>
              <w:right w:w="28" w:type="dxa"/>
            </w:tcMar>
          </w:tcPr>
          <w:p w:rsidR="006B6965" w:rsidRDefault="003A166B" w14:paraId="1BA143C6" w14:textId="77777777">
            <w:pPr>
              <w:pStyle w:val="p-table"/>
              <w:jc w:val="right"/>
              <w:rPr>
                <w:sz w:val="17"/>
              </w:rPr>
            </w:pPr>
            <w:r>
              <w:rPr>
                <w:sz w:val="17"/>
              </w:rPr>
              <w:t>649</w:t>
            </w:r>
          </w:p>
        </w:tc>
      </w:tr>
      <w:tr w:rsidR="006B6965" w14:paraId="68BE98D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1A6BA5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4471F20"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6781FD12" w14:textId="77777777">
            <w:pPr>
              <w:pStyle w:val="p-table"/>
              <w:jc w:val="right"/>
              <w:rPr>
                <w:sz w:val="17"/>
              </w:rPr>
            </w:pPr>
            <w:r>
              <w:rPr>
                <w:sz w:val="17"/>
              </w:rPr>
              <w:t>8.043</w:t>
            </w:r>
          </w:p>
        </w:tc>
        <w:tc>
          <w:tcPr>
            <w:tcW w:w="1377" w:type="dxa"/>
            <w:tcBorders>
              <w:bottom w:val="single" w:color="009EE0" w:sz="2" w:space="0"/>
            </w:tcBorders>
            <w:tcMar>
              <w:top w:w="22" w:type="dxa"/>
              <w:left w:w="28" w:type="dxa"/>
              <w:bottom w:w="22" w:type="dxa"/>
              <w:right w:w="28" w:type="dxa"/>
            </w:tcMar>
          </w:tcPr>
          <w:p w:rsidR="006B6965" w:rsidRDefault="003A166B" w14:paraId="00D676E1" w14:textId="77777777">
            <w:pPr>
              <w:pStyle w:val="p-table"/>
              <w:jc w:val="right"/>
              <w:rPr>
                <w:sz w:val="17"/>
              </w:rPr>
            </w:pPr>
            <w:r>
              <w:rPr>
                <w:sz w:val="17"/>
              </w:rPr>
              <w:t>‒</w:t>
            </w:r>
            <w:r>
              <w:rPr>
                <w:sz w:val="17"/>
              </w:rPr>
              <w:t xml:space="preserve"> 1.375</w:t>
            </w:r>
          </w:p>
        </w:tc>
        <w:tc>
          <w:tcPr>
            <w:tcW w:w="1377" w:type="dxa"/>
            <w:tcBorders>
              <w:bottom w:val="single" w:color="009EE0" w:sz="2" w:space="0"/>
            </w:tcBorders>
            <w:tcMar>
              <w:top w:w="22" w:type="dxa"/>
              <w:left w:w="28" w:type="dxa"/>
              <w:bottom w:w="22" w:type="dxa"/>
              <w:right w:w="28" w:type="dxa"/>
            </w:tcMar>
          </w:tcPr>
          <w:p w:rsidR="006B6965" w:rsidRDefault="003A166B" w14:paraId="3E9B5953" w14:textId="77777777">
            <w:pPr>
              <w:pStyle w:val="p-table"/>
              <w:jc w:val="right"/>
              <w:rPr>
                <w:sz w:val="17"/>
              </w:rPr>
            </w:pPr>
            <w:r>
              <w:rPr>
                <w:sz w:val="17"/>
              </w:rPr>
              <w:t>6.668</w:t>
            </w:r>
          </w:p>
        </w:tc>
      </w:tr>
      <w:tr w:rsidR="006B6965" w14:paraId="220D5F1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2FA9E0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38CC97C"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1B1A5F35" w14:textId="77777777">
            <w:pPr>
              <w:pStyle w:val="p-table"/>
              <w:jc w:val="right"/>
              <w:rPr>
                <w:sz w:val="17"/>
              </w:rPr>
            </w:pPr>
            <w:r>
              <w:rPr>
                <w:i/>
                <w:sz w:val="17"/>
              </w:rPr>
              <w:t>120.531</w:t>
            </w:r>
          </w:p>
        </w:tc>
        <w:tc>
          <w:tcPr>
            <w:tcW w:w="1377" w:type="dxa"/>
            <w:tcBorders>
              <w:bottom w:val="single" w:color="009EE0" w:sz="2" w:space="0"/>
            </w:tcBorders>
            <w:tcMar>
              <w:top w:w="22" w:type="dxa"/>
              <w:left w:w="28" w:type="dxa"/>
              <w:bottom w:w="22" w:type="dxa"/>
              <w:right w:w="28" w:type="dxa"/>
            </w:tcMar>
          </w:tcPr>
          <w:p w:rsidR="006B6965" w:rsidRDefault="003A166B" w14:paraId="5DC340D4" w14:textId="77777777">
            <w:pPr>
              <w:pStyle w:val="p-table"/>
              <w:jc w:val="right"/>
              <w:rPr>
                <w:sz w:val="17"/>
              </w:rPr>
            </w:pPr>
            <w:r>
              <w:rPr>
                <w:i/>
                <w:sz w:val="17"/>
              </w:rPr>
              <w:t>10.756</w:t>
            </w:r>
          </w:p>
        </w:tc>
        <w:tc>
          <w:tcPr>
            <w:tcW w:w="1377" w:type="dxa"/>
            <w:tcBorders>
              <w:bottom w:val="single" w:color="009EE0" w:sz="2" w:space="0"/>
            </w:tcBorders>
            <w:tcMar>
              <w:top w:w="22" w:type="dxa"/>
              <w:left w:w="28" w:type="dxa"/>
              <w:bottom w:w="22" w:type="dxa"/>
              <w:right w:w="28" w:type="dxa"/>
            </w:tcMar>
          </w:tcPr>
          <w:p w:rsidR="006B6965" w:rsidRDefault="003A166B" w14:paraId="269AF748" w14:textId="77777777">
            <w:pPr>
              <w:pStyle w:val="p-table"/>
              <w:jc w:val="right"/>
              <w:rPr>
                <w:sz w:val="17"/>
              </w:rPr>
            </w:pPr>
            <w:r>
              <w:rPr>
                <w:i/>
                <w:sz w:val="17"/>
              </w:rPr>
              <w:t>131.287</w:t>
            </w:r>
          </w:p>
        </w:tc>
      </w:tr>
      <w:tr w:rsidR="006B6965" w14:paraId="6C78DFB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6050E2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AFDCFFB" w14:textId="77777777">
            <w:pPr>
              <w:pStyle w:val="p-table"/>
              <w:rPr>
                <w:sz w:val="17"/>
              </w:rPr>
            </w:pPr>
            <w:r>
              <w:rPr>
                <w:sz w:val="17"/>
              </w:rPr>
              <w:t>Topsector Logistiek</w:t>
            </w:r>
          </w:p>
        </w:tc>
        <w:tc>
          <w:tcPr>
            <w:tcW w:w="1377" w:type="dxa"/>
            <w:tcBorders>
              <w:bottom w:val="single" w:color="009EE0" w:sz="2" w:space="0"/>
            </w:tcBorders>
            <w:tcMar>
              <w:top w:w="22" w:type="dxa"/>
              <w:left w:w="28" w:type="dxa"/>
              <w:bottom w:w="22" w:type="dxa"/>
              <w:right w:w="28" w:type="dxa"/>
            </w:tcMar>
          </w:tcPr>
          <w:p w:rsidR="006B6965" w:rsidRDefault="003A166B" w14:paraId="36209EEF" w14:textId="77777777">
            <w:pPr>
              <w:pStyle w:val="p-table"/>
              <w:jc w:val="right"/>
              <w:rPr>
                <w:sz w:val="17"/>
              </w:rPr>
            </w:pPr>
            <w:r>
              <w:rPr>
                <w:sz w:val="17"/>
              </w:rPr>
              <w:t>3.500</w:t>
            </w:r>
          </w:p>
        </w:tc>
        <w:tc>
          <w:tcPr>
            <w:tcW w:w="1377" w:type="dxa"/>
            <w:tcBorders>
              <w:bottom w:val="single" w:color="009EE0" w:sz="2" w:space="0"/>
            </w:tcBorders>
            <w:tcMar>
              <w:top w:w="22" w:type="dxa"/>
              <w:left w:w="28" w:type="dxa"/>
              <w:bottom w:w="22" w:type="dxa"/>
              <w:right w:w="28" w:type="dxa"/>
            </w:tcMar>
          </w:tcPr>
          <w:p w:rsidR="006B6965" w:rsidRDefault="003A166B" w14:paraId="1C7E0CFF"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AC541C5" w14:textId="77777777">
            <w:pPr>
              <w:pStyle w:val="p-table"/>
              <w:jc w:val="right"/>
              <w:rPr>
                <w:sz w:val="17"/>
              </w:rPr>
            </w:pPr>
            <w:r>
              <w:rPr>
                <w:sz w:val="17"/>
              </w:rPr>
              <w:t>3.500</w:t>
            </w:r>
          </w:p>
        </w:tc>
      </w:tr>
      <w:tr w:rsidR="006B6965" w14:paraId="78A79A8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42B04F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16B167B" w14:textId="77777777">
            <w:pPr>
              <w:pStyle w:val="p-table"/>
              <w:rPr>
                <w:sz w:val="17"/>
              </w:rPr>
            </w:pPr>
            <w:r>
              <w:rPr>
                <w:sz w:val="17"/>
              </w:rPr>
              <w:t>Walstroom</w:t>
            </w:r>
          </w:p>
        </w:tc>
        <w:tc>
          <w:tcPr>
            <w:tcW w:w="1377" w:type="dxa"/>
            <w:tcBorders>
              <w:bottom w:val="single" w:color="009EE0" w:sz="2" w:space="0"/>
            </w:tcBorders>
            <w:tcMar>
              <w:top w:w="22" w:type="dxa"/>
              <w:left w:w="28" w:type="dxa"/>
              <w:bottom w:w="22" w:type="dxa"/>
              <w:right w:w="28" w:type="dxa"/>
            </w:tcMar>
          </w:tcPr>
          <w:p w:rsidR="006B6965" w:rsidRDefault="003A166B" w14:paraId="744A4BEA" w14:textId="77777777">
            <w:pPr>
              <w:pStyle w:val="p-table"/>
              <w:jc w:val="right"/>
              <w:rPr>
                <w:sz w:val="17"/>
              </w:rPr>
            </w:pPr>
            <w:r>
              <w:rPr>
                <w:sz w:val="17"/>
              </w:rPr>
              <w:t>46.621</w:t>
            </w:r>
          </w:p>
        </w:tc>
        <w:tc>
          <w:tcPr>
            <w:tcW w:w="1377" w:type="dxa"/>
            <w:tcBorders>
              <w:bottom w:val="single" w:color="009EE0" w:sz="2" w:space="0"/>
            </w:tcBorders>
            <w:tcMar>
              <w:top w:w="22" w:type="dxa"/>
              <w:left w:w="28" w:type="dxa"/>
              <w:bottom w:w="22" w:type="dxa"/>
              <w:right w:w="28" w:type="dxa"/>
            </w:tcMar>
          </w:tcPr>
          <w:p w:rsidR="006B6965" w:rsidRDefault="003A166B" w14:paraId="614F4B0A" w14:textId="77777777">
            <w:pPr>
              <w:pStyle w:val="p-table"/>
              <w:jc w:val="right"/>
              <w:rPr>
                <w:sz w:val="17"/>
              </w:rPr>
            </w:pPr>
            <w:r>
              <w:rPr>
                <w:sz w:val="17"/>
              </w:rPr>
              <w:t>7.939</w:t>
            </w:r>
          </w:p>
        </w:tc>
        <w:tc>
          <w:tcPr>
            <w:tcW w:w="1377" w:type="dxa"/>
            <w:tcBorders>
              <w:bottom w:val="single" w:color="009EE0" w:sz="2" w:space="0"/>
            </w:tcBorders>
            <w:tcMar>
              <w:top w:w="22" w:type="dxa"/>
              <w:left w:w="28" w:type="dxa"/>
              <w:bottom w:w="22" w:type="dxa"/>
              <w:right w:w="28" w:type="dxa"/>
            </w:tcMar>
          </w:tcPr>
          <w:p w:rsidR="006B6965" w:rsidRDefault="003A166B" w14:paraId="39FEA25D" w14:textId="77777777">
            <w:pPr>
              <w:pStyle w:val="p-table"/>
              <w:jc w:val="right"/>
              <w:rPr>
                <w:sz w:val="17"/>
              </w:rPr>
            </w:pPr>
            <w:r>
              <w:rPr>
                <w:sz w:val="17"/>
              </w:rPr>
              <w:t>54.560</w:t>
            </w:r>
          </w:p>
        </w:tc>
      </w:tr>
      <w:tr w:rsidR="006B6965" w14:paraId="0518E76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0E1327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A5918CD" w14:textId="77777777">
            <w:pPr>
              <w:pStyle w:val="p-table"/>
              <w:rPr>
                <w:sz w:val="17"/>
              </w:rPr>
            </w:pPr>
            <w:r>
              <w:rPr>
                <w:sz w:val="17"/>
              </w:rPr>
              <w:t>Subsidie verduurzaming binnenvaartschepen</w:t>
            </w:r>
          </w:p>
        </w:tc>
        <w:tc>
          <w:tcPr>
            <w:tcW w:w="1377" w:type="dxa"/>
            <w:tcBorders>
              <w:bottom w:val="single" w:color="009EE0" w:sz="2" w:space="0"/>
            </w:tcBorders>
            <w:tcMar>
              <w:top w:w="22" w:type="dxa"/>
              <w:left w:w="28" w:type="dxa"/>
              <w:bottom w:w="22" w:type="dxa"/>
              <w:right w:w="28" w:type="dxa"/>
            </w:tcMar>
          </w:tcPr>
          <w:p w:rsidR="006B6965" w:rsidRDefault="003A166B" w14:paraId="7719650F" w14:textId="77777777">
            <w:pPr>
              <w:pStyle w:val="p-table"/>
              <w:jc w:val="right"/>
              <w:rPr>
                <w:sz w:val="17"/>
              </w:rPr>
            </w:pPr>
            <w:r>
              <w:rPr>
                <w:sz w:val="17"/>
              </w:rPr>
              <w:t>29.357</w:t>
            </w:r>
          </w:p>
        </w:tc>
        <w:tc>
          <w:tcPr>
            <w:tcW w:w="1377" w:type="dxa"/>
            <w:tcBorders>
              <w:bottom w:val="single" w:color="009EE0" w:sz="2" w:space="0"/>
            </w:tcBorders>
            <w:tcMar>
              <w:top w:w="22" w:type="dxa"/>
              <w:left w:w="28" w:type="dxa"/>
              <w:bottom w:w="22" w:type="dxa"/>
              <w:right w:w="28" w:type="dxa"/>
            </w:tcMar>
          </w:tcPr>
          <w:p w:rsidR="006B6965" w:rsidRDefault="003A166B" w14:paraId="2446E291" w14:textId="77777777">
            <w:pPr>
              <w:pStyle w:val="p-table"/>
              <w:jc w:val="right"/>
              <w:rPr>
                <w:sz w:val="17"/>
              </w:rPr>
            </w:pPr>
            <w:r>
              <w:rPr>
                <w:sz w:val="17"/>
              </w:rPr>
              <w:t>‒</w:t>
            </w:r>
            <w:r>
              <w:rPr>
                <w:sz w:val="17"/>
              </w:rPr>
              <w:t xml:space="preserve"> 129</w:t>
            </w:r>
          </w:p>
        </w:tc>
        <w:tc>
          <w:tcPr>
            <w:tcW w:w="1377" w:type="dxa"/>
            <w:tcBorders>
              <w:bottom w:val="single" w:color="009EE0" w:sz="2" w:space="0"/>
            </w:tcBorders>
            <w:tcMar>
              <w:top w:w="22" w:type="dxa"/>
              <w:left w:w="28" w:type="dxa"/>
              <w:bottom w:w="22" w:type="dxa"/>
              <w:right w:w="28" w:type="dxa"/>
            </w:tcMar>
          </w:tcPr>
          <w:p w:rsidR="006B6965" w:rsidRDefault="003A166B" w14:paraId="4E6EA0BA" w14:textId="77777777">
            <w:pPr>
              <w:pStyle w:val="p-table"/>
              <w:jc w:val="right"/>
              <w:rPr>
                <w:sz w:val="17"/>
              </w:rPr>
            </w:pPr>
            <w:r>
              <w:rPr>
                <w:sz w:val="17"/>
              </w:rPr>
              <w:t>29.228</w:t>
            </w:r>
          </w:p>
        </w:tc>
      </w:tr>
      <w:tr w:rsidR="006B6965" w14:paraId="51E15A4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772EAA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EA01EDE" w14:textId="77777777">
            <w:pPr>
              <w:pStyle w:val="p-table"/>
              <w:rPr>
                <w:sz w:val="17"/>
              </w:rPr>
            </w:pPr>
            <w:r>
              <w:rPr>
                <w:sz w:val="17"/>
              </w:rPr>
              <w:t>NGF Project - Zero-emissie binnenvaart batterij-elektrisch</w:t>
            </w:r>
          </w:p>
        </w:tc>
        <w:tc>
          <w:tcPr>
            <w:tcW w:w="1377" w:type="dxa"/>
            <w:tcBorders>
              <w:bottom w:val="single" w:color="009EE0" w:sz="2" w:space="0"/>
            </w:tcBorders>
            <w:tcMar>
              <w:top w:w="22" w:type="dxa"/>
              <w:left w:w="28" w:type="dxa"/>
              <w:bottom w:w="22" w:type="dxa"/>
              <w:right w:w="28" w:type="dxa"/>
            </w:tcMar>
          </w:tcPr>
          <w:p w:rsidR="006B6965" w:rsidRDefault="003A166B" w14:paraId="5FCD1891" w14:textId="77777777">
            <w:pPr>
              <w:pStyle w:val="p-table"/>
              <w:jc w:val="right"/>
              <w:rPr>
                <w:sz w:val="17"/>
              </w:rPr>
            </w:pPr>
            <w:r>
              <w:rPr>
                <w:sz w:val="17"/>
              </w:rPr>
              <w:t>7.397</w:t>
            </w:r>
          </w:p>
        </w:tc>
        <w:tc>
          <w:tcPr>
            <w:tcW w:w="1377" w:type="dxa"/>
            <w:tcBorders>
              <w:bottom w:val="single" w:color="009EE0" w:sz="2" w:space="0"/>
            </w:tcBorders>
            <w:tcMar>
              <w:top w:w="22" w:type="dxa"/>
              <w:left w:w="28" w:type="dxa"/>
              <w:bottom w:w="22" w:type="dxa"/>
              <w:right w:w="28" w:type="dxa"/>
            </w:tcMar>
          </w:tcPr>
          <w:p w:rsidR="006B6965" w:rsidRDefault="003A166B" w14:paraId="5A345E7F"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61A1697" w14:textId="77777777">
            <w:pPr>
              <w:pStyle w:val="p-table"/>
              <w:jc w:val="right"/>
              <w:rPr>
                <w:sz w:val="17"/>
              </w:rPr>
            </w:pPr>
            <w:r>
              <w:rPr>
                <w:sz w:val="17"/>
              </w:rPr>
              <w:t>7.397</w:t>
            </w:r>
          </w:p>
        </w:tc>
      </w:tr>
      <w:tr w:rsidR="006B6965" w14:paraId="3679B2E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D510AD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919CB06" w14:textId="77777777">
            <w:pPr>
              <w:pStyle w:val="p-table"/>
              <w:rPr>
                <w:sz w:val="17"/>
              </w:rPr>
            </w:pPr>
            <w:r>
              <w:rPr>
                <w:sz w:val="17"/>
              </w:rPr>
              <w:t>KF - Walstroom</w:t>
            </w:r>
          </w:p>
        </w:tc>
        <w:tc>
          <w:tcPr>
            <w:tcW w:w="1377" w:type="dxa"/>
            <w:tcBorders>
              <w:bottom w:val="single" w:color="009EE0" w:sz="2" w:space="0"/>
            </w:tcBorders>
            <w:tcMar>
              <w:top w:w="22" w:type="dxa"/>
              <w:left w:w="28" w:type="dxa"/>
              <w:bottom w:w="22" w:type="dxa"/>
              <w:right w:w="28" w:type="dxa"/>
            </w:tcMar>
          </w:tcPr>
          <w:p w:rsidR="006B6965" w:rsidRDefault="003A166B" w14:paraId="2D8E74C1" w14:textId="77777777">
            <w:pPr>
              <w:pStyle w:val="p-table"/>
              <w:jc w:val="right"/>
              <w:rPr>
                <w:sz w:val="17"/>
              </w:rPr>
            </w:pPr>
            <w:r>
              <w:rPr>
                <w:sz w:val="17"/>
              </w:rPr>
              <w:t>10.500</w:t>
            </w:r>
          </w:p>
        </w:tc>
        <w:tc>
          <w:tcPr>
            <w:tcW w:w="1377" w:type="dxa"/>
            <w:tcBorders>
              <w:bottom w:val="single" w:color="009EE0" w:sz="2" w:space="0"/>
            </w:tcBorders>
            <w:tcMar>
              <w:top w:w="22" w:type="dxa"/>
              <w:left w:w="28" w:type="dxa"/>
              <w:bottom w:w="22" w:type="dxa"/>
              <w:right w:w="28" w:type="dxa"/>
            </w:tcMar>
          </w:tcPr>
          <w:p w:rsidR="006B6965" w:rsidRDefault="003A166B" w14:paraId="4D21E635" w14:textId="77777777">
            <w:pPr>
              <w:pStyle w:val="p-table"/>
              <w:jc w:val="right"/>
              <w:rPr>
                <w:sz w:val="17"/>
              </w:rPr>
            </w:pPr>
            <w:r>
              <w:rPr>
                <w:sz w:val="17"/>
              </w:rPr>
              <w:t>‒</w:t>
            </w:r>
            <w:r>
              <w:rPr>
                <w:sz w:val="17"/>
              </w:rPr>
              <w:t xml:space="preserve"> 29</w:t>
            </w:r>
          </w:p>
        </w:tc>
        <w:tc>
          <w:tcPr>
            <w:tcW w:w="1377" w:type="dxa"/>
            <w:tcBorders>
              <w:bottom w:val="single" w:color="009EE0" w:sz="2" w:space="0"/>
            </w:tcBorders>
            <w:tcMar>
              <w:top w:w="22" w:type="dxa"/>
              <w:left w:w="28" w:type="dxa"/>
              <w:bottom w:w="22" w:type="dxa"/>
              <w:right w:w="28" w:type="dxa"/>
            </w:tcMar>
          </w:tcPr>
          <w:p w:rsidR="006B6965" w:rsidRDefault="003A166B" w14:paraId="28894DC8" w14:textId="77777777">
            <w:pPr>
              <w:pStyle w:val="p-table"/>
              <w:jc w:val="right"/>
              <w:rPr>
                <w:sz w:val="17"/>
              </w:rPr>
            </w:pPr>
            <w:r>
              <w:rPr>
                <w:sz w:val="17"/>
              </w:rPr>
              <w:t>10.471</w:t>
            </w:r>
          </w:p>
        </w:tc>
      </w:tr>
      <w:tr w:rsidR="006B6965" w14:paraId="30C040B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5D1C33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B3B6A74" w14:textId="77777777">
            <w:pPr>
              <w:pStyle w:val="p-table"/>
              <w:rPr>
                <w:sz w:val="17"/>
              </w:rPr>
            </w:pPr>
            <w:r>
              <w:rPr>
                <w:sz w:val="17"/>
              </w:rPr>
              <w:t>NGF Project - Maritiem Masterplan</w:t>
            </w:r>
          </w:p>
        </w:tc>
        <w:tc>
          <w:tcPr>
            <w:tcW w:w="1377" w:type="dxa"/>
            <w:tcBorders>
              <w:bottom w:val="single" w:color="009EE0" w:sz="2" w:space="0"/>
            </w:tcBorders>
            <w:tcMar>
              <w:top w:w="22" w:type="dxa"/>
              <w:left w:w="28" w:type="dxa"/>
              <w:bottom w:w="22" w:type="dxa"/>
              <w:right w:w="28" w:type="dxa"/>
            </w:tcMar>
          </w:tcPr>
          <w:p w:rsidR="006B6965" w:rsidRDefault="003A166B" w14:paraId="016FAAA7" w14:textId="77777777">
            <w:pPr>
              <w:pStyle w:val="p-table"/>
              <w:jc w:val="right"/>
              <w:rPr>
                <w:sz w:val="17"/>
              </w:rPr>
            </w:pPr>
            <w:r>
              <w:rPr>
                <w:sz w:val="17"/>
              </w:rPr>
              <w:t>21.826</w:t>
            </w:r>
          </w:p>
        </w:tc>
        <w:tc>
          <w:tcPr>
            <w:tcW w:w="1377" w:type="dxa"/>
            <w:tcBorders>
              <w:bottom w:val="single" w:color="009EE0" w:sz="2" w:space="0"/>
            </w:tcBorders>
            <w:tcMar>
              <w:top w:w="22" w:type="dxa"/>
              <w:left w:w="28" w:type="dxa"/>
              <w:bottom w:w="22" w:type="dxa"/>
              <w:right w:w="28" w:type="dxa"/>
            </w:tcMar>
          </w:tcPr>
          <w:p w:rsidR="006B6965" w:rsidRDefault="003A166B" w14:paraId="33F27939" w14:textId="77777777">
            <w:pPr>
              <w:pStyle w:val="p-table"/>
              <w:jc w:val="right"/>
              <w:rPr>
                <w:sz w:val="17"/>
              </w:rPr>
            </w:pPr>
            <w:r>
              <w:rPr>
                <w:sz w:val="17"/>
              </w:rPr>
              <w:t>3.975</w:t>
            </w:r>
          </w:p>
        </w:tc>
        <w:tc>
          <w:tcPr>
            <w:tcW w:w="1377" w:type="dxa"/>
            <w:tcBorders>
              <w:bottom w:val="single" w:color="009EE0" w:sz="2" w:space="0"/>
            </w:tcBorders>
            <w:tcMar>
              <w:top w:w="22" w:type="dxa"/>
              <w:left w:w="28" w:type="dxa"/>
              <w:bottom w:w="22" w:type="dxa"/>
              <w:right w:w="28" w:type="dxa"/>
            </w:tcMar>
          </w:tcPr>
          <w:p w:rsidR="006B6965" w:rsidRDefault="003A166B" w14:paraId="78214E28" w14:textId="77777777">
            <w:pPr>
              <w:pStyle w:val="p-table"/>
              <w:jc w:val="right"/>
              <w:rPr>
                <w:sz w:val="17"/>
              </w:rPr>
            </w:pPr>
            <w:r>
              <w:rPr>
                <w:sz w:val="17"/>
              </w:rPr>
              <w:t>25.801</w:t>
            </w:r>
          </w:p>
        </w:tc>
      </w:tr>
      <w:tr w:rsidR="006B6965" w14:paraId="112466B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7E949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517AAAB" w14:textId="77777777">
            <w:pPr>
              <w:pStyle w:val="p-table"/>
              <w:rPr>
                <w:sz w:val="17"/>
              </w:rPr>
            </w:pPr>
            <w:r>
              <w:rPr>
                <w:sz w:val="17"/>
              </w:rPr>
              <w:t>KF - Verduurzaming Binnenvaart</w:t>
            </w:r>
          </w:p>
        </w:tc>
        <w:tc>
          <w:tcPr>
            <w:tcW w:w="1377" w:type="dxa"/>
            <w:tcBorders>
              <w:bottom w:val="single" w:color="009EE0" w:sz="2" w:space="0"/>
            </w:tcBorders>
            <w:tcMar>
              <w:top w:w="22" w:type="dxa"/>
              <w:left w:w="28" w:type="dxa"/>
              <w:bottom w:w="22" w:type="dxa"/>
              <w:right w:w="28" w:type="dxa"/>
            </w:tcMar>
          </w:tcPr>
          <w:p w:rsidR="006B6965" w:rsidRDefault="003A166B" w14:paraId="37FB29FA" w14:textId="77777777">
            <w:pPr>
              <w:pStyle w:val="p-table"/>
              <w:jc w:val="right"/>
              <w:rPr>
                <w:sz w:val="17"/>
              </w:rPr>
            </w:pPr>
            <w:r>
              <w:rPr>
                <w:sz w:val="17"/>
              </w:rPr>
              <w:t>1.250</w:t>
            </w:r>
          </w:p>
        </w:tc>
        <w:tc>
          <w:tcPr>
            <w:tcW w:w="1377" w:type="dxa"/>
            <w:tcBorders>
              <w:bottom w:val="single" w:color="009EE0" w:sz="2" w:space="0"/>
            </w:tcBorders>
            <w:tcMar>
              <w:top w:w="22" w:type="dxa"/>
              <w:left w:w="28" w:type="dxa"/>
              <w:bottom w:w="22" w:type="dxa"/>
              <w:right w:w="28" w:type="dxa"/>
            </w:tcMar>
          </w:tcPr>
          <w:p w:rsidR="006B6965" w:rsidRDefault="003A166B" w14:paraId="39863D14" w14:textId="77777777">
            <w:pPr>
              <w:pStyle w:val="p-table"/>
              <w:jc w:val="right"/>
              <w:rPr>
                <w:sz w:val="17"/>
              </w:rPr>
            </w:pPr>
            <w:r>
              <w:rPr>
                <w:sz w:val="17"/>
              </w:rPr>
              <w:t>‒</w:t>
            </w:r>
            <w:r>
              <w:rPr>
                <w:sz w:val="17"/>
              </w:rPr>
              <w:t xml:space="preserve"> 1.000</w:t>
            </w:r>
          </w:p>
        </w:tc>
        <w:tc>
          <w:tcPr>
            <w:tcW w:w="1377" w:type="dxa"/>
            <w:tcBorders>
              <w:bottom w:val="single" w:color="009EE0" w:sz="2" w:space="0"/>
            </w:tcBorders>
            <w:tcMar>
              <w:top w:w="22" w:type="dxa"/>
              <w:left w:w="28" w:type="dxa"/>
              <w:bottom w:w="22" w:type="dxa"/>
              <w:right w:w="28" w:type="dxa"/>
            </w:tcMar>
          </w:tcPr>
          <w:p w:rsidR="006B6965" w:rsidRDefault="003A166B" w14:paraId="6DE1F943" w14:textId="77777777">
            <w:pPr>
              <w:pStyle w:val="p-table"/>
              <w:jc w:val="right"/>
              <w:rPr>
                <w:sz w:val="17"/>
              </w:rPr>
            </w:pPr>
            <w:r>
              <w:rPr>
                <w:sz w:val="17"/>
              </w:rPr>
              <w:t>250</w:t>
            </w:r>
          </w:p>
        </w:tc>
      </w:tr>
      <w:tr w:rsidR="006B6965" w14:paraId="6366F9C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C8653F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8506634"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0F6D9E34" w14:textId="77777777">
            <w:pPr>
              <w:pStyle w:val="p-table"/>
              <w:jc w:val="right"/>
              <w:rPr>
                <w:sz w:val="17"/>
              </w:rPr>
            </w:pPr>
            <w:r>
              <w:rPr>
                <w:sz w:val="17"/>
              </w:rPr>
              <w:t>80</w:t>
            </w:r>
          </w:p>
        </w:tc>
        <w:tc>
          <w:tcPr>
            <w:tcW w:w="1377" w:type="dxa"/>
            <w:tcBorders>
              <w:bottom w:val="single" w:color="009EE0" w:sz="2" w:space="0"/>
            </w:tcBorders>
            <w:tcMar>
              <w:top w:w="22" w:type="dxa"/>
              <w:left w:w="28" w:type="dxa"/>
              <w:bottom w:w="22" w:type="dxa"/>
              <w:right w:w="28" w:type="dxa"/>
            </w:tcMar>
          </w:tcPr>
          <w:p w:rsidR="006B6965" w:rsidRDefault="003A166B" w14:paraId="7B5AE50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9119AA7" w14:textId="77777777">
            <w:pPr>
              <w:pStyle w:val="p-table"/>
              <w:jc w:val="right"/>
              <w:rPr>
                <w:sz w:val="17"/>
              </w:rPr>
            </w:pPr>
            <w:r>
              <w:rPr>
                <w:sz w:val="17"/>
              </w:rPr>
              <w:t>80</w:t>
            </w:r>
          </w:p>
        </w:tc>
      </w:tr>
      <w:tr w:rsidR="006B6965" w14:paraId="6F2755F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088D32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C188DA7"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74FF1263" w14:textId="77777777">
            <w:pPr>
              <w:pStyle w:val="p-table"/>
              <w:jc w:val="right"/>
              <w:rPr>
                <w:sz w:val="17"/>
              </w:rPr>
            </w:pPr>
            <w:r>
              <w:rPr>
                <w:i/>
                <w:sz w:val="17"/>
              </w:rPr>
              <w:t>7.683</w:t>
            </w:r>
          </w:p>
        </w:tc>
        <w:tc>
          <w:tcPr>
            <w:tcW w:w="1377" w:type="dxa"/>
            <w:tcBorders>
              <w:bottom w:val="single" w:color="009EE0" w:sz="2" w:space="0"/>
            </w:tcBorders>
            <w:tcMar>
              <w:top w:w="22" w:type="dxa"/>
              <w:left w:w="28" w:type="dxa"/>
              <w:bottom w:w="22" w:type="dxa"/>
              <w:right w:w="28" w:type="dxa"/>
            </w:tcMar>
          </w:tcPr>
          <w:p w:rsidR="006B6965" w:rsidRDefault="003A166B" w14:paraId="787159AF" w14:textId="77777777">
            <w:pPr>
              <w:pStyle w:val="p-table"/>
              <w:jc w:val="right"/>
              <w:rPr>
                <w:sz w:val="17"/>
              </w:rPr>
            </w:pPr>
            <w:r>
              <w:rPr>
                <w:i/>
                <w:sz w:val="17"/>
              </w:rPr>
              <w:t>‒</w:t>
            </w:r>
            <w:r>
              <w:rPr>
                <w:i/>
                <w:sz w:val="17"/>
              </w:rPr>
              <w:t xml:space="preserve"> 52</w:t>
            </w:r>
          </w:p>
        </w:tc>
        <w:tc>
          <w:tcPr>
            <w:tcW w:w="1377" w:type="dxa"/>
            <w:tcBorders>
              <w:bottom w:val="single" w:color="009EE0" w:sz="2" w:space="0"/>
            </w:tcBorders>
            <w:tcMar>
              <w:top w:w="22" w:type="dxa"/>
              <w:left w:w="28" w:type="dxa"/>
              <w:bottom w:w="22" w:type="dxa"/>
              <w:right w:w="28" w:type="dxa"/>
            </w:tcMar>
          </w:tcPr>
          <w:p w:rsidR="006B6965" w:rsidRDefault="003A166B" w14:paraId="2F8A7E98" w14:textId="77777777">
            <w:pPr>
              <w:pStyle w:val="p-table"/>
              <w:jc w:val="right"/>
              <w:rPr>
                <w:sz w:val="17"/>
              </w:rPr>
            </w:pPr>
            <w:r>
              <w:rPr>
                <w:i/>
                <w:sz w:val="17"/>
              </w:rPr>
              <w:t>7.631</w:t>
            </w:r>
          </w:p>
        </w:tc>
      </w:tr>
      <w:tr w:rsidR="006B6965" w14:paraId="77FCB41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31A199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B553BBB" w14:textId="77777777">
            <w:pPr>
              <w:pStyle w:val="p-table"/>
              <w:rPr>
                <w:sz w:val="17"/>
              </w:rPr>
            </w:pPr>
            <w:r>
              <w:rPr>
                <w:sz w:val="17"/>
              </w:rPr>
              <w:t>Bijdrage aan agentschap RWS</w:t>
            </w:r>
          </w:p>
        </w:tc>
        <w:tc>
          <w:tcPr>
            <w:tcW w:w="1377" w:type="dxa"/>
            <w:tcBorders>
              <w:bottom w:val="single" w:color="009EE0" w:sz="2" w:space="0"/>
            </w:tcBorders>
            <w:tcMar>
              <w:top w:w="22" w:type="dxa"/>
              <w:left w:w="28" w:type="dxa"/>
              <w:bottom w:w="22" w:type="dxa"/>
              <w:right w:w="28" w:type="dxa"/>
            </w:tcMar>
          </w:tcPr>
          <w:p w:rsidR="006B6965" w:rsidRDefault="003A166B" w14:paraId="7FE14866" w14:textId="77777777">
            <w:pPr>
              <w:pStyle w:val="p-table"/>
              <w:jc w:val="right"/>
              <w:rPr>
                <w:sz w:val="17"/>
              </w:rPr>
            </w:pPr>
            <w:r>
              <w:rPr>
                <w:sz w:val="17"/>
              </w:rPr>
              <w:t>4.006</w:t>
            </w:r>
          </w:p>
        </w:tc>
        <w:tc>
          <w:tcPr>
            <w:tcW w:w="1377" w:type="dxa"/>
            <w:tcBorders>
              <w:bottom w:val="single" w:color="009EE0" w:sz="2" w:space="0"/>
            </w:tcBorders>
            <w:tcMar>
              <w:top w:w="22" w:type="dxa"/>
              <w:left w:w="28" w:type="dxa"/>
              <w:bottom w:w="22" w:type="dxa"/>
              <w:right w:w="28" w:type="dxa"/>
            </w:tcMar>
          </w:tcPr>
          <w:p w:rsidR="006B6965" w:rsidRDefault="003A166B" w14:paraId="00A37E99" w14:textId="77777777">
            <w:pPr>
              <w:pStyle w:val="p-table"/>
              <w:jc w:val="right"/>
              <w:rPr>
                <w:sz w:val="17"/>
              </w:rPr>
            </w:pPr>
            <w:r>
              <w:rPr>
                <w:sz w:val="17"/>
              </w:rPr>
              <w:t>‒</w:t>
            </w:r>
            <w:r>
              <w:rPr>
                <w:sz w:val="17"/>
              </w:rPr>
              <w:t xml:space="preserve"> 140</w:t>
            </w:r>
          </w:p>
        </w:tc>
        <w:tc>
          <w:tcPr>
            <w:tcW w:w="1377" w:type="dxa"/>
            <w:tcBorders>
              <w:bottom w:val="single" w:color="009EE0" w:sz="2" w:space="0"/>
            </w:tcBorders>
            <w:tcMar>
              <w:top w:w="22" w:type="dxa"/>
              <w:left w:w="28" w:type="dxa"/>
              <w:bottom w:w="22" w:type="dxa"/>
              <w:right w:w="28" w:type="dxa"/>
            </w:tcMar>
          </w:tcPr>
          <w:p w:rsidR="006B6965" w:rsidRDefault="003A166B" w14:paraId="1B3C6BB5" w14:textId="77777777">
            <w:pPr>
              <w:pStyle w:val="p-table"/>
              <w:jc w:val="right"/>
              <w:rPr>
                <w:sz w:val="17"/>
              </w:rPr>
            </w:pPr>
            <w:r>
              <w:rPr>
                <w:sz w:val="17"/>
              </w:rPr>
              <w:t>3.866</w:t>
            </w:r>
          </w:p>
        </w:tc>
      </w:tr>
      <w:tr w:rsidR="006B6965" w14:paraId="4CB2FD5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4963B6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2709FBB" w14:textId="77777777">
            <w:pPr>
              <w:pStyle w:val="p-table"/>
              <w:rPr>
                <w:sz w:val="17"/>
              </w:rPr>
            </w:pPr>
            <w:r>
              <w:rPr>
                <w:sz w:val="17"/>
              </w:rPr>
              <w:t>NGF Project - Maritiem Masterplan RVO</w:t>
            </w:r>
          </w:p>
        </w:tc>
        <w:tc>
          <w:tcPr>
            <w:tcW w:w="1377" w:type="dxa"/>
            <w:tcBorders>
              <w:bottom w:val="single" w:color="009EE0" w:sz="2" w:space="0"/>
            </w:tcBorders>
            <w:tcMar>
              <w:top w:w="22" w:type="dxa"/>
              <w:left w:w="28" w:type="dxa"/>
              <w:bottom w:w="22" w:type="dxa"/>
              <w:right w:w="28" w:type="dxa"/>
            </w:tcMar>
          </w:tcPr>
          <w:p w:rsidR="006B6965" w:rsidRDefault="003A166B" w14:paraId="35AC71D8" w14:textId="77777777">
            <w:pPr>
              <w:pStyle w:val="p-table"/>
              <w:jc w:val="right"/>
              <w:rPr>
                <w:sz w:val="17"/>
              </w:rPr>
            </w:pPr>
            <w:r>
              <w:rPr>
                <w:sz w:val="17"/>
              </w:rPr>
              <w:t>600</w:t>
            </w:r>
          </w:p>
        </w:tc>
        <w:tc>
          <w:tcPr>
            <w:tcW w:w="1377" w:type="dxa"/>
            <w:tcBorders>
              <w:bottom w:val="single" w:color="009EE0" w:sz="2" w:space="0"/>
            </w:tcBorders>
            <w:tcMar>
              <w:top w:w="22" w:type="dxa"/>
              <w:left w:w="28" w:type="dxa"/>
              <w:bottom w:w="22" w:type="dxa"/>
              <w:right w:w="28" w:type="dxa"/>
            </w:tcMar>
          </w:tcPr>
          <w:p w:rsidR="006B6965" w:rsidRDefault="003A166B" w14:paraId="33984C0E"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4AA84BB" w14:textId="77777777">
            <w:pPr>
              <w:pStyle w:val="p-table"/>
              <w:jc w:val="right"/>
              <w:rPr>
                <w:sz w:val="17"/>
              </w:rPr>
            </w:pPr>
            <w:r>
              <w:rPr>
                <w:sz w:val="17"/>
              </w:rPr>
              <w:t>600</w:t>
            </w:r>
          </w:p>
        </w:tc>
      </w:tr>
      <w:tr w:rsidR="006B6965" w14:paraId="2A01B21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9AE7CF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5FD5266"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624EC2C8" w14:textId="77777777">
            <w:pPr>
              <w:pStyle w:val="p-table"/>
              <w:jc w:val="right"/>
              <w:rPr>
                <w:sz w:val="17"/>
              </w:rPr>
            </w:pPr>
            <w:r>
              <w:rPr>
                <w:sz w:val="17"/>
              </w:rPr>
              <w:t>3.077</w:t>
            </w:r>
          </w:p>
        </w:tc>
        <w:tc>
          <w:tcPr>
            <w:tcW w:w="1377" w:type="dxa"/>
            <w:tcBorders>
              <w:bottom w:val="single" w:color="009EE0" w:sz="2" w:space="0"/>
            </w:tcBorders>
            <w:tcMar>
              <w:top w:w="22" w:type="dxa"/>
              <w:left w:w="28" w:type="dxa"/>
              <w:bottom w:w="22" w:type="dxa"/>
              <w:right w:w="28" w:type="dxa"/>
            </w:tcMar>
          </w:tcPr>
          <w:p w:rsidR="006B6965" w:rsidRDefault="003A166B" w14:paraId="0293678C" w14:textId="77777777">
            <w:pPr>
              <w:pStyle w:val="p-table"/>
              <w:jc w:val="right"/>
              <w:rPr>
                <w:sz w:val="17"/>
              </w:rPr>
            </w:pPr>
            <w:r>
              <w:rPr>
                <w:sz w:val="17"/>
              </w:rPr>
              <w:t>88</w:t>
            </w:r>
          </w:p>
        </w:tc>
        <w:tc>
          <w:tcPr>
            <w:tcW w:w="1377" w:type="dxa"/>
            <w:tcBorders>
              <w:bottom w:val="single" w:color="009EE0" w:sz="2" w:space="0"/>
            </w:tcBorders>
            <w:tcMar>
              <w:top w:w="22" w:type="dxa"/>
              <w:left w:w="28" w:type="dxa"/>
              <w:bottom w:w="22" w:type="dxa"/>
              <w:right w:w="28" w:type="dxa"/>
            </w:tcMar>
          </w:tcPr>
          <w:p w:rsidR="006B6965" w:rsidRDefault="003A166B" w14:paraId="6BF8271F" w14:textId="77777777">
            <w:pPr>
              <w:pStyle w:val="p-table"/>
              <w:jc w:val="right"/>
              <w:rPr>
                <w:sz w:val="17"/>
              </w:rPr>
            </w:pPr>
            <w:r>
              <w:rPr>
                <w:sz w:val="17"/>
              </w:rPr>
              <w:t>3.165</w:t>
            </w:r>
          </w:p>
        </w:tc>
      </w:tr>
      <w:tr w:rsidR="006B6965" w14:paraId="446E543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E1B225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201E7C2"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6E24CA20" w14:textId="77777777">
            <w:pPr>
              <w:pStyle w:val="p-table"/>
              <w:jc w:val="right"/>
              <w:rPr>
                <w:sz w:val="17"/>
              </w:rPr>
            </w:pPr>
            <w:r>
              <w:rPr>
                <w:i/>
                <w:sz w:val="17"/>
              </w:rPr>
              <w:t>3.000</w:t>
            </w:r>
          </w:p>
        </w:tc>
        <w:tc>
          <w:tcPr>
            <w:tcW w:w="1377" w:type="dxa"/>
            <w:tcBorders>
              <w:bottom w:val="single" w:color="009EE0" w:sz="2" w:space="0"/>
            </w:tcBorders>
            <w:tcMar>
              <w:top w:w="22" w:type="dxa"/>
              <w:left w:w="28" w:type="dxa"/>
              <w:bottom w:w="22" w:type="dxa"/>
              <w:right w:w="28" w:type="dxa"/>
            </w:tcMar>
          </w:tcPr>
          <w:p w:rsidR="006B6965" w:rsidRDefault="003A166B" w14:paraId="146B26DD"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DBE9BDD" w14:textId="77777777">
            <w:pPr>
              <w:pStyle w:val="p-table"/>
              <w:jc w:val="right"/>
              <w:rPr>
                <w:sz w:val="17"/>
              </w:rPr>
            </w:pPr>
            <w:r>
              <w:rPr>
                <w:i/>
                <w:sz w:val="17"/>
              </w:rPr>
              <w:t>3.000</w:t>
            </w:r>
          </w:p>
        </w:tc>
      </w:tr>
      <w:tr w:rsidR="006B6965" w14:paraId="1BFDDB3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7A271D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DF5279C" w14:textId="77777777">
            <w:pPr>
              <w:pStyle w:val="p-table"/>
              <w:rPr>
                <w:sz w:val="17"/>
              </w:rPr>
            </w:pPr>
            <w:r>
              <w:rPr>
                <w:sz w:val="17"/>
              </w:rPr>
              <w:t>Caribisch Nederland</w:t>
            </w:r>
          </w:p>
        </w:tc>
        <w:tc>
          <w:tcPr>
            <w:tcW w:w="1377" w:type="dxa"/>
            <w:tcBorders>
              <w:bottom w:val="single" w:color="009EE0" w:sz="2" w:space="0"/>
            </w:tcBorders>
            <w:tcMar>
              <w:top w:w="22" w:type="dxa"/>
              <w:left w:w="28" w:type="dxa"/>
              <w:bottom w:w="22" w:type="dxa"/>
              <w:right w:w="28" w:type="dxa"/>
            </w:tcMar>
          </w:tcPr>
          <w:p w:rsidR="006B6965" w:rsidRDefault="003A166B" w14:paraId="10FD467E" w14:textId="77777777">
            <w:pPr>
              <w:pStyle w:val="p-table"/>
              <w:jc w:val="right"/>
              <w:rPr>
                <w:sz w:val="17"/>
              </w:rPr>
            </w:pPr>
            <w:r>
              <w:rPr>
                <w:sz w:val="17"/>
              </w:rPr>
              <w:t>3.000</w:t>
            </w:r>
          </w:p>
        </w:tc>
        <w:tc>
          <w:tcPr>
            <w:tcW w:w="1377" w:type="dxa"/>
            <w:tcBorders>
              <w:bottom w:val="single" w:color="009EE0" w:sz="2" w:space="0"/>
            </w:tcBorders>
            <w:tcMar>
              <w:top w:w="22" w:type="dxa"/>
              <w:left w:w="28" w:type="dxa"/>
              <w:bottom w:w="22" w:type="dxa"/>
              <w:right w:w="28" w:type="dxa"/>
            </w:tcMar>
          </w:tcPr>
          <w:p w:rsidR="006B6965" w:rsidRDefault="003A166B" w14:paraId="5F8619CD"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698B8FF" w14:textId="77777777">
            <w:pPr>
              <w:pStyle w:val="p-table"/>
              <w:jc w:val="right"/>
              <w:rPr>
                <w:sz w:val="17"/>
              </w:rPr>
            </w:pPr>
            <w:r>
              <w:rPr>
                <w:sz w:val="17"/>
              </w:rPr>
              <w:t>3.000</w:t>
            </w:r>
          </w:p>
        </w:tc>
      </w:tr>
      <w:tr w:rsidR="006B6965" w14:paraId="1A8B00D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4CF98E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B28F004"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4C8CA218" w14:textId="77777777">
            <w:pPr>
              <w:pStyle w:val="p-table"/>
              <w:jc w:val="right"/>
              <w:rPr>
                <w:sz w:val="17"/>
              </w:rPr>
            </w:pPr>
            <w:r>
              <w:rPr>
                <w:i/>
                <w:sz w:val="17"/>
              </w:rPr>
              <w:t>1.757</w:t>
            </w:r>
          </w:p>
        </w:tc>
        <w:tc>
          <w:tcPr>
            <w:tcW w:w="1377" w:type="dxa"/>
            <w:tcBorders>
              <w:bottom w:val="single" w:color="009EE0" w:sz="2" w:space="0"/>
            </w:tcBorders>
            <w:tcMar>
              <w:top w:w="22" w:type="dxa"/>
              <w:left w:w="28" w:type="dxa"/>
              <w:bottom w:w="22" w:type="dxa"/>
              <w:right w:w="28" w:type="dxa"/>
            </w:tcMar>
          </w:tcPr>
          <w:p w:rsidR="006B6965" w:rsidRDefault="003A166B" w14:paraId="4A3347FD"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C5D8383" w14:textId="77777777">
            <w:pPr>
              <w:pStyle w:val="p-table"/>
              <w:jc w:val="right"/>
              <w:rPr>
                <w:sz w:val="17"/>
              </w:rPr>
            </w:pPr>
            <w:r>
              <w:rPr>
                <w:i/>
                <w:sz w:val="17"/>
              </w:rPr>
              <w:t>1.757</w:t>
            </w:r>
          </w:p>
        </w:tc>
      </w:tr>
      <w:tr w:rsidR="006B6965" w14:paraId="017AD0C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1AB560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51006F0" w14:textId="77777777">
            <w:pPr>
              <w:pStyle w:val="p-table"/>
              <w:rPr>
                <w:sz w:val="17"/>
              </w:rPr>
            </w:pPr>
            <w:r>
              <w:rPr>
                <w:sz w:val="17"/>
              </w:rPr>
              <w:t>CCR/ IMO HGIS</w:t>
            </w:r>
          </w:p>
        </w:tc>
        <w:tc>
          <w:tcPr>
            <w:tcW w:w="1377" w:type="dxa"/>
            <w:tcBorders>
              <w:bottom w:val="single" w:color="009EE0" w:sz="2" w:space="0"/>
            </w:tcBorders>
            <w:tcMar>
              <w:top w:w="22" w:type="dxa"/>
              <w:left w:w="28" w:type="dxa"/>
              <w:bottom w:w="22" w:type="dxa"/>
              <w:right w:w="28" w:type="dxa"/>
            </w:tcMar>
          </w:tcPr>
          <w:p w:rsidR="006B6965" w:rsidRDefault="003A166B" w14:paraId="52E6E819" w14:textId="77777777">
            <w:pPr>
              <w:pStyle w:val="p-table"/>
              <w:jc w:val="right"/>
              <w:rPr>
                <w:sz w:val="17"/>
              </w:rPr>
            </w:pPr>
            <w:r>
              <w:rPr>
                <w:sz w:val="17"/>
              </w:rPr>
              <w:t>1.252</w:t>
            </w:r>
          </w:p>
        </w:tc>
        <w:tc>
          <w:tcPr>
            <w:tcW w:w="1377" w:type="dxa"/>
            <w:tcBorders>
              <w:bottom w:val="single" w:color="009EE0" w:sz="2" w:space="0"/>
            </w:tcBorders>
            <w:tcMar>
              <w:top w:w="22" w:type="dxa"/>
              <w:left w:w="28" w:type="dxa"/>
              <w:bottom w:w="22" w:type="dxa"/>
              <w:right w:w="28" w:type="dxa"/>
            </w:tcMar>
          </w:tcPr>
          <w:p w:rsidR="006B6965" w:rsidRDefault="003A166B" w14:paraId="7F62E8C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08961D5" w14:textId="77777777">
            <w:pPr>
              <w:pStyle w:val="p-table"/>
              <w:jc w:val="right"/>
              <w:rPr>
                <w:sz w:val="17"/>
              </w:rPr>
            </w:pPr>
            <w:r>
              <w:rPr>
                <w:sz w:val="17"/>
              </w:rPr>
              <w:t>1.252</w:t>
            </w:r>
          </w:p>
        </w:tc>
      </w:tr>
      <w:tr w:rsidR="006B6965" w14:paraId="30D848C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FA7C55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24BA302"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6AB94C54" w14:textId="77777777">
            <w:pPr>
              <w:pStyle w:val="p-table"/>
              <w:jc w:val="right"/>
              <w:rPr>
                <w:sz w:val="17"/>
              </w:rPr>
            </w:pPr>
            <w:r>
              <w:rPr>
                <w:sz w:val="17"/>
              </w:rPr>
              <w:t>505</w:t>
            </w:r>
          </w:p>
        </w:tc>
        <w:tc>
          <w:tcPr>
            <w:tcW w:w="1377" w:type="dxa"/>
            <w:tcBorders>
              <w:bottom w:val="single" w:color="009EE0" w:sz="2" w:space="0"/>
            </w:tcBorders>
            <w:tcMar>
              <w:top w:w="22" w:type="dxa"/>
              <w:left w:w="28" w:type="dxa"/>
              <w:bottom w:w="22" w:type="dxa"/>
              <w:right w:w="28" w:type="dxa"/>
            </w:tcMar>
          </w:tcPr>
          <w:p w:rsidR="006B6965" w:rsidRDefault="003A166B" w14:paraId="61B2331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C5EEDDF" w14:textId="77777777">
            <w:pPr>
              <w:pStyle w:val="p-table"/>
              <w:jc w:val="right"/>
              <w:rPr>
                <w:sz w:val="17"/>
              </w:rPr>
            </w:pPr>
            <w:r>
              <w:rPr>
                <w:sz w:val="17"/>
              </w:rPr>
              <w:t>505</w:t>
            </w:r>
          </w:p>
        </w:tc>
      </w:tr>
      <w:tr w:rsidR="006B6965" w14:paraId="1DB0672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46D8A3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95BF3C3" w14:textId="77777777">
            <w:pPr>
              <w:pStyle w:val="p-table"/>
              <w:rPr>
                <w:sz w:val="17"/>
              </w:rPr>
            </w:pPr>
            <w:r>
              <w:rPr>
                <w:i/>
                <w:sz w:val="17"/>
              </w:rPr>
              <w:t>Bijdrage aan ZBO's/</w:t>
            </w:r>
            <w:proofErr w:type="spellStart"/>
            <w:r>
              <w:rPr>
                <w:i/>
                <w:sz w:val="17"/>
              </w:rPr>
              <w:t>RWT's</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47A357E1" w14:textId="77777777">
            <w:pPr>
              <w:pStyle w:val="p-table"/>
              <w:jc w:val="right"/>
              <w:rPr>
                <w:sz w:val="17"/>
              </w:rPr>
            </w:pPr>
            <w:r>
              <w:rPr>
                <w:i/>
                <w:sz w:val="17"/>
              </w:rPr>
              <w:t>274</w:t>
            </w:r>
          </w:p>
        </w:tc>
        <w:tc>
          <w:tcPr>
            <w:tcW w:w="1377" w:type="dxa"/>
            <w:tcBorders>
              <w:bottom w:val="single" w:color="009EE0" w:sz="2" w:space="0"/>
            </w:tcBorders>
            <w:tcMar>
              <w:top w:w="22" w:type="dxa"/>
              <w:left w:w="28" w:type="dxa"/>
              <w:bottom w:w="22" w:type="dxa"/>
              <w:right w:w="28" w:type="dxa"/>
            </w:tcMar>
          </w:tcPr>
          <w:p w:rsidR="006B6965" w:rsidRDefault="003A166B" w14:paraId="606F3CFC" w14:textId="77777777">
            <w:pPr>
              <w:pStyle w:val="p-table"/>
              <w:jc w:val="right"/>
              <w:rPr>
                <w:sz w:val="17"/>
              </w:rPr>
            </w:pPr>
            <w:r>
              <w:rPr>
                <w:i/>
                <w:sz w:val="17"/>
              </w:rPr>
              <w:t>‒</w:t>
            </w:r>
            <w:r>
              <w:rPr>
                <w:i/>
                <w:sz w:val="17"/>
              </w:rPr>
              <w:t xml:space="preserve"> 6</w:t>
            </w:r>
          </w:p>
        </w:tc>
        <w:tc>
          <w:tcPr>
            <w:tcW w:w="1377" w:type="dxa"/>
            <w:tcBorders>
              <w:bottom w:val="single" w:color="009EE0" w:sz="2" w:space="0"/>
            </w:tcBorders>
            <w:tcMar>
              <w:top w:w="22" w:type="dxa"/>
              <w:left w:w="28" w:type="dxa"/>
              <w:bottom w:w="22" w:type="dxa"/>
              <w:right w:w="28" w:type="dxa"/>
            </w:tcMar>
          </w:tcPr>
          <w:p w:rsidR="006B6965" w:rsidRDefault="003A166B" w14:paraId="26837F1E" w14:textId="77777777">
            <w:pPr>
              <w:pStyle w:val="p-table"/>
              <w:jc w:val="right"/>
              <w:rPr>
                <w:sz w:val="17"/>
              </w:rPr>
            </w:pPr>
            <w:r>
              <w:rPr>
                <w:i/>
                <w:sz w:val="17"/>
              </w:rPr>
              <w:t>268</w:t>
            </w:r>
          </w:p>
        </w:tc>
      </w:tr>
      <w:tr w:rsidR="006B6965" w14:paraId="12C5AD1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37156E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E1F7D55" w14:textId="77777777">
            <w:pPr>
              <w:pStyle w:val="p-table"/>
              <w:rPr>
                <w:sz w:val="17"/>
              </w:rPr>
            </w:pPr>
            <w:r>
              <w:rPr>
                <w:sz w:val="17"/>
              </w:rPr>
              <w:t>Overige</w:t>
            </w:r>
          </w:p>
        </w:tc>
        <w:tc>
          <w:tcPr>
            <w:tcW w:w="1377" w:type="dxa"/>
            <w:tcBorders>
              <w:bottom w:val="single" w:color="009EE0" w:sz="2" w:space="0"/>
            </w:tcBorders>
            <w:tcMar>
              <w:top w:w="22" w:type="dxa"/>
              <w:left w:w="28" w:type="dxa"/>
              <w:bottom w:w="22" w:type="dxa"/>
              <w:right w:w="28" w:type="dxa"/>
            </w:tcMar>
          </w:tcPr>
          <w:p w:rsidR="006B6965" w:rsidRDefault="003A166B" w14:paraId="19182689" w14:textId="77777777">
            <w:pPr>
              <w:pStyle w:val="p-table"/>
              <w:jc w:val="right"/>
              <w:rPr>
                <w:sz w:val="17"/>
              </w:rPr>
            </w:pPr>
            <w:r>
              <w:rPr>
                <w:sz w:val="17"/>
              </w:rPr>
              <w:t>274</w:t>
            </w:r>
          </w:p>
        </w:tc>
        <w:tc>
          <w:tcPr>
            <w:tcW w:w="1377" w:type="dxa"/>
            <w:tcBorders>
              <w:bottom w:val="single" w:color="009EE0" w:sz="2" w:space="0"/>
            </w:tcBorders>
            <w:tcMar>
              <w:top w:w="22" w:type="dxa"/>
              <w:left w:w="28" w:type="dxa"/>
              <w:bottom w:w="22" w:type="dxa"/>
              <w:right w:w="28" w:type="dxa"/>
            </w:tcMar>
          </w:tcPr>
          <w:p w:rsidR="006B6965" w:rsidRDefault="003A166B" w14:paraId="4E8B0499" w14:textId="77777777">
            <w:pPr>
              <w:pStyle w:val="p-table"/>
              <w:jc w:val="right"/>
              <w:rPr>
                <w:sz w:val="17"/>
              </w:rPr>
            </w:pPr>
            <w:r>
              <w:rPr>
                <w:sz w:val="17"/>
              </w:rPr>
              <w:t>‒</w:t>
            </w:r>
            <w:r>
              <w:rPr>
                <w:sz w:val="17"/>
              </w:rPr>
              <w:t xml:space="preserve"> 6</w:t>
            </w:r>
          </w:p>
        </w:tc>
        <w:tc>
          <w:tcPr>
            <w:tcW w:w="1377" w:type="dxa"/>
            <w:tcBorders>
              <w:bottom w:val="single" w:color="009EE0" w:sz="2" w:space="0"/>
            </w:tcBorders>
            <w:tcMar>
              <w:top w:w="22" w:type="dxa"/>
              <w:left w:w="28" w:type="dxa"/>
              <w:bottom w:w="22" w:type="dxa"/>
              <w:right w:w="28" w:type="dxa"/>
            </w:tcMar>
          </w:tcPr>
          <w:p w:rsidR="006B6965" w:rsidRDefault="003A166B" w14:paraId="463C4F94" w14:textId="77777777">
            <w:pPr>
              <w:pStyle w:val="p-table"/>
              <w:jc w:val="right"/>
              <w:rPr>
                <w:sz w:val="17"/>
              </w:rPr>
            </w:pPr>
            <w:r>
              <w:rPr>
                <w:sz w:val="17"/>
              </w:rPr>
              <w:t>268</w:t>
            </w:r>
          </w:p>
        </w:tc>
      </w:tr>
      <w:tr w:rsidR="006B6965" w14:paraId="14B2F57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48F354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4FB0B4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DEB942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19E95D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BE67F6B" w14:textId="77777777">
            <w:pPr>
              <w:pStyle w:val="p-table"/>
              <w:rPr>
                <w:sz w:val="17"/>
              </w:rPr>
            </w:pPr>
          </w:p>
        </w:tc>
      </w:tr>
      <w:tr w:rsidR="006B6965" w14:paraId="160A721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07F305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A6D70B7"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7389D56C" w14:textId="77777777">
            <w:pPr>
              <w:pStyle w:val="p-table"/>
              <w:jc w:val="right"/>
              <w:rPr>
                <w:sz w:val="17"/>
              </w:rPr>
            </w:pPr>
            <w:r>
              <w:rPr>
                <w:b/>
                <w:sz w:val="17"/>
              </w:rPr>
              <w:t>1.663</w:t>
            </w:r>
          </w:p>
        </w:tc>
        <w:tc>
          <w:tcPr>
            <w:tcW w:w="1377" w:type="dxa"/>
            <w:tcBorders>
              <w:bottom w:val="single" w:color="009EE0" w:sz="2" w:space="0"/>
            </w:tcBorders>
            <w:tcMar>
              <w:top w:w="22" w:type="dxa"/>
              <w:left w:w="28" w:type="dxa"/>
              <w:bottom w:w="22" w:type="dxa"/>
              <w:right w:w="28" w:type="dxa"/>
            </w:tcMar>
          </w:tcPr>
          <w:p w:rsidR="006B6965" w:rsidRDefault="003A166B" w14:paraId="09CD923D" w14:textId="77777777">
            <w:pPr>
              <w:pStyle w:val="p-table"/>
              <w:jc w:val="right"/>
              <w:rPr>
                <w:sz w:val="17"/>
              </w:rPr>
            </w:pPr>
            <w:r>
              <w:rPr>
                <w:b/>
                <w:sz w:val="17"/>
              </w:rPr>
              <w:t>4.232</w:t>
            </w:r>
          </w:p>
        </w:tc>
        <w:tc>
          <w:tcPr>
            <w:tcW w:w="1377" w:type="dxa"/>
            <w:tcBorders>
              <w:bottom w:val="single" w:color="009EE0" w:sz="2" w:space="0"/>
            </w:tcBorders>
            <w:tcMar>
              <w:top w:w="22" w:type="dxa"/>
              <w:left w:w="28" w:type="dxa"/>
              <w:bottom w:w="22" w:type="dxa"/>
              <w:right w:w="28" w:type="dxa"/>
            </w:tcMar>
          </w:tcPr>
          <w:p w:rsidR="006B6965" w:rsidRDefault="003A166B" w14:paraId="2E6FE755" w14:textId="77777777">
            <w:pPr>
              <w:pStyle w:val="p-table"/>
              <w:jc w:val="right"/>
              <w:rPr>
                <w:sz w:val="17"/>
              </w:rPr>
            </w:pPr>
            <w:r>
              <w:rPr>
                <w:b/>
                <w:sz w:val="17"/>
              </w:rPr>
              <w:t>5.895</w:t>
            </w:r>
          </w:p>
        </w:tc>
      </w:tr>
      <w:tr w:rsidR="006B6965" w14:paraId="64E652E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9C67C8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EA4CB3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31409D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2C969C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3EC8CE7" w14:textId="77777777">
            <w:pPr>
              <w:pStyle w:val="p-table"/>
              <w:rPr>
                <w:sz w:val="17"/>
              </w:rPr>
            </w:pPr>
          </w:p>
        </w:tc>
      </w:tr>
    </w:tbl>
    <w:p w:rsidR="006B6965" w:rsidRDefault="006B6965" w14:paraId="73086C91" w14:textId="77777777">
      <w:pPr>
        <w:pStyle w:val="p-marginbottom"/>
      </w:pPr>
    </w:p>
    <w:p w:rsidR="006B6965" w:rsidRDefault="003A166B" w14:paraId="2539FD66" w14:textId="77777777">
      <w:pPr>
        <w:pStyle w:val="section-title-4"/>
      </w:pPr>
      <w:r>
        <w:t>Toelichting</w:t>
      </w:r>
    </w:p>
    <w:p w:rsidR="006B6965" w:rsidRDefault="003A166B" w14:paraId="3CBAFC4F" w14:textId="77777777">
      <w:pPr>
        <w:pStyle w:val="header-h1"/>
      </w:pPr>
      <w:r>
        <w:t>Verplichtingen</w:t>
      </w:r>
    </w:p>
    <w:p w:rsidR="006B6965" w:rsidRDefault="003A166B" w14:paraId="6C6E3CC3" w14:textId="77777777">
      <w:pPr>
        <w:pStyle w:val="p"/>
      </w:pPr>
      <w:r>
        <w:t>De verplichtingen mutaties zijn kleiner dan de gehanteerde norm en worden daarom niet toegelicht (zie ).</w:t>
      </w:r>
    </w:p>
    <w:p w:rsidR="006B6965" w:rsidRDefault="003A166B" w14:paraId="5C1DEB6A" w14:textId="77777777">
      <w:pPr>
        <w:pStyle w:val="header-h1"/>
      </w:pPr>
      <w:r>
        <w:lastRenderedPageBreak/>
        <w:t>Uitgaven</w:t>
      </w:r>
    </w:p>
    <w:p w:rsidR="006B6965" w:rsidRDefault="003A166B" w14:paraId="02DD34FA" w14:textId="77777777">
      <w:pPr>
        <w:pStyle w:val="header-h1"/>
      </w:pPr>
      <w:r>
        <w:t>Artikel 18.1 Scheepvaart en havens</w:t>
      </w:r>
    </w:p>
    <w:p w:rsidR="006B6965" w:rsidRDefault="003A166B" w14:paraId="7B460AC5" w14:textId="77777777">
      <w:pPr>
        <w:pStyle w:val="header-h2"/>
      </w:pPr>
      <w:r>
        <w:t>Subsidies</w:t>
      </w:r>
    </w:p>
    <w:p w:rsidR="006B6965" w:rsidRDefault="003A166B" w14:paraId="4918315D" w14:textId="77777777">
      <w:pPr>
        <w:pStyle w:val="p"/>
      </w:pPr>
      <w:r>
        <w:t>Het subsidiebudget is in 2025 met € 10,8 miljoen verhoogd. Dit komt met name door de volgende mutatie:</w:t>
      </w:r>
    </w:p>
    <w:p w:rsidR="006B6965" w:rsidRDefault="003A166B" w14:paraId="402A88B0" w14:textId="77777777">
      <w:pPr>
        <w:pStyle w:val="p"/>
      </w:pPr>
      <w:r>
        <w:rPr>
          <w:rStyle w:val="span-u"/>
        </w:rPr>
        <w:t>Walstroom:</w:t>
      </w:r>
      <w:r>
        <w:t xml:space="preserve"> De subsidieregeling walstroom loopt beter dan verwacht, hierdoor is in 2025 meer budget nodig om de </w:t>
      </w:r>
      <w:proofErr w:type="spellStart"/>
      <w:r>
        <w:t>bevoorsschotting</w:t>
      </w:r>
      <w:proofErr w:type="spellEnd"/>
      <w:r>
        <w:t xml:space="preserve"> te kunnen betalen. Daarom schuift er € 7,9 miljoen naar 2025.</w:t>
      </w:r>
    </w:p>
    <w:p w:rsidR="006B6965" w:rsidRDefault="003A166B" w14:paraId="3ACAA1DA" w14:textId="77777777">
      <w:pPr>
        <w:pStyle w:val="p"/>
      </w:pPr>
      <w:r>
        <w:t>De overige uitgaven mutaties zijn kleiner dan de gehanteerde norm en worden daarom niet toegelicht (zie ).</w:t>
      </w:r>
    </w:p>
    <w:p w:rsidR="006B6965" w:rsidRDefault="003A166B" w14:paraId="0AB000D7" w14:textId="77777777">
      <w:pPr>
        <w:pStyle w:val="header-h1"/>
      </w:pPr>
      <w:r>
        <w:t>Ontvangsten</w:t>
      </w:r>
    </w:p>
    <w:p w:rsidR="006B6965" w:rsidRDefault="003A166B" w14:paraId="1D1CE703" w14:textId="77777777">
      <w:pPr>
        <w:pStyle w:val="p"/>
      </w:pPr>
      <w:r>
        <w:t>De verhoging van het ontvangstenbudget met € 4,2 miljoen wordt met name veroorzaakt door:</w:t>
      </w:r>
    </w:p>
    <w:p w:rsidR="006B6965" w:rsidRDefault="003A166B" w14:paraId="78D72CB0" w14:textId="77777777">
      <w:pPr>
        <w:pStyle w:val="p"/>
      </w:pPr>
      <w:r>
        <w:rPr>
          <w:rStyle w:val="span-u"/>
        </w:rPr>
        <w:t>Buisleidingen</w:t>
      </w:r>
      <w:r>
        <w:t>: op meerdere subsidieregelingen is geld terugontvangen (€ 1 miljoen) voor buisleidingen. Dit budget wordt opnieuw ingezet voor buisleidingen.</w:t>
      </w:r>
    </w:p>
    <w:p w:rsidR="006B6965" w:rsidRDefault="003A166B" w14:paraId="71DA4A87" w14:textId="77777777">
      <w:pPr>
        <w:pStyle w:val="p"/>
      </w:pPr>
      <w:r>
        <w:rPr>
          <w:rStyle w:val="span-u"/>
        </w:rPr>
        <w:t>Walstroom:</w:t>
      </w:r>
      <w:r>
        <w:t xml:space="preserve"> Op de tijdelijke subsidieregeling walstroom is geld terugontvangen (€ 2 miljoen). Dit wordt opnieuw ingezet voor Walstroom Zeehavens.</w:t>
      </w:r>
    </w:p>
    <w:p w:rsidR="006B6965" w:rsidRDefault="003A166B" w14:paraId="5E6A2124" w14:textId="77777777">
      <w:pPr>
        <w:pStyle w:val="section-title-3"/>
      </w:pPr>
      <w:r>
        <w:t>3.7 Artikel 19 Internationaal Beleid</w:t>
      </w:r>
    </w:p>
    <w:p w:rsidR="006B6965" w:rsidRDefault="003A166B" w14:paraId="288644E9"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3DCCBA44"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420E6886" w14:textId="77777777">
            <w:pPr>
              <w:pStyle w:val="kio2-table-title"/>
            </w:pPr>
            <w:r>
              <w:t>Tabel 11 Budgettaire gevolgen van beleid artikel 19 Internationaal Beleid (bedragen x € 1.000)</w:t>
            </w:r>
          </w:p>
        </w:tc>
      </w:tr>
      <w:tr w:rsidR="006B6965" w14:paraId="658FC328"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72129785"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4E4BBAD5"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A4B5E69"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871C49A"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F901558" w14:textId="77777777">
            <w:pPr>
              <w:pStyle w:val="p-table"/>
              <w:jc w:val="center"/>
              <w:rPr>
                <w:color w:val="000000"/>
                <w:sz w:val="17"/>
              </w:rPr>
            </w:pPr>
            <w:r>
              <w:rPr>
                <w:color w:val="000000"/>
                <w:sz w:val="17"/>
              </w:rPr>
              <w:t>Stand suppletoire begroting september (3) = (1) + (2)</w:t>
            </w:r>
          </w:p>
        </w:tc>
      </w:tr>
      <w:tr w:rsidR="006B6965" w14:paraId="4485D8B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573ECED7"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1F91EADE"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3BEC1B8B" w14:textId="77777777">
            <w:pPr>
              <w:pStyle w:val="p-table"/>
              <w:jc w:val="right"/>
              <w:rPr>
                <w:sz w:val="17"/>
              </w:rPr>
            </w:pPr>
            <w:r>
              <w:rPr>
                <w:b/>
                <w:sz w:val="17"/>
              </w:rPr>
              <w:t>36.339</w:t>
            </w:r>
          </w:p>
        </w:tc>
        <w:tc>
          <w:tcPr>
            <w:tcW w:w="1377" w:type="dxa"/>
            <w:tcBorders>
              <w:bottom w:val="single" w:color="009EE0" w:sz="2" w:space="0"/>
            </w:tcBorders>
            <w:tcMar>
              <w:top w:w="22" w:type="dxa"/>
              <w:left w:w="28" w:type="dxa"/>
              <w:bottom w:w="22" w:type="dxa"/>
              <w:right w:w="28" w:type="dxa"/>
            </w:tcMar>
          </w:tcPr>
          <w:p w:rsidR="006B6965" w:rsidRDefault="003A166B" w14:paraId="6BE9759D" w14:textId="77777777">
            <w:pPr>
              <w:pStyle w:val="p-table"/>
              <w:jc w:val="right"/>
              <w:rPr>
                <w:sz w:val="17"/>
              </w:rPr>
            </w:pPr>
            <w:r>
              <w:rPr>
                <w:b/>
                <w:sz w:val="17"/>
              </w:rPr>
              <w:t>259</w:t>
            </w:r>
          </w:p>
        </w:tc>
        <w:tc>
          <w:tcPr>
            <w:tcW w:w="1377" w:type="dxa"/>
            <w:tcBorders>
              <w:bottom w:val="single" w:color="009EE0" w:sz="2" w:space="0"/>
            </w:tcBorders>
            <w:tcMar>
              <w:top w:w="22" w:type="dxa"/>
              <w:left w:w="28" w:type="dxa"/>
              <w:bottom w:w="22" w:type="dxa"/>
              <w:right w:w="28" w:type="dxa"/>
            </w:tcMar>
          </w:tcPr>
          <w:p w:rsidR="006B6965" w:rsidRDefault="003A166B" w14:paraId="76520B3B" w14:textId="77777777">
            <w:pPr>
              <w:pStyle w:val="p-table"/>
              <w:jc w:val="right"/>
              <w:rPr>
                <w:sz w:val="17"/>
              </w:rPr>
            </w:pPr>
            <w:r>
              <w:rPr>
                <w:b/>
                <w:sz w:val="17"/>
              </w:rPr>
              <w:t>36.598</w:t>
            </w:r>
          </w:p>
        </w:tc>
      </w:tr>
      <w:tr w:rsidR="006B6965" w14:paraId="40A3B56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DD8795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4B3DEA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371F45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5B7FD4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E7D86A8" w14:textId="77777777">
            <w:pPr>
              <w:pStyle w:val="p-table"/>
              <w:rPr>
                <w:sz w:val="17"/>
              </w:rPr>
            </w:pPr>
          </w:p>
        </w:tc>
      </w:tr>
      <w:tr w:rsidR="006B6965" w14:paraId="0831231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372BFC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4341833"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1D912D61" w14:textId="77777777">
            <w:pPr>
              <w:pStyle w:val="p-table"/>
              <w:jc w:val="right"/>
              <w:rPr>
                <w:sz w:val="17"/>
              </w:rPr>
            </w:pPr>
            <w:r>
              <w:rPr>
                <w:b/>
                <w:sz w:val="17"/>
              </w:rPr>
              <w:t>10.995</w:t>
            </w:r>
          </w:p>
        </w:tc>
        <w:tc>
          <w:tcPr>
            <w:tcW w:w="1377" w:type="dxa"/>
            <w:tcBorders>
              <w:bottom w:val="single" w:color="009EE0" w:sz="2" w:space="0"/>
            </w:tcBorders>
            <w:tcMar>
              <w:top w:w="22" w:type="dxa"/>
              <w:left w:w="28" w:type="dxa"/>
              <w:bottom w:w="22" w:type="dxa"/>
              <w:right w:w="28" w:type="dxa"/>
            </w:tcMar>
          </w:tcPr>
          <w:p w:rsidR="006B6965" w:rsidRDefault="003A166B" w14:paraId="65869556" w14:textId="77777777">
            <w:pPr>
              <w:pStyle w:val="p-table"/>
              <w:jc w:val="right"/>
              <w:rPr>
                <w:sz w:val="17"/>
              </w:rPr>
            </w:pPr>
            <w:r>
              <w:rPr>
                <w:b/>
                <w:sz w:val="17"/>
              </w:rPr>
              <w:t>672</w:t>
            </w:r>
          </w:p>
        </w:tc>
        <w:tc>
          <w:tcPr>
            <w:tcW w:w="1377" w:type="dxa"/>
            <w:tcBorders>
              <w:bottom w:val="single" w:color="009EE0" w:sz="2" w:space="0"/>
            </w:tcBorders>
            <w:tcMar>
              <w:top w:w="22" w:type="dxa"/>
              <w:left w:w="28" w:type="dxa"/>
              <w:bottom w:w="22" w:type="dxa"/>
              <w:right w:w="28" w:type="dxa"/>
            </w:tcMar>
          </w:tcPr>
          <w:p w:rsidR="006B6965" w:rsidRDefault="003A166B" w14:paraId="771BFFCC" w14:textId="77777777">
            <w:pPr>
              <w:pStyle w:val="p-table"/>
              <w:jc w:val="right"/>
              <w:rPr>
                <w:sz w:val="17"/>
              </w:rPr>
            </w:pPr>
            <w:r>
              <w:rPr>
                <w:b/>
                <w:sz w:val="17"/>
              </w:rPr>
              <w:t>11.667</w:t>
            </w:r>
          </w:p>
        </w:tc>
      </w:tr>
      <w:tr w:rsidR="006B6965" w14:paraId="11CFE5E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01C8F2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2ACF54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049A4E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447965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95F8DCD" w14:textId="77777777">
            <w:pPr>
              <w:pStyle w:val="p-table"/>
              <w:rPr>
                <w:sz w:val="17"/>
              </w:rPr>
            </w:pPr>
          </w:p>
        </w:tc>
      </w:tr>
      <w:tr w:rsidR="006B6965" w14:paraId="4CAB19A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FB3FFD2" w14:textId="77777777">
            <w:pPr>
              <w:pStyle w:val="p-table"/>
              <w:rPr>
                <w:sz w:val="17"/>
              </w:rPr>
            </w:pPr>
            <w:r>
              <w:rPr>
                <w:b/>
                <w:sz w:val="17"/>
              </w:rPr>
              <w:t>19.2</w:t>
            </w:r>
          </w:p>
        </w:tc>
        <w:tc>
          <w:tcPr>
            <w:tcW w:w="4590" w:type="dxa"/>
            <w:tcBorders>
              <w:bottom w:val="single" w:color="009EE0" w:sz="2" w:space="0"/>
            </w:tcBorders>
            <w:tcMar>
              <w:top w:w="22" w:type="dxa"/>
              <w:left w:w="28" w:type="dxa"/>
              <w:bottom w:w="22" w:type="dxa"/>
              <w:right w:w="28" w:type="dxa"/>
            </w:tcMar>
          </w:tcPr>
          <w:p w:rsidR="006B6965" w:rsidRDefault="003A166B" w14:paraId="676A15DF" w14:textId="77777777">
            <w:pPr>
              <w:pStyle w:val="p-table"/>
              <w:rPr>
                <w:sz w:val="17"/>
              </w:rPr>
            </w:pPr>
            <w:r>
              <w:rPr>
                <w:b/>
                <w:sz w:val="17"/>
              </w:rPr>
              <w:t>Internationaal beleid, coördinatie en samenwerking</w:t>
            </w:r>
          </w:p>
        </w:tc>
        <w:tc>
          <w:tcPr>
            <w:tcW w:w="1377" w:type="dxa"/>
            <w:tcBorders>
              <w:bottom w:val="single" w:color="009EE0" w:sz="2" w:space="0"/>
            </w:tcBorders>
            <w:tcMar>
              <w:top w:w="22" w:type="dxa"/>
              <w:left w:w="28" w:type="dxa"/>
              <w:bottom w:w="22" w:type="dxa"/>
              <w:right w:w="28" w:type="dxa"/>
            </w:tcMar>
          </w:tcPr>
          <w:p w:rsidR="006B6965" w:rsidRDefault="003A166B" w14:paraId="6BD5EC24" w14:textId="77777777">
            <w:pPr>
              <w:pStyle w:val="p-table"/>
              <w:jc w:val="right"/>
              <w:rPr>
                <w:sz w:val="17"/>
              </w:rPr>
            </w:pPr>
            <w:r>
              <w:rPr>
                <w:b/>
                <w:sz w:val="17"/>
              </w:rPr>
              <w:t>10.995</w:t>
            </w:r>
          </w:p>
        </w:tc>
        <w:tc>
          <w:tcPr>
            <w:tcW w:w="1377" w:type="dxa"/>
            <w:tcBorders>
              <w:bottom w:val="single" w:color="009EE0" w:sz="2" w:space="0"/>
            </w:tcBorders>
            <w:tcMar>
              <w:top w:w="22" w:type="dxa"/>
              <w:left w:w="28" w:type="dxa"/>
              <w:bottom w:w="22" w:type="dxa"/>
              <w:right w:w="28" w:type="dxa"/>
            </w:tcMar>
          </w:tcPr>
          <w:p w:rsidR="006B6965" w:rsidRDefault="003A166B" w14:paraId="08D12302" w14:textId="77777777">
            <w:pPr>
              <w:pStyle w:val="p-table"/>
              <w:jc w:val="right"/>
              <w:rPr>
                <w:sz w:val="17"/>
              </w:rPr>
            </w:pPr>
            <w:r>
              <w:rPr>
                <w:b/>
                <w:sz w:val="17"/>
              </w:rPr>
              <w:t>672</w:t>
            </w:r>
          </w:p>
        </w:tc>
        <w:tc>
          <w:tcPr>
            <w:tcW w:w="1377" w:type="dxa"/>
            <w:tcBorders>
              <w:bottom w:val="single" w:color="009EE0" w:sz="2" w:space="0"/>
            </w:tcBorders>
            <w:tcMar>
              <w:top w:w="22" w:type="dxa"/>
              <w:left w:w="28" w:type="dxa"/>
              <w:bottom w:w="22" w:type="dxa"/>
              <w:right w:w="28" w:type="dxa"/>
            </w:tcMar>
          </w:tcPr>
          <w:p w:rsidR="006B6965" w:rsidRDefault="003A166B" w14:paraId="5A38B601" w14:textId="77777777">
            <w:pPr>
              <w:pStyle w:val="p-table"/>
              <w:jc w:val="right"/>
              <w:rPr>
                <w:sz w:val="17"/>
              </w:rPr>
            </w:pPr>
            <w:r>
              <w:rPr>
                <w:b/>
                <w:sz w:val="17"/>
              </w:rPr>
              <w:t>11.667</w:t>
            </w:r>
          </w:p>
        </w:tc>
      </w:tr>
      <w:tr w:rsidR="006B6965" w14:paraId="7E2571E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B032A7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3806C60"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10CA5640" w14:textId="77777777">
            <w:pPr>
              <w:pStyle w:val="p-table"/>
              <w:jc w:val="right"/>
              <w:rPr>
                <w:sz w:val="17"/>
              </w:rPr>
            </w:pPr>
            <w:r>
              <w:rPr>
                <w:i/>
                <w:sz w:val="17"/>
              </w:rPr>
              <w:t>5.754</w:t>
            </w:r>
          </w:p>
        </w:tc>
        <w:tc>
          <w:tcPr>
            <w:tcW w:w="1377" w:type="dxa"/>
            <w:tcBorders>
              <w:bottom w:val="single" w:color="009EE0" w:sz="2" w:space="0"/>
            </w:tcBorders>
            <w:tcMar>
              <w:top w:w="22" w:type="dxa"/>
              <w:left w:w="28" w:type="dxa"/>
              <w:bottom w:w="22" w:type="dxa"/>
              <w:right w:w="28" w:type="dxa"/>
            </w:tcMar>
          </w:tcPr>
          <w:p w:rsidR="006B6965" w:rsidRDefault="003A166B" w14:paraId="3D5B91A5" w14:textId="77777777">
            <w:pPr>
              <w:pStyle w:val="p-table"/>
              <w:jc w:val="right"/>
              <w:rPr>
                <w:sz w:val="17"/>
              </w:rPr>
            </w:pPr>
            <w:r>
              <w:rPr>
                <w:i/>
                <w:sz w:val="17"/>
              </w:rPr>
              <w:t>‒</w:t>
            </w:r>
            <w:r>
              <w:rPr>
                <w:i/>
                <w:sz w:val="17"/>
              </w:rPr>
              <w:t xml:space="preserve"> 68</w:t>
            </w:r>
          </w:p>
        </w:tc>
        <w:tc>
          <w:tcPr>
            <w:tcW w:w="1377" w:type="dxa"/>
            <w:tcBorders>
              <w:bottom w:val="single" w:color="009EE0" w:sz="2" w:space="0"/>
            </w:tcBorders>
            <w:tcMar>
              <w:top w:w="22" w:type="dxa"/>
              <w:left w:w="28" w:type="dxa"/>
              <w:bottom w:w="22" w:type="dxa"/>
              <w:right w:w="28" w:type="dxa"/>
            </w:tcMar>
          </w:tcPr>
          <w:p w:rsidR="006B6965" w:rsidRDefault="003A166B" w14:paraId="7CEF29D9" w14:textId="77777777">
            <w:pPr>
              <w:pStyle w:val="p-table"/>
              <w:jc w:val="right"/>
              <w:rPr>
                <w:sz w:val="17"/>
              </w:rPr>
            </w:pPr>
            <w:r>
              <w:rPr>
                <w:i/>
                <w:sz w:val="17"/>
              </w:rPr>
              <w:t>5.686</w:t>
            </w:r>
          </w:p>
        </w:tc>
      </w:tr>
      <w:tr w:rsidR="006B6965" w14:paraId="2BBEAAF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D8F7F5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515E18A" w14:textId="77777777">
            <w:pPr>
              <w:pStyle w:val="p-table"/>
              <w:rPr>
                <w:sz w:val="17"/>
              </w:rPr>
            </w:pPr>
            <w:r>
              <w:rPr>
                <w:sz w:val="17"/>
              </w:rPr>
              <w:t>Uitvoering internationaal HGIS</w:t>
            </w:r>
          </w:p>
        </w:tc>
        <w:tc>
          <w:tcPr>
            <w:tcW w:w="1377" w:type="dxa"/>
            <w:tcBorders>
              <w:bottom w:val="single" w:color="009EE0" w:sz="2" w:space="0"/>
            </w:tcBorders>
            <w:tcMar>
              <w:top w:w="22" w:type="dxa"/>
              <w:left w:w="28" w:type="dxa"/>
              <w:bottom w:w="22" w:type="dxa"/>
              <w:right w:w="28" w:type="dxa"/>
            </w:tcMar>
          </w:tcPr>
          <w:p w:rsidR="006B6965" w:rsidRDefault="003A166B" w14:paraId="337A1B03" w14:textId="77777777">
            <w:pPr>
              <w:pStyle w:val="p-table"/>
              <w:jc w:val="right"/>
              <w:rPr>
                <w:sz w:val="17"/>
              </w:rPr>
            </w:pPr>
            <w:r>
              <w:rPr>
                <w:sz w:val="17"/>
              </w:rPr>
              <w:t>1.667</w:t>
            </w:r>
          </w:p>
        </w:tc>
        <w:tc>
          <w:tcPr>
            <w:tcW w:w="1377" w:type="dxa"/>
            <w:tcBorders>
              <w:bottom w:val="single" w:color="009EE0" w:sz="2" w:space="0"/>
            </w:tcBorders>
            <w:tcMar>
              <w:top w:w="22" w:type="dxa"/>
              <w:left w:w="28" w:type="dxa"/>
              <w:bottom w:w="22" w:type="dxa"/>
              <w:right w:w="28" w:type="dxa"/>
            </w:tcMar>
          </w:tcPr>
          <w:p w:rsidR="006B6965" w:rsidRDefault="003A166B" w14:paraId="6E6B1E8D" w14:textId="77777777">
            <w:pPr>
              <w:pStyle w:val="p-table"/>
              <w:jc w:val="right"/>
              <w:rPr>
                <w:sz w:val="17"/>
              </w:rPr>
            </w:pPr>
            <w:r>
              <w:rPr>
                <w:sz w:val="17"/>
              </w:rPr>
              <w:t>‒</w:t>
            </w:r>
            <w:r>
              <w:rPr>
                <w:sz w:val="17"/>
              </w:rPr>
              <w:t xml:space="preserve"> 300</w:t>
            </w:r>
          </w:p>
        </w:tc>
        <w:tc>
          <w:tcPr>
            <w:tcW w:w="1377" w:type="dxa"/>
            <w:tcBorders>
              <w:bottom w:val="single" w:color="009EE0" w:sz="2" w:space="0"/>
            </w:tcBorders>
            <w:tcMar>
              <w:top w:w="22" w:type="dxa"/>
              <w:left w:w="28" w:type="dxa"/>
              <w:bottom w:w="22" w:type="dxa"/>
              <w:right w:w="28" w:type="dxa"/>
            </w:tcMar>
          </w:tcPr>
          <w:p w:rsidR="006B6965" w:rsidRDefault="003A166B" w14:paraId="1E7FE69C" w14:textId="77777777">
            <w:pPr>
              <w:pStyle w:val="p-table"/>
              <w:jc w:val="right"/>
              <w:rPr>
                <w:sz w:val="17"/>
              </w:rPr>
            </w:pPr>
            <w:r>
              <w:rPr>
                <w:sz w:val="17"/>
              </w:rPr>
              <w:t>1.367</w:t>
            </w:r>
          </w:p>
        </w:tc>
      </w:tr>
      <w:tr w:rsidR="006B6965" w14:paraId="730B23F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CB28E3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906B9CE" w14:textId="77777777">
            <w:pPr>
              <w:pStyle w:val="p-table"/>
              <w:rPr>
                <w:sz w:val="17"/>
              </w:rPr>
            </w:pPr>
            <w:r>
              <w:rPr>
                <w:sz w:val="17"/>
              </w:rPr>
              <w:t>Uitvoering niet-HGIS</w:t>
            </w:r>
          </w:p>
        </w:tc>
        <w:tc>
          <w:tcPr>
            <w:tcW w:w="1377" w:type="dxa"/>
            <w:tcBorders>
              <w:bottom w:val="single" w:color="009EE0" w:sz="2" w:space="0"/>
            </w:tcBorders>
            <w:tcMar>
              <w:top w:w="22" w:type="dxa"/>
              <w:left w:w="28" w:type="dxa"/>
              <w:bottom w:w="22" w:type="dxa"/>
              <w:right w:w="28" w:type="dxa"/>
            </w:tcMar>
          </w:tcPr>
          <w:p w:rsidR="006B6965" w:rsidRDefault="003A166B" w14:paraId="12130E46" w14:textId="77777777">
            <w:pPr>
              <w:pStyle w:val="p-table"/>
              <w:jc w:val="right"/>
              <w:rPr>
                <w:sz w:val="17"/>
              </w:rPr>
            </w:pPr>
            <w:r>
              <w:rPr>
                <w:sz w:val="17"/>
              </w:rPr>
              <w:t>2.666</w:t>
            </w:r>
          </w:p>
        </w:tc>
        <w:tc>
          <w:tcPr>
            <w:tcW w:w="1377" w:type="dxa"/>
            <w:tcBorders>
              <w:bottom w:val="single" w:color="009EE0" w:sz="2" w:space="0"/>
            </w:tcBorders>
            <w:tcMar>
              <w:top w:w="22" w:type="dxa"/>
              <w:left w:w="28" w:type="dxa"/>
              <w:bottom w:w="22" w:type="dxa"/>
              <w:right w:w="28" w:type="dxa"/>
            </w:tcMar>
          </w:tcPr>
          <w:p w:rsidR="006B6965" w:rsidRDefault="003A166B" w14:paraId="00173F6B" w14:textId="77777777">
            <w:pPr>
              <w:pStyle w:val="p-table"/>
              <w:jc w:val="right"/>
              <w:rPr>
                <w:sz w:val="17"/>
              </w:rPr>
            </w:pPr>
            <w:r>
              <w:rPr>
                <w:sz w:val="17"/>
              </w:rPr>
              <w:t>27</w:t>
            </w:r>
          </w:p>
        </w:tc>
        <w:tc>
          <w:tcPr>
            <w:tcW w:w="1377" w:type="dxa"/>
            <w:tcBorders>
              <w:bottom w:val="single" w:color="009EE0" w:sz="2" w:space="0"/>
            </w:tcBorders>
            <w:tcMar>
              <w:top w:w="22" w:type="dxa"/>
              <w:left w:w="28" w:type="dxa"/>
              <w:bottom w:w="22" w:type="dxa"/>
              <w:right w:w="28" w:type="dxa"/>
            </w:tcMar>
          </w:tcPr>
          <w:p w:rsidR="006B6965" w:rsidRDefault="003A166B" w14:paraId="16E890E3" w14:textId="77777777">
            <w:pPr>
              <w:pStyle w:val="p-table"/>
              <w:jc w:val="right"/>
              <w:rPr>
                <w:sz w:val="17"/>
              </w:rPr>
            </w:pPr>
            <w:r>
              <w:rPr>
                <w:sz w:val="17"/>
              </w:rPr>
              <w:t>2.693</w:t>
            </w:r>
          </w:p>
        </w:tc>
      </w:tr>
      <w:tr w:rsidR="006B6965" w14:paraId="6AA61BC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D6F978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D1449B2" w14:textId="77777777">
            <w:pPr>
              <w:pStyle w:val="p-table"/>
              <w:rPr>
                <w:sz w:val="17"/>
              </w:rPr>
            </w:pPr>
            <w:r>
              <w:rPr>
                <w:sz w:val="17"/>
              </w:rPr>
              <w:t xml:space="preserve">Overige </w:t>
            </w:r>
            <w:r>
              <w:rPr>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5E5BE19E" w14:textId="77777777">
            <w:pPr>
              <w:pStyle w:val="p-table"/>
              <w:jc w:val="right"/>
              <w:rPr>
                <w:sz w:val="17"/>
              </w:rPr>
            </w:pPr>
            <w:r>
              <w:rPr>
                <w:sz w:val="17"/>
              </w:rPr>
              <w:t>1.421</w:t>
            </w:r>
          </w:p>
        </w:tc>
        <w:tc>
          <w:tcPr>
            <w:tcW w:w="1377" w:type="dxa"/>
            <w:tcBorders>
              <w:bottom w:val="single" w:color="009EE0" w:sz="2" w:space="0"/>
            </w:tcBorders>
            <w:tcMar>
              <w:top w:w="22" w:type="dxa"/>
              <w:left w:w="28" w:type="dxa"/>
              <w:bottom w:w="22" w:type="dxa"/>
              <w:right w:w="28" w:type="dxa"/>
            </w:tcMar>
          </w:tcPr>
          <w:p w:rsidR="006B6965" w:rsidRDefault="003A166B" w14:paraId="05EB4DD5" w14:textId="77777777">
            <w:pPr>
              <w:pStyle w:val="p-table"/>
              <w:jc w:val="right"/>
              <w:rPr>
                <w:sz w:val="17"/>
              </w:rPr>
            </w:pPr>
            <w:r>
              <w:rPr>
                <w:sz w:val="17"/>
              </w:rPr>
              <w:t>205</w:t>
            </w:r>
          </w:p>
        </w:tc>
        <w:tc>
          <w:tcPr>
            <w:tcW w:w="1377" w:type="dxa"/>
            <w:tcBorders>
              <w:bottom w:val="single" w:color="009EE0" w:sz="2" w:space="0"/>
            </w:tcBorders>
            <w:tcMar>
              <w:top w:w="22" w:type="dxa"/>
              <w:left w:w="28" w:type="dxa"/>
              <w:bottom w:w="22" w:type="dxa"/>
              <w:right w:w="28" w:type="dxa"/>
            </w:tcMar>
          </w:tcPr>
          <w:p w:rsidR="006B6965" w:rsidRDefault="003A166B" w14:paraId="2F159948" w14:textId="77777777">
            <w:pPr>
              <w:pStyle w:val="p-table"/>
              <w:jc w:val="right"/>
              <w:rPr>
                <w:sz w:val="17"/>
              </w:rPr>
            </w:pPr>
            <w:r>
              <w:rPr>
                <w:sz w:val="17"/>
              </w:rPr>
              <w:t>1.626</w:t>
            </w:r>
          </w:p>
        </w:tc>
      </w:tr>
      <w:tr w:rsidR="006B6965" w14:paraId="5B51562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18452C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C673EBB"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2FDE6181" w14:textId="77777777">
            <w:pPr>
              <w:pStyle w:val="p-table"/>
              <w:jc w:val="right"/>
              <w:rPr>
                <w:sz w:val="17"/>
              </w:rPr>
            </w:pPr>
            <w:r>
              <w:rPr>
                <w:i/>
                <w:sz w:val="17"/>
              </w:rPr>
              <w:t>340</w:t>
            </w:r>
          </w:p>
        </w:tc>
        <w:tc>
          <w:tcPr>
            <w:tcW w:w="1377" w:type="dxa"/>
            <w:tcBorders>
              <w:bottom w:val="single" w:color="009EE0" w:sz="2" w:space="0"/>
            </w:tcBorders>
            <w:tcMar>
              <w:top w:w="22" w:type="dxa"/>
              <w:left w:w="28" w:type="dxa"/>
              <w:bottom w:w="22" w:type="dxa"/>
              <w:right w:w="28" w:type="dxa"/>
            </w:tcMar>
          </w:tcPr>
          <w:p w:rsidR="006B6965" w:rsidRDefault="003A166B" w14:paraId="014F6171" w14:textId="77777777">
            <w:pPr>
              <w:pStyle w:val="p-table"/>
              <w:jc w:val="right"/>
              <w:rPr>
                <w:sz w:val="17"/>
              </w:rPr>
            </w:pPr>
            <w:r>
              <w:rPr>
                <w:i/>
                <w:sz w:val="17"/>
              </w:rPr>
              <w:t>236</w:t>
            </w:r>
          </w:p>
        </w:tc>
        <w:tc>
          <w:tcPr>
            <w:tcW w:w="1377" w:type="dxa"/>
            <w:tcBorders>
              <w:bottom w:val="single" w:color="009EE0" w:sz="2" w:space="0"/>
            </w:tcBorders>
            <w:tcMar>
              <w:top w:w="22" w:type="dxa"/>
              <w:left w:w="28" w:type="dxa"/>
              <w:bottom w:w="22" w:type="dxa"/>
              <w:right w:w="28" w:type="dxa"/>
            </w:tcMar>
          </w:tcPr>
          <w:p w:rsidR="006B6965" w:rsidRDefault="003A166B" w14:paraId="5D59DBC7" w14:textId="77777777">
            <w:pPr>
              <w:pStyle w:val="p-table"/>
              <w:jc w:val="right"/>
              <w:rPr>
                <w:sz w:val="17"/>
              </w:rPr>
            </w:pPr>
            <w:r>
              <w:rPr>
                <w:i/>
                <w:sz w:val="17"/>
              </w:rPr>
              <w:t>576</w:t>
            </w:r>
          </w:p>
        </w:tc>
      </w:tr>
      <w:tr w:rsidR="006B6965" w14:paraId="3CDB42E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6415C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CA53350" w14:textId="77777777">
            <w:pPr>
              <w:pStyle w:val="p-table"/>
              <w:rPr>
                <w:sz w:val="17"/>
              </w:rPr>
            </w:pPr>
            <w:proofErr w:type="spellStart"/>
            <w:r>
              <w:rPr>
                <w:sz w:val="17"/>
              </w:rPr>
              <w:t>Interreg</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78AE55BB"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31BE6AF" w14:textId="77777777">
            <w:pPr>
              <w:pStyle w:val="p-table"/>
              <w:jc w:val="right"/>
              <w:rPr>
                <w:sz w:val="17"/>
              </w:rPr>
            </w:pPr>
            <w:r>
              <w:rPr>
                <w:sz w:val="17"/>
              </w:rPr>
              <w:t>236</w:t>
            </w:r>
          </w:p>
        </w:tc>
        <w:tc>
          <w:tcPr>
            <w:tcW w:w="1377" w:type="dxa"/>
            <w:tcBorders>
              <w:bottom w:val="single" w:color="009EE0" w:sz="2" w:space="0"/>
            </w:tcBorders>
            <w:tcMar>
              <w:top w:w="22" w:type="dxa"/>
              <w:left w:w="28" w:type="dxa"/>
              <w:bottom w:w="22" w:type="dxa"/>
              <w:right w:w="28" w:type="dxa"/>
            </w:tcMar>
          </w:tcPr>
          <w:p w:rsidR="006B6965" w:rsidRDefault="003A166B" w14:paraId="706DBC3C" w14:textId="77777777">
            <w:pPr>
              <w:pStyle w:val="p-table"/>
              <w:jc w:val="right"/>
              <w:rPr>
                <w:sz w:val="17"/>
              </w:rPr>
            </w:pPr>
            <w:r>
              <w:rPr>
                <w:sz w:val="17"/>
              </w:rPr>
              <w:t>236</w:t>
            </w:r>
          </w:p>
        </w:tc>
      </w:tr>
      <w:tr w:rsidR="006B6965" w14:paraId="0EA9F39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2A19FF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D825B43"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1CF3EA57" w14:textId="77777777">
            <w:pPr>
              <w:pStyle w:val="p-table"/>
              <w:jc w:val="right"/>
              <w:rPr>
                <w:sz w:val="17"/>
              </w:rPr>
            </w:pPr>
            <w:r>
              <w:rPr>
                <w:sz w:val="17"/>
              </w:rPr>
              <w:t>340</w:t>
            </w:r>
          </w:p>
        </w:tc>
        <w:tc>
          <w:tcPr>
            <w:tcW w:w="1377" w:type="dxa"/>
            <w:tcBorders>
              <w:bottom w:val="single" w:color="009EE0" w:sz="2" w:space="0"/>
            </w:tcBorders>
            <w:tcMar>
              <w:top w:w="22" w:type="dxa"/>
              <w:left w:w="28" w:type="dxa"/>
              <w:bottom w:w="22" w:type="dxa"/>
              <w:right w:w="28" w:type="dxa"/>
            </w:tcMar>
          </w:tcPr>
          <w:p w:rsidR="006B6965" w:rsidRDefault="003A166B" w14:paraId="5471CCA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CC4A2E5" w14:textId="77777777">
            <w:pPr>
              <w:pStyle w:val="p-table"/>
              <w:jc w:val="right"/>
              <w:rPr>
                <w:sz w:val="17"/>
              </w:rPr>
            </w:pPr>
            <w:r>
              <w:rPr>
                <w:sz w:val="17"/>
              </w:rPr>
              <w:t>340</w:t>
            </w:r>
          </w:p>
        </w:tc>
      </w:tr>
      <w:tr w:rsidR="006B6965" w14:paraId="35CEE1C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8F213B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9EB07A1"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78909582" w14:textId="77777777">
            <w:pPr>
              <w:pStyle w:val="p-table"/>
              <w:jc w:val="right"/>
              <w:rPr>
                <w:sz w:val="17"/>
              </w:rPr>
            </w:pPr>
            <w:r>
              <w:rPr>
                <w:i/>
                <w:sz w:val="17"/>
              </w:rPr>
              <w:t>3.056</w:t>
            </w:r>
          </w:p>
        </w:tc>
        <w:tc>
          <w:tcPr>
            <w:tcW w:w="1377" w:type="dxa"/>
            <w:tcBorders>
              <w:bottom w:val="single" w:color="009EE0" w:sz="2" w:space="0"/>
            </w:tcBorders>
            <w:tcMar>
              <w:top w:w="22" w:type="dxa"/>
              <w:left w:w="28" w:type="dxa"/>
              <w:bottom w:w="22" w:type="dxa"/>
              <w:right w:w="28" w:type="dxa"/>
            </w:tcMar>
          </w:tcPr>
          <w:p w:rsidR="006B6965" w:rsidRDefault="003A166B" w14:paraId="5DC49D40" w14:textId="77777777">
            <w:pPr>
              <w:pStyle w:val="p-table"/>
              <w:jc w:val="right"/>
              <w:rPr>
                <w:sz w:val="17"/>
              </w:rPr>
            </w:pPr>
            <w:r>
              <w:rPr>
                <w:i/>
                <w:sz w:val="17"/>
              </w:rPr>
              <w:t>‒</w:t>
            </w:r>
            <w:r>
              <w:rPr>
                <w:i/>
                <w:sz w:val="17"/>
              </w:rPr>
              <w:t xml:space="preserve"> 120</w:t>
            </w:r>
          </w:p>
        </w:tc>
        <w:tc>
          <w:tcPr>
            <w:tcW w:w="1377" w:type="dxa"/>
            <w:tcBorders>
              <w:bottom w:val="single" w:color="009EE0" w:sz="2" w:space="0"/>
            </w:tcBorders>
            <w:tcMar>
              <w:top w:w="22" w:type="dxa"/>
              <w:left w:w="28" w:type="dxa"/>
              <w:bottom w:w="22" w:type="dxa"/>
              <w:right w:w="28" w:type="dxa"/>
            </w:tcMar>
          </w:tcPr>
          <w:p w:rsidR="006B6965" w:rsidRDefault="003A166B" w14:paraId="5AD1985C" w14:textId="77777777">
            <w:pPr>
              <w:pStyle w:val="p-table"/>
              <w:jc w:val="right"/>
              <w:rPr>
                <w:sz w:val="17"/>
              </w:rPr>
            </w:pPr>
            <w:r>
              <w:rPr>
                <w:i/>
                <w:sz w:val="17"/>
              </w:rPr>
              <w:t>2.936</w:t>
            </w:r>
          </w:p>
        </w:tc>
      </w:tr>
      <w:tr w:rsidR="006B6965" w14:paraId="210EEEF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CB87FC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D0A27F8" w14:textId="77777777">
            <w:pPr>
              <w:pStyle w:val="p-table"/>
              <w:rPr>
                <w:sz w:val="17"/>
              </w:rPr>
            </w:pPr>
            <w:r>
              <w:rPr>
                <w:sz w:val="17"/>
              </w:rPr>
              <w:t>Bijdrage aan RWS</w:t>
            </w:r>
          </w:p>
        </w:tc>
        <w:tc>
          <w:tcPr>
            <w:tcW w:w="1377" w:type="dxa"/>
            <w:tcBorders>
              <w:bottom w:val="single" w:color="009EE0" w:sz="2" w:space="0"/>
            </w:tcBorders>
            <w:tcMar>
              <w:top w:w="22" w:type="dxa"/>
              <w:left w:w="28" w:type="dxa"/>
              <w:bottom w:w="22" w:type="dxa"/>
              <w:right w:w="28" w:type="dxa"/>
            </w:tcMar>
          </w:tcPr>
          <w:p w:rsidR="006B6965" w:rsidRDefault="003A166B" w14:paraId="79AC1D8C" w14:textId="77777777">
            <w:pPr>
              <w:pStyle w:val="p-table"/>
              <w:jc w:val="right"/>
              <w:rPr>
                <w:sz w:val="17"/>
              </w:rPr>
            </w:pPr>
            <w:r>
              <w:rPr>
                <w:sz w:val="17"/>
              </w:rPr>
              <w:t>487</w:t>
            </w:r>
          </w:p>
        </w:tc>
        <w:tc>
          <w:tcPr>
            <w:tcW w:w="1377" w:type="dxa"/>
            <w:tcBorders>
              <w:bottom w:val="single" w:color="009EE0" w:sz="2" w:space="0"/>
            </w:tcBorders>
            <w:tcMar>
              <w:top w:w="22" w:type="dxa"/>
              <w:left w:w="28" w:type="dxa"/>
              <w:bottom w:w="22" w:type="dxa"/>
              <w:right w:w="28" w:type="dxa"/>
            </w:tcMar>
          </w:tcPr>
          <w:p w:rsidR="006B6965" w:rsidRDefault="003A166B" w14:paraId="5AF6768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C2CE30B" w14:textId="77777777">
            <w:pPr>
              <w:pStyle w:val="p-table"/>
              <w:jc w:val="right"/>
              <w:rPr>
                <w:sz w:val="17"/>
              </w:rPr>
            </w:pPr>
            <w:r>
              <w:rPr>
                <w:sz w:val="17"/>
              </w:rPr>
              <w:t>487</w:t>
            </w:r>
          </w:p>
        </w:tc>
      </w:tr>
      <w:tr w:rsidR="006B6965" w14:paraId="46C89CD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4F26EF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398EA60" w14:textId="77777777">
            <w:pPr>
              <w:pStyle w:val="p-table"/>
              <w:rPr>
                <w:sz w:val="17"/>
              </w:rPr>
            </w:pPr>
            <w:r>
              <w:rPr>
                <w:sz w:val="17"/>
              </w:rPr>
              <w:t>Bijdrage aan RVO</w:t>
            </w:r>
          </w:p>
        </w:tc>
        <w:tc>
          <w:tcPr>
            <w:tcW w:w="1377" w:type="dxa"/>
            <w:tcBorders>
              <w:bottom w:val="single" w:color="009EE0" w:sz="2" w:space="0"/>
            </w:tcBorders>
            <w:tcMar>
              <w:top w:w="22" w:type="dxa"/>
              <w:left w:w="28" w:type="dxa"/>
              <w:bottom w:w="22" w:type="dxa"/>
              <w:right w:w="28" w:type="dxa"/>
            </w:tcMar>
          </w:tcPr>
          <w:p w:rsidR="006B6965" w:rsidRDefault="003A166B" w14:paraId="4C64587D" w14:textId="77777777">
            <w:pPr>
              <w:pStyle w:val="p-table"/>
              <w:jc w:val="right"/>
              <w:rPr>
                <w:sz w:val="17"/>
              </w:rPr>
            </w:pPr>
            <w:r>
              <w:rPr>
                <w:sz w:val="17"/>
              </w:rPr>
              <w:t>2.319</w:t>
            </w:r>
          </w:p>
        </w:tc>
        <w:tc>
          <w:tcPr>
            <w:tcW w:w="1377" w:type="dxa"/>
            <w:tcBorders>
              <w:bottom w:val="single" w:color="009EE0" w:sz="2" w:space="0"/>
            </w:tcBorders>
            <w:tcMar>
              <w:top w:w="22" w:type="dxa"/>
              <w:left w:w="28" w:type="dxa"/>
              <w:bottom w:w="22" w:type="dxa"/>
              <w:right w:w="28" w:type="dxa"/>
            </w:tcMar>
          </w:tcPr>
          <w:p w:rsidR="006B6965" w:rsidRDefault="003A166B" w14:paraId="40A397BD"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F010FD1" w14:textId="77777777">
            <w:pPr>
              <w:pStyle w:val="p-table"/>
              <w:jc w:val="right"/>
              <w:rPr>
                <w:sz w:val="17"/>
              </w:rPr>
            </w:pPr>
            <w:r>
              <w:rPr>
                <w:sz w:val="17"/>
              </w:rPr>
              <w:t>2.319</w:t>
            </w:r>
          </w:p>
        </w:tc>
      </w:tr>
      <w:tr w:rsidR="006B6965" w14:paraId="4222455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934DA3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BA5279C" w14:textId="77777777">
            <w:pPr>
              <w:pStyle w:val="p-table"/>
              <w:rPr>
                <w:sz w:val="17"/>
              </w:rPr>
            </w:pPr>
            <w:r>
              <w:rPr>
                <w:sz w:val="17"/>
              </w:rPr>
              <w:t>Bijdrage aan RIVM</w:t>
            </w:r>
          </w:p>
        </w:tc>
        <w:tc>
          <w:tcPr>
            <w:tcW w:w="1377" w:type="dxa"/>
            <w:tcBorders>
              <w:bottom w:val="single" w:color="009EE0" w:sz="2" w:space="0"/>
            </w:tcBorders>
            <w:tcMar>
              <w:top w:w="22" w:type="dxa"/>
              <w:left w:w="28" w:type="dxa"/>
              <w:bottom w:w="22" w:type="dxa"/>
              <w:right w:w="28" w:type="dxa"/>
            </w:tcMar>
          </w:tcPr>
          <w:p w:rsidR="006B6965" w:rsidRDefault="003A166B" w14:paraId="29ED5028" w14:textId="77777777">
            <w:pPr>
              <w:pStyle w:val="p-table"/>
              <w:jc w:val="right"/>
              <w:rPr>
                <w:sz w:val="17"/>
              </w:rPr>
            </w:pPr>
            <w:r>
              <w:rPr>
                <w:sz w:val="17"/>
              </w:rPr>
              <w:t>250</w:t>
            </w:r>
          </w:p>
        </w:tc>
        <w:tc>
          <w:tcPr>
            <w:tcW w:w="1377" w:type="dxa"/>
            <w:tcBorders>
              <w:bottom w:val="single" w:color="009EE0" w:sz="2" w:space="0"/>
            </w:tcBorders>
            <w:tcMar>
              <w:top w:w="22" w:type="dxa"/>
              <w:left w:w="28" w:type="dxa"/>
              <w:bottom w:w="22" w:type="dxa"/>
              <w:right w:w="28" w:type="dxa"/>
            </w:tcMar>
          </w:tcPr>
          <w:p w:rsidR="006B6965" w:rsidRDefault="003A166B" w14:paraId="1028E91F" w14:textId="77777777">
            <w:pPr>
              <w:pStyle w:val="p-table"/>
              <w:jc w:val="right"/>
              <w:rPr>
                <w:sz w:val="17"/>
              </w:rPr>
            </w:pPr>
            <w:r>
              <w:rPr>
                <w:sz w:val="17"/>
              </w:rPr>
              <w:t>‒</w:t>
            </w:r>
            <w:r>
              <w:rPr>
                <w:sz w:val="17"/>
              </w:rPr>
              <w:t xml:space="preserve"> 120</w:t>
            </w:r>
          </w:p>
        </w:tc>
        <w:tc>
          <w:tcPr>
            <w:tcW w:w="1377" w:type="dxa"/>
            <w:tcBorders>
              <w:bottom w:val="single" w:color="009EE0" w:sz="2" w:space="0"/>
            </w:tcBorders>
            <w:tcMar>
              <w:top w:w="22" w:type="dxa"/>
              <w:left w:w="28" w:type="dxa"/>
              <w:bottom w:w="22" w:type="dxa"/>
              <w:right w:w="28" w:type="dxa"/>
            </w:tcMar>
          </w:tcPr>
          <w:p w:rsidR="006B6965" w:rsidRDefault="003A166B" w14:paraId="0C8414E5" w14:textId="77777777">
            <w:pPr>
              <w:pStyle w:val="p-table"/>
              <w:jc w:val="right"/>
              <w:rPr>
                <w:sz w:val="17"/>
              </w:rPr>
            </w:pPr>
            <w:r>
              <w:rPr>
                <w:sz w:val="17"/>
              </w:rPr>
              <w:t>130</w:t>
            </w:r>
          </w:p>
        </w:tc>
      </w:tr>
      <w:tr w:rsidR="006B6965" w14:paraId="597D0A2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7CC1F7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CE0A6F3"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41717605" w14:textId="77777777">
            <w:pPr>
              <w:pStyle w:val="p-table"/>
              <w:jc w:val="right"/>
              <w:rPr>
                <w:sz w:val="17"/>
              </w:rPr>
            </w:pPr>
            <w:r>
              <w:rPr>
                <w:i/>
                <w:sz w:val="17"/>
              </w:rPr>
              <w:t>1.845</w:t>
            </w:r>
          </w:p>
        </w:tc>
        <w:tc>
          <w:tcPr>
            <w:tcW w:w="1377" w:type="dxa"/>
            <w:tcBorders>
              <w:bottom w:val="single" w:color="009EE0" w:sz="2" w:space="0"/>
            </w:tcBorders>
            <w:tcMar>
              <w:top w:w="22" w:type="dxa"/>
              <w:left w:w="28" w:type="dxa"/>
              <w:bottom w:w="22" w:type="dxa"/>
              <w:right w:w="28" w:type="dxa"/>
            </w:tcMar>
          </w:tcPr>
          <w:p w:rsidR="006B6965" w:rsidRDefault="003A166B" w14:paraId="38C96B11" w14:textId="77777777">
            <w:pPr>
              <w:pStyle w:val="p-table"/>
              <w:jc w:val="right"/>
              <w:rPr>
                <w:sz w:val="17"/>
              </w:rPr>
            </w:pPr>
            <w:r>
              <w:rPr>
                <w:i/>
                <w:sz w:val="17"/>
              </w:rPr>
              <w:t>624</w:t>
            </w:r>
          </w:p>
        </w:tc>
        <w:tc>
          <w:tcPr>
            <w:tcW w:w="1377" w:type="dxa"/>
            <w:tcBorders>
              <w:bottom w:val="single" w:color="009EE0" w:sz="2" w:space="0"/>
            </w:tcBorders>
            <w:tcMar>
              <w:top w:w="22" w:type="dxa"/>
              <w:left w:w="28" w:type="dxa"/>
              <w:bottom w:w="22" w:type="dxa"/>
              <w:right w:w="28" w:type="dxa"/>
            </w:tcMar>
          </w:tcPr>
          <w:p w:rsidR="006B6965" w:rsidRDefault="003A166B" w14:paraId="221D4F6F" w14:textId="77777777">
            <w:pPr>
              <w:pStyle w:val="p-table"/>
              <w:jc w:val="right"/>
              <w:rPr>
                <w:sz w:val="17"/>
              </w:rPr>
            </w:pPr>
            <w:r>
              <w:rPr>
                <w:i/>
                <w:sz w:val="17"/>
              </w:rPr>
              <w:t>2.469</w:t>
            </w:r>
          </w:p>
        </w:tc>
      </w:tr>
      <w:tr w:rsidR="006B6965" w14:paraId="1625F70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CFB2FD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B6640DD" w14:textId="77777777">
            <w:pPr>
              <w:pStyle w:val="p-table"/>
              <w:rPr>
                <w:sz w:val="17"/>
              </w:rPr>
            </w:pPr>
            <w:r>
              <w:rPr>
                <w:sz w:val="17"/>
              </w:rPr>
              <w:t>Bijdrage HGIS</w:t>
            </w:r>
          </w:p>
        </w:tc>
        <w:tc>
          <w:tcPr>
            <w:tcW w:w="1377" w:type="dxa"/>
            <w:tcBorders>
              <w:bottom w:val="single" w:color="009EE0" w:sz="2" w:space="0"/>
            </w:tcBorders>
            <w:tcMar>
              <w:top w:w="22" w:type="dxa"/>
              <w:left w:w="28" w:type="dxa"/>
              <w:bottom w:w="22" w:type="dxa"/>
              <w:right w:w="28" w:type="dxa"/>
            </w:tcMar>
          </w:tcPr>
          <w:p w:rsidR="006B6965" w:rsidRDefault="003A166B" w14:paraId="5CD33341" w14:textId="77777777">
            <w:pPr>
              <w:pStyle w:val="p-table"/>
              <w:jc w:val="right"/>
              <w:rPr>
                <w:sz w:val="17"/>
              </w:rPr>
            </w:pPr>
            <w:r>
              <w:rPr>
                <w:sz w:val="17"/>
              </w:rPr>
              <w:t>1.844</w:t>
            </w:r>
          </w:p>
        </w:tc>
        <w:tc>
          <w:tcPr>
            <w:tcW w:w="1377" w:type="dxa"/>
            <w:tcBorders>
              <w:bottom w:val="single" w:color="009EE0" w:sz="2" w:space="0"/>
            </w:tcBorders>
            <w:tcMar>
              <w:top w:w="22" w:type="dxa"/>
              <w:left w:w="28" w:type="dxa"/>
              <w:bottom w:w="22" w:type="dxa"/>
              <w:right w:w="28" w:type="dxa"/>
            </w:tcMar>
          </w:tcPr>
          <w:p w:rsidR="006B6965" w:rsidRDefault="003A166B" w14:paraId="2D621DB4" w14:textId="77777777">
            <w:pPr>
              <w:pStyle w:val="p-table"/>
              <w:jc w:val="right"/>
              <w:rPr>
                <w:sz w:val="17"/>
              </w:rPr>
            </w:pPr>
            <w:r>
              <w:rPr>
                <w:sz w:val="17"/>
              </w:rPr>
              <w:t>300</w:t>
            </w:r>
          </w:p>
        </w:tc>
        <w:tc>
          <w:tcPr>
            <w:tcW w:w="1377" w:type="dxa"/>
            <w:tcBorders>
              <w:bottom w:val="single" w:color="009EE0" w:sz="2" w:space="0"/>
            </w:tcBorders>
            <w:tcMar>
              <w:top w:w="22" w:type="dxa"/>
              <w:left w:w="28" w:type="dxa"/>
              <w:bottom w:w="22" w:type="dxa"/>
              <w:right w:w="28" w:type="dxa"/>
            </w:tcMar>
          </w:tcPr>
          <w:p w:rsidR="006B6965" w:rsidRDefault="003A166B" w14:paraId="281A5B1C" w14:textId="77777777">
            <w:pPr>
              <w:pStyle w:val="p-table"/>
              <w:jc w:val="right"/>
              <w:rPr>
                <w:sz w:val="17"/>
              </w:rPr>
            </w:pPr>
            <w:r>
              <w:rPr>
                <w:sz w:val="17"/>
              </w:rPr>
              <w:t>2.144</w:t>
            </w:r>
          </w:p>
        </w:tc>
      </w:tr>
      <w:tr w:rsidR="006B6965" w14:paraId="7124D16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98351D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DE76DB6" w14:textId="77777777">
            <w:pPr>
              <w:pStyle w:val="p-table"/>
              <w:rPr>
                <w:sz w:val="17"/>
              </w:rPr>
            </w:pPr>
            <w:r>
              <w:rPr>
                <w:sz w:val="17"/>
              </w:rPr>
              <w:t>Bijdrage niet-HGIS</w:t>
            </w:r>
          </w:p>
        </w:tc>
        <w:tc>
          <w:tcPr>
            <w:tcW w:w="1377" w:type="dxa"/>
            <w:tcBorders>
              <w:bottom w:val="single" w:color="009EE0" w:sz="2" w:space="0"/>
            </w:tcBorders>
            <w:tcMar>
              <w:top w:w="22" w:type="dxa"/>
              <w:left w:w="28" w:type="dxa"/>
              <w:bottom w:w="22" w:type="dxa"/>
              <w:right w:w="28" w:type="dxa"/>
            </w:tcMar>
          </w:tcPr>
          <w:p w:rsidR="006B6965" w:rsidRDefault="003A166B" w14:paraId="4268B955" w14:textId="77777777">
            <w:pPr>
              <w:pStyle w:val="p-table"/>
              <w:jc w:val="right"/>
              <w:rPr>
                <w:sz w:val="17"/>
              </w:rPr>
            </w:pPr>
            <w:r>
              <w:rPr>
                <w:sz w:val="17"/>
              </w:rPr>
              <w:t>1</w:t>
            </w:r>
          </w:p>
        </w:tc>
        <w:tc>
          <w:tcPr>
            <w:tcW w:w="1377" w:type="dxa"/>
            <w:tcBorders>
              <w:bottom w:val="single" w:color="009EE0" w:sz="2" w:space="0"/>
            </w:tcBorders>
            <w:tcMar>
              <w:top w:w="22" w:type="dxa"/>
              <w:left w:w="28" w:type="dxa"/>
              <w:bottom w:w="22" w:type="dxa"/>
              <w:right w:w="28" w:type="dxa"/>
            </w:tcMar>
          </w:tcPr>
          <w:p w:rsidR="006B6965" w:rsidRDefault="003A166B" w14:paraId="469AC007" w14:textId="77777777">
            <w:pPr>
              <w:pStyle w:val="p-table"/>
              <w:jc w:val="right"/>
              <w:rPr>
                <w:sz w:val="17"/>
              </w:rPr>
            </w:pPr>
            <w:r>
              <w:rPr>
                <w:sz w:val="17"/>
              </w:rPr>
              <w:t>324</w:t>
            </w:r>
          </w:p>
        </w:tc>
        <w:tc>
          <w:tcPr>
            <w:tcW w:w="1377" w:type="dxa"/>
            <w:tcBorders>
              <w:bottom w:val="single" w:color="009EE0" w:sz="2" w:space="0"/>
            </w:tcBorders>
            <w:tcMar>
              <w:top w:w="22" w:type="dxa"/>
              <w:left w:w="28" w:type="dxa"/>
              <w:bottom w:w="22" w:type="dxa"/>
              <w:right w:w="28" w:type="dxa"/>
            </w:tcMar>
          </w:tcPr>
          <w:p w:rsidR="006B6965" w:rsidRDefault="003A166B" w14:paraId="39C5B7B1" w14:textId="77777777">
            <w:pPr>
              <w:pStyle w:val="p-table"/>
              <w:jc w:val="right"/>
              <w:rPr>
                <w:sz w:val="17"/>
              </w:rPr>
            </w:pPr>
            <w:r>
              <w:rPr>
                <w:sz w:val="17"/>
              </w:rPr>
              <w:t>325</w:t>
            </w:r>
          </w:p>
        </w:tc>
      </w:tr>
      <w:tr w:rsidR="006B6965" w14:paraId="33A6FA8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C82169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15A86A5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904E8F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C69551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FF34B91" w14:textId="77777777">
            <w:pPr>
              <w:pStyle w:val="p-table"/>
              <w:rPr>
                <w:sz w:val="17"/>
              </w:rPr>
            </w:pPr>
          </w:p>
        </w:tc>
      </w:tr>
      <w:tr w:rsidR="006B6965" w14:paraId="53C800A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7E6DD3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EC2948C"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69C9B6D1" w14:textId="77777777">
            <w:pPr>
              <w:pStyle w:val="p-table"/>
              <w:jc w:val="right"/>
              <w:rPr>
                <w:sz w:val="17"/>
              </w:rPr>
            </w:pPr>
            <w:r>
              <w:rPr>
                <w:b/>
                <w:sz w:val="17"/>
              </w:rPr>
              <w:t>802</w:t>
            </w:r>
          </w:p>
        </w:tc>
        <w:tc>
          <w:tcPr>
            <w:tcW w:w="1377" w:type="dxa"/>
            <w:tcBorders>
              <w:bottom w:val="single" w:color="009EE0" w:sz="2" w:space="0"/>
            </w:tcBorders>
            <w:tcMar>
              <w:top w:w="22" w:type="dxa"/>
              <w:left w:w="28" w:type="dxa"/>
              <w:bottom w:w="22" w:type="dxa"/>
              <w:right w:w="28" w:type="dxa"/>
            </w:tcMar>
          </w:tcPr>
          <w:p w:rsidR="006B6965" w:rsidRDefault="003A166B" w14:paraId="7A7768B5" w14:textId="77777777">
            <w:pPr>
              <w:pStyle w:val="p-table"/>
              <w:jc w:val="right"/>
              <w:rPr>
                <w:sz w:val="17"/>
              </w:rPr>
            </w:pPr>
            <w:r>
              <w:rPr>
                <w:b/>
                <w:sz w:val="17"/>
              </w:rPr>
              <w:t>454</w:t>
            </w:r>
          </w:p>
        </w:tc>
        <w:tc>
          <w:tcPr>
            <w:tcW w:w="1377" w:type="dxa"/>
            <w:tcBorders>
              <w:bottom w:val="single" w:color="009EE0" w:sz="2" w:space="0"/>
            </w:tcBorders>
            <w:tcMar>
              <w:top w:w="22" w:type="dxa"/>
              <w:left w:w="28" w:type="dxa"/>
              <w:bottom w:w="22" w:type="dxa"/>
              <w:right w:w="28" w:type="dxa"/>
            </w:tcMar>
          </w:tcPr>
          <w:p w:rsidR="006B6965" w:rsidRDefault="003A166B" w14:paraId="51F8E076" w14:textId="77777777">
            <w:pPr>
              <w:pStyle w:val="p-table"/>
              <w:jc w:val="right"/>
              <w:rPr>
                <w:sz w:val="17"/>
              </w:rPr>
            </w:pPr>
            <w:r>
              <w:rPr>
                <w:b/>
                <w:sz w:val="17"/>
              </w:rPr>
              <w:t>1.256</w:t>
            </w:r>
          </w:p>
        </w:tc>
      </w:tr>
      <w:tr w:rsidR="006B6965" w14:paraId="4365035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ACF100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4A7410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F75700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757538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C2CF2A1" w14:textId="77777777">
            <w:pPr>
              <w:pStyle w:val="p-table"/>
              <w:rPr>
                <w:sz w:val="17"/>
              </w:rPr>
            </w:pPr>
          </w:p>
        </w:tc>
      </w:tr>
    </w:tbl>
    <w:p w:rsidR="006B6965" w:rsidRDefault="006B6965" w14:paraId="153E46A6" w14:textId="77777777">
      <w:pPr>
        <w:pStyle w:val="p-marginbottom"/>
      </w:pPr>
    </w:p>
    <w:p w:rsidR="006B6965" w:rsidRDefault="003A166B" w14:paraId="11291591" w14:textId="77777777">
      <w:pPr>
        <w:pStyle w:val="section-title-4"/>
      </w:pPr>
      <w:r>
        <w:lastRenderedPageBreak/>
        <w:t>Toelichting</w:t>
      </w:r>
    </w:p>
    <w:p w:rsidR="006B6965" w:rsidRDefault="003A166B" w14:paraId="702D052F" w14:textId="77777777">
      <w:pPr>
        <w:pStyle w:val="header-h1"/>
      </w:pPr>
      <w:r>
        <w:t>Verplichtingen</w:t>
      </w:r>
    </w:p>
    <w:p w:rsidR="006B6965" w:rsidRDefault="003A166B" w14:paraId="0A2CCE0B" w14:textId="77777777">
      <w:pPr>
        <w:pStyle w:val="p"/>
      </w:pPr>
      <w:r>
        <w:t xml:space="preserve">De verplichtingen mutaties zijn kleiner dan de </w:t>
      </w:r>
      <w:r>
        <w:t>gehanteerde norm en worden daarom niet toegelicht (zie ).</w:t>
      </w:r>
    </w:p>
    <w:p w:rsidR="006B6965" w:rsidRDefault="003A166B" w14:paraId="73E93A1C" w14:textId="77777777">
      <w:pPr>
        <w:pStyle w:val="header-h1"/>
      </w:pPr>
      <w:r>
        <w:t>Uitgaven</w:t>
      </w:r>
    </w:p>
    <w:p w:rsidR="006B6965" w:rsidRDefault="003A166B" w14:paraId="55673443" w14:textId="77777777">
      <w:pPr>
        <w:pStyle w:val="p"/>
      </w:pPr>
      <w:r>
        <w:t>De uitgaven mutaties zijn kleiner dan de gehanteerde norm en worden daarom niet toegelicht (zie ).</w:t>
      </w:r>
    </w:p>
    <w:p w:rsidR="006B6965" w:rsidRDefault="003A166B" w14:paraId="734CE459" w14:textId="77777777">
      <w:pPr>
        <w:pStyle w:val="header-h1"/>
      </w:pPr>
      <w:r>
        <w:t>Ontvangsten</w:t>
      </w:r>
    </w:p>
    <w:p w:rsidR="006B6965" w:rsidRDefault="003A166B" w14:paraId="67E12DC1" w14:textId="77777777">
      <w:pPr>
        <w:pStyle w:val="p"/>
      </w:pPr>
      <w:r>
        <w:t>De ontvangsten mutaties zijn kleiner dan de gehanteerde norm en worden daarom niet toegelicht (zie ).</w:t>
      </w:r>
    </w:p>
    <w:p w:rsidR="006B6965" w:rsidRDefault="003A166B" w14:paraId="44A53608" w14:textId="77777777">
      <w:pPr>
        <w:pStyle w:val="section-title-3"/>
      </w:pPr>
      <w:r>
        <w:t>3.8 Artikel 20 Lucht en Geluid</w:t>
      </w:r>
    </w:p>
    <w:p w:rsidR="006B6965" w:rsidRDefault="003A166B" w14:paraId="1116A07C"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1881F4D2"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2C1764C7" w14:textId="77777777">
            <w:pPr>
              <w:pStyle w:val="kio2-table-title"/>
            </w:pPr>
            <w:r>
              <w:t>Tabel 12 Budgettaire gevolgen van beleid artikel 20 Lucht en Geluid (bedragen x € 1.000)</w:t>
            </w:r>
          </w:p>
        </w:tc>
      </w:tr>
      <w:tr w:rsidR="006B6965" w14:paraId="410D543E"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4C99DD8D"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45D54C14"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22D47DA6"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CE50FBD"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0A99959D" w14:textId="77777777">
            <w:pPr>
              <w:pStyle w:val="p-table"/>
              <w:jc w:val="center"/>
              <w:rPr>
                <w:color w:val="000000"/>
                <w:sz w:val="17"/>
              </w:rPr>
            </w:pPr>
            <w:r>
              <w:rPr>
                <w:color w:val="000000"/>
                <w:sz w:val="17"/>
              </w:rPr>
              <w:t>Stand suppletoire begroting september (3) = (1) + (2)</w:t>
            </w:r>
          </w:p>
        </w:tc>
      </w:tr>
      <w:tr w:rsidR="006B6965" w14:paraId="2CAD990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3765AECF"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52EFFE56"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5BFCF97D" w14:textId="77777777">
            <w:pPr>
              <w:pStyle w:val="p-table"/>
              <w:jc w:val="right"/>
              <w:rPr>
                <w:sz w:val="17"/>
              </w:rPr>
            </w:pPr>
            <w:r>
              <w:rPr>
                <w:b/>
                <w:sz w:val="17"/>
              </w:rPr>
              <w:t>70.154</w:t>
            </w:r>
          </w:p>
        </w:tc>
        <w:tc>
          <w:tcPr>
            <w:tcW w:w="1377" w:type="dxa"/>
            <w:tcBorders>
              <w:bottom w:val="single" w:color="009EE0" w:sz="2" w:space="0"/>
            </w:tcBorders>
            <w:tcMar>
              <w:top w:w="22" w:type="dxa"/>
              <w:left w:w="28" w:type="dxa"/>
              <w:bottom w:w="22" w:type="dxa"/>
              <w:right w:w="28" w:type="dxa"/>
            </w:tcMar>
          </w:tcPr>
          <w:p w:rsidR="006B6965" w:rsidRDefault="003A166B" w14:paraId="12FC1EDC" w14:textId="77777777">
            <w:pPr>
              <w:pStyle w:val="p-table"/>
              <w:jc w:val="right"/>
              <w:rPr>
                <w:sz w:val="17"/>
              </w:rPr>
            </w:pPr>
            <w:r>
              <w:rPr>
                <w:b/>
                <w:sz w:val="17"/>
              </w:rPr>
              <w:t>9.230</w:t>
            </w:r>
          </w:p>
        </w:tc>
        <w:tc>
          <w:tcPr>
            <w:tcW w:w="1377" w:type="dxa"/>
            <w:tcBorders>
              <w:bottom w:val="single" w:color="009EE0" w:sz="2" w:space="0"/>
            </w:tcBorders>
            <w:tcMar>
              <w:top w:w="22" w:type="dxa"/>
              <w:left w:w="28" w:type="dxa"/>
              <w:bottom w:w="22" w:type="dxa"/>
              <w:right w:w="28" w:type="dxa"/>
            </w:tcMar>
          </w:tcPr>
          <w:p w:rsidR="006B6965" w:rsidRDefault="003A166B" w14:paraId="6D38875B" w14:textId="77777777">
            <w:pPr>
              <w:pStyle w:val="p-table"/>
              <w:jc w:val="right"/>
              <w:rPr>
                <w:sz w:val="17"/>
              </w:rPr>
            </w:pPr>
            <w:r>
              <w:rPr>
                <w:b/>
                <w:sz w:val="17"/>
              </w:rPr>
              <w:t>79.384</w:t>
            </w:r>
          </w:p>
        </w:tc>
      </w:tr>
      <w:tr w:rsidR="006B6965" w14:paraId="033E111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AD5969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0EFFC76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592518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94E72F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19D8683" w14:textId="77777777">
            <w:pPr>
              <w:pStyle w:val="p-table"/>
              <w:rPr>
                <w:sz w:val="17"/>
              </w:rPr>
            </w:pPr>
          </w:p>
        </w:tc>
      </w:tr>
      <w:tr w:rsidR="006B6965" w14:paraId="632D003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F21FCA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5E6DBC7"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148A3FEE" w14:textId="77777777">
            <w:pPr>
              <w:pStyle w:val="p-table"/>
              <w:jc w:val="right"/>
              <w:rPr>
                <w:sz w:val="17"/>
              </w:rPr>
            </w:pPr>
            <w:r>
              <w:rPr>
                <w:b/>
                <w:sz w:val="17"/>
              </w:rPr>
              <w:t>72.526</w:t>
            </w:r>
          </w:p>
        </w:tc>
        <w:tc>
          <w:tcPr>
            <w:tcW w:w="1377" w:type="dxa"/>
            <w:tcBorders>
              <w:bottom w:val="single" w:color="009EE0" w:sz="2" w:space="0"/>
            </w:tcBorders>
            <w:tcMar>
              <w:top w:w="22" w:type="dxa"/>
              <w:left w:w="28" w:type="dxa"/>
              <w:bottom w:w="22" w:type="dxa"/>
              <w:right w:w="28" w:type="dxa"/>
            </w:tcMar>
          </w:tcPr>
          <w:p w:rsidR="006B6965" w:rsidRDefault="003A166B" w14:paraId="16C350C0" w14:textId="77777777">
            <w:pPr>
              <w:pStyle w:val="p-table"/>
              <w:jc w:val="right"/>
              <w:rPr>
                <w:sz w:val="17"/>
              </w:rPr>
            </w:pPr>
            <w:r>
              <w:rPr>
                <w:b/>
                <w:sz w:val="17"/>
              </w:rPr>
              <w:t>‒</w:t>
            </w:r>
            <w:r>
              <w:rPr>
                <w:b/>
                <w:sz w:val="17"/>
              </w:rPr>
              <w:t xml:space="preserve"> 714</w:t>
            </w:r>
          </w:p>
        </w:tc>
        <w:tc>
          <w:tcPr>
            <w:tcW w:w="1377" w:type="dxa"/>
            <w:tcBorders>
              <w:bottom w:val="single" w:color="009EE0" w:sz="2" w:space="0"/>
            </w:tcBorders>
            <w:tcMar>
              <w:top w:w="22" w:type="dxa"/>
              <w:left w:w="28" w:type="dxa"/>
              <w:bottom w:w="22" w:type="dxa"/>
              <w:right w:w="28" w:type="dxa"/>
            </w:tcMar>
          </w:tcPr>
          <w:p w:rsidR="006B6965" w:rsidRDefault="003A166B" w14:paraId="5DFD8D92" w14:textId="77777777">
            <w:pPr>
              <w:pStyle w:val="p-table"/>
              <w:jc w:val="right"/>
              <w:rPr>
                <w:sz w:val="17"/>
              </w:rPr>
            </w:pPr>
            <w:r>
              <w:rPr>
                <w:b/>
                <w:sz w:val="17"/>
              </w:rPr>
              <w:t>71.812</w:t>
            </w:r>
          </w:p>
        </w:tc>
      </w:tr>
      <w:tr w:rsidR="006B6965" w14:paraId="35A282C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06F1B1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16E657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338787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871C04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EEA17DE" w14:textId="77777777">
            <w:pPr>
              <w:pStyle w:val="p-table"/>
              <w:rPr>
                <w:sz w:val="17"/>
              </w:rPr>
            </w:pPr>
          </w:p>
        </w:tc>
      </w:tr>
      <w:tr w:rsidR="006B6965" w14:paraId="436488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367FF20C" w14:textId="77777777">
            <w:pPr>
              <w:pStyle w:val="p-table"/>
              <w:rPr>
                <w:sz w:val="17"/>
              </w:rPr>
            </w:pPr>
            <w:r>
              <w:rPr>
                <w:b/>
                <w:sz w:val="17"/>
              </w:rPr>
              <w:t>20.1</w:t>
            </w:r>
          </w:p>
        </w:tc>
        <w:tc>
          <w:tcPr>
            <w:tcW w:w="4590" w:type="dxa"/>
            <w:tcBorders>
              <w:bottom w:val="single" w:color="009EE0" w:sz="2" w:space="0"/>
            </w:tcBorders>
            <w:tcMar>
              <w:top w:w="22" w:type="dxa"/>
              <w:left w:w="28" w:type="dxa"/>
              <w:bottom w:w="22" w:type="dxa"/>
              <w:right w:w="28" w:type="dxa"/>
            </w:tcMar>
          </w:tcPr>
          <w:p w:rsidR="006B6965" w:rsidRDefault="003A166B" w14:paraId="65758375" w14:textId="77777777">
            <w:pPr>
              <w:pStyle w:val="p-table"/>
              <w:rPr>
                <w:sz w:val="17"/>
              </w:rPr>
            </w:pPr>
            <w:r>
              <w:rPr>
                <w:b/>
                <w:sz w:val="17"/>
              </w:rPr>
              <w:t>Gezonde lucht en tegengaan geluidhinder</w:t>
            </w:r>
          </w:p>
        </w:tc>
        <w:tc>
          <w:tcPr>
            <w:tcW w:w="1377" w:type="dxa"/>
            <w:tcBorders>
              <w:bottom w:val="single" w:color="009EE0" w:sz="2" w:space="0"/>
            </w:tcBorders>
            <w:tcMar>
              <w:top w:w="22" w:type="dxa"/>
              <w:left w:w="28" w:type="dxa"/>
              <w:bottom w:w="22" w:type="dxa"/>
              <w:right w:w="28" w:type="dxa"/>
            </w:tcMar>
          </w:tcPr>
          <w:p w:rsidR="006B6965" w:rsidRDefault="003A166B" w14:paraId="68411C2F" w14:textId="77777777">
            <w:pPr>
              <w:pStyle w:val="p-table"/>
              <w:jc w:val="right"/>
              <w:rPr>
                <w:sz w:val="17"/>
              </w:rPr>
            </w:pPr>
            <w:r>
              <w:rPr>
                <w:b/>
                <w:sz w:val="17"/>
              </w:rPr>
              <w:t>72.526</w:t>
            </w:r>
          </w:p>
        </w:tc>
        <w:tc>
          <w:tcPr>
            <w:tcW w:w="1377" w:type="dxa"/>
            <w:tcBorders>
              <w:bottom w:val="single" w:color="009EE0" w:sz="2" w:space="0"/>
            </w:tcBorders>
            <w:tcMar>
              <w:top w:w="22" w:type="dxa"/>
              <w:left w:w="28" w:type="dxa"/>
              <w:bottom w:w="22" w:type="dxa"/>
              <w:right w:w="28" w:type="dxa"/>
            </w:tcMar>
          </w:tcPr>
          <w:p w:rsidR="006B6965" w:rsidRDefault="003A166B" w14:paraId="24E31A82" w14:textId="77777777">
            <w:pPr>
              <w:pStyle w:val="p-table"/>
              <w:jc w:val="right"/>
              <w:rPr>
                <w:sz w:val="17"/>
              </w:rPr>
            </w:pPr>
            <w:r>
              <w:rPr>
                <w:b/>
                <w:sz w:val="17"/>
              </w:rPr>
              <w:t>‒</w:t>
            </w:r>
            <w:r>
              <w:rPr>
                <w:b/>
                <w:sz w:val="17"/>
              </w:rPr>
              <w:t xml:space="preserve"> 714</w:t>
            </w:r>
          </w:p>
        </w:tc>
        <w:tc>
          <w:tcPr>
            <w:tcW w:w="1377" w:type="dxa"/>
            <w:tcBorders>
              <w:bottom w:val="single" w:color="009EE0" w:sz="2" w:space="0"/>
            </w:tcBorders>
            <w:tcMar>
              <w:top w:w="22" w:type="dxa"/>
              <w:left w:w="28" w:type="dxa"/>
              <w:bottom w:w="22" w:type="dxa"/>
              <w:right w:w="28" w:type="dxa"/>
            </w:tcMar>
          </w:tcPr>
          <w:p w:rsidR="006B6965" w:rsidRDefault="003A166B" w14:paraId="377CA220" w14:textId="77777777">
            <w:pPr>
              <w:pStyle w:val="p-table"/>
              <w:jc w:val="right"/>
              <w:rPr>
                <w:sz w:val="17"/>
              </w:rPr>
            </w:pPr>
            <w:r>
              <w:rPr>
                <w:b/>
                <w:sz w:val="17"/>
              </w:rPr>
              <w:t>71.812</w:t>
            </w:r>
          </w:p>
        </w:tc>
      </w:tr>
      <w:tr w:rsidR="006B6965" w14:paraId="49A2240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2D97A2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C2EF2F7"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602BE9AA" w14:textId="77777777">
            <w:pPr>
              <w:pStyle w:val="p-table"/>
              <w:jc w:val="right"/>
              <w:rPr>
                <w:sz w:val="17"/>
              </w:rPr>
            </w:pPr>
            <w:r>
              <w:rPr>
                <w:i/>
                <w:sz w:val="17"/>
              </w:rPr>
              <w:t>16.862</w:t>
            </w:r>
          </w:p>
        </w:tc>
        <w:tc>
          <w:tcPr>
            <w:tcW w:w="1377" w:type="dxa"/>
            <w:tcBorders>
              <w:bottom w:val="single" w:color="009EE0" w:sz="2" w:space="0"/>
            </w:tcBorders>
            <w:tcMar>
              <w:top w:w="22" w:type="dxa"/>
              <w:left w:w="28" w:type="dxa"/>
              <w:bottom w:w="22" w:type="dxa"/>
              <w:right w:w="28" w:type="dxa"/>
            </w:tcMar>
          </w:tcPr>
          <w:p w:rsidR="006B6965" w:rsidRDefault="003A166B" w14:paraId="0FAFF9F3" w14:textId="77777777">
            <w:pPr>
              <w:pStyle w:val="p-table"/>
              <w:jc w:val="right"/>
              <w:rPr>
                <w:sz w:val="17"/>
              </w:rPr>
            </w:pPr>
            <w:r>
              <w:rPr>
                <w:i/>
                <w:sz w:val="17"/>
              </w:rPr>
              <w:t>296</w:t>
            </w:r>
          </w:p>
        </w:tc>
        <w:tc>
          <w:tcPr>
            <w:tcW w:w="1377" w:type="dxa"/>
            <w:tcBorders>
              <w:bottom w:val="single" w:color="009EE0" w:sz="2" w:space="0"/>
            </w:tcBorders>
            <w:tcMar>
              <w:top w:w="22" w:type="dxa"/>
              <w:left w:w="28" w:type="dxa"/>
              <w:bottom w:w="22" w:type="dxa"/>
              <w:right w:w="28" w:type="dxa"/>
            </w:tcMar>
          </w:tcPr>
          <w:p w:rsidR="006B6965" w:rsidRDefault="003A166B" w14:paraId="6D1494EC" w14:textId="77777777">
            <w:pPr>
              <w:pStyle w:val="p-table"/>
              <w:jc w:val="right"/>
              <w:rPr>
                <w:sz w:val="17"/>
              </w:rPr>
            </w:pPr>
            <w:r>
              <w:rPr>
                <w:i/>
                <w:sz w:val="17"/>
              </w:rPr>
              <w:t>17.158</w:t>
            </w:r>
          </w:p>
        </w:tc>
      </w:tr>
      <w:tr w:rsidR="006B6965" w14:paraId="2D788A2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C4D425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AF5D71E" w14:textId="77777777">
            <w:pPr>
              <w:pStyle w:val="p-table"/>
              <w:rPr>
                <w:sz w:val="17"/>
              </w:rPr>
            </w:pPr>
            <w:r>
              <w:rPr>
                <w:sz w:val="17"/>
              </w:rPr>
              <w:t>Geluid- en luchtsanering</w:t>
            </w:r>
          </w:p>
        </w:tc>
        <w:tc>
          <w:tcPr>
            <w:tcW w:w="1377" w:type="dxa"/>
            <w:tcBorders>
              <w:bottom w:val="single" w:color="009EE0" w:sz="2" w:space="0"/>
            </w:tcBorders>
            <w:tcMar>
              <w:top w:w="22" w:type="dxa"/>
              <w:left w:w="28" w:type="dxa"/>
              <w:bottom w:w="22" w:type="dxa"/>
              <w:right w:w="28" w:type="dxa"/>
            </w:tcMar>
          </w:tcPr>
          <w:p w:rsidR="006B6965" w:rsidRDefault="003A166B" w14:paraId="744A9501" w14:textId="77777777">
            <w:pPr>
              <w:pStyle w:val="p-table"/>
              <w:jc w:val="right"/>
              <w:rPr>
                <w:sz w:val="17"/>
              </w:rPr>
            </w:pPr>
            <w:r>
              <w:rPr>
                <w:sz w:val="17"/>
              </w:rPr>
              <w:t>6.531</w:t>
            </w:r>
          </w:p>
        </w:tc>
        <w:tc>
          <w:tcPr>
            <w:tcW w:w="1377" w:type="dxa"/>
            <w:tcBorders>
              <w:bottom w:val="single" w:color="009EE0" w:sz="2" w:space="0"/>
            </w:tcBorders>
            <w:tcMar>
              <w:top w:w="22" w:type="dxa"/>
              <w:left w:w="28" w:type="dxa"/>
              <w:bottom w:w="22" w:type="dxa"/>
              <w:right w:w="28" w:type="dxa"/>
            </w:tcMar>
          </w:tcPr>
          <w:p w:rsidR="006B6965" w:rsidRDefault="003A166B" w14:paraId="6C4331FC" w14:textId="77777777">
            <w:pPr>
              <w:pStyle w:val="p-table"/>
              <w:jc w:val="right"/>
              <w:rPr>
                <w:sz w:val="17"/>
              </w:rPr>
            </w:pPr>
            <w:r>
              <w:rPr>
                <w:sz w:val="17"/>
              </w:rPr>
              <w:t>107</w:t>
            </w:r>
          </w:p>
        </w:tc>
        <w:tc>
          <w:tcPr>
            <w:tcW w:w="1377" w:type="dxa"/>
            <w:tcBorders>
              <w:bottom w:val="single" w:color="009EE0" w:sz="2" w:space="0"/>
            </w:tcBorders>
            <w:tcMar>
              <w:top w:w="22" w:type="dxa"/>
              <w:left w:w="28" w:type="dxa"/>
              <w:bottom w:w="22" w:type="dxa"/>
              <w:right w:w="28" w:type="dxa"/>
            </w:tcMar>
          </w:tcPr>
          <w:p w:rsidR="006B6965" w:rsidRDefault="003A166B" w14:paraId="68E17CAB" w14:textId="77777777">
            <w:pPr>
              <w:pStyle w:val="p-table"/>
              <w:jc w:val="right"/>
              <w:rPr>
                <w:sz w:val="17"/>
              </w:rPr>
            </w:pPr>
            <w:r>
              <w:rPr>
                <w:sz w:val="17"/>
              </w:rPr>
              <w:t>6.638</w:t>
            </w:r>
          </w:p>
        </w:tc>
      </w:tr>
      <w:tr w:rsidR="006B6965" w14:paraId="16C8061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458F8C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44D82E6" w14:textId="77777777">
            <w:pPr>
              <w:pStyle w:val="p-table"/>
              <w:rPr>
                <w:sz w:val="17"/>
              </w:rPr>
            </w:pPr>
            <w:r>
              <w:rPr>
                <w:sz w:val="17"/>
              </w:rPr>
              <w:t>Waarvan RWS</w:t>
            </w:r>
          </w:p>
        </w:tc>
        <w:tc>
          <w:tcPr>
            <w:tcW w:w="1377" w:type="dxa"/>
            <w:tcBorders>
              <w:bottom w:val="single" w:color="009EE0" w:sz="2" w:space="0"/>
            </w:tcBorders>
            <w:tcMar>
              <w:top w:w="22" w:type="dxa"/>
              <w:left w:w="28" w:type="dxa"/>
              <w:bottom w:w="22" w:type="dxa"/>
              <w:right w:w="28" w:type="dxa"/>
            </w:tcMar>
          </w:tcPr>
          <w:p w:rsidR="006B6965" w:rsidRDefault="003A166B" w14:paraId="0CA394C3" w14:textId="77777777">
            <w:pPr>
              <w:pStyle w:val="p-table"/>
              <w:jc w:val="right"/>
              <w:rPr>
                <w:sz w:val="17"/>
              </w:rPr>
            </w:pPr>
            <w:r>
              <w:rPr>
                <w:sz w:val="17"/>
              </w:rPr>
              <w:t>307</w:t>
            </w:r>
          </w:p>
        </w:tc>
        <w:tc>
          <w:tcPr>
            <w:tcW w:w="1377" w:type="dxa"/>
            <w:tcBorders>
              <w:bottom w:val="single" w:color="009EE0" w:sz="2" w:space="0"/>
            </w:tcBorders>
            <w:tcMar>
              <w:top w:w="22" w:type="dxa"/>
              <w:left w:w="28" w:type="dxa"/>
              <w:bottom w:w="22" w:type="dxa"/>
              <w:right w:w="28" w:type="dxa"/>
            </w:tcMar>
          </w:tcPr>
          <w:p w:rsidR="006B6965" w:rsidRDefault="003A166B" w14:paraId="7A8EC332"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1E34482" w14:textId="77777777">
            <w:pPr>
              <w:pStyle w:val="p-table"/>
              <w:jc w:val="right"/>
              <w:rPr>
                <w:sz w:val="17"/>
              </w:rPr>
            </w:pPr>
            <w:r>
              <w:rPr>
                <w:sz w:val="17"/>
              </w:rPr>
              <w:t>307</w:t>
            </w:r>
          </w:p>
        </w:tc>
      </w:tr>
      <w:tr w:rsidR="006B6965" w14:paraId="7350B4E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29DA80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543AC98" w14:textId="77777777">
            <w:pPr>
              <w:pStyle w:val="p-table"/>
              <w:rPr>
                <w:sz w:val="17"/>
              </w:rPr>
            </w:pPr>
            <w:r>
              <w:rPr>
                <w:sz w:val="17"/>
              </w:rPr>
              <w:t>Waarvan RIVM</w:t>
            </w:r>
          </w:p>
        </w:tc>
        <w:tc>
          <w:tcPr>
            <w:tcW w:w="1377" w:type="dxa"/>
            <w:tcBorders>
              <w:bottom w:val="single" w:color="009EE0" w:sz="2" w:space="0"/>
            </w:tcBorders>
            <w:tcMar>
              <w:top w:w="22" w:type="dxa"/>
              <w:left w:w="28" w:type="dxa"/>
              <w:bottom w:w="22" w:type="dxa"/>
              <w:right w:w="28" w:type="dxa"/>
            </w:tcMar>
          </w:tcPr>
          <w:p w:rsidR="006B6965" w:rsidRDefault="003A166B" w14:paraId="504128D2" w14:textId="77777777">
            <w:pPr>
              <w:pStyle w:val="p-table"/>
              <w:jc w:val="right"/>
              <w:rPr>
                <w:sz w:val="17"/>
              </w:rPr>
            </w:pPr>
            <w:r>
              <w:rPr>
                <w:sz w:val="17"/>
              </w:rPr>
              <w:t>7.511</w:t>
            </w:r>
          </w:p>
        </w:tc>
        <w:tc>
          <w:tcPr>
            <w:tcW w:w="1377" w:type="dxa"/>
            <w:tcBorders>
              <w:bottom w:val="single" w:color="009EE0" w:sz="2" w:space="0"/>
            </w:tcBorders>
            <w:tcMar>
              <w:top w:w="22" w:type="dxa"/>
              <w:left w:w="28" w:type="dxa"/>
              <w:bottom w:w="22" w:type="dxa"/>
              <w:right w:w="28" w:type="dxa"/>
            </w:tcMar>
          </w:tcPr>
          <w:p w:rsidR="006B6965" w:rsidRDefault="003A166B" w14:paraId="6EC7E5D0" w14:textId="77777777">
            <w:pPr>
              <w:pStyle w:val="p-table"/>
              <w:jc w:val="right"/>
              <w:rPr>
                <w:sz w:val="17"/>
              </w:rPr>
            </w:pPr>
            <w:r>
              <w:rPr>
                <w:sz w:val="17"/>
              </w:rPr>
              <w:t>70</w:t>
            </w:r>
          </w:p>
        </w:tc>
        <w:tc>
          <w:tcPr>
            <w:tcW w:w="1377" w:type="dxa"/>
            <w:tcBorders>
              <w:bottom w:val="single" w:color="009EE0" w:sz="2" w:space="0"/>
            </w:tcBorders>
            <w:tcMar>
              <w:top w:w="22" w:type="dxa"/>
              <w:left w:w="28" w:type="dxa"/>
              <w:bottom w:w="22" w:type="dxa"/>
              <w:right w:w="28" w:type="dxa"/>
            </w:tcMar>
          </w:tcPr>
          <w:p w:rsidR="006B6965" w:rsidRDefault="003A166B" w14:paraId="05C8617D" w14:textId="77777777">
            <w:pPr>
              <w:pStyle w:val="p-table"/>
              <w:jc w:val="right"/>
              <w:rPr>
                <w:sz w:val="17"/>
              </w:rPr>
            </w:pPr>
            <w:r>
              <w:rPr>
                <w:sz w:val="17"/>
              </w:rPr>
              <w:t>7.581</w:t>
            </w:r>
          </w:p>
        </w:tc>
      </w:tr>
      <w:tr w:rsidR="006B6965" w14:paraId="6D9912A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A37E59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D70BC22"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78EE472E" w14:textId="77777777">
            <w:pPr>
              <w:pStyle w:val="p-table"/>
              <w:jc w:val="right"/>
              <w:rPr>
                <w:sz w:val="17"/>
              </w:rPr>
            </w:pPr>
            <w:r>
              <w:rPr>
                <w:sz w:val="17"/>
              </w:rPr>
              <w:t>2.513</w:t>
            </w:r>
          </w:p>
        </w:tc>
        <w:tc>
          <w:tcPr>
            <w:tcW w:w="1377" w:type="dxa"/>
            <w:tcBorders>
              <w:bottom w:val="single" w:color="009EE0" w:sz="2" w:space="0"/>
            </w:tcBorders>
            <w:tcMar>
              <w:top w:w="22" w:type="dxa"/>
              <w:left w:w="28" w:type="dxa"/>
              <w:bottom w:w="22" w:type="dxa"/>
              <w:right w:w="28" w:type="dxa"/>
            </w:tcMar>
          </w:tcPr>
          <w:p w:rsidR="006B6965" w:rsidRDefault="003A166B" w14:paraId="682D9FF4" w14:textId="77777777">
            <w:pPr>
              <w:pStyle w:val="p-table"/>
              <w:jc w:val="right"/>
              <w:rPr>
                <w:sz w:val="17"/>
              </w:rPr>
            </w:pPr>
            <w:r>
              <w:rPr>
                <w:sz w:val="17"/>
              </w:rPr>
              <w:t>119</w:t>
            </w:r>
          </w:p>
        </w:tc>
        <w:tc>
          <w:tcPr>
            <w:tcW w:w="1377" w:type="dxa"/>
            <w:tcBorders>
              <w:bottom w:val="single" w:color="009EE0" w:sz="2" w:space="0"/>
            </w:tcBorders>
            <w:tcMar>
              <w:top w:w="22" w:type="dxa"/>
              <w:left w:w="28" w:type="dxa"/>
              <w:bottom w:w="22" w:type="dxa"/>
              <w:right w:w="28" w:type="dxa"/>
            </w:tcMar>
          </w:tcPr>
          <w:p w:rsidR="006B6965" w:rsidRDefault="003A166B" w14:paraId="395E3160" w14:textId="77777777">
            <w:pPr>
              <w:pStyle w:val="p-table"/>
              <w:jc w:val="right"/>
              <w:rPr>
                <w:sz w:val="17"/>
              </w:rPr>
            </w:pPr>
            <w:r>
              <w:rPr>
                <w:sz w:val="17"/>
              </w:rPr>
              <w:t>2.632</w:t>
            </w:r>
          </w:p>
        </w:tc>
      </w:tr>
      <w:tr w:rsidR="006B6965" w14:paraId="5502D4D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46C93C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46D819E"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28128C2D" w14:textId="77777777">
            <w:pPr>
              <w:pStyle w:val="p-table"/>
              <w:jc w:val="right"/>
              <w:rPr>
                <w:sz w:val="17"/>
              </w:rPr>
            </w:pPr>
            <w:r>
              <w:rPr>
                <w:i/>
                <w:sz w:val="17"/>
              </w:rPr>
              <w:t>18.820</w:t>
            </w:r>
          </w:p>
        </w:tc>
        <w:tc>
          <w:tcPr>
            <w:tcW w:w="1377" w:type="dxa"/>
            <w:tcBorders>
              <w:bottom w:val="single" w:color="009EE0" w:sz="2" w:space="0"/>
            </w:tcBorders>
            <w:tcMar>
              <w:top w:w="22" w:type="dxa"/>
              <w:left w:w="28" w:type="dxa"/>
              <w:bottom w:w="22" w:type="dxa"/>
              <w:right w:w="28" w:type="dxa"/>
            </w:tcMar>
          </w:tcPr>
          <w:p w:rsidR="006B6965" w:rsidRDefault="003A166B" w14:paraId="6A9864E6" w14:textId="77777777">
            <w:pPr>
              <w:pStyle w:val="p-table"/>
              <w:jc w:val="right"/>
              <w:rPr>
                <w:sz w:val="17"/>
              </w:rPr>
            </w:pPr>
            <w:r>
              <w:rPr>
                <w:i/>
                <w:sz w:val="17"/>
              </w:rPr>
              <w:t>‒</w:t>
            </w:r>
            <w:r>
              <w:rPr>
                <w:i/>
                <w:sz w:val="17"/>
              </w:rPr>
              <w:t xml:space="preserve"> 10</w:t>
            </w:r>
          </w:p>
        </w:tc>
        <w:tc>
          <w:tcPr>
            <w:tcW w:w="1377" w:type="dxa"/>
            <w:tcBorders>
              <w:bottom w:val="single" w:color="009EE0" w:sz="2" w:space="0"/>
            </w:tcBorders>
            <w:tcMar>
              <w:top w:w="22" w:type="dxa"/>
              <w:left w:w="28" w:type="dxa"/>
              <w:bottom w:w="22" w:type="dxa"/>
              <w:right w:w="28" w:type="dxa"/>
            </w:tcMar>
          </w:tcPr>
          <w:p w:rsidR="006B6965" w:rsidRDefault="003A166B" w14:paraId="7363C17D" w14:textId="77777777">
            <w:pPr>
              <w:pStyle w:val="p-table"/>
              <w:jc w:val="right"/>
              <w:rPr>
                <w:sz w:val="17"/>
              </w:rPr>
            </w:pPr>
            <w:r>
              <w:rPr>
                <w:i/>
                <w:sz w:val="17"/>
              </w:rPr>
              <w:t>18.810</w:t>
            </w:r>
          </w:p>
        </w:tc>
      </w:tr>
      <w:tr w:rsidR="006B6965" w14:paraId="2D037AD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8AD173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361BA7B" w14:textId="77777777">
            <w:pPr>
              <w:pStyle w:val="p-table"/>
              <w:rPr>
                <w:sz w:val="17"/>
              </w:rPr>
            </w:pPr>
            <w:r>
              <w:rPr>
                <w:sz w:val="17"/>
              </w:rPr>
              <w:t>Bijdrage aan agentschap RWS</w:t>
            </w:r>
          </w:p>
        </w:tc>
        <w:tc>
          <w:tcPr>
            <w:tcW w:w="1377" w:type="dxa"/>
            <w:tcBorders>
              <w:bottom w:val="single" w:color="009EE0" w:sz="2" w:space="0"/>
            </w:tcBorders>
            <w:tcMar>
              <w:top w:w="22" w:type="dxa"/>
              <w:left w:w="28" w:type="dxa"/>
              <w:bottom w:w="22" w:type="dxa"/>
              <w:right w:w="28" w:type="dxa"/>
            </w:tcMar>
          </w:tcPr>
          <w:p w:rsidR="006B6965" w:rsidRDefault="003A166B" w14:paraId="673BDE6B" w14:textId="77777777">
            <w:pPr>
              <w:pStyle w:val="p-table"/>
              <w:jc w:val="right"/>
              <w:rPr>
                <w:sz w:val="17"/>
              </w:rPr>
            </w:pPr>
            <w:r>
              <w:rPr>
                <w:sz w:val="17"/>
              </w:rPr>
              <w:t>3.318</w:t>
            </w:r>
          </w:p>
        </w:tc>
        <w:tc>
          <w:tcPr>
            <w:tcW w:w="1377" w:type="dxa"/>
            <w:tcBorders>
              <w:bottom w:val="single" w:color="009EE0" w:sz="2" w:space="0"/>
            </w:tcBorders>
            <w:tcMar>
              <w:top w:w="22" w:type="dxa"/>
              <w:left w:w="28" w:type="dxa"/>
              <w:bottom w:w="22" w:type="dxa"/>
              <w:right w:w="28" w:type="dxa"/>
            </w:tcMar>
          </w:tcPr>
          <w:p w:rsidR="006B6965" w:rsidRDefault="003A166B" w14:paraId="7ED091A0" w14:textId="77777777">
            <w:pPr>
              <w:pStyle w:val="p-table"/>
              <w:jc w:val="right"/>
              <w:rPr>
                <w:sz w:val="17"/>
              </w:rPr>
            </w:pPr>
            <w:r>
              <w:rPr>
                <w:sz w:val="17"/>
              </w:rPr>
              <w:t>437</w:t>
            </w:r>
          </w:p>
        </w:tc>
        <w:tc>
          <w:tcPr>
            <w:tcW w:w="1377" w:type="dxa"/>
            <w:tcBorders>
              <w:bottom w:val="single" w:color="009EE0" w:sz="2" w:space="0"/>
            </w:tcBorders>
            <w:tcMar>
              <w:top w:w="22" w:type="dxa"/>
              <w:left w:w="28" w:type="dxa"/>
              <w:bottom w:w="22" w:type="dxa"/>
              <w:right w:w="28" w:type="dxa"/>
            </w:tcMar>
          </w:tcPr>
          <w:p w:rsidR="006B6965" w:rsidRDefault="003A166B" w14:paraId="226F9067" w14:textId="77777777">
            <w:pPr>
              <w:pStyle w:val="p-table"/>
              <w:jc w:val="right"/>
              <w:rPr>
                <w:sz w:val="17"/>
              </w:rPr>
            </w:pPr>
            <w:r>
              <w:rPr>
                <w:sz w:val="17"/>
              </w:rPr>
              <w:t>3.755</w:t>
            </w:r>
          </w:p>
        </w:tc>
      </w:tr>
      <w:tr w:rsidR="006B6965" w14:paraId="0560313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98C3F2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45FAC17" w14:textId="77777777">
            <w:pPr>
              <w:pStyle w:val="p-table"/>
              <w:rPr>
                <w:sz w:val="17"/>
              </w:rPr>
            </w:pPr>
            <w:r>
              <w:rPr>
                <w:sz w:val="17"/>
              </w:rPr>
              <w:t>Bijdrage aan agentschap KNMI</w:t>
            </w:r>
          </w:p>
        </w:tc>
        <w:tc>
          <w:tcPr>
            <w:tcW w:w="1377" w:type="dxa"/>
            <w:tcBorders>
              <w:bottom w:val="single" w:color="009EE0" w:sz="2" w:space="0"/>
            </w:tcBorders>
            <w:tcMar>
              <w:top w:w="22" w:type="dxa"/>
              <w:left w:w="28" w:type="dxa"/>
              <w:bottom w:w="22" w:type="dxa"/>
              <w:right w:w="28" w:type="dxa"/>
            </w:tcMar>
          </w:tcPr>
          <w:p w:rsidR="006B6965" w:rsidRDefault="003A166B" w14:paraId="355997A4" w14:textId="77777777">
            <w:pPr>
              <w:pStyle w:val="p-table"/>
              <w:jc w:val="right"/>
              <w:rPr>
                <w:sz w:val="17"/>
              </w:rPr>
            </w:pPr>
            <w:r>
              <w:rPr>
                <w:sz w:val="17"/>
              </w:rPr>
              <w:t>35</w:t>
            </w:r>
          </w:p>
        </w:tc>
        <w:tc>
          <w:tcPr>
            <w:tcW w:w="1377" w:type="dxa"/>
            <w:tcBorders>
              <w:bottom w:val="single" w:color="009EE0" w:sz="2" w:space="0"/>
            </w:tcBorders>
            <w:tcMar>
              <w:top w:w="22" w:type="dxa"/>
              <w:left w:w="28" w:type="dxa"/>
              <w:bottom w:w="22" w:type="dxa"/>
              <w:right w:w="28" w:type="dxa"/>
            </w:tcMar>
          </w:tcPr>
          <w:p w:rsidR="006B6965" w:rsidRDefault="003A166B" w14:paraId="491B4BA4" w14:textId="77777777">
            <w:pPr>
              <w:pStyle w:val="p-table"/>
              <w:jc w:val="right"/>
              <w:rPr>
                <w:sz w:val="17"/>
              </w:rPr>
            </w:pPr>
            <w:r>
              <w:rPr>
                <w:sz w:val="17"/>
              </w:rPr>
              <w:t>‒</w:t>
            </w:r>
            <w:r>
              <w:rPr>
                <w:sz w:val="17"/>
              </w:rPr>
              <w:t xml:space="preserve"> 10</w:t>
            </w:r>
          </w:p>
        </w:tc>
        <w:tc>
          <w:tcPr>
            <w:tcW w:w="1377" w:type="dxa"/>
            <w:tcBorders>
              <w:bottom w:val="single" w:color="009EE0" w:sz="2" w:space="0"/>
            </w:tcBorders>
            <w:tcMar>
              <w:top w:w="22" w:type="dxa"/>
              <w:left w:w="28" w:type="dxa"/>
              <w:bottom w:w="22" w:type="dxa"/>
              <w:right w:w="28" w:type="dxa"/>
            </w:tcMar>
          </w:tcPr>
          <w:p w:rsidR="006B6965" w:rsidRDefault="003A166B" w14:paraId="37319CFC" w14:textId="77777777">
            <w:pPr>
              <w:pStyle w:val="p-table"/>
              <w:jc w:val="right"/>
              <w:rPr>
                <w:sz w:val="17"/>
              </w:rPr>
            </w:pPr>
            <w:r>
              <w:rPr>
                <w:sz w:val="17"/>
              </w:rPr>
              <w:t>25</w:t>
            </w:r>
          </w:p>
        </w:tc>
      </w:tr>
      <w:tr w:rsidR="006B6965" w14:paraId="271B310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64BB66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1A1A7EC" w14:textId="77777777">
            <w:pPr>
              <w:pStyle w:val="p-table"/>
              <w:rPr>
                <w:sz w:val="17"/>
              </w:rPr>
            </w:pPr>
            <w:r>
              <w:rPr>
                <w:sz w:val="17"/>
              </w:rPr>
              <w:t>Bijdrage aan agentschap RVO</w:t>
            </w:r>
          </w:p>
        </w:tc>
        <w:tc>
          <w:tcPr>
            <w:tcW w:w="1377" w:type="dxa"/>
            <w:tcBorders>
              <w:bottom w:val="single" w:color="009EE0" w:sz="2" w:space="0"/>
            </w:tcBorders>
            <w:tcMar>
              <w:top w:w="22" w:type="dxa"/>
              <w:left w:w="28" w:type="dxa"/>
              <w:bottom w:w="22" w:type="dxa"/>
              <w:right w:w="28" w:type="dxa"/>
            </w:tcMar>
          </w:tcPr>
          <w:p w:rsidR="006B6965" w:rsidRDefault="003A166B" w14:paraId="21B3D10B" w14:textId="77777777">
            <w:pPr>
              <w:pStyle w:val="p-table"/>
              <w:jc w:val="right"/>
              <w:rPr>
                <w:sz w:val="17"/>
              </w:rPr>
            </w:pPr>
            <w:r>
              <w:rPr>
                <w:sz w:val="17"/>
              </w:rPr>
              <w:t>1.157</w:t>
            </w:r>
          </w:p>
        </w:tc>
        <w:tc>
          <w:tcPr>
            <w:tcW w:w="1377" w:type="dxa"/>
            <w:tcBorders>
              <w:bottom w:val="single" w:color="009EE0" w:sz="2" w:space="0"/>
            </w:tcBorders>
            <w:tcMar>
              <w:top w:w="22" w:type="dxa"/>
              <w:left w:w="28" w:type="dxa"/>
              <w:bottom w:w="22" w:type="dxa"/>
              <w:right w:w="28" w:type="dxa"/>
            </w:tcMar>
          </w:tcPr>
          <w:p w:rsidR="006B6965" w:rsidRDefault="003A166B" w14:paraId="0A67515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8A82EE1" w14:textId="77777777">
            <w:pPr>
              <w:pStyle w:val="p-table"/>
              <w:jc w:val="right"/>
              <w:rPr>
                <w:sz w:val="17"/>
              </w:rPr>
            </w:pPr>
            <w:r>
              <w:rPr>
                <w:sz w:val="17"/>
              </w:rPr>
              <w:t>1.157</w:t>
            </w:r>
          </w:p>
        </w:tc>
      </w:tr>
      <w:tr w:rsidR="006B6965" w14:paraId="102916F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934915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0B982FD" w14:textId="77777777">
            <w:pPr>
              <w:pStyle w:val="p-table"/>
              <w:rPr>
                <w:sz w:val="17"/>
              </w:rPr>
            </w:pPr>
            <w:r>
              <w:rPr>
                <w:sz w:val="17"/>
              </w:rPr>
              <w:t>Bijdrage aan agentschap RIVM</w:t>
            </w:r>
          </w:p>
        </w:tc>
        <w:tc>
          <w:tcPr>
            <w:tcW w:w="1377" w:type="dxa"/>
            <w:tcBorders>
              <w:bottom w:val="single" w:color="009EE0" w:sz="2" w:space="0"/>
            </w:tcBorders>
            <w:tcMar>
              <w:top w:w="22" w:type="dxa"/>
              <w:left w:w="28" w:type="dxa"/>
              <w:bottom w:w="22" w:type="dxa"/>
              <w:right w:w="28" w:type="dxa"/>
            </w:tcMar>
          </w:tcPr>
          <w:p w:rsidR="006B6965" w:rsidRDefault="003A166B" w14:paraId="77E2F474" w14:textId="77777777">
            <w:pPr>
              <w:pStyle w:val="p-table"/>
              <w:jc w:val="right"/>
              <w:rPr>
                <w:sz w:val="17"/>
              </w:rPr>
            </w:pPr>
            <w:r>
              <w:rPr>
                <w:sz w:val="17"/>
              </w:rPr>
              <w:t>14.310</w:t>
            </w:r>
          </w:p>
        </w:tc>
        <w:tc>
          <w:tcPr>
            <w:tcW w:w="1377" w:type="dxa"/>
            <w:tcBorders>
              <w:bottom w:val="single" w:color="009EE0" w:sz="2" w:space="0"/>
            </w:tcBorders>
            <w:tcMar>
              <w:top w:w="22" w:type="dxa"/>
              <w:left w:w="28" w:type="dxa"/>
              <w:bottom w:w="22" w:type="dxa"/>
              <w:right w:w="28" w:type="dxa"/>
            </w:tcMar>
          </w:tcPr>
          <w:p w:rsidR="006B6965" w:rsidRDefault="003A166B" w14:paraId="58C91075" w14:textId="77777777">
            <w:pPr>
              <w:pStyle w:val="p-table"/>
              <w:jc w:val="right"/>
              <w:rPr>
                <w:sz w:val="17"/>
              </w:rPr>
            </w:pPr>
            <w:r>
              <w:rPr>
                <w:sz w:val="17"/>
              </w:rPr>
              <w:t>‒</w:t>
            </w:r>
            <w:r>
              <w:rPr>
                <w:sz w:val="17"/>
              </w:rPr>
              <w:t xml:space="preserve"> 437</w:t>
            </w:r>
          </w:p>
        </w:tc>
        <w:tc>
          <w:tcPr>
            <w:tcW w:w="1377" w:type="dxa"/>
            <w:tcBorders>
              <w:bottom w:val="single" w:color="009EE0" w:sz="2" w:space="0"/>
            </w:tcBorders>
            <w:tcMar>
              <w:top w:w="22" w:type="dxa"/>
              <w:left w:w="28" w:type="dxa"/>
              <w:bottom w:w="22" w:type="dxa"/>
              <w:right w:w="28" w:type="dxa"/>
            </w:tcMar>
          </w:tcPr>
          <w:p w:rsidR="006B6965" w:rsidRDefault="003A166B" w14:paraId="34893E55" w14:textId="77777777">
            <w:pPr>
              <w:pStyle w:val="p-table"/>
              <w:jc w:val="right"/>
              <w:rPr>
                <w:sz w:val="17"/>
              </w:rPr>
            </w:pPr>
            <w:r>
              <w:rPr>
                <w:sz w:val="17"/>
              </w:rPr>
              <w:t>13.873</w:t>
            </w:r>
          </w:p>
        </w:tc>
      </w:tr>
      <w:tr w:rsidR="006B6965" w14:paraId="2D868A5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3623A7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A6A17C3"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131E6B95" w14:textId="77777777">
            <w:pPr>
              <w:pStyle w:val="p-table"/>
              <w:jc w:val="right"/>
              <w:rPr>
                <w:sz w:val="17"/>
              </w:rPr>
            </w:pPr>
            <w:r>
              <w:rPr>
                <w:i/>
                <w:sz w:val="17"/>
              </w:rPr>
              <w:t>36.788</w:t>
            </w:r>
          </w:p>
        </w:tc>
        <w:tc>
          <w:tcPr>
            <w:tcW w:w="1377" w:type="dxa"/>
            <w:tcBorders>
              <w:bottom w:val="single" w:color="009EE0" w:sz="2" w:space="0"/>
            </w:tcBorders>
            <w:tcMar>
              <w:top w:w="22" w:type="dxa"/>
              <w:left w:w="28" w:type="dxa"/>
              <w:bottom w:w="22" w:type="dxa"/>
              <w:right w:w="28" w:type="dxa"/>
            </w:tcMar>
          </w:tcPr>
          <w:p w:rsidR="006B6965" w:rsidRDefault="003A166B" w14:paraId="11120182" w14:textId="77777777">
            <w:pPr>
              <w:pStyle w:val="p-table"/>
              <w:jc w:val="right"/>
              <w:rPr>
                <w:sz w:val="17"/>
              </w:rPr>
            </w:pPr>
            <w:r>
              <w:rPr>
                <w:i/>
                <w:sz w:val="17"/>
              </w:rPr>
              <w:t>‒</w:t>
            </w:r>
            <w:r>
              <w:rPr>
                <w:i/>
                <w:sz w:val="17"/>
              </w:rPr>
              <w:t xml:space="preserve"> 1.000</w:t>
            </w:r>
          </w:p>
        </w:tc>
        <w:tc>
          <w:tcPr>
            <w:tcW w:w="1377" w:type="dxa"/>
            <w:tcBorders>
              <w:bottom w:val="single" w:color="009EE0" w:sz="2" w:space="0"/>
            </w:tcBorders>
            <w:tcMar>
              <w:top w:w="22" w:type="dxa"/>
              <w:left w:w="28" w:type="dxa"/>
              <w:bottom w:w="22" w:type="dxa"/>
              <w:right w:w="28" w:type="dxa"/>
            </w:tcMar>
          </w:tcPr>
          <w:p w:rsidR="006B6965" w:rsidRDefault="003A166B" w14:paraId="7AD08B8D" w14:textId="77777777">
            <w:pPr>
              <w:pStyle w:val="p-table"/>
              <w:jc w:val="right"/>
              <w:rPr>
                <w:sz w:val="17"/>
              </w:rPr>
            </w:pPr>
            <w:r>
              <w:rPr>
                <w:i/>
                <w:sz w:val="17"/>
              </w:rPr>
              <w:t>35.788</w:t>
            </w:r>
          </w:p>
        </w:tc>
      </w:tr>
      <w:tr w:rsidR="006B6965" w14:paraId="6008D55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D754D6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827F5B6" w14:textId="77777777">
            <w:pPr>
              <w:pStyle w:val="p-table"/>
              <w:rPr>
                <w:sz w:val="17"/>
              </w:rPr>
            </w:pPr>
            <w:r>
              <w:rPr>
                <w:sz w:val="17"/>
              </w:rPr>
              <w:t>Uitvoering geluidsanering</w:t>
            </w:r>
          </w:p>
        </w:tc>
        <w:tc>
          <w:tcPr>
            <w:tcW w:w="1377" w:type="dxa"/>
            <w:tcBorders>
              <w:bottom w:val="single" w:color="009EE0" w:sz="2" w:space="0"/>
            </w:tcBorders>
            <w:tcMar>
              <w:top w:w="22" w:type="dxa"/>
              <w:left w:w="28" w:type="dxa"/>
              <w:bottom w:w="22" w:type="dxa"/>
              <w:right w:w="28" w:type="dxa"/>
            </w:tcMar>
          </w:tcPr>
          <w:p w:rsidR="006B6965" w:rsidRDefault="003A166B" w14:paraId="700A19E9" w14:textId="77777777">
            <w:pPr>
              <w:pStyle w:val="p-table"/>
              <w:jc w:val="right"/>
              <w:rPr>
                <w:sz w:val="17"/>
              </w:rPr>
            </w:pPr>
            <w:r>
              <w:rPr>
                <w:sz w:val="17"/>
              </w:rPr>
              <w:t>30.613</w:t>
            </w:r>
          </w:p>
        </w:tc>
        <w:tc>
          <w:tcPr>
            <w:tcW w:w="1377" w:type="dxa"/>
            <w:tcBorders>
              <w:bottom w:val="single" w:color="009EE0" w:sz="2" w:space="0"/>
            </w:tcBorders>
            <w:tcMar>
              <w:top w:w="22" w:type="dxa"/>
              <w:left w:w="28" w:type="dxa"/>
              <w:bottom w:w="22" w:type="dxa"/>
              <w:right w:w="28" w:type="dxa"/>
            </w:tcMar>
          </w:tcPr>
          <w:p w:rsidR="006B6965" w:rsidRDefault="003A166B" w14:paraId="4E90F4D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A0D6C84" w14:textId="77777777">
            <w:pPr>
              <w:pStyle w:val="p-table"/>
              <w:jc w:val="right"/>
              <w:rPr>
                <w:sz w:val="17"/>
              </w:rPr>
            </w:pPr>
            <w:r>
              <w:rPr>
                <w:sz w:val="17"/>
              </w:rPr>
              <w:t>30.613</w:t>
            </w:r>
          </w:p>
        </w:tc>
      </w:tr>
      <w:tr w:rsidR="006B6965" w14:paraId="6B33DB1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DECB50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CE9D29E" w14:textId="77777777">
            <w:pPr>
              <w:pStyle w:val="p-table"/>
              <w:rPr>
                <w:sz w:val="17"/>
              </w:rPr>
            </w:pPr>
            <w:r>
              <w:rPr>
                <w:sz w:val="17"/>
              </w:rPr>
              <w:t>Programma NSL en SLA</w:t>
            </w:r>
          </w:p>
        </w:tc>
        <w:tc>
          <w:tcPr>
            <w:tcW w:w="1377" w:type="dxa"/>
            <w:tcBorders>
              <w:bottom w:val="single" w:color="009EE0" w:sz="2" w:space="0"/>
            </w:tcBorders>
            <w:tcMar>
              <w:top w:w="22" w:type="dxa"/>
              <w:left w:w="28" w:type="dxa"/>
              <w:bottom w:w="22" w:type="dxa"/>
              <w:right w:w="28" w:type="dxa"/>
            </w:tcMar>
          </w:tcPr>
          <w:p w:rsidR="006B6965" w:rsidRDefault="003A166B" w14:paraId="0141C1A8" w14:textId="77777777">
            <w:pPr>
              <w:pStyle w:val="p-table"/>
              <w:jc w:val="right"/>
              <w:rPr>
                <w:sz w:val="17"/>
              </w:rPr>
            </w:pPr>
            <w:r>
              <w:rPr>
                <w:sz w:val="17"/>
              </w:rPr>
              <w:t>6.175</w:t>
            </w:r>
          </w:p>
        </w:tc>
        <w:tc>
          <w:tcPr>
            <w:tcW w:w="1377" w:type="dxa"/>
            <w:tcBorders>
              <w:bottom w:val="single" w:color="009EE0" w:sz="2" w:space="0"/>
            </w:tcBorders>
            <w:tcMar>
              <w:top w:w="22" w:type="dxa"/>
              <w:left w:w="28" w:type="dxa"/>
              <w:bottom w:w="22" w:type="dxa"/>
              <w:right w:w="28" w:type="dxa"/>
            </w:tcMar>
          </w:tcPr>
          <w:p w:rsidR="006B6965" w:rsidRDefault="003A166B" w14:paraId="52AEFDBB" w14:textId="77777777">
            <w:pPr>
              <w:pStyle w:val="p-table"/>
              <w:jc w:val="right"/>
              <w:rPr>
                <w:sz w:val="17"/>
              </w:rPr>
            </w:pPr>
            <w:r>
              <w:rPr>
                <w:sz w:val="17"/>
              </w:rPr>
              <w:t>‒</w:t>
            </w:r>
            <w:r>
              <w:rPr>
                <w:sz w:val="17"/>
              </w:rPr>
              <w:t xml:space="preserve"> 1.000</w:t>
            </w:r>
          </w:p>
        </w:tc>
        <w:tc>
          <w:tcPr>
            <w:tcW w:w="1377" w:type="dxa"/>
            <w:tcBorders>
              <w:bottom w:val="single" w:color="009EE0" w:sz="2" w:space="0"/>
            </w:tcBorders>
            <w:tcMar>
              <w:top w:w="22" w:type="dxa"/>
              <w:left w:w="28" w:type="dxa"/>
              <w:bottom w:w="22" w:type="dxa"/>
              <w:right w:w="28" w:type="dxa"/>
            </w:tcMar>
          </w:tcPr>
          <w:p w:rsidR="006B6965" w:rsidRDefault="003A166B" w14:paraId="1E48D584" w14:textId="77777777">
            <w:pPr>
              <w:pStyle w:val="p-table"/>
              <w:jc w:val="right"/>
              <w:rPr>
                <w:sz w:val="17"/>
              </w:rPr>
            </w:pPr>
            <w:r>
              <w:rPr>
                <w:sz w:val="17"/>
              </w:rPr>
              <w:t>5.175</w:t>
            </w:r>
          </w:p>
        </w:tc>
      </w:tr>
      <w:tr w:rsidR="006B6965" w14:paraId="4CAD6C3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F687BF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6686336" w14:textId="77777777">
            <w:pPr>
              <w:pStyle w:val="p-table"/>
              <w:rPr>
                <w:sz w:val="17"/>
              </w:rPr>
            </w:pPr>
            <w:r>
              <w:rPr>
                <w:i/>
                <w:sz w:val="17"/>
              </w:rPr>
              <w:t>Bekostiging</w:t>
            </w:r>
          </w:p>
        </w:tc>
        <w:tc>
          <w:tcPr>
            <w:tcW w:w="1377" w:type="dxa"/>
            <w:tcBorders>
              <w:bottom w:val="single" w:color="009EE0" w:sz="2" w:space="0"/>
            </w:tcBorders>
            <w:tcMar>
              <w:top w:w="22" w:type="dxa"/>
              <w:left w:w="28" w:type="dxa"/>
              <w:bottom w:w="22" w:type="dxa"/>
              <w:right w:w="28" w:type="dxa"/>
            </w:tcMar>
          </w:tcPr>
          <w:p w:rsidR="006B6965" w:rsidRDefault="003A166B" w14:paraId="0DB2D61A" w14:textId="77777777">
            <w:pPr>
              <w:pStyle w:val="p-table"/>
              <w:jc w:val="right"/>
              <w:rPr>
                <w:sz w:val="17"/>
              </w:rPr>
            </w:pPr>
            <w:r>
              <w:rPr>
                <w:i/>
                <w:sz w:val="17"/>
              </w:rPr>
              <w:t>56</w:t>
            </w:r>
          </w:p>
        </w:tc>
        <w:tc>
          <w:tcPr>
            <w:tcW w:w="1377" w:type="dxa"/>
            <w:tcBorders>
              <w:bottom w:val="single" w:color="009EE0" w:sz="2" w:space="0"/>
            </w:tcBorders>
            <w:tcMar>
              <w:top w:w="22" w:type="dxa"/>
              <w:left w:w="28" w:type="dxa"/>
              <w:bottom w:w="22" w:type="dxa"/>
              <w:right w:w="28" w:type="dxa"/>
            </w:tcMar>
          </w:tcPr>
          <w:p w:rsidR="006B6965" w:rsidRDefault="003A166B" w14:paraId="20CC61DD"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BD31A86" w14:textId="77777777">
            <w:pPr>
              <w:pStyle w:val="p-table"/>
              <w:jc w:val="right"/>
              <w:rPr>
                <w:sz w:val="17"/>
              </w:rPr>
            </w:pPr>
            <w:r>
              <w:rPr>
                <w:i/>
                <w:sz w:val="17"/>
              </w:rPr>
              <w:t>56</w:t>
            </w:r>
          </w:p>
        </w:tc>
      </w:tr>
      <w:tr w:rsidR="006B6965" w14:paraId="28EB9D5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41D0BD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95B0D3E" w14:textId="77777777">
            <w:pPr>
              <w:pStyle w:val="p-table"/>
              <w:rPr>
                <w:sz w:val="17"/>
              </w:rPr>
            </w:pPr>
            <w:r>
              <w:rPr>
                <w:sz w:val="17"/>
              </w:rPr>
              <w:t>Overige bekostiging</w:t>
            </w:r>
          </w:p>
        </w:tc>
        <w:tc>
          <w:tcPr>
            <w:tcW w:w="1377" w:type="dxa"/>
            <w:tcBorders>
              <w:bottom w:val="single" w:color="009EE0" w:sz="2" w:space="0"/>
            </w:tcBorders>
            <w:tcMar>
              <w:top w:w="22" w:type="dxa"/>
              <w:left w:w="28" w:type="dxa"/>
              <w:bottom w:w="22" w:type="dxa"/>
              <w:right w:w="28" w:type="dxa"/>
            </w:tcMar>
          </w:tcPr>
          <w:p w:rsidR="006B6965" w:rsidRDefault="003A166B" w14:paraId="1517E5D5" w14:textId="77777777">
            <w:pPr>
              <w:pStyle w:val="p-table"/>
              <w:jc w:val="right"/>
              <w:rPr>
                <w:sz w:val="17"/>
              </w:rPr>
            </w:pPr>
            <w:r>
              <w:rPr>
                <w:sz w:val="17"/>
              </w:rPr>
              <w:t>56</w:t>
            </w:r>
          </w:p>
        </w:tc>
        <w:tc>
          <w:tcPr>
            <w:tcW w:w="1377" w:type="dxa"/>
            <w:tcBorders>
              <w:bottom w:val="single" w:color="009EE0" w:sz="2" w:space="0"/>
            </w:tcBorders>
            <w:tcMar>
              <w:top w:w="22" w:type="dxa"/>
              <w:left w:w="28" w:type="dxa"/>
              <w:bottom w:w="22" w:type="dxa"/>
              <w:right w:w="28" w:type="dxa"/>
            </w:tcMar>
          </w:tcPr>
          <w:p w:rsidR="006B6965" w:rsidRDefault="003A166B" w14:paraId="50D8DBD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A76C18A" w14:textId="77777777">
            <w:pPr>
              <w:pStyle w:val="p-table"/>
              <w:jc w:val="right"/>
              <w:rPr>
                <w:sz w:val="17"/>
              </w:rPr>
            </w:pPr>
            <w:r>
              <w:rPr>
                <w:sz w:val="17"/>
              </w:rPr>
              <w:t>56</w:t>
            </w:r>
          </w:p>
        </w:tc>
      </w:tr>
      <w:tr w:rsidR="006B6965" w14:paraId="298B9EE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1FF835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725DB88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07D07D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7A33D4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C732CD4" w14:textId="77777777">
            <w:pPr>
              <w:pStyle w:val="p-table"/>
              <w:rPr>
                <w:sz w:val="17"/>
              </w:rPr>
            </w:pPr>
          </w:p>
        </w:tc>
      </w:tr>
      <w:tr w:rsidR="006B6965" w14:paraId="19BAF04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C5BCE3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90427EC"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4F7C44E7" w14:textId="77777777">
            <w:pPr>
              <w:pStyle w:val="p-table"/>
              <w:jc w:val="right"/>
              <w:rPr>
                <w:sz w:val="17"/>
              </w:rPr>
            </w:pPr>
            <w:r>
              <w:rPr>
                <w:b/>
                <w:sz w:val="17"/>
              </w:rPr>
              <w:t>1.000</w:t>
            </w:r>
          </w:p>
        </w:tc>
        <w:tc>
          <w:tcPr>
            <w:tcW w:w="1377" w:type="dxa"/>
            <w:tcBorders>
              <w:bottom w:val="single" w:color="009EE0" w:sz="2" w:space="0"/>
            </w:tcBorders>
            <w:tcMar>
              <w:top w:w="22" w:type="dxa"/>
              <w:left w:w="28" w:type="dxa"/>
              <w:bottom w:w="22" w:type="dxa"/>
              <w:right w:w="28" w:type="dxa"/>
            </w:tcMar>
          </w:tcPr>
          <w:p w:rsidR="006B6965" w:rsidRDefault="003A166B" w14:paraId="6D6C2649"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905AC96" w14:textId="77777777">
            <w:pPr>
              <w:pStyle w:val="p-table"/>
              <w:jc w:val="right"/>
              <w:rPr>
                <w:sz w:val="17"/>
              </w:rPr>
            </w:pPr>
            <w:r>
              <w:rPr>
                <w:b/>
                <w:sz w:val="17"/>
              </w:rPr>
              <w:t>1.000</w:t>
            </w:r>
          </w:p>
        </w:tc>
      </w:tr>
      <w:tr w:rsidR="006B6965" w14:paraId="410A123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39FA77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0EE8160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8A22BA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070FA4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93E95EB" w14:textId="77777777">
            <w:pPr>
              <w:pStyle w:val="p-table"/>
              <w:rPr>
                <w:sz w:val="17"/>
              </w:rPr>
            </w:pPr>
          </w:p>
        </w:tc>
      </w:tr>
    </w:tbl>
    <w:p w:rsidR="006B6965" w:rsidRDefault="006B6965" w14:paraId="3A69B603" w14:textId="77777777">
      <w:pPr>
        <w:pStyle w:val="p-marginbottom"/>
      </w:pPr>
    </w:p>
    <w:p w:rsidR="006B6965" w:rsidRDefault="003A166B" w14:paraId="04787426" w14:textId="77777777">
      <w:pPr>
        <w:pStyle w:val="section-title-4"/>
      </w:pPr>
      <w:r>
        <w:t>Toelichting</w:t>
      </w:r>
    </w:p>
    <w:p w:rsidR="006B6965" w:rsidRDefault="003A166B" w14:paraId="1C0C8E3A" w14:textId="77777777">
      <w:pPr>
        <w:pStyle w:val="header-h1"/>
      </w:pPr>
      <w:r>
        <w:t>Verplichtingen</w:t>
      </w:r>
    </w:p>
    <w:p w:rsidR="006B6965" w:rsidRDefault="003A166B" w14:paraId="28B9184B" w14:textId="77777777">
      <w:pPr>
        <w:pStyle w:val="p"/>
      </w:pPr>
      <w:r>
        <w:t xml:space="preserve">De verplichtingen mutaties zijn kleiner dan de gehanteerde norm en worden daarom niet </w:t>
      </w:r>
      <w:r>
        <w:t>toegelicht (zie ).</w:t>
      </w:r>
    </w:p>
    <w:p w:rsidR="006B6965" w:rsidRDefault="003A166B" w14:paraId="5FE5CB30" w14:textId="77777777">
      <w:pPr>
        <w:pStyle w:val="header-h1"/>
      </w:pPr>
      <w:r>
        <w:t>Uitgaven</w:t>
      </w:r>
    </w:p>
    <w:p w:rsidR="006B6965" w:rsidRDefault="003A166B" w14:paraId="0DB0D764" w14:textId="77777777">
      <w:pPr>
        <w:pStyle w:val="p"/>
      </w:pPr>
      <w:r>
        <w:t>De uitgaven mutaties zijn kleiner dan de gehanteerde norm en worden daarom niet toegelicht (zie ).</w:t>
      </w:r>
    </w:p>
    <w:p w:rsidR="006B6965" w:rsidRDefault="003A166B" w14:paraId="5443E0D5" w14:textId="77777777">
      <w:pPr>
        <w:pStyle w:val="header-h1"/>
      </w:pPr>
      <w:r>
        <w:t>Ontvangsten</w:t>
      </w:r>
    </w:p>
    <w:p w:rsidR="006B6965" w:rsidRDefault="003A166B" w14:paraId="4B152C7C" w14:textId="77777777">
      <w:pPr>
        <w:pStyle w:val="p"/>
      </w:pPr>
      <w:r>
        <w:t>De ontvangsten mutaties zijn kleiner dan de gehanteerde norm en worden daarom niet toegelicht (zie ).</w:t>
      </w:r>
    </w:p>
    <w:p w:rsidR="006B6965" w:rsidRDefault="003A166B" w14:paraId="06587A7A" w14:textId="77777777">
      <w:pPr>
        <w:pStyle w:val="section-title-3"/>
      </w:pPr>
      <w:r>
        <w:lastRenderedPageBreak/>
        <w:t>3.9 Artikel 21 Circulaire Economie</w:t>
      </w:r>
    </w:p>
    <w:p w:rsidR="006B6965" w:rsidRDefault="003A166B" w14:paraId="0B5F3D3E"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7482D435"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5FBD195C" w14:textId="77777777">
            <w:pPr>
              <w:pStyle w:val="kio2-table-title"/>
            </w:pPr>
            <w:r>
              <w:t>Tabel 13 Budgettaire gevolgen van beleid artikel 21 Circulaire Economie (bedragen x € 1.000)</w:t>
            </w:r>
          </w:p>
        </w:tc>
      </w:tr>
      <w:tr w:rsidR="006B6965" w14:paraId="3CF947C5"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5A13E3C6"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4815F9C5"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0E1BE86A"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5FAFE8EC" w14:textId="77777777">
            <w:pPr>
              <w:pStyle w:val="p-table"/>
              <w:jc w:val="center"/>
              <w:rPr>
                <w:color w:val="000000"/>
                <w:sz w:val="17"/>
              </w:rPr>
            </w:pPr>
            <w:r>
              <w:rPr>
                <w:color w:val="000000"/>
                <w:sz w:val="17"/>
              </w:rPr>
              <w:t xml:space="preserve">Mutaties suppletoire begroting </w:t>
            </w:r>
            <w:r>
              <w:rPr>
                <w:color w:val="000000"/>
                <w:sz w:val="17"/>
              </w:rPr>
              <w:t>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7A878B55" w14:textId="77777777">
            <w:pPr>
              <w:pStyle w:val="p-table"/>
              <w:jc w:val="center"/>
              <w:rPr>
                <w:color w:val="000000"/>
                <w:sz w:val="17"/>
              </w:rPr>
            </w:pPr>
            <w:r>
              <w:rPr>
                <w:color w:val="000000"/>
                <w:sz w:val="17"/>
              </w:rPr>
              <w:t>Stand suppletoire begroting september (3) = (1) + (2)</w:t>
            </w:r>
          </w:p>
        </w:tc>
      </w:tr>
      <w:tr w:rsidR="006B6965" w14:paraId="5CEF514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42432F33"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2676A12E"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30121989" w14:textId="77777777">
            <w:pPr>
              <w:pStyle w:val="p-table"/>
              <w:jc w:val="right"/>
              <w:rPr>
                <w:sz w:val="17"/>
              </w:rPr>
            </w:pPr>
            <w:r>
              <w:rPr>
                <w:b/>
                <w:sz w:val="17"/>
              </w:rPr>
              <w:t>101.465</w:t>
            </w:r>
          </w:p>
        </w:tc>
        <w:tc>
          <w:tcPr>
            <w:tcW w:w="1377" w:type="dxa"/>
            <w:tcBorders>
              <w:bottom w:val="single" w:color="009EE0" w:sz="2" w:space="0"/>
            </w:tcBorders>
            <w:tcMar>
              <w:top w:w="22" w:type="dxa"/>
              <w:left w:w="28" w:type="dxa"/>
              <w:bottom w:w="22" w:type="dxa"/>
              <w:right w:w="28" w:type="dxa"/>
            </w:tcMar>
          </w:tcPr>
          <w:p w:rsidR="006B6965" w:rsidRDefault="003A166B" w14:paraId="416A5C9C" w14:textId="77777777">
            <w:pPr>
              <w:pStyle w:val="p-table"/>
              <w:jc w:val="right"/>
              <w:rPr>
                <w:sz w:val="17"/>
              </w:rPr>
            </w:pPr>
            <w:r>
              <w:rPr>
                <w:b/>
                <w:sz w:val="17"/>
              </w:rPr>
              <w:t>‒</w:t>
            </w:r>
            <w:r>
              <w:rPr>
                <w:b/>
                <w:sz w:val="17"/>
              </w:rPr>
              <w:t xml:space="preserve"> 9.254</w:t>
            </w:r>
          </w:p>
        </w:tc>
        <w:tc>
          <w:tcPr>
            <w:tcW w:w="1377" w:type="dxa"/>
            <w:tcBorders>
              <w:bottom w:val="single" w:color="009EE0" w:sz="2" w:space="0"/>
            </w:tcBorders>
            <w:tcMar>
              <w:top w:w="22" w:type="dxa"/>
              <w:left w:w="28" w:type="dxa"/>
              <w:bottom w:w="22" w:type="dxa"/>
              <w:right w:w="28" w:type="dxa"/>
            </w:tcMar>
          </w:tcPr>
          <w:p w:rsidR="006B6965" w:rsidRDefault="003A166B" w14:paraId="286F9D39" w14:textId="77777777">
            <w:pPr>
              <w:pStyle w:val="p-table"/>
              <w:jc w:val="right"/>
              <w:rPr>
                <w:sz w:val="17"/>
              </w:rPr>
            </w:pPr>
            <w:r>
              <w:rPr>
                <w:b/>
                <w:sz w:val="17"/>
              </w:rPr>
              <w:t>92.211</w:t>
            </w:r>
          </w:p>
        </w:tc>
      </w:tr>
      <w:tr w:rsidR="006B6965" w14:paraId="006380B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40EB64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2373FB0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371A2E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982E7E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E06A7E3" w14:textId="77777777">
            <w:pPr>
              <w:pStyle w:val="p-table"/>
              <w:rPr>
                <w:sz w:val="17"/>
              </w:rPr>
            </w:pPr>
          </w:p>
        </w:tc>
      </w:tr>
      <w:tr w:rsidR="006B6965" w14:paraId="020C402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44CB5E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DEA5FB2"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7365E12D" w14:textId="77777777">
            <w:pPr>
              <w:pStyle w:val="p-table"/>
              <w:jc w:val="right"/>
              <w:rPr>
                <w:sz w:val="17"/>
              </w:rPr>
            </w:pPr>
            <w:r>
              <w:rPr>
                <w:b/>
                <w:sz w:val="17"/>
              </w:rPr>
              <w:t>96.826</w:t>
            </w:r>
          </w:p>
        </w:tc>
        <w:tc>
          <w:tcPr>
            <w:tcW w:w="1377" w:type="dxa"/>
            <w:tcBorders>
              <w:bottom w:val="single" w:color="009EE0" w:sz="2" w:space="0"/>
            </w:tcBorders>
            <w:tcMar>
              <w:top w:w="22" w:type="dxa"/>
              <w:left w:w="28" w:type="dxa"/>
              <w:bottom w:w="22" w:type="dxa"/>
              <w:right w:w="28" w:type="dxa"/>
            </w:tcMar>
          </w:tcPr>
          <w:p w:rsidR="006B6965" w:rsidRDefault="003A166B" w14:paraId="267C6722" w14:textId="77777777">
            <w:pPr>
              <w:pStyle w:val="p-table"/>
              <w:jc w:val="right"/>
              <w:rPr>
                <w:sz w:val="17"/>
              </w:rPr>
            </w:pPr>
            <w:r>
              <w:rPr>
                <w:b/>
                <w:sz w:val="17"/>
              </w:rPr>
              <w:t>‒</w:t>
            </w:r>
            <w:r>
              <w:rPr>
                <w:b/>
                <w:sz w:val="17"/>
              </w:rPr>
              <w:t xml:space="preserve"> 10.756</w:t>
            </w:r>
          </w:p>
        </w:tc>
        <w:tc>
          <w:tcPr>
            <w:tcW w:w="1377" w:type="dxa"/>
            <w:tcBorders>
              <w:bottom w:val="single" w:color="009EE0" w:sz="2" w:space="0"/>
            </w:tcBorders>
            <w:tcMar>
              <w:top w:w="22" w:type="dxa"/>
              <w:left w:w="28" w:type="dxa"/>
              <w:bottom w:w="22" w:type="dxa"/>
              <w:right w:w="28" w:type="dxa"/>
            </w:tcMar>
          </w:tcPr>
          <w:p w:rsidR="006B6965" w:rsidRDefault="003A166B" w14:paraId="0D8D5540" w14:textId="77777777">
            <w:pPr>
              <w:pStyle w:val="p-table"/>
              <w:jc w:val="right"/>
              <w:rPr>
                <w:sz w:val="17"/>
              </w:rPr>
            </w:pPr>
            <w:r>
              <w:rPr>
                <w:b/>
                <w:sz w:val="17"/>
              </w:rPr>
              <w:t>86.070</w:t>
            </w:r>
          </w:p>
        </w:tc>
      </w:tr>
      <w:tr w:rsidR="006B6965" w14:paraId="67D185D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B070CF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888201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943049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B13FB9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8A75E18" w14:textId="77777777">
            <w:pPr>
              <w:pStyle w:val="p-table"/>
              <w:rPr>
                <w:sz w:val="17"/>
              </w:rPr>
            </w:pPr>
          </w:p>
        </w:tc>
      </w:tr>
      <w:tr w:rsidR="006B6965" w14:paraId="2292C7E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C07D7F3" w14:textId="77777777">
            <w:pPr>
              <w:pStyle w:val="p-table"/>
              <w:rPr>
                <w:sz w:val="17"/>
              </w:rPr>
            </w:pPr>
            <w:r>
              <w:rPr>
                <w:b/>
                <w:sz w:val="17"/>
              </w:rPr>
              <w:t>21.5</w:t>
            </w:r>
          </w:p>
        </w:tc>
        <w:tc>
          <w:tcPr>
            <w:tcW w:w="4590" w:type="dxa"/>
            <w:tcBorders>
              <w:bottom w:val="single" w:color="009EE0" w:sz="2" w:space="0"/>
            </w:tcBorders>
            <w:tcMar>
              <w:top w:w="22" w:type="dxa"/>
              <w:left w:w="28" w:type="dxa"/>
              <w:bottom w:w="22" w:type="dxa"/>
              <w:right w:w="28" w:type="dxa"/>
            </w:tcMar>
          </w:tcPr>
          <w:p w:rsidR="006B6965" w:rsidRDefault="003A166B" w14:paraId="03F47F7D" w14:textId="77777777">
            <w:pPr>
              <w:pStyle w:val="p-table"/>
              <w:rPr>
                <w:sz w:val="17"/>
              </w:rPr>
            </w:pPr>
            <w:r>
              <w:rPr>
                <w:b/>
                <w:sz w:val="17"/>
              </w:rPr>
              <w:t>Duurzame Productketens</w:t>
            </w:r>
          </w:p>
        </w:tc>
        <w:tc>
          <w:tcPr>
            <w:tcW w:w="1377" w:type="dxa"/>
            <w:tcBorders>
              <w:bottom w:val="single" w:color="009EE0" w:sz="2" w:space="0"/>
            </w:tcBorders>
            <w:tcMar>
              <w:top w:w="22" w:type="dxa"/>
              <w:left w:w="28" w:type="dxa"/>
              <w:bottom w:w="22" w:type="dxa"/>
              <w:right w:w="28" w:type="dxa"/>
            </w:tcMar>
          </w:tcPr>
          <w:p w:rsidR="006B6965" w:rsidRDefault="003A166B" w14:paraId="55CB9BC7" w14:textId="77777777">
            <w:pPr>
              <w:pStyle w:val="p-table"/>
              <w:jc w:val="right"/>
              <w:rPr>
                <w:sz w:val="17"/>
              </w:rPr>
            </w:pPr>
            <w:r>
              <w:rPr>
                <w:b/>
                <w:sz w:val="17"/>
              </w:rPr>
              <w:t>96.826</w:t>
            </w:r>
          </w:p>
        </w:tc>
        <w:tc>
          <w:tcPr>
            <w:tcW w:w="1377" w:type="dxa"/>
            <w:tcBorders>
              <w:bottom w:val="single" w:color="009EE0" w:sz="2" w:space="0"/>
            </w:tcBorders>
            <w:tcMar>
              <w:top w:w="22" w:type="dxa"/>
              <w:left w:w="28" w:type="dxa"/>
              <w:bottom w:w="22" w:type="dxa"/>
              <w:right w:w="28" w:type="dxa"/>
            </w:tcMar>
          </w:tcPr>
          <w:p w:rsidR="006B6965" w:rsidRDefault="003A166B" w14:paraId="7F23F210" w14:textId="77777777">
            <w:pPr>
              <w:pStyle w:val="p-table"/>
              <w:jc w:val="right"/>
              <w:rPr>
                <w:sz w:val="17"/>
              </w:rPr>
            </w:pPr>
            <w:r>
              <w:rPr>
                <w:b/>
                <w:sz w:val="17"/>
              </w:rPr>
              <w:t>‒</w:t>
            </w:r>
            <w:r>
              <w:rPr>
                <w:b/>
                <w:sz w:val="17"/>
              </w:rPr>
              <w:t xml:space="preserve"> 10.756</w:t>
            </w:r>
          </w:p>
        </w:tc>
        <w:tc>
          <w:tcPr>
            <w:tcW w:w="1377" w:type="dxa"/>
            <w:tcBorders>
              <w:bottom w:val="single" w:color="009EE0" w:sz="2" w:space="0"/>
            </w:tcBorders>
            <w:tcMar>
              <w:top w:w="22" w:type="dxa"/>
              <w:left w:w="28" w:type="dxa"/>
              <w:bottom w:w="22" w:type="dxa"/>
              <w:right w:w="28" w:type="dxa"/>
            </w:tcMar>
          </w:tcPr>
          <w:p w:rsidR="006B6965" w:rsidRDefault="003A166B" w14:paraId="210A48AD" w14:textId="77777777">
            <w:pPr>
              <w:pStyle w:val="p-table"/>
              <w:jc w:val="right"/>
              <w:rPr>
                <w:sz w:val="17"/>
              </w:rPr>
            </w:pPr>
            <w:r>
              <w:rPr>
                <w:b/>
                <w:sz w:val="17"/>
              </w:rPr>
              <w:t>86.070</w:t>
            </w:r>
          </w:p>
        </w:tc>
      </w:tr>
      <w:tr w:rsidR="006B6965" w14:paraId="26DAD7A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40AAA9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83FA1B2"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1C2B1C15" w14:textId="77777777">
            <w:pPr>
              <w:pStyle w:val="p-table"/>
              <w:jc w:val="right"/>
              <w:rPr>
                <w:sz w:val="17"/>
              </w:rPr>
            </w:pPr>
            <w:r>
              <w:rPr>
                <w:i/>
                <w:sz w:val="17"/>
              </w:rPr>
              <w:t>18.503</w:t>
            </w:r>
          </w:p>
        </w:tc>
        <w:tc>
          <w:tcPr>
            <w:tcW w:w="1377" w:type="dxa"/>
            <w:tcBorders>
              <w:bottom w:val="single" w:color="009EE0" w:sz="2" w:space="0"/>
            </w:tcBorders>
            <w:tcMar>
              <w:top w:w="22" w:type="dxa"/>
              <w:left w:w="28" w:type="dxa"/>
              <w:bottom w:w="22" w:type="dxa"/>
              <w:right w:w="28" w:type="dxa"/>
            </w:tcMar>
          </w:tcPr>
          <w:p w:rsidR="006B6965" w:rsidRDefault="003A166B" w14:paraId="3CE1131E" w14:textId="77777777">
            <w:pPr>
              <w:pStyle w:val="p-table"/>
              <w:jc w:val="right"/>
              <w:rPr>
                <w:sz w:val="17"/>
              </w:rPr>
            </w:pPr>
            <w:r>
              <w:rPr>
                <w:i/>
                <w:sz w:val="17"/>
              </w:rPr>
              <w:t>‒</w:t>
            </w:r>
            <w:r>
              <w:rPr>
                <w:i/>
                <w:sz w:val="17"/>
              </w:rPr>
              <w:t xml:space="preserve"> 2.834</w:t>
            </w:r>
          </w:p>
        </w:tc>
        <w:tc>
          <w:tcPr>
            <w:tcW w:w="1377" w:type="dxa"/>
            <w:tcBorders>
              <w:bottom w:val="single" w:color="009EE0" w:sz="2" w:space="0"/>
            </w:tcBorders>
            <w:tcMar>
              <w:top w:w="22" w:type="dxa"/>
              <w:left w:w="28" w:type="dxa"/>
              <w:bottom w:w="22" w:type="dxa"/>
              <w:right w:w="28" w:type="dxa"/>
            </w:tcMar>
          </w:tcPr>
          <w:p w:rsidR="006B6965" w:rsidRDefault="003A166B" w14:paraId="21A7364C" w14:textId="77777777">
            <w:pPr>
              <w:pStyle w:val="p-table"/>
              <w:jc w:val="right"/>
              <w:rPr>
                <w:sz w:val="17"/>
              </w:rPr>
            </w:pPr>
            <w:r>
              <w:rPr>
                <w:i/>
                <w:sz w:val="17"/>
              </w:rPr>
              <w:t>15.669</w:t>
            </w:r>
          </w:p>
        </w:tc>
      </w:tr>
      <w:tr w:rsidR="006B6965" w14:paraId="5963087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48F030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D74A8BE" w14:textId="77777777">
            <w:pPr>
              <w:pStyle w:val="p-table"/>
              <w:rPr>
                <w:sz w:val="17"/>
              </w:rPr>
            </w:pPr>
            <w:r>
              <w:rPr>
                <w:sz w:val="17"/>
              </w:rPr>
              <w:t>Uitvoering Duurzame productketens</w:t>
            </w:r>
          </w:p>
        </w:tc>
        <w:tc>
          <w:tcPr>
            <w:tcW w:w="1377" w:type="dxa"/>
            <w:tcBorders>
              <w:bottom w:val="single" w:color="009EE0" w:sz="2" w:space="0"/>
            </w:tcBorders>
            <w:tcMar>
              <w:top w:w="22" w:type="dxa"/>
              <w:left w:w="28" w:type="dxa"/>
              <w:bottom w:w="22" w:type="dxa"/>
              <w:right w:w="28" w:type="dxa"/>
            </w:tcMar>
          </w:tcPr>
          <w:p w:rsidR="006B6965" w:rsidRDefault="003A166B" w14:paraId="2F7A6282" w14:textId="77777777">
            <w:pPr>
              <w:pStyle w:val="p-table"/>
              <w:jc w:val="right"/>
              <w:rPr>
                <w:sz w:val="17"/>
              </w:rPr>
            </w:pPr>
            <w:r>
              <w:rPr>
                <w:sz w:val="17"/>
              </w:rPr>
              <w:t>9.112</w:t>
            </w:r>
          </w:p>
        </w:tc>
        <w:tc>
          <w:tcPr>
            <w:tcW w:w="1377" w:type="dxa"/>
            <w:tcBorders>
              <w:bottom w:val="single" w:color="009EE0" w:sz="2" w:space="0"/>
            </w:tcBorders>
            <w:tcMar>
              <w:top w:w="22" w:type="dxa"/>
              <w:left w:w="28" w:type="dxa"/>
              <w:bottom w:w="22" w:type="dxa"/>
              <w:right w:w="28" w:type="dxa"/>
            </w:tcMar>
          </w:tcPr>
          <w:p w:rsidR="006B6965" w:rsidRDefault="003A166B" w14:paraId="0521D4D8" w14:textId="77777777">
            <w:pPr>
              <w:pStyle w:val="p-table"/>
              <w:jc w:val="right"/>
              <w:rPr>
                <w:sz w:val="17"/>
              </w:rPr>
            </w:pPr>
            <w:r>
              <w:rPr>
                <w:sz w:val="17"/>
              </w:rPr>
              <w:t>‒</w:t>
            </w:r>
            <w:r>
              <w:rPr>
                <w:sz w:val="17"/>
              </w:rPr>
              <w:t xml:space="preserve"> 1.491</w:t>
            </w:r>
          </w:p>
        </w:tc>
        <w:tc>
          <w:tcPr>
            <w:tcW w:w="1377" w:type="dxa"/>
            <w:tcBorders>
              <w:bottom w:val="single" w:color="009EE0" w:sz="2" w:space="0"/>
            </w:tcBorders>
            <w:tcMar>
              <w:top w:w="22" w:type="dxa"/>
              <w:left w:w="28" w:type="dxa"/>
              <w:bottom w:w="22" w:type="dxa"/>
              <w:right w:w="28" w:type="dxa"/>
            </w:tcMar>
          </w:tcPr>
          <w:p w:rsidR="006B6965" w:rsidRDefault="003A166B" w14:paraId="7DEF1E1C" w14:textId="77777777">
            <w:pPr>
              <w:pStyle w:val="p-table"/>
              <w:jc w:val="right"/>
              <w:rPr>
                <w:sz w:val="17"/>
              </w:rPr>
            </w:pPr>
            <w:r>
              <w:rPr>
                <w:sz w:val="17"/>
              </w:rPr>
              <w:t>7.621</w:t>
            </w:r>
          </w:p>
        </w:tc>
      </w:tr>
      <w:tr w:rsidR="006B6965" w14:paraId="5DABF5A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749880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AF4BF4C" w14:textId="77777777">
            <w:pPr>
              <w:pStyle w:val="p-table"/>
              <w:rPr>
                <w:sz w:val="17"/>
              </w:rPr>
            </w:pPr>
            <w:r>
              <w:rPr>
                <w:sz w:val="17"/>
              </w:rPr>
              <w:t>KF - Circulair doen en gedrag</w:t>
            </w:r>
          </w:p>
        </w:tc>
        <w:tc>
          <w:tcPr>
            <w:tcW w:w="1377" w:type="dxa"/>
            <w:tcBorders>
              <w:bottom w:val="single" w:color="009EE0" w:sz="2" w:space="0"/>
            </w:tcBorders>
            <w:tcMar>
              <w:top w:w="22" w:type="dxa"/>
              <w:left w:w="28" w:type="dxa"/>
              <w:bottom w:w="22" w:type="dxa"/>
              <w:right w:w="28" w:type="dxa"/>
            </w:tcMar>
          </w:tcPr>
          <w:p w:rsidR="006B6965" w:rsidRDefault="003A166B" w14:paraId="4A5BB461" w14:textId="77777777">
            <w:pPr>
              <w:pStyle w:val="p-table"/>
              <w:jc w:val="right"/>
              <w:rPr>
                <w:sz w:val="17"/>
              </w:rPr>
            </w:pPr>
            <w:r>
              <w:rPr>
                <w:sz w:val="17"/>
              </w:rPr>
              <w:t>1.172</w:t>
            </w:r>
          </w:p>
        </w:tc>
        <w:tc>
          <w:tcPr>
            <w:tcW w:w="1377" w:type="dxa"/>
            <w:tcBorders>
              <w:bottom w:val="single" w:color="009EE0" w:sz="2" w:space="0"/>
            </w:tcBorders>
            <w:tcMar>
              <w:top w:w="22" w:type="dxa"/>
              <w:left w:w="28" w:type="dxa"/>
              <w:bottom w:w="22" w:type="dxa"/>
              <w:right w:w="28" w:type="dxa"/>
            </w:tcMar>
          </w:tcPr>
          <w:p w:rsidR="006B6965" w:rsidRDefault="003A166B" w14:paraId="3B23CB20" w14:textId="77777777">
            <w:pPr>
              <w:pStyle w:val="p-table"/>
              <w:jc w:val="right"/>
              <w:rPr>
                <w:sz w:val="17"/>
              </w:rPr>
            </w:pPr>
            <w:r>
              <w:rPr>
                <w:sz w:val="17"/>
              </w:rPr>
              <w:t>‒</w:t>
            </w:r>
            <w:r>
              <w:rPr>
                <w:sz w:val="17"/>
              </w:rPr>
              <w:t xml:space="preserve"> 621</w:t>
            </w:r>
          </w:p>
        </w:tc>
        <w:tc>
          <w:tcPr>
            <w:tcW w:w="1377" w:type="dxa"/>
            <w:tcBorders>
              <w:bottom w:val="single" w:color="009EE0" w:sz="2" w:space="0"/>
            </w:tcBorders>
            <w:tcMar>
              <w:top w:w="22" w:type="dxa"/>
              <w:left w:w="28" w:type="dxa"/>
              <w:bottom w:w="22" w:type="dxa"/>
              <w:right w:w="28" w:type="dxa"/>
            </w:tcMar>
          </w:tcPr>
          <w:p w:rsidR="006B6965" w:rsidRDefault="003A166B" w14:paraId="673454F4" w14:textId="77777777">
            <w:pPr>
              <w:pStyle w:val="p-table"/>
              <w:jc w:val="right"/>
              <w:rPr>
                <w:sz w:val="17"/>
              </w:rPr>
            </w:pPr>
            <w:r>
              <w:rPr>
                <w:sz w:val="17"/>
              </w:rPr>
              <w:t>551</w:t>
            </w:r>
          </w:p>
        </w:tc>
      </w:tr>
      <w:tr w:rsidR="006B6965" w14:paraId="171C318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8FCA9F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0104FF5" w14:textId="77777777">
            <w:pPr>
              <w:pStyle w:val="p-table"/>
              <w:rPr>
                <w:sz w:val="17"/>
              </w:rPr>
            </w:pPr>
            <w:r>
              <w:rPr>
                <w:sz w:val="17"/>
              </w:rPr>
              <w:t xml:space="preserve">KF - </w:t>
            </w:r>
            <w:proofErr w:type="spellStart"/>
            <w:r>
              <w:rPr>
                <w:sz w:val="17"/>
              </w:rPr>
              <w:t>Biobased</w:t>
            </w:r>
            <w:proofErr w:type="spellEnd"/>
            <w:r>
              <w:rPr>
                <w:sz w:val="17"/>
              </w:rPr>
              <w:t xml:space="preserve"> bouwen</w:t>
            </w:r>
          </w:p>
        </w:tc>
        <w:tc>
          <w:tcPr>
            <w:tcW w:w="1377" w:type="dxa"/>
            <w:tcBorders>
              <w:bottom w:val="single" w:color="009EE0" w:sz="2" w:space="0"/>
            </w:tcBorders>
            <w:tcMar>
              <w:top w:w="22" w:type="dxa"/>
              <w:left w:w="28" w:type="dxa"/>
              <w:bottom w:w="22" w:type="dxa"/>
              <w:right w:w="28" w:type="dxa"/>
            </w:tcMar>
          </w:tcPr>
          <w:p w:rsidR="006B6965" w:rsidRDefault="003A166B" w14:paraId="0CD80F79" w14:textId="77777777">
            <w:pPr>
              <w:pStyle w:val="p-table"/>
              <w:jc w:val="right"/>
              <w:rPr>
                <w:sz w:val="17"/>
              </w:rPr>
            </w:pPr>
            <w:r>
              <w:rPr>
                <w:sz w:val="17"/>
              </w:rPr>
              <w:t>1.118</w:t>
            </w:r>
          </w:p>
        </w:tc>
        <w:tc>
          <w:tcPr>
            <w:tcW w:w="1377" w:type="dxa"/>
            <w:tcBorders>
              <w:bottom w:val="single" w:color="009EE0" w:sz="2" w:space="0"/>
            </w:tcBorders>
            <w:tcMar>
              <w:top w:w="22" w:type="dxa"/>
              <w:left w:w="28" w:type="dxa"/>
              <w:bottom w:w="22" w:type="dxa"/>
              <w:right w:w="28" w:type="dxa"/>
            </w:tcMar>
          </w:tcPr>
          <w:p w:rsidR="006B6965" w:rsidRDefault="003A166B" w14:paraId="57D6418A" w14:textId="77777777">
            <w:pPr>
              <w:pStyle w:val="p-table"/>
              <w:jc w:val="right"/>
              <w:rPr>
                <w:sz w:val="17"/>
              </w:rPr>
            </w:pPr>
            <w:r>
              <w:rPr>
                <w:sz w:val="17"/>
              </w:rPr>
              <w:t>‒</w:t>
            </w:r>
            <w:r>
              <w:rPr>
                <w:sz w:val="17"/>
              </w:rPr>
              <w:t xml:space="preserve"> 729</w:t>
            </w:r>
          </w:p>
        </w:tc>
        <w:tc>
          <w:tcPr>
            <w:tcW w:w="1377" w:type="dxa"/>
            <w:tcBorders>
              <w:bottom w:val="single" w:color="009EE0" w:sz="2" w:space="0"/>
            </w:tcBorders>
            <w:tcMar>
              <w:top w:w="22" w:type="dxa"/>
              <w:left w:w="28" w:type="dxa"/>
              <w:bottom w:w="22" w:type="dxa"/>
              <w:right w:w="28" w:type="dxa"/>
            </w:tcMar>
          </w:tcPr>
          <w:p w:rsidR="006B6965" w:rsidRDefault="003A166B" w14:paraId="519D358D" w14:textId="77777777">
            <w:pPr>
              <w:pStyle w:val="p-table"/>
              <w:jc w:val="right"/>
              <w:rPr>
                <w:sz w:val="17"/>
              </w:rPr>
            </w:pPr>
            <w:r>
              <w:rPr>
                <w:sz w:val="17"/>
              </w:rPr>
              <w:t>389</w:t>
            </w:r>
          </w:p>
        </w:tc>
      </w:tr>
      <w:tr w:rsidR="006B6965" w14:paraId="0844100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FA3B5B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67F32DB"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48CEBB53" w14:textId="77777777">
            <w:pPr>
              <w:pStyle w:val="p-table"/>
              <w:jc w:val="right"/>
              <w:rPr>
                <w:sz w:val="17"/>
              </w:rPr>
            </w:pPr>
            <w:r>
              <w:rPr>
                <w:sz w:val="17"/>
              </w:rPr>
              <w:t>7.101</w:t>
            </w:r>
          </w:p>
        </w:tc>
        <w:tc>
          <w:tcPr>
            <w:tcW w:w="1377" w:type="dxa"/>
            <w:tcBorders>
              <w:bottom w:val="single" w:color="009EE0" w:sz="2" w:space="0"/>
            </w:tcBorders>
            <w:tcMar>
              <w:top w:w="22" w:type="dxa"/>
              <w:left w:w="28" w:type="dxa"/>
              <w:bottom w:w="22" w:type="dxa"/>
              <w:right w:w="28" w:type="dxa"/>
            </w:tcMar>
          </w:tcPr>
          <w:p w:rsidR="006B6965" w:rsidRDefault="003A166B" w14:paraId="3DF528BB" w14:textId="77777777">
            <w:pPr>
              <w:pStyle w:val="p-table"/>
              <w:jc w:val="right"/>
              <w:rPr>
                <w:sz w:val="17"/>
              </w:rPr>
            </w:pPr>
            <w:r>
              <w:rPr>
                <w:sz w:val="17"/>
              </w:rPr>
              <w:t>7</w:t>
            </w:r>
          </w:p>
        </w:tc>
        <w:tc>
          <w:tcPr>
            <w:tcW w:w="1377" w:type="dxa"/>
            <w:tcBorders>
              <w:bottom w:val="single" w:color="009EE0" w:sz="2" w:space="0"/>
            </w:tcBorders>
            <w:tcMar>
              <w:top w:w="22" w:type="dxa"/>
              <w:left w:w="28" w:type="dxa"/>
              <w:bottom w:w="22" w:type="dxa"/>
              <w:right w:w="28" w:type="dxa"/>
            </w:tcMar>
          </w:tcPr>
          <w:p w:rsidR="006B6965" w:rsidRDefault="003A166B" w14:paraId="01287603" w14:textId="77777777">
            <w:pPr>
              <w:pStyle w:val="p-table"/>
              <w:jc w:val="right"/>
              <w:rPr>
                <w:sz w:val="17"/>
              </w:rPr>
            </w:pPr>
            <w:r>
              <w:rPr>
                <w:sz w:val="17"/>
              </w:rPr>
              <w:t>7.108</w:t>
            </w:r>
          </w:p>
        </w:tc>
      </w:tr>
      <w:tr w:rsidR="006B6965" w14:paraId="70B41D1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627CC9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FDF847F"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2CEAC591" w14:textId="77777777">
            <w:pPr>
              <w:pStyle w:val="p-table"/>
              <w:jc w:val="right"/>
              <w:rPr>
                <w:sz w:val="17"/>
              </w:rPr>
            </w:pPr>
            <w:r>
              <w:rPr>
                <w:i/>
                <w:sz w:val="17"/>
              </w:rPr>
              <w:t>45.246</w:t>
            </w:r>
          </w:p>
        </w:tc>
        <w:tc>
          <w:tcPr>
            <w:tcW w:w="1377" w:type="dxa"/>
            <w:tcBorders>
              <w:bottom w:val="single" w:color="009EE0" w:sz="2" w:space="0"/>
            </w:tcBorders>
            <w:tcMar>
              <w:top w:w="22" w:type="dxa"/>
              <w:left w:w="28" w:type="dxa"/>
              <w:bottom w:w="22" w:type="dxa"/>
              <w:right w:w="28" w:type="dxa"/>
            </w:tcMar>
          </w:tcPr>
          <w:p w:rsidR="006B6965" w:rsidRDefault="003A166B" w14:paraId="45AA25D1" w14:textId="77777777">
            <w:pPr>
              <w:pStyle w:val="p-table"/>
              <w:jc w:val="right"/>
              <w:rPr>
                <w:sz w:val="17"/>
              </w:rPr>
            </w:pPr>
            <w:r>
              <w:rPr>
                <w:i/>
                <w:sz w:val="17"/>
              </w:rPr>
              <w:t>‒</w:t>
            </w:r>
            <w:r>
              <w:rPr>
                <w:i/>
                <w:sz w:val="17"/>
              </w:rPr>
              <w:t xml:space="preserve"> 7.190</w:t>
            </w:r>
          </w:p>
        </w:tc>
        <w:tc>
          <w:tcPr>
            <w:tcW w:w="1377" w:type="dxa"/>
            <w:tcBorders>
              <w:bottom w:val="single" w:color="009EE0" w:sz="2" w:space="0"/>
            </w:tcBorders>
            <w:tcMar>
              <w:top w:w="22" w:type="dxa"/>
              <w:left w:w="28" w:type="dxa"/>
              <w:bottom w:w="22" w:type="dxa"/>
              <w:right w:w="28" w:type="dxa"/>
            </w:tcMar>
          </w:tcPr>
          <w:p w:rsidR="006B6965" w:rsidRDefault="003A166B" w14:paraId="2B798A1C" w14:textId="77777777">
            <w:pPr>
              <w:pStyle w:val="p-table"/>
              <w:jc w:val="right"/>
              <w:rPr>
                <w:sz w:val="17"/>
              </w:rPr>
            </w:pPr>
            <w:r>
              <w:rPr>
                <w:i/>
                <w:sz w:val="17"/>
              </w:rPr>
              <w:t>38.056</w:t>
            </w:r>
          </w:p>
        </w:tc>
      </w:tr>
      <w:tr w:rsidR="006B6965" w14:paraId="360E338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8CC57F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25868F0" w14:textId="77777777">
            <w:pPr>
              <w:pStyle w:val="p-table"/>
              <w:rPr>
                <w:sz w:val="17"/>
              </w:rPr>
            </w:pPr>
            <w:r>
              <w:rPr>
                <w:sz w:val="17"/>
              </w:rPr>
              <w:t xml:space="preserve">Subsidies duurzame </w:t>
            </w:r>
            <w:r>
              <w:rPr>
                <w:sz w:val="17"/>
              </w:rPr>
              <w:t>productketens</w:t>
            </w:r>
          </w:p>
        </w:tc>
        <w:tc>
          <w:tcPr>
            <w:tcW w:w="1377" w:type="dxa"/>
            <w:tcBorders>
              <w:bottom w:val="single" w:color="009EE0" w:sz="2" w:space="0"/>
            </w:tcBorders>
            <w:tcMar>
              <w:top w:w="22" w:type="dxa"/>
              <w:left w:w="28" w:type="dxa"/>
              <w:bottom w:w="22" w:type="dxa"/>
              <w:right w:w="28" w:type="dxa"/>
            </w:tcMar>
          </w:tcPr>
          <w:p w:rsidR="006B6965" w:rsidRDefault="003A166B" w14:paraId="74BEABD5" w14:textId="77777777">
            <w:pPr>
              <w:pStyle w:val="p-table"/>
              <w:jc w:val="right"/>
              <w:rPr>
                <w:sz w:val="17"/>
              </w:rPr>
            </w:pPr>
            <w:r>
              <w:rPr>
                <w:sz w:val="17"/>
              </w:rPr>
              <w:t>19.349</w:t>
            </w:r>
          </w:p>
        </w:tc>
        <w:tc>
          <w:tcPr>
            <w:tcW w:w="1377" w:type="dxa"/>
            <w:tcBorders>
              <w:bottom w:val="single" w:color="009EE0" w:sz="2" w:space="0"/>
            </w:tcBorders>
            <w:tcMar>
              <w:top w:w="22" w:type="dxa"/>
              <w:left w:w="28" w:type="dxa"/>
              <w:bottom w:w="22" w:type="dxa"/>
              <w:right w:w="28" w:type="dxa"/>
            </w:tcMar>
          </w:tcPr>
          <w:p w:rsidR="006B6965" w:rsidRDefault="003A166B" w14:paraId="51D2F2C1" w14:textId="77777777">
            <w:pPr>
              <w:pStyle w:val="p-table"/>
              <w:jc w:val="right"/>
              <w:rPr>
                <w:sz w:val="17"/>
              </w:rPr>
            </w:pPr>
            <w:r>
              <w:rPr>
                <w:sz w:val="17"/>
              </w:rPr>
              <w:t>‒</w:t>
            </w:r>
            <w:r>
              <w:rPr>
                <w:sz w:val="17"/>
              </w:rPr>
              <w:t xml:space="preserve"> 75</w:t>
            </w:r>
          </w:p>
        </w:tc>
        <w:tc>
          <w:tcPr>
            <w:tcW w:w="1377" w:type="dxa"/>
            <w:tcBorders>
              <w:bottom w:val="single" w:color="009EE0" w:sz="2" w:space="0"/>
            </w:tcBorders>
            <w:tcMar>
              <w:top w:w="22" w:type="dxa"/>
              <w:left w:w="28" w:type="dxa"/>
              <w:bottom w:w="22" w:type="dxa"/>
              <w:right w:w="28" w:type="dxa"/>
            </w:tcMar>
          </w:tcPr>
          <w:p w:rsidR="006B6965" w:rsidRDefault="003A166B" w14:paraId="24B7B101" w14:textId="77777777">
            <w:pPr>
              <w:pStyle w:val="p-table"/>
              <w:jc w:val="right"/>
              <w:rPr>
                <w:sz w:val="17"/>
              </w:rPr>
            </w:pPr>
            <w:r>
              <w:rPr>
                <w:sz w:val="17"/>
              </w:rPr>
              <w:t>19.274</w:t>
            </w:r>
          </w:p>
        </w:tc>
      </w:tr>
      <w:tr w:rsidR="006B6965" w14:paraId="35295D5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9DAA1E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382AE35" w14:textId="77777777">
            <w:pPr>
              <w:pStyle w:val="p-table"/>
              <w:rPr>
                <w:sz w:val="17"/>
              </w:rPr>
            </w:pPr>
            <w:r>
              <w:rPr>
                <w:sz w:val="17"/>
              </w:rPr>
              <w:t>KF - DEI + CE</w:t>
            </w:r>
          </w:p>
        </w:tc>
        <w:tc>
          <w:tcPr>
            <w:tcW w:w="1377" w:type="dxa"/>
            <w:tcBorders>
              <w:bottom w:val="single" w:color="009EE0" w:sz="2" w:space="0"/>
            </w:tcBorders>
            <w:tcMar>
              <w:top w:w="22" w:type="dxa"/>
              <w:left w:w="28" w:type="dxa"/>
              <w:bottom w:w="22" w:type="dxa"/>
              <w:right w:w="28" w:type="dxa"/>
            </w:tcMar>
          </w:tcPr>
          <w:p w:rsidR="006B6965" w:rsidRDefault="003A166B" w14:paraId="3761E811" w14:textId="77777777">
            <w:pPr>
              <w:pStyle w:val="p-table"/>
              <w:jc w:val="right"/>
              <w:rPr>
                <w:sz w:val="17"/>
              </w:rPr>
            </w:pPr>
            <w:r>
              <w:rPr>
                <w:sz w:val="17"/>
              </w:rPr>
              <w:t>6.527</w:t>
            </w:r>
          </w:p>
        </w:tc>
        <w:tc>
          <w:tcPr>
            <w:tcW w:w="1377" w:type="dxa"/>
            <w:tcBorders>
              <w:bottom w:val="single" w:color="009EE0" w:sz="2" w:space="0"/>
            </w:tcBorders>
            <w:tcMar>
              <w:top w:w="22" w:type="dxa"/>
              <w:left w:w="28" w:type="dxa"/>
              <w:bottom w:w="22" w:type="dxa"/>
              <w:right w:w="28" w:type="dxa"/>
            </w:tcMar>
          </w:tcPr>
          <w:p w:rsidR="006B6965" w:rsidRDefault="003A166B" w14:paraId="4210B296" w14:textId="77777777">
            <w:pPr>
              <w:pStyle w:val="p-table"/>
              <w:jc w:val="right"/>
              <w:rPr>
                <w:sz w:val="17"/>
              </w:rPr>
            </w:pPr>
            <w:r>
              <w:rPr>
                <w:sz w:val="17"/>
              </w:rPr>
              <w:t>‒</w:t>
            </w:r>
            <w:r>
              <w:rPr>
                <w:sz w:val="17"/>
              </w:rPr>
              <w:t xml:space="preserve"> 3.682</w:t>
            </w:r>
          </w:p>
        </w:tc>
        <w:tc>
          <w:tcPr>
            <w:tcW w:w="1377" w:type="dxa"/>
            <w:tcBorders>
              <w:bottom w:val="single" w:color="009EE0" w:sz="2" w:space="0"/>
            </w:tcBorders>
            <w:tcMar>
              <w:top w:w="22" w:type="dxa"/>
              <w:left w:w="28" w:type="dxa"/>
              <w:bottom w:w="22" w:type="dxa"/>
              <w:right w:w="28" w:type="dxa"/>
            </w:tcMar>
          </w:tcPr>
          <w:p w:rsidR="006B6965" w:rsidRDefault="003A166B" w14:paraId="159FF93D" w14:textId="77777777">
            <w:pPr>
              <w:pStyle w:val="p-table"/>
              <w:jc w:val="right"/>
              <w:rPr>
                <w:sz w:val="17"/>
              </w:rPr>
            </w:pPr>
            <w:r>
              <w:rPr>
                <w:sz w:val="17"/>
              </w:rPr>
              <w:t>2.845</w:t>
            </w:r>
          </w:p>
        </w:tc>
      </w:tr>
      <w:tr w:rsidR="006B6965" w14:paraId="4528C08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EEEDE0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CC94D78" w14:textId="77777777">
            <w:pPr>
              <w:pStyle w:val="p-table"/>
              <w:rPr>
                <w:sz w:val="17"/>
              </w:rPr>
            </w:pPr>
            <w:r>
              <w:rPr>
                <w:sz w:val="17"/>
              </w:rPr>
              <w:t>KF - circulair doen en gedrag</w:t>
            </w:r>
          </w:p>
        </w:tc>
        <w:tc>
          <w:tcPr>
            <w:tcW w:w="1377" w:type="dxa"/>
            <w:tcBorders>
              <w:bottom w:val="single" w:color="009EE0" w:sz="2" w:space="0"/>
            </w:tcBorders>
            <w:tcMar>
              <w:top w:w="22" w:type="dxa"/>
              <w:left w:w="28" w:type="dxa"/>
              <w:bottom w:w="22" w:type="dxa"/>
              <w:right w:w="28" w:type="dxa"/>
            </w:tcMar>
          </w:tcPr>
          <w:p w:rsidR="006B6965" w:rsidRDefault="003A166B" w14:paraId="51ADF000" w14:textId="77777777">
            <w:pPr>
              <w:pStyle w:val="p-table"/>
              <w:jc w:val="right"/>
              <w:rPr>
                <w:sz w:val="17"/>
              </w:rPr>
            </w:pPr>
            <w:r>
              <w:rPr>
                <w:sz w:val="17"/>
              </w:rPr>
              <w:t>1.380</w:t>
            </w:r>
          </w:p>
        </w:tc>
        <w:tc>
          <w:tcPr>
            <w:tcW w:w="1377" w:type="dxa"/>
            <w:tcBorders>
              <w:bottom w:val="single" w:color="009EE0" w:sz="2" w:space="0"/>
            </w:tcBorders>
            <w:tcMar>
              <w:top w:w="22" w:type="dxa"/>
              <w:left w:w="28" w:type="dxa"/>
              <w:bottom w:w="22" w:type="dxa"/>
              <w:right w:w="28" w:type="dxa"/>
            </w:tcMar>
          </w:tcPr>
          <w:p w:rsidR="006B6965" w:rsidRDefault="003A166B" w14:paraId="18DD1023" w14:textId="77777777">
            <w:pPr>
              <w:pStyle w:val="p-table"/>
              <w:jc w:val="right"/>
              <w:rPr>
                <w:sz w:val="17"/>
              </w:rPr>
            </w:pPr>
            <w:r>
              <w:rPr>
                <w:sz w:val="17"/>
              </w:rPr>
              <w:t>‒</w:t>
            </w:r>
            <w:r>
              <w:rPr>
                <w:sz w:val="17"/>
              </w:rPr>
              <w:t xml:space="preserve"> 820</w:t>
            </w:r>
          </w:p>
        </w:tc>
        <w:tc>
          <w:tcPr>
            <w:tcW w:w="1377" w:type="dxa"/>
            <w:tcBorders>
              <w:bottom w:val="single" w:color="009EE0" w:sz="2" w:space="0"/>
            </w:tcBorders>
            <w:tcMar>
              <w:top w:w="22" w:type="dxa"/>
              <w:left w:w="28" w:type="dxa"/>
              <w:bottom w:w="22" w:type="dxa"/>
              <w:right w:w="28" w:type="dxa"/>
            </w:tcMar>
          </w:tcPr>
          <w:p w:rsidR="006B6965" w:rsidRDefault="003A166B" w14:paraId="73C0C3E9" w14:textId="77777777">
            <w:pPr>
              <w:pStyle w:val="p-table"/>
              <w:jc w:val="right"/>
              <w:rPr>
                <w:sz w:val="17"/>
              </w:rPr>
            </w:pPr>
            <w:r>
              <w:rPr>
                <w:sz w:val="17"/>
              </w:rPr>
              <w:t>560</w:t>
            </w:r>
          </w:p>
        </w:tc>
      </w:tr>
      <w:tr w:rsidR="006B6965" w14:paraId="4CFC069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76DB5E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6E86317" w14:textId="77777777">
            <w:pPr>
              <w:pStyle w:val="p-table"/>
              <w:rPr>
                <w:sz w:val="17"/>
              </w:rPr>
            </w:pPr>
            <w:r>
              <w:rPr>
                <w:sz w:val="17"/>
              </w:rPr>
              <w:t>KF - Plastics norm</w:t>
            </w:r>
          </w:p>
        </w:tc>
        <w:tc>
          <w:tcPr>
            <w:tcW w:w="1377" w:type="dxa"/>
            <w:tcBorders>
              <w:bottom w:val="single" w:color="009EE0" w:sz="2" w:space="0"/>
            </w:tcBorders>
            <w:tcMar>
              <w:top w:w="22" w:type="dxa"/>
              <w:left w:w="28" w:type="dxa"/>
              <w:bottom w:w="22" w:type="dxa"/>
              <w:right w:w="28" w:type="dxa"/>
            </w:tcMar>
          </w:tcPr>
          <w:p w:rsidR="006B6965" w:rsidRDefault="003A166B" w14:paraId="2C2E5315" w14:textId="77777777">
            <w:pPr>
              <w:pStyle w:val="p-table"/>
              <w:jc w:val="right"/>
              <w:rPr>
                <w:sz w:val="17"/>
              </w:rPr>
            </w:pPr>
            <w:r>
              <w:rPr>
                <w:sz w:val="17"/>
              </w:rPr>
              <w:t>17.990</w:t>
            </w:r>
          </w:p>
        </w:tc>
        <w:tc>
          <w:tcPr>
            <w:tcW w:w="1377" w:type="dxa"/>
            <w:tcBorders>
              <w:bottom w:val="single" w:color="009EE0" w:sz="2" w:space="0"/>
            </w:tcBorders>
            <w:tcMar>
              <w:top w:w="22" w:type="dxa"/>
              <w:left w:w="28" w:type="dxa"/>
              <w:bottom w:w="22" w:type="dxa"/>
              <w:right w:w="28" w:type="dxa"/>
            </w:tcMar>
          </w:tcPr>
          <w:p w:rsidR="006B6965" w:rsidRDefault="003A166B" w14:paraId="08360B6C" w14:textId="77777777">
            <w:pPr>
              <w:pStyle w:val="p-table"/>
              <w:jc w:val="right"/>
              <w:rPr>
                <w:sz w:val="17"/>
              </w:rPr>
            </w:pPr>
            <w:r>
              <w:rPr>
                <w:sz w:val="17"/>
              </w:rPr>
              <w:t>‒</w:t>
            </w:r>
            <w:r>
              <w:rPr>
                <w:sz w:val="17"/>
              </w:rPr>
              <w:t xml:space="preserve"> 2.693</w:t>
            </w:r>
          </w:p>
        </w:tc>
        <w:tc>
          <w:tcPr>
            <w:tcW w:w="1377" w:type="dxa"/>
            <w:tcBorders>
              <w:bottom w:val="single" w:color="009EE0" w:sz="2" w:space="0"/>
            </w:tcBorders>
            <w:tcMar>
              <w:top w:w="22" w:type="dxa"/>
              <w:left w:w="28" w:type="dxa"/>
              <w:bottom w:w="22" w:type="dxa"/>
              <w:right w:w="28" w:type="dxa"/>
            </w:tcMar>
          </w:tcPr>
          <w:p w:rsidR="006B6965" w:rsidRDefault="003A166B" w14:paraId="1C60E9F4" w14:textId="77777777">
            <w:pPr>
              <w:pStyle w:val="p-table"/>
              <w:jc w:val="right"/>
              <w:rPr>
                <w:sz w:val="17"/>
              </w:rPr>
            </w:pPr>
            <w:r>
              <w:rPr>
                <w:sz w:val="17"/>
              </w:rPr>
              <w:t>15.297</w:t>
            </w:r>
          </w:p>
        </w:tc>
      </w:tr>
      <w:tr w:rsidR="006B6965" w14:paraId="5BDEC94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B94A2B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0344A76" w14:textId="77777777">
            <w:pPr>
              <w:pStyle w:val="p-table"/>
              <w:rPr>
                <w:sz w:val="17"/>
              </w:rPr>
            </w:pPr>
            <w:r>
              <w:rPr>
                <w:sz w:val="17"/>
              </w:rPr>
              <w:t xml:space="preserve">KF - </w:t>
            </w:r>
            <w:proofErr w:type="spellStart"/>
            <w:r>
              <w:rPr>
                <w:sz w:val="17"/>
              </w:rPr>
              <w:t>Biobased</w:t>
            </w:r>
            <w:proofErr w:type="spellEnd"/>
            <w:r>
              <w:rPr>
                <w:sz w:val="17"/>
              </w:rPr>
              <w:t xml:space="preserve"> Bouwen</w:t>
            </w:r>
          </w:p>
        </w:tc>
        <w:tc>
          <w:tcPr>
            <w:tcW w:w="1377" w:type="dxa"/>
            <w:tcBorders>
              <w:bottom w:val="single" w:color="009EE0" w:sz="2" w:space="0"/>
            </w:tcBorders>
            <w:tcMar>
              <w:top w:w="22" w:type="dxa"/>
              <w:left w:w="28" w:type="dxa"/>
              <w:bottom w:w="22" w:type="dxa"/>
              <w:right w:w="28" w:type="dxa"/>
            </w:tcMar>
          </w:tcPr>
          <w:p w:rsidR="006B6965" w:rsidRDefault="003A166B" w14:paraId="4119590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47911F3" w14:textId="77777777">
            <w:pPr>
              <w:pStyle w:val="p-table"/>
              <w:jc w:val="right"/>
              <w:rPr>
                <w:sz w:val="17"/>
              </w:rPr>
            </w:pPr>
            <w:r>
              <w:rPr>
                <w:sz w:val="17"/>
              </w:rPr>
              <w:t>80</w:t>
            </w:r>
          </w:p>
        </w:tc>
        <w:tc>
          <w:tcPr>
            <w:tcW w:w="1377" w:type="dxa"/>
            <w:tcBorders>
              <w:bottom w:val="single" w:color="009EE0" w:sz="2" w:space="0"/>
            </w:tcBorders>
            <w:tcMar>
              <w:top w:w="22" w:type="dxa"/>
              <w:left w:w="28" w:type="dxa"/>
              <w:bottom w:w="22" w:type="dxa"/>
              <w:right w:w="28" w:type="dxa"/>
            </w:tcMar>
          </w:tcPr>
          <w:p w:rsidR="006B6965" w:rsidRDefault="003A166B" w14:paraId="33B257CB" w14:textId="77777777">
            <w:pPr>
              <w:pStyle w:val="p-table"/>
              <w:jc w:val="right"/>
              <w:rPr>
                <w:sz w:val="17"/>
              </w:rPr>
            </w:pPr>
            <w:r>
              <w:rPr>
                <w:sz w:val="17"/>
              </w:rPr>
              <w:t>80</w:t>
            </w:r>
          </w:p>
        </w:tc>
      </w:tr>
      <w:tr w:rsidR="006B6965" w14:paraId="6AC966D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CDCB46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A00FCA8"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62E95F78" w14:textId="77777777">
            <w:pPr>
              <w:pStyle w:val="p-table"/>
              <w:jc w:val="right"/>
              <w:rPr>
                <w:sz w:val="17"/>
              </w:rPr>
            </w:pPr>
            <w:r>
              <w:rPr>
                <w:i/>
                <w:sz w:val="17"/>
              </w:rPr>
              <w:t>29.029</w:t>
            </w:r>
          </w:p>
        </w:tc>
        <w:tc>
          <w:tcPr>
            <w:tcW w:w="1377" w:type="dxa"/>
            <w:tcBorders>
              <w:bottom w:val="single" w:color="009EE0" w:sz="2" w:space="0"/>
            </w:tcBorders>
            <w:tcMar>
              <w:top w:w="22" w:type="dxa"/>
              <w:left w:w="28" w:type="dxa"/>
              <w:bottom w:w="22" w:type="dxa"/>
              <w:right w:w="28" w:type="dxa"/>
            </w:tcMar>
          </w:tcPr>
          <w:p w:rsidR="006B6965" w:rsidRDefault="003A166B" w14:paraId="2E005F67" w14:textId="77777777">
            <w:pPr>
              <w:pStyle w:val="p-table"/>
              <w:jc w:val="right"/>
              <w:rPr>
                <w:sz w:val="17"/>
              </w:rPr>
            </w:pPr>
            <w:r>
              <w:rPr>
                <w:i/>
                <w:sz w:val="17"/>
              </w:rPr>
              <w:t>1.164</w:t>
            </w:r>
          </w:p>
        </w:tc>
        <w:tc>
          <w:tcPr>
            <w:tcW w:w="1377" w:type="dxa"/>
            <w:tcBorders>
              <w:bottom w:val="single" w:color="009EE0" w:sz="2" w:space="0"/>
            </w:tcBorders>
            <w:tcMar>
              <w:top w:w="22" w:type="dxa"/>
              <w:left w:w="28" w:type="dxa"/>
              <w:bottom w:w="22" w:type="dxa"/>
              <w:right w:w="28" w:type="dxa"/>
            </w:tcMar>
          </w:tcPr>
          <w:p w:rsidR="006B6965" w:rsidRDefault="003A166B" w14:paraId="5F58BFF8" w14:textId="77777777">
            <w:pPr>
              <w:pStyle w:val="p-table"/>
              <w:jc w:val="right"/>
              <w:rPr>
                <w:sz w:val="17"/>
              </w:rPr>
            </w:pPr>
            <w:r>
              <w:rPr>
                <w:i/>
                <w:sz w:val="17"/>
              </w:rPr>
              <w:t>30.193</w:t>
            </w:r>
          </w:p>
        </w:tc>
      </w:tr>
      <w:tr w:rsidR="006B6965" w14:paraId="36D75CF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B7BD0A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7FF67B5" w14:textId="77777777">
            <w:pPr>
              <w:pStyle w:val="p-table"/>
              <w:rPr>
                <w:sz w:val="17"/>
              </w:rPr>
            </w:pPr>
            <w:r>
              <w:rPr>
                <w:sz w:val="17"/>
              </w:rPr>
              <w:t>Bijdrage aan RWS</w:t>
            </w:r>
          </w:p>
        </w:tc>
        <w:tc>
          <w:tcPr>
            <w:tcW w:w="1377" w:type="dxa"/>
            <w:tcBorders>
              <w:bottom w:val="single" w:color="009EE0" w:sz="2" w:space="0"/>
            </w:tcBorders>
            <w:tcMar>
              <w:top w:w="22" w:type="dxa"/>
              <w:left w:w="28" w:type="dxa"/>
              <w:bottom w:w="22" w:type="dxa"/>
              <w:right w:w="28" w:type="dxa"/>
            </w:tcMar>
          </w:tcPr>
          <w:p w:rsidR="006B6965" w:rsidRDefault="003A166B" w14:paraId="4C3A85F0" w14:textId="77777777">
            <w:pPr>
              <w:pStyle w:val="p-table"/>
              <w:jc w:val="right"/>
              <w:rPr>
                <w:sz w:val="17"/>
              </w:rPr>
            </w:pPr>
            <w:r>
              <w:rPr>
                <w:sz w:val="17"/>
              </w:rPr>
              <w:t>14.114</w:t>
            </w:r>
          </w:p>
        </w:tc>
        <w:tc>
          <w:tcPr>
            <w:tcW w:w="1377" w:type="dxa"/>
            <w:tcBorders>
              <w:bottom w:val="single" w:color="009EE0" w:sz="2" w:space="0"/>
            </w:tcBorders>
            <w:tcMar>
              <w:top w:w="22" w:type="dxa"/>
              <w:left w:w="28" w:type="dxa"/>
              <w:bottom w:w="22" w:type="dxa"/>
              <w:right w:w="28" w:type="dxa"/>
            </w:tcMar>
          </w:tcPr>
          <w:p w:rsidR="006B6965" w:rsidRDefault="003A166B" w14:paraId="7C311356" w14:textId="77777777">
            <w:pPr>
              <w:pStyle w:val="p-table"/>
              <w:jc w:val="right"/>
              <w:rPr>
                <w:sz w:val="17"/>
              </w:rPr>
            </w:pPr>
            <w:r>
              <w:rPr>
                <w:sz w:val="17"/>
              </w:rPr>
              <w:t>‒</w:t>
            </w:r>
            <w:r>
              <w:rPr>
                <w:sz w:val="17"/>
              </w:rPr>
              <w:t xml:space="preserve"> 662</w:t>
            </w:r>
          </w:p>
        </w:tc>
        <w:tc>
          <w:tcPr>
            <w:tcW w:w="1377" w:type="dxa"/>
            <w:tcBorders>
              <w:bottom w:val="single" w:color="009EE0" w:sz="2" w:space="0"/>
            </w:tcBorders>
            <w:tcMar>
              <w:top w:w="22" w:type="dxa"/>
              <w:left w:w="28" w:type="dxa"/>
              <w:bottom w:w="22" w:type="dxa"/>
              <w:right w:w="28" w:type="dxa"/>
            </w:tcMar>
          </w:tcPr>
          <w:p w:rsidR="006B6965" w:rsidRDefault="003A166B" w14:paraId="01BFD191" w14:textId="77777777">
            <w:pPr>
              <w:pStyle w:val="p-table"/>
              <w:jc w:val="right"/>
              <w:rPr>
                <w:sz w:val="17"/>
              </w:rPr>
            </w:pPr>
            <w:r>
              <w:rPr>
                <w:sz w:val="17"/>
              </w:rPr>
              <w:t>13.452</w:t>
            </w:r>
          </w:p>
        </w:tc>
      </w:tr>
      <w:tr w:rsidR="006B6965" w14:paraId="5B4B32C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F15B5B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EE9EDDF" w14:textId="77777777">
            <w:pPr>
              <w:pStyle w:val="p-table"/>
              <w:rPr>
                <w:sz w:val="17"/>
              </w:rPr>
            </w:pPr>
            <w:r>
              <w:rPr>
                <w:sz w:val="17"/>
              </w:rPr>
              <w:t>Bijdrage aan RVO</w:t>
            </w:r>
          </w:p>
        </w:tc>
        <w:tc>
          <w:tcPr>
            <w:tcW w:w="1377" w:type="dxa"/>
            <w:tcBorders>
              <w:bottom w:val="single" w:color="009EE0" w:sz="2" w:space="0"/>
            </w:tcBorders>
            <w:tcMar>
              <w:top w:w="22" w:type="dxa"/>
              <w:left w:w="28" w:type="dxa"/>
              <w:bottom w:w="22" w:type="dxa"/>
              <w:right w:w="28" w:type="dxa"/>
            </w:tcMar>
          </w:tcPr>
          <w:p w:rsidR="006B6965" w:rsidRDefault="003A166B" w14:paraId="6F577886" w14:textId="77777777">
            <w:pPr>
              <w:pStyle w:val="p-table"/>
              <w:jc w:val="right"/>
              <w:rPr>
                <w:sz w:val="17"/>
              </w:rPr>
            </w:pPr>
            <w:r>
              <w:rPr>
                <w:sz w:val="17"/>
              </w:rPr>
              <w:t>14.049</w:t>
            </w:r>
          </w:p>
        </w:tc>
        <w:tc>
          <w:tcPr>
            <w:tcW w:w="1377" w:type="dxa"/>
            <w:tcBorders>
              <w:bottom w:val="single" w:color="009EE0" w:sz="2" w:space="0"/>
            </w:tcBorders>
            <w:tcMar>
              <w:top w:w="22" w:type="dxa"/>
              <w:left w:w="28" w:type="dxa"/>
              <w:bottom w:w="22" w:type="dxa"/>
              <w:right w:w="28" w:type="dxa"/>
            </w:tcMar>
          </w:tcPr>
          <w:p w:rsidR="006B6965" w:rsidRDefault="003A166B" w14:paraId="09B797E8" w14:textId="77777777">
            <w:pPr>
              <w:pStyle w:val="p-table"/>
              <w:jc w:val="right"/>
              <w:rPr>
                <w:sz w:val="17"/>
              </w:rPr>
            </w:pPr>
            <w:r>
              <w:rPr>
                <w:sz w:val="17"/>
              </w:rPr>
              <w:t>1.806</w:t>
            </w:r>
          </w:p>
        </w:tc>
        <w:tc>
          <w:tcPr>
            <w:tcW w:w="1377" w:type="dxa"/>
            <w:tcBorders>
              <w:bottom w:val="single" w:color="009EE0" w:sz="2" w:space="0"/>
            </w:tcBorders>
            <w:tcMar>
              <w:top w:w="22" w:type="dxa"/>
              <w:left w:w="28" w:type="dxa"/>
              <w:bottom w:w="22" w:type="dxa"/>
              <w:right w:w="28" w:type="dxa"/>
            </w:tcMar>
          </w:tcPr>
          <w:p w:rsidR="006B6965" w:rsidRDefault="003A166B" w14:paraId="634B500F" w14:textId="77777777">
            <w:pPr>
              <w:pStyle w:val="p-table"/>
              <w:jc w:val="right"/>
              <w:rPr>
                <w:sz w:val="17"/>
              </w:rPr>
            </w:pPr>
            <w:r>
              <w:rPr>
                <w:sz w:val="17"/>
              </w:rPr>
              <w:t>15.855</w:t>
            </w:r>
          </w:p>
        </w:tc>
      </w:tr>
      <w:tr w:rsidR="006B6965" w14:paraId="10BCCDE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EE8DD2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6782216" w14:textId="77777777">
            <w:pPr>
              <w:pStyle w:val="p-table"/>
              <w:rPr>
                <w:sz w:val="17"/>
              </w:rPr>
            </w:pPr>
            <w:r>
              <w:rPr>
                <w:sz w:val="17"/>
              </w:rPr>
              <w:t>Bijdrage aan RIVM</w:t>
            </w:r>
          </w:p>
        </w:tc>
        <w:tc>
          <w:tcPr>
            <w:tcW w:w="1377" w:type="dxa"/>
            <w:tcBorders>
              <w:bottom w:val="single" w:color="009EE0" w:sz="2" w:space="0"/>
            </w:tcBorders>
            <w:tcMar>
              <w:top w:w="22" w:type="dxa"/>
              <w:left w:w="28" w:type="dxa"/>
              <w:bottom w:w="22" w:type="dxa"/>
              <w:right w:w="28" w:type="dxa"/>
            </w:tcMar>
          </w:tcPr>
          <w:p w:rsidR="006B6965" w:rsidRDefault="003A166B" w14:paraId="79C0A3CB" w14:textId="77777777">
            <w:pPr>
              <w:pStyle w:val="p-table"/>
              <w:jc w:val="right"/>
              <w:rPr>
                <w:sz w:val="17"/>
              </w:rPr>
            </w:pPr>
            <w:r>
              <w:rPr>
                <w:sz w:val="17"/>
              </w:rPr>
              <w:t>866</w:t>
            </w:r>
          </w:p>
        </w:tc>
        <w:tc>
          <w:tcPr>
            <w:tcW w:w="1377" w:type="dxa"/>
            <w:tcBorders>
              <w:bottom w:val="single" w:color="009EE0" w:sz="2" w:space="0"/>
            </w:tcBorders>
            <w:tcMar>
              <w:top w:w="22" w:type="dxa"/>
              <w:left w:w="28" w:type="dxa"/>
              <w:bottom w:w="22" w:type="dxa"/>
              <w:right w:w="28" w:type="dxa"/>
            </w:tcMar>
          </w:tcPr>
          <w:p w:rsidR="006B6965" w:rsidRDefault="003A166B" w14:paraId="6E58A20C" w14:textId="77777777">
            <w:pPr>
              <w:pStyle w:val="p-table"/>
              <w:jc w:val="right"/>
              <w:rPr>
                <w:sz w:val="17"/>
              </w:rPr>
            </w:pPr>
            <w:r>
              <w:rPr>
                <w:sz w:val="17"/>
              </w:rPr>
              <w:t>20</w:t>
            </w:r>
          </w:p>
        </w:tc>
        <w:tc>
          <w:tcPr>
            <w:tcW w:w="1377" w:type="dxa"/>
            <w:tcBorders>
              <w:bottom w:val="single" w:color="009EE0" w:sz="2" w:space="0"/>
            </w:tcBorders>
            <w:tcMar>
              <w:top w:w="22" w:type="dxa"/>
              <w:left w:w="28" w:type="dxa"/>
              <w:bottom w:w="22" w:type="dxa"/>
              <w:right w:w="28" w:type="dxa"/>
            </w:tcMar>
          </w:tcPr>
          <w:p w:rsidR="006B6965" w:rsidRDefault="003A166B" w14:paraId="594D9793" w14:textId="77777777">
            <w:pPr>
              <w:pStyle w:val="p-table"/>
              <w:jc w:val="right"/>
              <w:rPr>
                <w:sz w:val="17"/>
              </w:rPr>
            </w:pPr>
            <w:r>
              <w:rPr>
                <w:sz w:val="17"/>
              </w:rPr>
              <w:t>886</w:t>
            </w:r>
          </w:p>
        </w:tc>
      </w:tr>
      <w:tr w:rsidR="006B6965" w14:paraId="528AEEC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634C9A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229BDC1"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366148AA" w14:textId="77777777">
            <w:pPr>
              <w:pStyle w:val="p-table"/>
              <w:jc w:val="right"/>
              <w:rPr>
                <w:sz w:val="17"/>
              </w:rPr>
            </w:pPr>
            <w:r>
              <w:rPr>
                <w:i/>
                <w:sz w:val="17"/>
              </w:rPr>
              <w:t>3.442</w:t>
            </w:r>
          </w:p>
        </w:tc>
        <w:tc>
          <w:tcPr>
            <w:tcW w:w="1377" w:type="dxa"/>
            <w:tcBorders>
              <w:bottom w:val="single" w:color="009EE0" w:sz="2" w:space="0"/>
            </w:tcBorders>
            <w:tcMar>
              <w:top w:w="22" w:type="dxa"/>
              <w:left w:w="28" w:type="dxa"/>
              <w:bottom w:w="22" w:type="dxa"/>
              <w:right w:w="28" w:type="dxa"/>
            </w:tcMar>
          </w:tcPr>
          <w:p w:rsidR="006B6965" w:rsidRDefault="003A166B" w14:paraId="4D2D7A66" w14:textId="77777777">
            <w:pPr>
              <w:pStyle w:val="p-table"/>
              <w:jc w:val="right"/>
              <w:rPr>
                <w:sz w:val="17"/>
              </w:rPr>
            </w:pPr>
            <w:r>
              <w:rPr>
                <w:i/>
                <w:sz w:val="17"/>
              </w:rPr>
              <w:t>‒</w:t>
            </w:r>
            <w:r>
              <w:rPr>
                <w:i/>
                <w:sz w:val="17"/>
              </w:rPr>
              <w:t xml:space="preserve"> 1.896</w:t>
            </w:r>
          </w:p>
        </w:tc>
        <w:tc>
          <w:tcPr>
            <w:tcW w:w="1377" w:type="dxa"/>
            <w:tcBorders>
              <w:bottom w:val="single" w:color="009EE0" w:sz="2" w:space="0"/>
            </w:tcBorders>
            <w:tcMar>
              <w:top w:w="22" w:type="dxa"/>
              <w:left w:w="28" w:type="dxa"/>
              <w:bottom w:w="22" w:type="dxa"/>
              <w:right w:w="28" w:type="dxa"/>
            </w:tcMar>
          </w:tcPr>
          <w:p w:rsidR="006B6965" w:rsidRDefault="003A166B" w14:paraId="64BD7052" w14:textId="77777777">
            <w:pPr>
              <w:pStyle w:val="p-table"/>
              <w:jc w:val="right"/>
              <w:rPr>
                <w:sz w:val="17"/>
              </w:rPr>
            </w:pPr>
            <w:r>
              <w:rPr>
                <w:i/>
                <w:sz w:val="17"/>
              </w:rPr>
              <w:t>1.546</w:t>
            </w:r>
          </w:p>
        </w:tc>
      </w:tr>
      <w:tr w:rsidR="006B6965" w14:paraId="51513AE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6F62A5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CC34FB5" w14:textId="77777777">
            <w:pPr>
              <w:pStyle w:val="p-table"/>
              <w:rPr>
                <w:sz w:val="17"/>
              </w:rPr>
            </w:pPr>
            <w:r>
              <w:rPr>
                <w:sz w:val="17"/>
              </w:rPr>
              <w:t>Caribisch Nederland afvalbeheer</w:t>
            </w:r>
          </w:p>
        </w:tc>
        <w:tc>
          <w:tcPr>
            <w:tcW w:w="1377" w:type="dxa"/>
            <w:tcBorders>
              <w:bottom w:val="single" w:color="009EE0" w:sz="2" w:space="0"/>
            </w:tcBorders>
            <w:tcMar>
              <w:top w:w="22" w:type="dxa"/>
              <w:left w:w="28" w:type="dxa"/>
              <w:bottom w:w="22" w:type="dxa"/>
              <w:right w:w="28" w:type="dxa"/>
            </w:tcMar>
          </w:tcPr>
          <w:p w:rsidR="006B6965" w:rsidRDefault="003A166B" w14:paraId="0BD58F26" w14:textId="77777777">
            <w:pPr>
              <w:pStyle w:val="p-table"/>
              <w:jc w:val="right"/>
              <w:rPr>
                <w:sz w:val="17"/>
              </w:rPr>
            </w:pPr>
            <w:r>
              <w:rPr>
                <w:sz w:val="17"/>
              </w:rPr>
              <w:t>2.442</w:t>
            </w:r>
          </w:p>
        </w:tc>
        <w:tc>
          <w:tcPr>
            <w:tcW w:w="1377" w:type="dxa"/>
            <w:tcBorders>
              <w:bottom w:val="single" w:color="009EE0" w:sz="2" w:space="0"/>
            </w:tcBorders>
            <w:tcMar>
              <w:top w:w="22" w:type="dxa"/>
              <w:left w:w="28" w:type="dxa"/>
              <w:bottom w:w="22" w:type="dxa"/>
              <w:right w:w="28" w:type="dxa"/>
            </w:tcMar>
          </w:tcPr>
          <w:p w:rsidR="006B6965" w:rsidRDefault="003A166B" w14:paraId="1AE167B8" w14:textId="77777777">
            <w:pPr>
              <w:pStyle w:val="p-table"/>
              <w:jc w:val="right"/>
              <w:rPr>
                <w:sz w:val="17"/>
              </w:rPr>
            </w:pPr>
            <w:r>
              <w:rPr>
                <w:sz w:val="17"/>
              </w:rPr>
              <w:t>‒</w:t>
            </w:r>
            <w:r>
              <w:rPr>
                <w:sz w:val="17"/>
              </w:rPr>
              <w:t xml:space="preserve"> 1.797</w:t>
            </w:r>
          </w:p>
        </w:tc>
        <w:tc>
          <w:tcPr>
            <w:tcW w:w="1377" w:type="dxa"/>
            <w:tcBorders>
              <w:bottom w:val="single" w:color="009EE0" w:sz="2" w:space="0"/>
            </w:tcBorders>
            <w:tcMar>
              <w:top w:w="22" w:type="dxa"/>
              <w:left w:w="28" w:type="dxa"/>
              <w:bottom w:w="22" w:type="dxa"/>
              <w:right w:w="28" w:type="dxa"/>
            </w:tcMar>
          </w:tcPr>
          <w:p w:rsidR="006B6965" w:rsidRDefault="003A166B" w14:paraId="5454B930" w14:textId="77777777">
            <w:pPr>
              <w:pStyle w:val="p-table"/>
              <w:jc w:val="right"/>
              <w:rPr>
                <w:sz w:val="17"/>
              </w:rPr>
            </w:pPr>
            <w:r>
              <w:rPr>
                <w:sz w:val="17"/>
              </w:rPr>
              <w:t>645</w:t>
            </w:r>
          </w:p>
        </w:tc>
      </w:tr>
      <w:tr w:rsidR="006B6965" w14:paraId="7C08F40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44CBEC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F3FA77D"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48096663" w14:textId="77777777">
            <w:pPr>
              <w:pStyle w:val="p-table"/>
              <w:jc w:val="right"/>
              <w:rPr>
                <w:sz w:val="17"/>
              </w:rPr>
            </w:pPr>
            <w:r>
              <w:rPr>
                <w:sz w:val="17"/>
              </w:rPr>
              <w:t>1.000</w:t>
            </w:r>
          </w:p>
        </w:tc>
        <w:tc>
          <w:tcPr>
            <w:tcW w:w="1377" w:type="dxa"/>
            <w:tcBorders>
              <w:bottom w:val="single" w:color="009EE0" w:sz="2" w:space="0"/>
            </w:tcBorders>
            <w:tcMar>
              <w:top w:w="22" w:type="dxa"/>
              <w:left w:w="28" w:type="dxa"/>
              <w:bottom w:w="22" w:type="dxa"/>
              <w:right w:w="28" w:type="dxa"/>
            </w:tcMar>
          </w:tcPr>
          <w:p w:rsidR="006B6965" w:rsidRDefault="003A166B" w14:paraId="2BA9C719" w14:textId="77777777">
            <w:pPr>
              <w:pStyle w:val="p-table"/>
              <w:jc w:val="right"/>
              <w:rPr>
                <w:sz w:val="17"/>
              </w:rPr>
            </w:pPr>
            <w:r>
              <w:rPr>
                <w:sz w:val="17"/>
              </w:rPr>
              <w:t>‒</w:t>
            </w:r>
            <w:r>
              <w:rPr>
                <w:sz w:val="17"/>
              </w:rPr>
              <w:t xml:space="preserve"> 99</w:t>
            </w:r>
          </w:p>
        </w:tc>
        <w:tc>
          <w:tcPr>
            <w:tcW w:w="1377" w:type="dxa"/>
            <w:tcBorders>
              <w:bottom w:val="single" w:color="009EE0" w:sz="2" w:space="0"/>
            </w:tcBorders>
            <w:tcMar>
              <w:top w:w="22" w:type="dxa"/>
              <w:left w:w="28" w:type="dxa"/>
              <w:bottom w:w="22" w:type="dxa"/>
              <w:right w:w="28" w:type="dxa"/>
            </w:tcMar>
          </w:tcPr>
          <w:p w:rsidR="006B6965" w:rsidRDefault="003A166B" w14:paraId="2B47C979" w14:textId="77777777">
            <w:pPr>
              <w:pStyle w:val="p-table"/>
              <w:jc w:val="right"/>
              <w:rPr>
                <w:sz w:val="17"/>
              </w:rPr>
            </w:pPr>
            <w:r>
              <w:rPr>
                <w:sz w:val="17"/>
              </w:rPr>
              <w:t>901</w:t>
            </w:r>
          </w:p>
        </w:tc>
      </w:tr>
      <w:tr w:rsidR="006B6965" w14:paraId="5ADA921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E87B9C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7EE77A2"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52705D30" w14:textId="77777777">
            <w:pPr>
              <w:pStyle w:val="p-table"/>
              <w:jc w:val="right"/>
              <w:rPr>
                <w:sz w:val="17"/>
              </w:rPr>
            </w:pPr>
            <w:r>
              <w:rPr>
                <w:i/>
                <w:sz w:val="17"/>
              </w:rPr>
              <w:t>51</w:t>
            </w:r>
          </w:p>
        </w:tc>
        <w:tc>
          <w:tcPr>
            <w:tcW w:w="1377" w:type="dxa"/>
            <w:tcBorders>
              <w:bottom w:val="single" w:color="009EE0" w:sz="2" w:space="0"/>
            </w:tcBorders>
            <w:tcMar>
              <w:top w:w="22" w:type="dxa"/>
              <w:left w:w="28" w:type="dxa"/>
              <w:bottom w:w="22" w:type="dxa"/>
              <w:right w:w="28" w:type="dxa"/>
            </w:tcMar>
          </w:tcPr>
          <w:p w:rsidR="006B6965" w:rsidRDefault="003A166B" w14:paraId="3BB3E463"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F4D7DA8" w14:textId="77777777">
            <w:pPr>
              <w:pStyle w:val="p-table"/>
              <w:jc w:val="right"/>
              <w:rPr>
                <w:sz w:val="17"/>
              </w:rPr>
            </w:pPr>
            <w:r>
              <w:rPr>
                <w:i/>
                <w:sz w:val="17"/>
              </w:rPr>
              <w:t>51</w:t>
            </w:r>
          </w:p>
        </w:tc>
      </w:tr>
      <w:tr w:rsidR="006B6965" w14:paraId="10F32B9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E24349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E020E00"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4FDFCF9F" w14:textId="77777777">
            <w:pPr>
              <w:pStyle w:val="p-table"/>
              <w:jc w:val="right"/>
              <w:rPr>
                <w:sz w:val="17"/>
              </w:rPr>
            </w:pPr>
            <w:r>
              <w:rPr>
                <w:sz w:val="17"/>
              </w:rPr>
              <w:t>51</w:t>
            </w:r>
          </w:p>
        </w:tc>
        <w:tc>
          <w:tcPr>
            <w:tcW w:w="1377" w:type="dxa"/>
            <w:tcBorders>
              <w:bottom w:val="single" w:color="009EE0" w:sz="2" w:space="0"/>
            </w:tcBorders>
            <w:tcMar>
              <w:top w:w="22" w:type="dxa"/>
              <w:left w:w="28" w:type="dxa"/>
              <w:bottom w:w="22" w:type="dxa"/>
              <w:right w:w="28" w:type="dxa"/>
            </w:tcMar>
          </w:tcPr>
          <w:p w:rsidR="006B6965" w:rsidRDefault="003A166B" w14:paraId="582CD463"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ADCBAB2" w14:textId="77777777">
            <w:pPr>
              <w:pStyle w:val="p-table"/>
              <w:jc w:val="right"/>
              <w:rPr>
                <w:sz w:val="17"/>
              </w:rPr>
            </w:pPr>
            <w:r>
              <w:rPr>
                <w:sz w:val="17"/>
              </w:rPr>
              <w:t>51</w:t>
            </w:r>
          </w:p>
        </w:tc>
      </w:tr>
      <w:tr w:rsidR="006B6965" w14:paraId="7829A43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BDCDD8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32C8147" w14:textId="77777777">
            <w:pPr>
              <w:pStyle w:val="p-table"/>
              <w:rPr>
                <w:sz w:val="17"/>
              </w:rPr>
            </w:pPr>
            <w:r>
              <w:rPr>
                <w:i/>
                <w:sz w:val="17"/>
              </w:rPr>
              <w:t>Bijdrage aan ZBO's/</w:t>
            </w:r>
            <w:proofErr w:type="spellStart"/>
            <w:r>
              <w:rPr>
                <w:i/>
                <w:sz w:val="17"/>
              </w:rPr>
              <w:t>RWT's</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1D6861D4" w14:textId="77777777">
            <w:pPr>
              <w:pStyle w:val="p-table"/>
              <w:jc w:val="right"/>
              <w:rPr>
                <w:sz w:val="17"/>
              </w:rPr>
            </w:pPr>
            <w:r>
              <w:rPr>
                <w:i/>
                <w:sz w:val="17"/>
              </w:rPr>
              <w:t>555</w:t>
            </w:r>
          </w:p>
        </w:tc>
        <w:tc>
          <w:tcPr>
            <w:tcW w:w="1377" w:type="dxa"/>
            <w:tcBorders>
              <w:bottom w:val="single" w:color="009EE0" w:sz="2" w:space="0"/>
            </w:tcBorders>
            <w:tcMar>
              <w:top w:w="22" w:type="dxa"/>
              <w:left w:w="28" w:type="dxa"/>
              <w:bottom w:w="22" w:type="dxa"/>
              <w:right w:w="28" w:type="dxa"/>
            </w:tcMar>
          </w:tcPr>
          <w:p w:rsidR="006B6965" w:rsidRDefault="003A166B" w14:paraId="487DBE1C"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AF30593" w14:textId="77777777">
            <w:pPr>
              <w:pStyle w:val="p-table"/>
              <w:jc w:val="right"/>
              <w:rPr>
                <w:sz w:val="17"/>
              </w:rPr>
            </w:pPr>
            <w:r>
              <w:rPr>
                <w:i/>
                <w:sz w:val="17"/>
              </w:rPr>
              <w:t>555</w:t>
            </w:r>
          </w:p>
        </w:tc>
      </w:tr>
      <w:tr w:rsidR="006B6965" w14:paraId="6CB29AF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08E3E6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BFBEC14"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2A9C70D7" w14:textId="77777777">
            <w:pPr>
              <w:pStyle w:val="p-table"/>
              <w:jc w:val="right"/>
              <w:rPr>
                <w:sz w:val="17"/>
              </w:rPr>
            </w:pPr>
            <w:r>
              <w:rPr>
                <w:sz w:val="17"/>
              </w:rPr>
              <w:t>555</w:t>
            </w:r>
          </w:p>
        </w:tc>
        <w:tc>
          <w:tcPr>
            <w:tcW w:w="1377" w:type="dxa"/>
            <w:tcBorders>
              <w:bottom w:val="single" w:color="009EE0" w:sz="2" w:space="0"/>
            </w:tcBorders>
            <w:tcMar>
              <w:top w:w="22" w:type="dxa"/>
              <w:left w:w="28" w:type="dxa"/>
              <w:bottom w:w="22" w:type="dxa"/>
              <w:right w:w="28" w:type="dxa"/>
            </w:tcMar>
          </w:tcPr>
          <w:p w:rsidR="006B6965" w:rsidRDefault="003A166B" w14:paraId="4EA1BD13"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DDF5AFE" w14:textId="77777777">
            <w:pPr>
              <w:pStyle w:val="p-table"/>
              <w:jc w:val="right"/>
              <w:rPr>
                <w:sz w:val="17"/>
              </w:rPr>
            </w:pPr>
            <w:r>
              <w:rPr>
                <w:sz w:val="17"/>
              </w:rPr>
              <w:t>555</w:t>
            </w:r>
          </w:p>
        </w:tc>
      </w:tr>
      <w:tr w:rsidR="006B6965" w14:paraId="6F966C2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AF0B82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1FD5545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6121CF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FEF38B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7602C75" w14:textId="77777777">
            <w:pPr>
              <w:pStyle w:val="p-table"/>
              <w:rPr>
                <w:sz w:val="17"/>
              </w:rPr>
            </w:pPr>
          </w:p>
        </w:tc>
      </w:tr>
      <w:tr w:rsidR="006B6965" w14:paraId="6959DA3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8BF0FD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4CFB400"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3F39387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1373C18" w14:textId="77777777">
            <w:pPr>
              <w:pStyle w:val="p-table"/>
              <w:jc w:val="right"/>
              <w:rPr>
                <w:sz w:val="17"/>
              </w:rPr>
            </w:pPr>
            <w:r>
              <w:rPr>
                <w:b/>
                <w:sz w:val="17"/>
              </w:rPr>
              <w:t>1.632</w:t>
            </w:r>
          </w:p>
        </w:tc>
        <w:tc>
          <w:tcPr>
            <w:tcW w:w="1377" w:type="dxa"/>
            <w:tcBorders>
              <w:bottom w:val="single" w:color="009EE0" w:sz="2" w:space="0"/>
            </w:tcBorders>
            <w:tcMar>
              <w:top w:w="22" w:type="dxa"/>
              <w:left w:w="28" w:type="dxa"/>
              <w:bottom w:w="22" w:type="dxa"/>
              <w:right w:w="28" w:type="dxa"/>
            </w:tcMar>
          </w:tcPr>
          <w:p w:rsidR="006B6965" w:rsidRDefault="003A166B" w14:paraId="0F090D8F" w14:textId="77777777">
            <w:pPr>
              <w:pStyle w:val="p-table"/>
              <w:jc w:val="right"/>
              <w:rPr>
                <w:sz w:val="17"/>
              </w:rPr>
            </w:pPr>
            <w:r>
              <w:rPr>
                <w:b/>
                <w:sz w:val="17"/>
              </w:rPr>
              <w:t>1.632</w:t>
            </w:r>
          </w:p>
        </w:tc>
      </w:tr>
      <w:tr w:rsidR="006B6965" w14:paraId="5C74AC8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714B9A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12347C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185B71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1CEF69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BD66F32" w14:textId="77777777">
            <w:pPr>
              <w:pStyle w:val="p-table"/>
              <w:rPr>
                <w:sz w:val="17"/>
              </w:rPr>
            </w:pPr>
          </w:p>
        </w:tc>
      </w:tr>
    </w:tbl>
    <w:p w:rsidR="006B6965" w:rsidRDefault="006B6965" w14:paraId="030A9474" w14:textId="77777777">
      <w:pPr>
        <w:pStyle w:val="p-marginbottom"/>
      </w:pPr>
    </w:p>
    <w:p w:rsidR="006B6965" w:rsidRDefault="003A166B" w14:paraId="47EDD379" w14:textId="77777777">
      <w:pPr>
        <w:pStyle w:val="section-title-4"/>
      </w:pPr>
      <w:r>
        <w:t>Toelichting</w:t>
      </w:r>
    </w:p>
    <w:p w:rsidR="006B6965" w:rsidRDefault="003A166B" w14:paraId="09D69EAE" w14:textId="77777777">
      <w:pPr>
        <w:pStyle w:val="header-h1"/>
      </w:pPr>
      <w:r>
        <w:t>Verplichtingen</w:t>
      </w:r>
    </w:p>
    <w:p w:rsidR="006B6965" w:rsidRDefault="003A166B" w14:paraId="09923BE7" w14:textId="77777777">
      <w:pPr>
        <w:pStyle w:val="p"/>
      </w:pPr>
      <w:r>
        <w:t xml:space="preserve">Het </w:t>
      </w:r>
      <w:r>
        <w:t>verplichtingenbudget op artikel 21 is in 2025 met € 9,3 miljoen verlaagd. Dit wordt verklaard door de hieronder toegelichte uitgavenmutaties.</w:t>
      </w:r>
    </w:p>
    <w:p w:rsidR="006B6965" w:rsidRDefault="003A166B" w14:paraId="4A10B35B" w14:textId="77777777">
      <w:pPr>
        <w:pStyle w:val="header-h1"/>
      </w:pPr>
      <w:r>
        <w:t>Uitgaven</w:t>
      </w:r>
    </w:p>
    <w:p w:rsidR="006B6965" w:rsidRDefault="003A166B" w14:paraId="7DBD8ADD" w14:textId="77777777">
      <w:pPr>
        <w:pStyle w:val="header-h1"/>
      </w:pPr>
      <w:r>
        <w:t>Artikel 21.05 Duurzame Productketens</w:t>
      </w:r>
    </w:p>
    <w:p w:rsidR="006B6965" w:rsidRDefault="003A166B" w14:paraId="6B853432" w14:textId="77777777">
      <w:pPr>
        <w:pStyle w:val="header-h2"/>
      </w:pPr>
      <w:r>
        <w:t>Opdrachten</w:t>
      </w:r>
    </w:p>
    <w:p w:rsidR="006B6965" w:rsidRDefault="003A166B" w14:paraId="7030625D" w14:textId="77777777">
      <w:pPr>
        <w:pStyle w:val="p"/>
      </w:pPr>
      <w:r>
        <w:t>De verlaging van het opdrachtenbudget met € 2,8 miljoen wordt met name veroorzaakt door:</w:t>
      </w:r>
    </w:p>
    <w:p w:rsidR="006B6965" w:rsidRDefault="003A166B" w14:paraId="0B3A81E6" w14:textId="77777777">
      <w:r>
        <w:rPr>
          <w:rStyle w:val="span-u"/>
        </w:rPr>
        <w:t>Uitvoering Duurzame productketens:</w:t>
      </w:r>
      <w:r>
        <w:t xml:space="preserve"> Het opdrachtenbudget is met € 1,5 miljoen verlaagd en wordt met name verklaard door:</w:t>
      </w:r>
    </w:p>
    <w:p w:rsidR="006B6965" w:rsidRDefault="003A166B" w14:paraId="5E960E9F" w14:textId="77777777">
      <w:pPr>
        <w:pStyle w:val="ol-p-l1"/>
        <w:numPr>
          <w:ilvl w:val="0"/>
          <w:numId w:val="24"/>
        </w:numPr>
      </w:pPr>
      <w:r>
        <w:rPr>
          <w:rStyle w:val="ol-text"/>
        </w:rPr>
        <w:t xml:space="preserve">Een overboeking naar het Mobiliteitsfonds artikel 12 van € 3,2 miljoen voor opdrachtverlening aan RWS ter uitvoering van de middelen uit het klimaatakkoord rond stimulering hergebruik en </w:t>
      </w:r>
      <w:r>
        <w:rPr>
          <w:rStyle w:val="ol-text"/>
        </w:rPr>
        <w:lastRenderedPageBreak/>
        <w:t>recyclaat in bouwmaterialen in de Grond-. Weg- en Waterbouw (GWW).</w:t>
      </w:r>
    </w:p>
    <w:p w:rsidR="006B6965" w:rsidRDefault="003A166B" w14:paraId="3DBBE133" w14:textId="77777777">
      <w:pPr>
        <w:pStyle w:val="ol-p-l1"/>
        <w:numPr>
          <w:ilvl w:val="0"/>
          <w:numId w:val="5"/>
        </w:numPr>
      </w:pPr>
      <w:r>
        <w:rPr>
          <w:rStyle w:val="ol-text"/>
        </w:rPr>
        <w:t>Door de financiering van het Onderzoeksprogramma Monitoring en sturing van Circulaire Economie door het PBL neemt dit budget met € 2,0 miljoen af.</w:t>
      </w:r>
    </w:p>
    <w:p w:rsidR="006B6965" w:rsidRDefault="003A166B" w14:paraId="6BBB2988" w14:textId="77777777">
      <w:pPr>
        <w:pStyle w:val="ol-p-l1"/>
        <w:numPr>
          <w:ilvl w:val="0"/>
          <w:numId w:val="5"/>
        </w:numPr>
      </w:pPr>
      <w:r>
        <w:rPr>
          <w:rStyle w:val="ol-text"/>
        </w:rPr>
        <w:t>Door de correctie van de jaaropdracht RVO 2025 is dit opdrachtenbudget met € 2,0 miljoen verhoogd. De jaaropdracht aan RVO wordt jaarlijks voorgeschoten vanuit het reguliere budget en gedurende het jaar gecorrigeerd wanneer duidelijk is welke posten vanuit klimaatfondsmiddelen gedekt worden, zie ook bij de KF budgetten.</w:t>
      </w:r>
    </w:p>
    <w:p w:rsidR="006B6965" w:rsidRDefault="003A166B" w14:paraId="0635359B" w14:textId="77777777">
      <w:pPr>
        <w:pStyle w:val="ol-p-l1"/>
        <w:numPr>
          <w:ilvl w:val="0"/>
          <w:numId w:val="5"/>
        </w:numPr>
      </w:pPr>
      <w:r>
        <w:rPr>
          <w:rStyle w:val="ol-text"/>
        </w:rPr>
        <w:t>Door de eindafrekening RVO 2024 is het uitgavenbudget verhoogd met € 1,6 miljoen vanwege lagere realisatie dan voorgeschoten. De middelen worden ingezet voor de financiering van een aantal subsidie toekenningen inzake de circulaire ketenprojecten en omschakeling en opschaling recycling.</w:t>
      </w:r>
    </w:p>
    <w:p w:rsidR="006B6965" w:rsidRDefault="003A166B" w14:paraId="42561DB3" w14:textId="77777777">
      <w:pPr>
        <w:pStyle w:val="ol-p-l1"/>
        <w:numPr>
          <w:ilvl w:val="0"/>
          <w:numId w:val="5"/>
        </w:numPr>
      </w:pPr>
      <w:r>
        <w:rPr>
          <w:rStyle w:val="ol-text"/>
        </w:rPr>
        <w:t>Een overboeking naar de ILT van € 1,1 miljoen in het kader van de herziene Europese Verordening Overbrenging Afvalstoffen (EVOA). De herziene verordening leidt tot veel wijzigingen die gefaseerd doorgevoerd moeten worden. De voorbereidingen voor de eerste wijzigingen zijn reeds gestart. Vanaf 2026 zullen voorbereidingen en uitvoering naast elkaar gaan lopen.</w:t>
      </w:r>
    </w:p>
    <w:p w:rsidR="006B6965" w:rsidRDefault="006B6965" w14:paraId="7CBE442D" w14:textId="77777777"/>
    <w:p w:rsidR="006B6965" w:rsidRDefault="003A166B" w14:paraId="2A4A5E9F" w14:textId="77777777">
      <w:pPr>
        <w:pStyle w:val="p"/>
      </w:pPr>
      <w:r>
        <w:rPr>
          <w:rStyle w:val="span-u"/>
        </w:rPr>
        <w:t xml:space="preserve">KF - </w:t>
      </w:r>
      <w:r>
        <w:rPr>
          <w:rStyle w:val="span-u"/>
        </w:rPr>
        <w:t>Circulair doen en gedrag:</w:t>
      </w:r>
      <w:r>
        <w:t xml:space="preserve"> Het opdrachtenbudget is met € 0,6 miljoen verlaagd en betreft met name de dekking uit het klimaatfondsbudget voor circulair doen en gedrag van € 0,5 miljoen voor de jaaropdracht aan RVO 2025.</w:t>
      </w:r>
    </w:p>
    <w:p w:rsidR="006B6965" w:rsidRDefault="003A166B" w14:paraId="021CBF60" w14:textId="77777777">
      <w:pPr>
        <w:pStyle w:val="p"/>
      </w:pPr>
      <w:r>
        <w:rPr>
          <w:rStyle w:val="span-u"/>
        </w:rPr>
        <w:t xml:space="preserve">KF - </w:t>
      </w:r>
      <w:proofErr w:type="spellStart"/>
      <w:r>
        <w:rPr>
          <w:rStyle w:val="span-u"/>
        </w:rPr>
        <w:t>Biobased</w:t>
      </w:r>
      <w:proofErr w:type="spellEnd"/>
      <w:r>
        <w:rPr>
          <w:rStyle w:val="span-u"/>
        </w:rPr>
        <w:t xml:space="preserve"> bouwen :</w:t>
      </w:r>
      <w:r>
        <w:t xml:space="preserve"> Het opdrachtenbudget is met € 0,7 miljoen verlaagd en betreft met name een overboeking naar VRO van € 0,5 miljoen voor een subsidie aan de Stichting Building Balance in het kader van Nationale Aanpak </w:t>
      </w:r>
      <w:proofErr w:type="spellStart"/>
      <w:r>
        <w:t>Biobased</w:t>
      </w:r>
      <w:proofErr w:type="spellEnd"/>
      <w:r>
        <w:t xml:space="preserve"> Bouwen (NABB). De NABB is er op gericht om de volledige keten van productie tot en met </w:t>
      </w:r>
      <w:proofErr w:type="spellStart"/>
      <w:r>
        <w:t>toepassingvan</w:t>
      </w:r>
      <w:proofErr w:type="spellEnd"/>
      <w:r>
        <w:t xml:space="preserve"> </w:t>
      </w:r>
      <w:proofErr w:type="spellStart"/>
      <w:r>
        <w:t>biobased</w:t>
      </w:r>
      <w:proofErr w:type="spellEnd"/>
      <w:r>
        <w:t xml:space="preserve"> materialen in de bouw op te schalen.</w:t>
      </w:r>
    </w:p>
    <w:p w:rsidR="006B6965" w:rsidRDefault="003A166B" w14:paraId="23E66F8A" w14:textId="77777777">
      <w:pPr>
        <w:pStyle w:val="header-h2"/>
      </w:pPr>
      <w:r>
        <w:t>Subsidies</w:t>
      </w:r>
    </w:p>
    <w:p w:rsidR="006B6965" w:rsidRDefault="003A166B" w14:paraId="5A51B44F" w14:textId="77777777">
      <w:pPr>
        <w:pStyle w:val="p"/>
      </w:pPr>
      <w:r>
        <w:t>De verlaging van het subsidiebudget met € 7,2 miljoen wordt met name veroorzaakt door:</w:t>
      </w:r>
    </w:p>
    <w:p w:rsidR="006B6965" w:rsidRDefault="003A166B" w14:paraId="0B7F2DDE" w14:textId="77777777">
      <w:r>
        <w:rPr>
          <w:rStyle w:val="span-u"/>
        </w:rPr>
        <w:t>Algemene subsidiemutaties:</w:t>
      </w:r>
    </w:p>
    <w:p w:rsidR="006B6965" w:rsidRDefault="003A166B" w14:paraId="290F5818" w14:textId="77777777">
      <w:pPr>
        <w:pStyle w:val="ol-p-l1"/>
        <w:numPr>
          <w:ilvl w:val="0"/>
          <w:numId w:val="25"/>
        </w:numPr>
      </w:pPr>
      <w:r>
        <w:rPr>
          <w:rStyle w:val="ol-text"/>
        </w:rPr>
        <w:t xml:space="preserve">Jaaropdracht RVO (- € 3,2 miljoen): RVO voert verschillende subsidieregelingen uit voortkomend uit het Klimaatfonds zoals de regelingen voor omschakeling plasticverwerkers, demonstratie en innovatie projecten voor circulaire economie en circulaire plastics en de kennis en innovatie </w:t>
      </w:r>
      <w:proofErr w:type="spellStart"/>
      <w:r>
        <w:rPr>
          <w:rStyle w:val="ol-text"/>
        </w:rPr>
        <w:t>agende</w:t>
      </w:r>
      <w:proofErr w:type="spellEnd"/>
      <w:r>
        <w:rPr>
          <w:rStyle w:val="ol-text"/>
        </w:rPr>
        <w:t xml:space="preserve"> regeling voor circulaire economie en circulaire plastics.</w:t>
      </w:r>
    </w:p>
    <w:p w:rsidR="006B6965" w:rsidRDefault="006B6965" w14:paraId="4CB35E45" w14:textId="77777777"/>
    <w:p w:rsidR="006B6965" w:rsidRDefault="003A166B" w14:paraId="183456D5" w14:textId="77777777">
      <w:pPr>
        <w:pStyle w:val="p"/>
      </w:pPr>
      <w:r>
        <w:rPr>
          <w:rStyle w:val="span-u"/>
        </w:rPr>
        <w:t>KF - DEI + CE:</w:t>
      </w:r>
      <w:r>
        <w:t xml:space="preserve"> Het subsidiebudget is met € 3,3 miljoen verlaagd en wordt met name verklaard door een kasschuif van € 3,0 miljoen van 2025 naar 2028, 2029 en 2030. De kasreeks wordt in lijn gebracht met de gewijzigde </w:t>
      </w:r>
      <w:proofErr w:type="spellStart"/>
      <w:r>
        <w:t>meerjarenprognos</w:t>
      </w:r>
      <w:proofErr w:type="spellEnd"/>
      <w:r>
        <w:t xml:space="preserve"> van RVO voor de subsidieregeling demonstratie en innovatietrajecten circulaire economie.</w:t>
      </w:r>
    </w:p>
    <w:p w:rsidR="006B6965" w:rsidRDefault="003A166B" w14:paraId="2AF3F416" w14:textId="77777777">
      <w:pPr>
        <w:pStyle w:val="header-h1"/>
      </w:pPr>
      <w:r>
        <w:t>Ontvangsten</w:t>
      </w:r>
    </w:p>
    <w:p w:rsidR="006B6965" w:rsidRDefault="003A166B" w14:paraId="6BE7A723" w14:textId="77777777">
      <w:pPr>
        <w:pStyle w:val="p"/>
      </w:pPr>
      <w:r>
        <w:t>De ontvangsten mutaties zijn kleiner dan de gehanteerde norm en worden daarom niet toegelicht (zie ).</w:t>
      </w:r>
    </w:p>
    <w:p w:rsidR="006B6965" w:rsidRDefault="003A166B" w14:paraId="3103DDEE" w14:textId="77777777">
      <w:pPr>
        <w:pStyle w:val="section-title-3"/>
      </w:pPr>
      <w:r>
        <w:lastRenderedPageBreak/>
        <w:t>3.10 Artikel 22 Omgevingsveiligheid en Milieurisico's</w:t>
      </w:r>
    </w:p>
    <w:p w:rsidR="006B6965" w:rsidRDefault="003A166B" w14:paraId="7C65C2CE"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0945AECB"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66EF66C0" w14:textId="77777777">
            <w:pPr>
              <w:pStyle w:val="kio2-table-title"/>
            </w:pPr>
            <w:r>
              <w:lastRenderedPageBreak/>
              <w:t>Tabel 14 Budgettaire gevolgen van beleid artikel 22 Omgevingsveiligheid en Milieurisico's (bedragen x € 1.000)</w:t>
            </w:r>
          </w:p>
        </w:tc>
      </w:tr>
      <w:tr w:rsidR="006B6965" w14:paraId="656AAE76"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514F4975"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69C1F1AE"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50619AC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B7C3DE1" w14:textId="77777777">
            <w:pPr>
              <w:pStyle w:val="p-table"/>
              <w:jc w:val="center"/>
              <w:rPr>
                <w:color w:val="000000"/>
                <w:sz w:val="17"/>
              </w:rPr>
            </w:pPr>
            <w:r>
              <w:rPr>
                <w:color w:val="000000"/>
                <w:sz w:val="17"/>
              </w:rPr>
              <w:t xml:space="preserve">Mutaties </w:t>
            </w:r>
            <w:r>
              <w:rPr>
                <w:color w:val="000000"/>
                <w:sz w:val="17"/>
              </w:rPr>
              <w:t>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785EBC4C" w14:textId="77777777">
            <w:pPr>
              <w:pStyle w:val="p-table"/>
              <w:jc w:val="center"/>
              <w:rPr>
                <w:color w:val="000000"/>
                <w:sz w:val="17"/>
              </w:rPr>
            </w:pPr>
            <w:r>
              <w:rPr>
                <w:color w:val="000000"/>
                <w:sz w:val="17"/>
              </w:rPr>
              <w:t>Stand suppletoire begroting september (3) = (1) + (2)</w:t>
            </w:r>
          </w:p>
        </w:tc>
      </w:tr>
      <w:tr w:rsidR="006B6965" w14:paraId="7A17F3A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48B3D2A3"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35A49507"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05F5F0E8" w14:textId="77777777">
            <w:pPr>
              <w:pStyle w:val="p-table"/>
              <w:jc w:val="right"/>
              <w:rPr>
                <w:sz w:val="17"/>
              </w:rPr>
            </w:pPr>
            <w:r>
              <w:rPr>
                <w:b/>
                <w:sz w:val="17"/>
              </w:rPr>
              <w:t>90.845</w:t>
            </w:r>
          </w:p>
        </w:tc>
        <w:tc>
          <w:tcPr>
            <w:tcW w:w="1377" w:type="dxa"/>
            <w:tcBorders>
              <w:bottom w:val="single" w:color="009EE0" w:sz="2" w:space="0"/>
            </w:tcBorders>
            <w:tcMar>
              <w:top w:w="22" w:type="dxa"/>
              <w:left w:w="28" w:type="dxa"/>
              <w:bottom w:w="22" w:type="dxa"/>
              <w:right w:w="28" w:type="dxa"/>
            </w:tcMar>
          </w:tcPr>
          <w:p w:rsidR="006B6965" w:rsidRDefault="003A166B" w14:paraId="4727B312" w14:textId="77777777">
            <w:pPr>
              <w:pStyle w:val="p-table"/>
              <w:jc w:val="right"/>
              <w:rPr>
                <w:sz w:val="17"/>
              </w:rPr>
            </w:pPr>
            <w:r>
              <w:rPr>
                <w:b/>
                <w:sz w:val="17"/>
              </w:rPr>
              <w:t>‒</w:t>
            </w:r>
            <w:r>
              <w:rPr>
                <w:b/>
                <w:sz w:val="17"/>
              </w:rPr>
              <w:t xml:space="preserve"> 7.673</w:t>
            </w:r>
          </w:p>
        </w:tc>
        <w:tc>
          <w:tcPr>
            <w:tcW w:w="1377" w:type="dxa"/>
            <w:tcBorders>
              <w:bottom w:val="single" w:color="009EE0" w:sz="2" w:space="0"/>
            </w:tcBorders>
            <w:tcMar>
              <w:top w:w="22" w:type="dxa"/>
              <w:left w:w="28" w:type="dxa"/>
              <w:bottom w:w="22" w:type="dxa"/>
              <w:right w:w="28" w:type="dxa"/>
            </w:tcMar>
          </w:tcPr>
          <w:p w:rsidR="006B6965" w:rsidRDefault="003A166B" w14:paraId="590D9B9E" w14:textId="77777777">
            <w:pPr>
              <w:pStyle w:val="p-table"/>
              <w:jc w:val="right"/>
              <w:rPr>
                <w:sz w:val="17"/>
              </w:rPr>
            </w:pPr>
            <w:r>
              <w:rPr>
                <w:b/>
                <w:sz w:val="17"/>
              </w:rPr>
              <w:t>83.172</w:t>
            </w:r>
          </w:p>
        </w:tc>
      </w:tr>
      <w:tr w:rsidR="006B6965" w14:paraId="5965584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3EC610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1E525AE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875125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E4DCB6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9811DEA" w14:textId="77777777">
            <w:pPr>
              <w:pStyle w:val="p-table"/>
              <w:rPr>
                <w:sz w:val="17"/>
              </w:rPr>
            </w:pPr>
          </w:p>
        </w:tc>
      </w:tr>
      <w:tr w:rsidR="006B6965" w14:paraId="02C46F9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FF84D1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3B27F7E"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41D1BC38" w14:textId="77777777">
            <w:pPr>
              <w:pStyle w:val="p-table"/>
              <w:jc w:val="right"/>
              <w:rPr>
                <w:sz w:val="17"/>
              </w:rPr>
            </w:pPr>
            <w:r>
              <w:rPr>
                <w:b/>
                <w:sz w:val="17"/>
              </w:rPr>
              <w:t>87.550</w:t>
            </w:r>
          </w:p>
        </w:tc>
        <w:tc>
          <w:tcPr>
            <w:tcW w:w="1377" w:type="dxa"/>
            <w:tcBorders>
              <w:bottom w:val="single" w:color="009EE0" w:sz="2" w:space="0"/>
            </w:tcBorders>
            <w:tcMar>
              <w:top w:w="22" w:type="dxa"/>
              <w:left w:w="28" w:type="dxa"/>
              <w:bottom w:w="22" w:type="dxa"/>
              <w:right w:w="28" w:type="dxa"/>
            </w:tcMar>
          </w:tcPr>
          <w:p w:rsidR="006B6965" w:rsidRDefault="003A166B" w14:paraId="262E9A12" w14:textId="77777777">
            <w:pPr>
              <w:pStyle w:val="p-table"/>
              <w:jc w:val="right"/>
              <w:rPr>
                <w:sz w:val="17"/>
              </w:rPr>
            </w:pPr>
            <w:r>
              <w:rPr>
                <w:b/>
                <w:sz w:val="17"/>
              </w:rPr>
              <w:t>‒</w:t>
            </w:r>
            <w:r>
              <w:rPr>
                <w:b/>
                <w:sz w:val="17"/>
              </w:rPr>
              <w:t xml:space="preserve"> 7.413</w:t>
            </w:r>
          </w:p>
        </w:tc>
        <w:tc>
          <w:tcPr>
            <w:tcW w:w="1377" w:type="dxa"/>
            <w:tcBorders>
              <w:bottom w:val="single" w:color="009EE0" w:sz="2" w:space="0"/>
            </w:tcBorders>
            <w:tcMar>
              <w:top w:w="22" w:type="dxa"/>
              <w:left w:w="28" w:type="dxa"/>
              <w:bottom w:w="22" w:type="dxa"/>
              <w:right w:w="28" w:type="dxa"/>
            </w:tcMar>
          </w:tcPr>
          <w:p w:rsidR="006B6965" w:rsidRDefault="003A166B" w14:paraId="64D96354" w14:textId="77777777">
            <w:pPr>
              <w:pStyle w:val="p-table"/>
              <w:jc w:val="right"/>
              <w:rPr>
                <w:sz w:val="17"/>
              </w:rPr>
            </w:pPr>
            <w:r>
              <w:rPr>
                <w:b/>
                <w:sz w:val="17"/>
              </w:rPr>
              <w:t>80.137</w:t>
            </w:r>
          </w:p>
        </w:tc>
      </w:tr>
      <w:tr w:rsidR="006B6965" w14:paraId="12B0CF6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4FA118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87E624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38DE5B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5B14FE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E523464" w14:textId="77777777">
            <w:pPr>
              <w:pStyle w:val="p-table"/>
              <w:rPr>
                <w:sz w:val="17"/>
              </w:rPr>
            </w:pPr>
          </w:p>
        </w:tc>
      </w:tr>
      <w:tr w:rsidR="006B6965" w14:paraId="229F922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241050B2" w14:textId="77777777">
            <w:pPr>
              <w:pStyle w:val="p-table"/>
              <w:rPr>
                <w:sz w:val="17"/>
              </w:rPr>
            </w:pPr>
            <w:r>
              <w:rPr>
                <w:b/>
                <w:sz w:val="17"/>
              </w:rPr>
              <w:t>22.1</w:t>
            </w:r>
          </w:p>
        </w:tc>
        <w:tc>
          <w:tcPr>
            <w:tcW w:w="4590" w:type="dxa"/>
            <w:tcBorders>
              <w:bottom w:val="single" w:color="009EE0" w:sz="2" w:space="0"/>
            </w:tcBorders>
            <w:tcMar>
              <w:top w:w="22" w:type="dxa"/>
              <w:left w:w="28" w:type="dxa"/>
              <w:bottom w:w="22" w:type="dxa"/>
              <w:right w:w="28" w:type="dxa"/>
            </w:tcMar>
          </w:tcPr>
          <w:p w:rsidR="006B6965" w:rsidRDefault="003A166B" w14:paraId="20F486B2" w14:textId="77777777">
            <w:pPr>
              <w:pStyle w:val="p-table"/>
              <w:rPr>
                <w:sz w:val="17"/>
              </w:rPr>
            </w:pPr>
            <w:r>
              <w:rPr>
                <w:b/>
                <w:sz w:val="17"/>
              </w:rPr>
              <w:t>Veiligheid chemische stoffen</w:t>
            </w:r>
          </w:p>
        </w:tc>
        <w:tc>
          <w:tcPr>
            <w:tcW w:w="1377" w:type="dxa"/>
            <w:tcBorders>
              <w:bottom w:val="single" w:color="009EE0" w:sz="2" w:space="0"/>
            </w:tcBorders>
            <w:tcMar>
              <w:top w:w="22" w:type="dxa"/>
              <w:left w:w="28" w:type="dxa"/>
              <w:bottom w:w="22" w:type="dxa"/>
              <w:right w:w="28" w:type="dxa"/>
            </w:tcMar>
          </w:tcPr>
          <w:p w:rsidR="006B6965" w:rsidRDefault="003A166B" w14:paraId="5FE01FD2" w14:textId="77777777">
            <w:pPr>
              <w:pStyle w:val="p-table"/>
              <w:jc w:val="right"/>
              <w:rPr>
                <w:sz w:val="17"/>
              </w:rPr>
            </w:pPr>
            <w:r>
              <w:rPr>
                <w:b/>
                <w:sz w:val="17"/>
              </w:rPr>
              <w:t>27.487</w:t>
            </w:r>
          </w:p>
        </w:tc>
        <w:tc>
          <w:tcPr>
            <w:tcW w:w="1377" w:type="dxa"/>
            <w:tcBorders>
              <w:bottom w:val="single" w:color="009EE0" w:sz="2" w:space="0"/>
            </w:tcBorders>
            <w:tcMar>
              <w:top w:w="22" w:type="dxa"/>
              <w:left w:w="28" w:type="dxa"/>
              <w:bottom w:w="22" w:type="dxa"/>
              <w:right w:w="28" w:type="dxa"/>
            </w:tcMar>
          </w:tcPr>
          <w:p w:rsidR="006B6965" w:rsidRDefault="003A166B" w14:paraId="3431AE3B" w14:textId="77777777">
            <w:pPr>
              <w:pStyle w:val="p-table"/>
              <w:jc w:val="right"/>
              <w:rPr>
                <w:sz w:val="17"/>
              </w:rPr>
            </w:pPr>
            <w:r>
              <w:rPr>
                <w:b/>
                <w:sz w:val="17"/>
              </w:rPr>
              <w:t>217</w:t>
            </w:r>
          </w:p>
        </w:tc>
        <w:tc>
          <w:tcPr>
            <w:tcW w:w="1377" w:type="dxa"/>
            <w:tcBorders>
              <w:bottom w:val="single" w:color="009EE0" w:sz="2" w:space="0"/>
            </w:tcBorders>
            <w:tcMar>
              <w:top w:w="22" w:type="dxa"/>
              <w:left w:w="28" w:type="dxa"/>
              <w:bottom w:w="22" w:type="dxa"/>
              <w:right w:w="28" w:type="dxa"/>
            </w:tcMar>
          </w:tcPr>
          <w:p w:rsidR="006B6965" w:rsidRDefault="003A166B" w14:paraId="70F5D955" w14:textId="77777777">
            <w:pPr>
              <w:pStyle w:val="p-table"/>
              <w:jc w:val="right"/>
              <w:rPr>
                <w:sz w:val="17"/>
              </w:rPr>
            </w:pPr>
            <w:r>
              <w:rPr>
                <w:b/>
                <w:sz w:val="17"/>
              </w:rPr>
              <w:t>27.704</w:t>
            </w:r>
          </w:p>
        </w:tc>
      </w:tr>
      <w:tr w:rsidR="006B6965" w14:paraId="50171C7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EB6E12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8E92A41"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1406CE37" w14:textId="77777777">
            <w:pPr>
              <w:pStyle w:val="p-table"/>
              <w:jc w:val="right"/>
              <w:rPr>
                <w:sz w:val="17"/>
              </w:rPr>
            </w:pPr>
            <w:r>
              <w:rPr>
                <w:i/>
                <w:sz w:val="17"/>
              </w:rPr>
              <w:t>9.309</w:t>
            </w:r>
          </w:p>
        </w:tc>
        <w:tc>
          <w:tcPr>
            <w:tcW w:w="1377" w:type="dxa"/>
            <w:tcBorders>
              <w:bottom w:val="single" w:color="009EE0" w:sz="2" w:space="0"/>
            </w:tcBorders>
            <w:tcMar>
              <w:top w:w="22" w:type="dxa"/>
              <w:left w:w="28" w:type="dxa"/>
              <w:bottom w:w="22" w:type="dxa"/>
              <w:right w:w="28" w:type="dxa"/>
            </w:tcMar>
          </w:tcPr>
          <w:p w:rsidR="006B6965" w:rsidRDefault="003A166B" w14:paraId="6421DC36" w14:textId="77777777">
            <w:pPr>
              <w:pStyle w:val="p-table"/>
              <w:jc w:val="right"/>
              <w:rPr>
                <w:sz w:val="17"/>
              </w:rPr>
            </w:pPr>
            <w:r>
              <w:rPr>
                <w:i/>
                <w:sz w:val="17"/>
              </w:rPr>
              <w:t>73</w:t>
            </w:r>
          </w:p>
        </w:tc>
        <w:tc>
          <w:tcPr>
            <w:tcW w:w="1377" w:type="dxa"/>
            <w:tcBorders>
              <w:bottom w:val="single" w:color="009EE0" w:sz="2" w:space="0"/>
            </w:tcBorders>
            <w:tcMar>
              <w:top w:w="22" w:type="dxa"/>
              <w:left w:w="28" w:type="dxa"/>
              <w:bottom w:w="22" w:type="dxa"/>
              <w:right w:w="28" w:type="dxa"/>
            </w:tcMar>
          </w:tcPr>
          <w:p w:rsidR="006B6965" w:rsidRDefault="003A166B" w14:paraId="0209E15B" w14:textId="77777777">
            <w:pPr>
              <w:pStyle w:val="p-table"/>
              <w:jc w:val="right"/>
              <w:rPr>
                <w:sz w:val="17"/>
              </w:rPr>
            </w:pPr>
            <w:r>
              <w:rPr>
                <w:i/>
                <w:sz w:val="17"/>
              </w:rPr>
              <w:t>9.382</w:t>
            </w:r>
          </w:p>
        </w:tc>
      </w:tr>
      <w:tr w:rsidR="006B6965" w14:paraId="39AAB92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1AB510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451586F" w14:textId="77777777">
            <w:pPr>
              <w:pStyle w:val="p-table"/>
              <w:rPr>
                <w:sz w:val="17"/>
              </w:rPr>
            </w:pPr>
            <w:r>
              <w:rPr>
                <w:sz w:val="17"/>
              </w:rPr>
              <w:t>KF: NVS</w:t>
            </w:r>
          </w:p>
        </w:tc>
        <w:tc>
          <w:tcPr>
            <w:tcW w:w="1377" w:type="dxa"/>
            <w:tcBorders>
              <w:bottom w:val="single" w:color="009EE0" w:sz="2" w:space="0"/>
            </w:tcBorders>
            <w:tcMar>
              <w:top w:w="22" w:type="dxa"/>
              <w:left w:w="28" w:type="dxa"/>
              <w:bottom w:w="22" w:type="dxa"/>
              <w:right w:w="28" w:type="dxa"/>
            </w:tcMar>
          </w:tcPr>
          <w:p w:rsidR="006B6965" w:rsidRDefault="003A166B" w14:paraId="7FBA65B3" w14:textId="77777777">
            <w:pPr>
              <w:pStyle w:val="p-table"/>
              <w:jc w:val="right"/>
              <w:rPr>
                <w:sz w:val="17"/>
              </w:rPr>
            </w:pPr>
            <w:r>
              <w:rPr>
                <w:sz w:val="17"/>
              </w:rPr>
              <w:t>700</w:t>
            </w:r>
          </w:p>
        </w:tc>
        <w:tc>
          <w:tcPr>
            <w:tcW w:w="1377" w:type="dxa"/>
            <w:tcBorders>
              <w:bottom w:val="single" w:color="009EE0" w:sz="2" w:space="0"/>
            </w:tcBorders>
            <w:tcMar>
              <w:top w:w="22" w:type="dxa"/>
              <w:left w:w="28" w:type="dxa"/>
              <w:bottom w:w="22" w:type="dxa"/>
              <w:right w:w="28" w:type="dxa"/>
            </w:tcMar>
          </w:tcPr>
          <w:p w:rsidR="006B6965" w:rsidRDefault="003A166B" w14:paraId="2CDC79E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13CEF08" w14:textId="77777777">
            <w:pPr>
              <w:pStyle w:val="p-table"/>
              <w:jc w:val="right"/>
              <w:rPr>
                <w:sz w:val="17"/>
              </w:rPr>
            </w:pPr>
            <w:r>
              <w:rPr>
                <w:sz w:val="17"/>
              </w:rPr>
              <w:t>700</w:t>
            </w:r>
          </w:p>
        </w:tc>
      </w:tr>
      <w:tr w:rsidR="006B6965" w14:paraId="7ACA825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58E16A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7083726" w14:textId="77777777">
            <w:pPr>
              <w:pStyle w:val="p-table"/>
              <w:rPr>
                <w:sz w:val="17"/>
              </w:rPr>
            </w:pPr>
            <w:r>
              <w:rPr>
                <w:sz w:val="17"/>
              </w:rPr>
              <w:t>Waarvan RWS</w:t>
            </w:r>
          </w:p>
        </w:tc>
        <w:tc>
          <w:tcPr>
            <w:tcW w:w="1377" w:type="dxa"/>
            <w:tcBorders>
              <w:bottom w:val="single" w:color="009EE0" w:sz="2" w:space="0"/>
            </w:tcBorders>
            <w:tcMar>
              <w:top w:w="22" w:type="dxa"/>
              <w:left w:w="28" w:type="dxa"/>
              <w:bottom w:w="22" w:type="dxa"/>
              <w:right w:w="28" w:type="dxa"/>
            </w:tcMar>
          </w:tcPr>
          <w:p w:rsidR="006B6965" w:rsidRDefault="003A166B" w14:paraId="313879E8" w14:textId="77777777">
            <w:pPr>
              <w:pStyle w:val="p-table"/>
              <w:jc w:val="right"/>
              <w:rPr>
                <w:sz w:val="17"/>
              </w:rPr>
            </w:pPr>
            <w:r>
              <w:rPr>
                <w:sz w:val="17"/>
              </w:rPr>
              <w:t>1.536</w:t>
            </w:r>
          </w:p>
        </w:tc>
        <w:tc>
          <w:tcPr>
            <w:tcW w:w="1377" w:type="dxa"/>
            <w:tcBorders>
              <w:bottom w:val="single" w:color="009EE0" w:sz="2" w:space="0"/>
            </w:tcBorders>
            <w:tcMar>
              <w:top w:w="22" w:type="dxa"/>
              <w:left w:w="28" w:type="dxa"/>
              <w:bottom w:w="22" w:type="dxa"/>
              <w:right w:w="28" w:type="dxa"/>
            </w:tcMar>
          </w:tcPr>
          <w:p w:rsidR="006B6965" w:rsidRDefault="003A166B" w14:paraId="5EA98F9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9F6C403" w14:textId="77777777">
            <w:pPr>
              <w:pStyle w:val="p-table"/>
              <w:jc w:val="right"/>
              <w:rPr>
                <w:sz w:val="17"/>
              </w:rPr>
            </w:pPr>
            <w:r>
              <w:rPr>
                <w:sz w:val="17"/>
              </w:rPr>
              <w:t>1.536</w:t>
            </w:r>
          </w:p>
        </w:tc>
      </w:tr>
      <w:tr w:rsidR="006B6965" w14:paraId="7F2C19C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5F799A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6CF59BD" w14:textId="77777777">
            <w:pPr>
              <w:pStyle w:val="p-table"/>
              <w:rPr>
                <w:sz w:val="17"/>
              </w:rPr>
            </w:pPr>
            <w:r>
              <w:rPr>
                <w:sz w:val="17"/>
              </w:rPr>
              <w:t>Waarvan RIVM</w:t>
            </w:r>
          </w:p>
        </w:tc>
        <w:tc>
          <w:tcPr>
            <w:tcW w:w="1377" w:type="dxa"/>
            <w:tcBorders>
              <w:bottom w:val="single" w:color="009EE0" w:sz="2" w:space="0"/>
            </w:tcBorders>
            <w:tcMar>
              <w:top w:w="22" w:type="dxa"/>
              <w:left w:w="28" w:type="dxa"/>
              <w:bottom w:w="22" w:type="dxa"/>
              <w:right w:w="28" w:type="dxa"/>
            </w:tcMar>
          </w:tcPr>
          <w:p w:rsidR="006B6965" w:rsidRDefault="003A166B" w14:paraId="1BB283F9" w14:textId="77777777">
            <w:pPr>
              <w:pStyle w:val="p-table"/>
              <w:jc w:val="right"/>
              <w:rPr>
                <w:sz w:val="17"/>
              </w:rPr>
            </w:pPr>
            <w:r>
              <w:rPr>
                <w:sz w:val="17"/>
              </w:rPr>
              <w:t>3.919</w:t>
            </w:r>
          </w:p>
        </w:tc>
        <w:tc>
          <w:tcPr>
            <w:tcW w:w="1377" w:type="dxa"/>
            <w:tcBorders>
              <w:bottom w:val="single" w:color="009EE0" w:sz="2" w:space="0"/>
            </w:tcBorders>
            <w:tcMar>
              <w:top w:w="22" w:type="dxa"/>
              <w:left w:w="28" w:type="dxa"/>
              <w:bottom w:w="22" w:type="dxa"/>
              <w:right w:w="28" w:type="dxa"/>
            </w:tcMar>
          </w:tcPr>
          <w:p w:rsidR="006B6965" w:rsidRDefault="003A166B" w14:paraId="2A7DB8E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42B60C4" w14:textId="77777777">
            <w:pPr>
              <w:pStyle w:val="p-table"/>
              <w:jc w:val="right"/>
              <w:rPr>
                <w:sz w:val="17"/>
              </w:rPr>
            </w:pPr>
            <w:r>
              <w:rPr>
                <w:sz w:val="17"/>
              </w:rPr>
              <w:t>3.919</w:t>
            </w:r>
          </w:p>
        </w:tc>
      </w:tr>
      <w:tr w:rsidR="006B6965" w14:paraId="5D8DBFA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9E64B6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2E6786A" w14:textId="77777777">
            <w:pPr>
              <w:pStyle w:val="p-table"/>
              <w:rPr>
                <w:sz w:val="17"/>
              </w:rPr>
            </w:pPr>
            <w:r>
              <w:rPr>
                <w:sz w:val="17"/>
              </w:rPr>
              <w:t>Uitvoering Veiligheid</w:t>
            </w:r>
          </w:p>
        </w:tc>
        <w:tc>
          <w:tcPr>
            <w:tcW w:w="1377" w:type="dxa"/>
            <w:tcBorders>
              <w:bottom w:val="single" w:color="009EE0" w:sz="2" w:space="0"/>
            </w:tcBorders>
            <w:tcMar>
              <w:top w:w="22" w:type="dxa"/>
              <w:left w:w="28" w:type="dxa"/>
              <w:bottom w:w="22" w:type="dxa"/>
              <w:right w:w="28" w:type="dxa"/>
            </w:tcMar>
          </w:tcPr>
          <w:p w:rsidR="006B6965" w:rsidRDefault="003A166B" w14:paraId="0EA672D9" w14:textId="77777777">
            <w:pPr>
              <w:pStyle w:val="p-table"/>
              <w:jc w:val="right"/>
              <w:rPr>
                <w:sz w:val="17"/>
              </w:rPr>
            </w:pPr>
            <w:r>
              <w:rPr>
                <w:sz w:val="17"/>
              </w:rPr>
              <w:t>919</w:t>
            </w:r>
          </w:p>
        </w:tc>
        <w:tc>
          <w:tcPr>
            <w:tcW w:w="1377" w:type="dxa"/>
            <w:tcBorders>
              <w:bottom w:val="single" w:color="009EE0" w:sz="2" w:space="0"/>
            </w:tcBorders>
            <w:tcMar>
              <w:top w:w="22" w:type="dxa"/>
              <w:left w:w="28" w:type="dxa"/>
              <w:bottom w:w="22" w:type="dxa"/>
              <w:right w:w="28" w:type="dxa"/>
            </w:tcMar>
          </w:tcPr>
          <w:p w:rsidR="006B6965" w:rsidRDefault="003A166B" w14:paraId="22909785" w14:textId="77777777">
            <w:pPr>
              <w:pStyle w:val="p-table"/>
              <w:jc w:val="right"/>
              <w:rPr>
                <w:sz w:val="17"/>
              </w:rPr>
            </w:pPr>
            <w:r>
              <w:rPr>
                <w:sz w:val="17"/>
              </w:rPr>
              <w:t>262</w:t>
            </w:r>
          </w:p>
        </w:tc>
        <w:tc>
          <w:tcPr>
            <w:tcW w:w="1377" w:type="dxa"/>
            <w:tcBorders>
              <w:bottom w:val="single" w:color="009EE0" w:sz="2" w:space="0"/>
            </w:tcBorders>
            <w:tcMar>
              <w:top w:w="22" w:type="dxa"/>
              <w:left w:w="28" w:type="dxa"/>
              <w:bottom w:w="22" w:type="dxa"/>
              <w:right w:w="28" w:type="dxa"/>
            </w:tcMar>
          </w:tcPr>
          <w:p w:rsidR="006B6965" w:rsidRDefault="003A166B" w14:paraId="201194FF" w14:textId="77777777">
            <w:pPr>
              <w:pStyle w:val="p-table"/>
              <w:jc w:val="right"/>
              <w:rPr>
                <w:sz w:val="17"/>
              </w:rPr>
            </w:pPr>
            <w:r>
              <w:rPr>
                <w:sz w:val="17"/>
              </w:rPr>
              <w:t>1.181</w:t>
            </w:r>
          </w:p>
        </w:tc>
      </w:tr>
      <w:tr w:rsidR="006B6965" w14:paraId="7E293D3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1FE01F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89D750F" w14:textId="77777777">
            <w:pPr>
              <w:pStyle w:val="p-table"/>
              <w:rPr>
                <w:sz w:val="17"/>
              </w:rPr>
            </w:pPr>
            <w:r>
              <w:rPr>
                <w:sz w:val="17"/>
              </w:rPr>
              <w:t>Uitvoering stoffen en Milieu &amp; Gezondheid</w:t>
            </w:r>
          </w:p>
        </w:tc>
        <w:tc>
          <w:tcPr>
            <w:tcW w:w="1377" w:type="dxa"/>
            <w:tcBorders>
              <w:bottom w:val="single" w:color="009EE0" w:sz="2" w:space="0"/>
            </w:tcBorders>
            <w:tcMar>
              <w:top w:w="22" w:type="dxa"/>
              <w:left w:w="28" w:type="dxa"/>
              <w:bottom w:w="22" w:type="dxa"/>
              <w:right w:w="28" w:type="dxa"/>
            </w:tcMar>
          </w:tcPr>
          <w:p w:rsidR="006B6965" w:rsidRDefault="003A166B" w14:paraId="3BA0999D" w14:textId="77777777">
            <w:pPr>
              <w:pStyle w:val="p-table"/>
              <w:jc w:val="right"/>
              <w:rPr>
                <w:sz w:val="17"/>
              </w:rPr>
            </w:pPr>
            <w:r>
              <w:rPr>
                <w:sz w:val="17"/>
              </w:rPr>
              <w:t>1.841</w:t>
            </w:r>
          </w:p>
        </w:tc>
        <w:tc>
          <w:tcPr>
            <w:tcW w:w="1377" w:type="dxa"/>
            <w:tcBorders>
              <w:bottom w:val="single" w:color="009EE0" w:sz="2" w:space="0"/>
            </w:tcBorders>
            <w:tcMar>
              <w:top w:w="22" w:type="dxa"/>
              <w:left w:w="28" w:type="dxa"/>
              <w:bottom w:w="22" w:type="dxa"/>
              <w:right w:w="28" w:type="dxa"/>
            </w:tcMar>
          </w:tcPr>
          <w:p w:rsidR="006B6965" w:rsidRDefault="003A166B" w14:paraId="1B31FBB9" w14:textId="77777777">
            <w:pPr>
              <w:pStyle w:val="p-table"/>
              <w:jc w:val="right"/>
              <w:rPr>
                <w:sz w:val="17"/>
              </w:rPr>
            </w:pPr>
            <w:r>
              <w:rPr>
                <w:sz w:val="17"/>
              </w:rPr>
              <w:t>‒</w:t>
            </w:r>
            <w:r>
              <w:rPr>
                <w:sz w:val="17"/>
              </w:rPr>
              <w:t xml:space="preserve"> 212</w:t>
            </w:r>
          </w:p>
        </w:tc>
        <w:tc>
          <w:tcPr>
            <w:tcW w:w="1377" w:type="dxa"/>
            <w:tcBorders>
              <w:bottom w:val="single" w:color="009EE0" w:sz="2" w:space="0"/>
            </w:tcBorders>
            <w:tcMar>
              <w:top w:w="22" w:type="dxa"/>
              <w:left w:w="28" w:type="dxa"/>
              <w:bottom w:w="22" w:type="dxa"/>
              <w:right w:w="28" w:type="dxa"/>
            </w:tcMar>
          </w:tcPr>
          <w:p w:rsidR="006B6965" w:rsidRDefault="003A166B" w14:paraId="679299F5" w14:textId="77777777">
            <w:pPr>
              <w:pStyle w:val="p-table"/>
              <w:jc w:val="right"/>
              <w:rPr>
                <w:sz w:val="17"/>
              </w:rPr>
            </w:pPr>
            <w:r>
              <w:rPr>
                <w:sz w:val="17"/>
              </w:rPr>
              <w:t>1.629</w:t>
            </w:r>
          </w:p>
        </w:tc>
      </w:tr>
      <w:tr w:rsidR="006B6965" w14:paraId="445B194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F1E78C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F0CC982"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489B37D3" w14:textId="77777777">
            <w:pPr>
              <w:pStyle w:val="p-table"/>
              <w:jc w:val="right"/>
              <w:rPr>
                <w:sz w:val="17"/>
              </w:rPr>
            </w:pPr>
            <w:r>
              <w:rPr>
                <w:sz w:val="17"/>
              </w:rPr>
              <w:t>394</w:t>
            </w:r>
          </w:p>
        </w:tc>
        <w:tc>
          <w:tcPr>
            <w:tcW w:w="1377" w:type="dxa"/>
            <w:tcBorders>
              <w:bottom w:val="single" w:color="009EE0" w:sz="2" w:space="0"/>
            </w:tcBorders>
            <w:tcMar>
              <w:top w:w="22" w:type="dxa"/>
              <w:left w:w="28" w:type="dxa"/>
              <w:bottom w:w="22" w:type="dxa"/>
              <w:right w:w="28" w:type="dxa"/>
            </w:tcMar>
          </w:tcPr>
          <w:p w:rsidR="006B6965" w:rsidRDefault="003A166B" w14:paraId="05B96AF4" w14:textId="77777777">
            <w:pPr>
              <w:pStyle w:val="p-table"/>
              <w:jc w:val="right"/>
              <w:rPr>
                <w:sz w:val="17"/>
              </w:rPr>
            </w:pPr>
            <w:r>
              <w:rPr>
                <w:sz w:val="17"/>
              </w:rPr>
              <w:t>23</w:t>
            </w:r>
          </w:p>
        </w:tc>
        <w:tc>
          <w:tcPr>
            <w:tcW w:w="1377" w:type="dxa"/>
            <w:tcBorders>
              <w:bottom w:val="single" w:color="009EE0" w:sz="2" w:space="0"/>
            </w:tcBorders>
            <w:tcMar>
              <w:top w:w="22" w:type="dxa"/>
              <w:left w:w="28" w:type="dxa"/>
              <w:bottom w:w="22" w:type="dxa"/>
              <w:right w:w="28" w:type="dxa"/>
            </w:tcMar>
          </w:tcPr>
          <w:p w:rsidR="006B6965" w:rsidRDefault="003A166B" w14:paraId="3548C930" w14:textId="77777777">
            <w:pPr>
              <w:pStyle w:val="p-table"/>
              <w:jc w:val="right"/>
              <w:rPr>
                <w:sz w:val="17"/>
              </w:rPr>
            </w:pPr>
            <w:r>
              <w:rPr>
                <w:sz w:val="17"/>
              </w:rPr>
              <w:t>417</w:t>
            </w:r>
          </w:p>
        </w:tc>
      </w:tr>
      <w:tr w:rsidR="006B6965" w14:paraId="02211BD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5E535F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553627F"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1AF69D65" w14:textId="77777777">
            <w:pPr>
              <w:pStyle w:val="p-table"/>
              <w:jc w:val="right"/>
              <w:rPr>
                <w:sz w:val="17"/>
              </w:rPr>
            </w:pPr>
            <w:r>
              <w:rPr>
                <w:i/>
                <w:sz w:val="17"/>
              </w:rPr>
              <w:t>17.778</w:t>
            </w:r>
          </w:p>
        </w:tc>
        <w:tc>
          <w:tcPr>
            <w:tcW w:w="1377" w:type="dxa"/>
            <w:tcBorders>
              <w:bottom w:val="single" w:color="009EE0" w:sz="2" w:space="0"/>
            </w:tcBorders>
            <w:tcMar>
              <w:top w:w="22" w:type="dxa"/>
              <w:left w:w="28" w:type="dxa"/>
              <w:bottom w:w="22" w:type="dxa"/>
              <w:right w:w="28" w:type="dxa"/>
            </w:tcMar>
          </w:tcPr>
          <w:p w:rsidR="006B6965" w:rsidRDefault="003A166B" w14:paraId="0200FDE4" w14:textId="77777777">
            <w:pPr>
              <w:pStyle w:val="p-table"/>
              <w:jc w:val="right"/>
              <w:rPr>
                <w:sz w:val="17"/>
              </w:rPr>
            </w:pPr>
            <w:r>
              <w:rPr>
                <w:i/>
                <w:sz w:val="17"/>
              </w:rPr>
              <w:t>‒</w:t>
            </w:r>
            <w:r>
              <w:rPr>
                <w:i/>
                <w:sz w:val="17"/>
              </w:rPr>
              <w:t xml:space="preserve"> </w:t>
            </w:r>
            <w:r>
              <w:rPr>
                <w:i/>
                <w:sz w:val="17"/>
              </w:rPr>
              <w:t>41</w:t>
            </w:r>
          </w:p>
        </w:tc>
        <w:tc>
          <w:tcPr>
            <w:tcW w:w="1377" w:type="dxa"/>
            <w:tcBorders>
              <w:bottom w:val="single" w:color="009EE0" w:sz="2" w:space="0"/>
            </w:tcBorders>
            <w:tcMar>
              <w:top w:w="22" w:type="dxa"/>
              <w:left w:w="28" w:type="dxa"/>
              <w:bottom w:w="22" w:type="dxa"/>
              <w:right w:w="28" w:type="dxa"/>
            </w:tcMar>
          </w:tcPr>
          <w:p w:rsidR="006B6965" w:rsidRDefault="003A166B" w14:paraId="7B18D144" w14:textId="77777777">
            <w:pPr>
              <w:pStyle w:val="p-table"/>
              <w:jc w:val="right"/>
              <w:rPr>
                <w:sz w:val="17"/>
              </w:rPr>
            </w:pPr>
            <w:r>
              <w:rPr>
                <w:i/>
                <w:sz w:val="17"/>
              </w:rPr>
              <w:t>17.737</w:t>
            </w:r>
          </w:p>
        </w:tc>
      </w:tr>
      <w:tr w:rsidR="006B6965" w14:paraId="03C4DA1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B34B99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0C03364" w14:textId="77777777">
            <w:pPr>
              <w:pStyle w:val="p-table"/>
              <w:rPr>
                <w:sz w:val="17"/>
              </w:rPr>
            </w:pPr>
            <w:r>
              <w:rPr>
                <w:sz w:val="17"/>
              </w:rPr>
              <w:t>Bijdrage aan RWS</w:t>
            </w:r>
          </w:p>
        </w:tc>
        <w:tc>
          <w:tcPr>
            <w:tcW w:w="1377" w:type="dxa"/>
            <w:tcBorders>
              <w:bottom w:val="single" w:color="009EE0" w:sz="2" w:space="0"/>
            </w:tcBorders>
            <w:tcMar>
              <w:top w:w="22" w:type="dxa"/>
              <w:left w:w="28" w:type="dxa"/>
              <w:bottom w:w="22" w:type="dxa"/>
              <w:right w:w="28" w:type="dxa"/>
            </w:tcMar>
          </w:tcPr>
          <w:p w:rsidR="006B6965" w:rsidRDefault="003A166B" w14:paraId="28805EE4" w14:textId="77777777">
            <w:pPr>
              <w:pStyle w:val="p-table"/>
              <w:jc w:val="right"/>
              <w:rPr>
                <w:sz w:val="17"/>
              </w:rPr>
            </w:pPr>
            <w:r>
              <w:rPr>
                <w:sz w:val="17"/>
              </w:rPr>
              <w:t>2.648</w:t>
            </w:r>
          </w:p>
        </w:tc>
        <w:tc>
          <w:tcPr>
            <w:tcW w:w="1377" w:type="dxa"/>
            <w:tcBorders>
              <w:bottom w:val="single" w:color="009EE0" w:sz="2" w:space="0"/>
            </w:tcBorders>
            <w:tcMar>
              <w:top w:w="22" w:type="dxa"/>
              <w:left w:w="28" w:type="dxa"/>
              <w:bottom w:w="22" w:type="dxa"/>
              <w:right w:w="28" w:type="dxa"/>
            </w:tcMar>
          </w:tcPr>
          <w:p w:rsidR="006B6965" w:rsidRDefault="003A166B" w14:paraId="5FC5295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9CEF61F" w14:textId="77777777">
            <w:pPr>
              <w:pStyle w:val="p-table"/>
              <w:jc w:val="right"/>
              <w:rPr>
                <w:sz w:val="17"/>
              </w:rPr>
            </w:pPr>
            <w:r>
              <w:rPr>
                <w:sz w:val="17"/>
              </w:rPr>
              <w:t>2.648</w:t>
            </w:r>
          </w:p>
        </w:tc>
      </w:tr>
      <w:tr w:rsidR="006B6965" w14:paraId="58F5B9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1F0054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007CCA9" w14:textId="77777777">
            <w:pPr>
              <w:pStyle w:val="p-table"/>
              <w:rPr>
                <w:sz w:val="17"/>
              </w:rPr>
            </w:pPr>
            <w:r>
              <w:rPr>
                <w:sz w:val="17"/>
              </w:rPr>
              <w:t>Bijdrage aan RIVM</w:t>
            </w:r>
          </w:p>
        </w:tc>
        <w:tc>
          <w:tcPr>
            <w:tcW w:w="1377" w:type="dxa"/>
            <w:tcBorders>
              <w:bottom w:val="single" w:color="009EE0" w:sz="2" w:space="0"/>
            </w:tcBorders>
            <w:tcMar>
              <w:top w:w="22" w:type="dxa"/>
              <w:left w:w="28" w:type="dxa"/>
              <w:bottom w:w="22" w:type="dxa"/>
              <w:right w:w="28" w:type="dxa"/>
            </w:tcMar>
          </w:tcPr>
          <w:p w:rsidR="006B6965" w:rsidRDefault="003A166B" w14:paraId="26435500" w14:textId="77777777">
            <w:pPr>
              <w:pStyle w:val="p-table"/>
              <w:jc w:val="right"/>
              <w:rPr>
                <w:sz w:val="17"/>
              </w:rPr>
            </w:pPr>
            <w:r>
              <w:rPr>
                <w:sz w:val="17"/>
              </w:rPr>
              <w:t>14.869</w:t>
            </w:r>
          </w:p>
        </w:tc>
        <w:tc>
          <w:tcPr>
            <w:tcW w:w="1377" w:type="dxa"/>
            <w:tcBorders>
              <w:bottom w:val="single" w:color="009EE0" w:sz="2" w:space="0"/>
            </w:tcBorders>
            <w:tcMar>
              <w:top w:w="22" w:type="dxa"/>
              <w:left w:w="28" w:type="dxa"/>
              <w:bottom w:w="22" w:type="dxa"/>
              <w:right w:w="28" w:type="dxa"/>
            </w:tcMar>
          </w:tcPr>
          <w:p w:rsidR="006B6965" w:rsidRDefault="003A166B" w14:paraId="0020A02B"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EAD49D0" w14:textId="77777777">
            <w:pPr>
              <w:pStyle w:val="p-table"/>
              <w:jc w:val="right"/>
              <w:rPr>
                <w:sz w:val="17"/>
              </w:rPr>
            </w:pPr>
            <w:r>
              <w:rPr>
                <w:sz w:val="17"/>
              </w:rPr>
              <w:t>14.869</w:t>
            </w:r>
          </w:p>
        </w:tc>
      </w:tr>
      <w:tr w:rsidR="006B6965" w14:paraId="51ED8E8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5DE601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F18A0E8"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0EE19C42" w14:textId="77777777">
            <w:pPr>
              <w:pStyle w:val="p-table"/>
              <w:jc w:val="right"/>
              <w:rPr>
                <w:sz w:val="17"/>
              </w:rPr>
            </w:pPr>
            <w:r>
              <w:rPr>
                <w:sz w:val="17"/>
              </w:rPr>
              <w:t>261</w:t>
            </w:r>
          </w:p>
        </w:tc>
        <w:tc>
          <w:tcPr>
            <w:tcW w:w="1377" w:type="dxa"/>
            <w:tcBorders>
              <w:bottom w:val="single" w:color="009EE0" w:sz="2" w:space="0"/>
            </w:tcBorders>
            <w:tcMar>
              <w:top w:w="22" w:type="dxa"/>
              <w:left w:w="28" w:type="dxa"/>
              <w:bottom w:w="22" w:type="dxa"/>
              <w:right w:w="28" w:type="dxa"/>
            </w:tcMar>
          </w:tcPr>
          <w:p w:rsidR="006B6965" w:rsidRDefault="003A166B" w14:paraId="00343765" w14:textId="77777777">
            <w:pPr>
              <w:pStyle w:val="p-table"/>
              <w:jc w:val="right"/>
              <w:rPr>
                <w:sz w:val="17"/>
              </w:rPr>
            </w:pPr>
            <w:r>
              <w:rPr>
                <w:sz w:val="17"/>
              </w:rPr>
              <w:t>‒</w:t>
            </w:r>
            <w:r>
              <w:rPr>
                <w:sz w:val="17"/>
              </w:rPr>
              <w:t xml:space="preserve"> 41</w:t>
            </w:r>
          </w:p>
        </w:tc>
        <w:tc>
          <w:tcPr>
            <w:tcW w:w="1377" w:type="dxa"/>
            <w:tcBorders>
              <w:bottom w:val="single" w:color="009EE0" w:sz="2" w:space="0"/>
            </w:tcBorders>
            <w:tcMar>
              <w:top w:w="22" w:type="dxa"/>
              <w:left w:w="28" w:type="dxa"/>
              <w:bottom w:w="22" w:type="dxa"/>
              <w:right w:w="28" w:type="dxa"/>
            </w:tcMar>
          </w:tcPr>
          <w:p w:rsidR="006B6965" w:rsidRDefault="003A166B" w14:paraId="6E3DBFA2" w14:textId="77777777">
            <w:pPr>
              <w:pStyle w:val="p-table"/>
              <w:jc w:val="right"/>
              <w:rPr>
                <w:sz w:val="17"/>
              </w:rPr>
            </w:pPr>
            <w:r>
              <w:rPr>
                <w:sz w:val="17"/>
              </w:rPr>
              <w:t>220</w:t>
            </w:r>
          </w:p>
        </w:tc>
      </w:tr>
      <w:tr w:rsidR="006B6965" w14:paraId="216CB8F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182CA9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1A3812A"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689EEE77" w14:textId="77777777">
            <w:pPr>
              <w:pStyle w:val="p-table"/>
              <w:jc w:val="right"/>
              <w:rPr>
                <w:sz w:val="17"/>
              </w:rPr>
            </w:pPr>
            <w:r>
              <w:rPr>
                <w:i/>
                <w:sz w:val="17"/>
              </w:rPr>
              <w:t>300</w:t>
            </w:r>
          </w:p>
        </w:tc>
        <w:tc>
          <w:tcPr>
            <w:tcW w:w="1377" w:type="dxa"/>
            <w:tcBorders>
              <w:bottom w:val="single" w:color="009EE0" w:sz="2" w:space="0"/>
            </w:tcBorders>
            <w:tcMar>
              <w:top w:w="22" w:type="dxa"/>
              <w:left w:w="28" w:type="dxa"/>
              <w:bottom w:w="22" w:type="dxa"/>
              <w:right w:w="28" w:type="dxa"/>
            </w:tcMar>
          </w:tcPr>
          <w:p w:rsidR="006B6965" w:rsidRDefault="003A166B" w14:paraId="342F2CA3" w14:textId="77777777">
            <w:pPr>
              <w:pStyle w:val="p-table"/>
              <w:jc w:val="right"/>
              <w:rPr>
                <w:sz w:val="17"/>
              </w:rPr>
            </w:pPr>
            <w:r>
              <w:rPr>
                <w:i/>
                <w:sz w:val="17"/>
              </w:rPr>
              <w:t>130</w:t>
            </w:r>
          </w:p>
        </w:tc>
        <w:tc>
          <w:tcPr>
            <w:tcW w:w="1377" w:type="dxa"/>
            <w:tcBorders>
              <w:bottom w:val="single" w:color="009EE0" w:sz="2" w:space="0"/>
            </w:tcBorders>
            <w:tcMar>
              <w:top w:w="22" w:type="dxa"/>
              <w:left w:w="28" w:type="dxa"/>
              <w:bottom w:w="22" w:type="dxa"/>
              <w:right w:w="28" w:type="dxa"/>
            </w:tcMar>
          </w:tcPr>
          <w:p w:rsidR="006B6965" w:rsidRDefault="003A166B" w14:paraId="10D04827" w14:textId="77777777">
            <w:pPr>
              <w:pStyle w:val="p-table"/>
              <w:jc w:val="right"/>
              <w:rPr>
                <w:sz w:val="17"/>
              </w:rPr>
            </w:pPr>
            <w:r>
              <w:rPr>
                <w:i/>
                <w:sz w:val="17"/>
              </w:rPr>
              <w:t>430</w:t>
            </w:r>
          </w:p>
        </w:tc>
      </w:tr>
      <w:tr w:rsidR="006B6965" w14:paraId="34E0EE5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300A96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B70C8AA" w14:textId="77777777">
            <w:pPr>
              <w:pStyle w:val="p-table"/>
              <w:rPr>
                <w:sz w:val="17"/>
              </w:rPr>
            </w:pPr>
            <w:r>
              <w:rPr>
                <w:sz w:val="17"/>
              </w:rPr>
              <w:t>Overig</w:t>
            </w:r>
          </w:p>
        </w:tc>
        <w:tc>
          <w:tcPr>
            <w:tcW w:w="1377" w:type="dxa"/>
            <w:tcBorders>
              <w:bottom w:val="single" w:color="009EE0" w:sz="2" w:space="0"/>
            </w:tcBorders>
            <w:tcMar>
              <w:top w:w="22" w:type="dxa"/>
              <w:left w:w="28" w:type="dxa"/>
              <w:bottom w:w="22" w:type="dxa"/>
              <w:right w:w="28" w:type="dxa"/>
            </w:tcMar>
          </w:tcPr>
          <w:p w:rsidR="006B6965" w:rsidRDefault="003A166B" w14:paraId="20CEE439" w14:textId="77777777">
            <w:pPr>
              <w:pStyle w:val="p-table"/>
              <w:jc w:val="right"/>
              <w:rPr>
                <w:sz w:val="17"/>
              </w:rPr>
            </w:pPr>
            <w:r>
              <w:rPr>
                <w:sz w:val="17"/>
              </w:rPr>
              <w:t>300</w:t>
            </w:r>
          </w:p>
        </w:tc>
        <w:tc>
          <w:tcPr>
            <w:tcW w:w="1377" w:type="dxa"/>
            <w:tcBorders>
              <w:bottom w:val="single" w:color="009EE0" w:sz="2" w:space="0"/>
            </w:tcBorders>
            <w:tcMar>
              <w:top w:w="22" w:type="dxa"/>
              <w:left w:w="28" w:type="dxa"/>
              <w:bottom w:w="22" w:type="dxa"/>
              <w:right w:w="28" w:type="dxa"/>
            </w:tcMar>
          </w:tcPr>
          <w:p w:rsidR="006B6965" w:rsidRDefault="003A166B" w14:paraId="3C16169B" w14:textId="77777777">
            <w:pPr>
              <w:pStyle w:val="p-table"/>
              <w:jc w:val="right"/>
              <w:rPr>
                <w:sz w:val="17"/>
              </w:rPr>
            </w:pPr>
            <w:r>
              <w:rPr>
                <w:sz w:val="17"/>
              </w:rPr>
              <w:t>130</w:t>
            </w:r>
          </w:p>
        </w:tc>
        <w:tc>
          <w:tcPr>
            <w:tcW w:w="1377" w:type="dxa"/>
            <w:tcBorders>
              <w:bottom w:val="single" w:color="009EE0" w:sz="2" w:space="0"/>
            </w:tcBorders>
            <w:tcMar>
              <w:top w:w="22" w:type="dxa"/>
              <w:left w:w="28" w:type="dxa"/>
              <w:bottom w:w="22" w:type="dxa"/>
              <w:right w:w="28" w:type="dxa"/>
            </w:tcMar>
          </w:tcPr>
          <w:p w:rsidR="006B6965" w:rsidRDefault="003A166B" w14:paraId="366DFF1E" w14:textId="77777777">
            <w:pPr>
              <w:pStyle w:val="p-table"/>
              <w:jc w:val="right"/>
              <w:rPr>
                <w:sz w:val="17"/>
              </w:rPr>
            </w:pPr>
            <w:r>
              <w:rPr>
                <w:sz w:val="17"/>
              </w:rPr>
              <w:t>430</w:t>
            </w:r>
          </w:p>
        </w:tc>
      </w:tr>
      <w:tr w:rsidR="006B6965" w14:paraId="7803D20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423CA7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C1BB2D7" w14:textId="77777777">
            <w:pPr>
              <w:pStyle w:val="p-table"/>
              <w:rPr>
                <w:sz w:val="17"/>
              </w:rPr>
            </w:pPr>
            <w:r>
              <w:rPr>
                <w:i/>
                <w:sz w:val="17"/>
              </w:rPr>
              <w:t>Bijdrage aan ZBO's/</w:t>
            </w:r>
            <w:proofErr w:type="spellStart"/>
            <w:r>
              <w:rPr>
                <w:i/>
                <w:sz w:val="17"/>
              </w:rPr>
              <w:t>RWT's</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2DA8B9FF" w14:textId="77777777">
            <w:pPr>
              <w:pStyle w:val="p-table"/>
              <w:jc w:val="right"/>
              <w:rPr>
                <w:sz w:val="17"/>
              </w:rPr>
            </w:pPr>
            <w:r>
              <w:rPr>
                <w:i/>
                <w:sz w:val="17"/>
              </w:rPr>
              <w:t>100</w:t>
            </w:r>
          </w:p>
        </w:tc>
        <w:tc>
          <w:tcPr>
            <w:tcW w:w="1377" w:type="dxa"/>
            <w:tcBorders>
              <w:bottom w:val="single" w:color="009EE0" w:sz="2" w:space="0"/>
            </w:tcBorders>
            <w:tcMar>
              <w:top w:w="22" w:type="dxa"/>
              <w:left w:w="28" w:type="dxa"/>
              <w:bottom w:w="22" w:type="dxa"/>
              <w:right w:w="28" w:type="dxa"/>
            </w:tcMar>
          </w:tcPr>
          <w:p w:rsidR="006B6965" w:rsidRDefault="003A166B" w14:paraId="3CF447F3" w14:textId="77777777">
            <w:pPr>
              <w:pStyle w:val="p-table"/>
              <w:jc w:val="right"/>
              <w:rPr>
                <w:sz w:val="17"/>
              </w:rPr>
            </w:pPr>
            <w:r>
              <w:rPr>
                <w:i/>
                <w:sz w:val="17"/>
              </w:rPr>
              <w:t>55</w:t>
            </w:r>
          </w:p>
        </w:tc>
        <w:tc>
          <w:tcPr>
            <w:tcW w:w="1377" w:type="dxa"/>
            <w:tcBorders>
              <w:bottom w:val="single" w:color="009EE0" w:sz="2" w:space="0"/>
            </w:tcBorders>
            <w:tcMar>
              <w:top w:w="22" w:type="dxa"/>
              <w:left w:w="28" w:type="dxa"/>
              <w:bottom w:w="22" w:type="dxa"/>
              <w:right w:w="28" w:type="dxa"/>
            </w:tcMar>
          </w:tcPr>
          <w:p w:rsidR="006B6965" w:rsidRDefault="003A166B" w14:paraId="027906BA" w14:textId="77777777">
            <w:pPr>
              <w:pStyle w:val="p-table"/>
              <w:jc w:val="right"/>
              <w:rPr>
                <w:sz w:val="17"/>
              </w:rPr>
            </w:pPr>
            <w:r>
              <w:rPr>
                <w:i/>
                <w:sz w:val="17"/>
              </w:rPr>
              <w:t>155</w:t>
            </w:r>
          </w:p>
        </w:tc>
      </w:tr>
      <w:tr w:rsidR="006B6965" w14:paraId="628F4BC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59E3DA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2B0F77A" w14:textId="77777777">
            <w:pPr>
              <w:pStyle w:val="p-table"/>
              <w:rPr>
                <w:sz w:val="17"/>
              </w:rPr>
            </w:pPr>
            <w:r>
              <w:rPr>
                <w:sz w:val="17"/>
              </w:rPr>
              <w:t xml:space="preserve">Overige </w:t>
            </w:r>
            <w:r>
              <w:rPr>
                <w:sz w:val="17"/>
              </w:rPr>
              <w:t>Bijdragen</w:t>
            </w:r>
          </w:p>
        </w:tc>
        <w:tc>
          <w:tcPr>
            <w:tcW w:w="1377" w:type="dxa"/>
            <w:tcBorders>
              <w:bottom w:val="single" w:color="009EE0" w:sz="2" w:space="0"/>
            </w:tcBorders>
            <w:tcMar>
              <w:top w:w="22" w:type="dxa"/>
              <w:left w:w="28" w:type="dxa"/>
              <w:bottom w:w="22" w:type="dxa"/>
              <w:right w:w="28" w:type="dxa"/>
            </w:tcMar>
          </w:tcPr>
          <w:p w:rsidR="006B6965" w:rsidRDefault="003A166B" w14:paraId="3A12F729" w14:textId="77777777">
            <w:pPr>
              <w:pStyle w:val="p-table"/>
              <w:jc w:val="right"/>
              <w:rPr>
                <w:sz w:val="17"/>
              </w:rPr>
            </w:pPr>
            <w:r>
              <w:rPr>
                <w:sz w:val="17"/>
              </w:rPr>
              <w:t>100</w:t>
            </w:r>
          </w:p>
        </w:tc>
        <w:tc>
          <w:tcPr>
            <w:tcW w:w="1377" w:type="dxa"/>
            <w:tcBorders>
              <w:bottom w:val="single" w:color="009EE0" w:sz="2" w:space="0"/>
            </w:tcBorders>
            <w:tcMar>
              <w:top w:w="22" w:type="dxa"/>
              <w:left w:w="28" w:type="dxa"/>
              <w:bottom w:w="22" w:type="dxa"/>
              <w:right w:w="28" w:type="dxa"/>
            </w:tcMar>
          </w:tcPr>
          <w:p w:rsidR="006B6965" w:rsidRDefault="003A166B" w14:paraId="04A0B2B2" w14:textId="77777777">
            <w:pPr>
              <w:pStyle w:val="p-table"/>
              <w:jc w:val="right"/>
              <w:rPr>
                <w:sz w:val="17"/>
              </w:rPr>
            </w:pPr>
            <w:r>
              <w:rPr>
                <w:sz w:val="17"/>
              </w:rPr>
              <w:t>55</w:t>
            </w:r>
          </w:p>
        </w:tc>
        <w:tc>
          <w:tcPr>
            <w:tcW w:w="1377" w:type="dxa"/>
            <w:tcBorders>
              <w:bottom w:val="single" w:color="009EE0" w:sz="2" w:space="0"/>
            </w:tcBorders>
            <w:tcMar>
              <w:top w:w="22" w:type="dxa"/>
              <w:left w:w="28" w:type="dxa"/>
              <w:bottom w:w="22" w:type="dxa"/>
              <w:right w:w="28" w:type="dxa"/>
            </w:tcMar>
          </w:tcPr>
          <w:p w:rsidR="006B6965" w:rsidRDefault="003A166B" w14:paraId="23F3FF21" w14:textId="77777777">
            <w:pPr>
              <w:pStyle w:val="p-table"/>
              <w:jc w:val="right"/>
              <w:rPr>
                <w:sz w:val="17"/>
              </w:rPr>
            </w:pPr>
            <w:r>
              <w:rPr>
                <w:sz w:val="17"/>
              </w:rPr>
              <w:t>155</w:t>
            </w:r>
          </w:p>
        </w:tc>
      </w:tr>
      <w:tr w:rsidR="006B6965" w14:paraId="5815D2A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2E5A4937" w14:textId="77777777">
            <w:pPr>
              <w:pStyle w:val="p-table"/>
              <w:rPr>
                <w:sz w:val="17"/>
              </w:rPr>
            </w:pPr>
            <w:r>
              <w:rPr>
                <w:b/>
                <w:sz w:val="17"/>
              </w:rPr>
              <w:t>22.2</w:t>
            </w:r>
          </w:p>
        </w:tc>
        <w:tc>
          <w:tcPr>
            <w:tcW w:w="4590" w:type="dxa"/>
            <w:tcBorders>
              <w:bottom w:val="single" w:color="009EE0" w:sz="2" w:space="0"/>
            </w:tcBorders>
            <w:tcMar>
              <w:top w:w="22" w:type="dxa"/>
              <w:left w:w="28" w:type="dxa"/>
              <w:bottom w:w="22" w:type="dxa"/>
              <w:right w:w="28" w:type="dxa"/>
            </w:tcMar>
          </w:tcPr>
          <w:p w:rsidR="006B6965" w:rsidRDefault="003A166B" w14:paraId="58B7807F" w14:textId="77777777">
            <w:pPr>
              <w:pStyle w:val="p-table"/>
              <w:rPr>
                <w:sz w:val="17"/>
              </w:rPr>
            </w:pPr>
            <w:r>
              <w:rPr>
                <w:b/>
                <w:sz w:val="17"/>
              </w:rPr>
              <w:t>Veiligheid biotechnologie</w:t>
            </w:r>
          </w:p>
        </w:tc>
        <w:tc>
          <w:tcPr>
            <w:tcW w:w="1377" w:type="dxa"/>
            <w:tcBorders>
              <w:bottom w:val="single" w:color="009EE0" w:sz="2" w:space="0"/>
            </w:tcBorders>
            <w:tcMar>
              <w:top w:w="22" w:type="dxa"/>
              <w:left w:w="28" w:type="dxa"/>
              <w:bottom w:w="22" w:type="dxa"/>
              <w:right w:w="28" w:type="dxa"/>
            </w:tcMar>
          </w:tcPr>
          <w:p w:rsidR="006B6965" w:rsidRDefault="003A166B" w14:paraId="12C966D9" w14:textId="77777777">
            <w:pPr>
              <w:pStyle w:val="p-table"/>
              <w:jc w:val="right"/>
              <w:rPr>
                <w:sz w:val="17"/>
              </w:rPr>
            </w:pPr>
            <w:r>
              <w:rPr>
                <w:b/>
                <w:sz w:val="17"/>
              </w:rPr>
              <w:t>7.018</w:t>
            </w:r>
          </w:p>
        </w:tc>
        <w:tc>
          <w:tcPr>
            <w:tcW w:w="1377" w:type="dxa"/>
            <w:tcBorders>
              <w:bottom w:val="single" w:color="009EE0" w:sz="2" w:space="0"/>
            </w:tcBorders>
            <w:tcMar>
              <w:top w:w="22" w:type="dxa"/>
              <w:left w:w="28" w:type="dxa"/>
              <w:bottom w:w="22" w:type="dxa"/>
              <w:right w:w="28" w:type="dxa"/>
            </w:tcMar>
          </w:tcPr>
          <w:p w:rsidR="006B6965" w:rsidRDefault="003A166B" w14:paraId="537B5D16" w14:textId="77777777">
            <w:pPr>
              <w:pStyle w:val="p-table"/>
              <w:jc w:val="right"/>
              <w:rPr>
                <w:sz w:val="17"/>
              </w:rPr>
            </w:pPr>
            <w:r>
              <w:rPr>
                <w:b/>
                <w:sz w:val="17"/>
              </w:rPr>
              <w:t>‒</w:t>
            </w:r>
            <w:r>
              <w:rPr>
                <w:b/>
                <w:sz w:val="17"/>
              </w:rPr>
              <w:t xml:space="preserve"> 50</w:t>
            </w:r>
          </w:p>
        </w:tc>
        <w:tc>
          <w:tcPr>
            <w:tcW w:w="1377" w:type="dxa"/>
            <w:tcBorders>
              <w:bottom w:val="single" w:color="009EE0" w:sz="2" w:space="0"/>
            </w:tcBorders>
            <w:tcMar>
              <w:top w:w="22" w:type="dxa"/>
              <w:left w:w="28" w:type="dxa"/>
              <w:bottom w:w="22" w:type="dxa"/>
              <w:right w:w="28" w:type="dxa"/>
            </w:tcMar>
          </w:tcPr>
          <w:p w:rsidR="006B6965" w:rsidRDefault="003A166B" w14:paraId="3EAEEF0E" w14:textId="77777777">
            <w:pPr>
              <w:pStyle w:val="p-table"/>
              <w:jc w:val="right"/>
              <w:rPr>
                <w:sz w:val="17"/>
              </w:rPr>
            </w:pPr>
            <w:r>
              <w:rPr>
                <w:b/>
                <w:sz w:val="17"/>
              </w:rPr>
              <w:t>6.968</w:t>
            </w:r>
          </w:p>
        </w:tc>
      </w:tr>
      <w:tr w:rsidR="006B6965" w14:paraId="62AC950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83F90C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9A23E5F"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003F83B4" w14:textId="77777777">
            <w:pPr>
              <w:pStyle w:val="p-table"/>
              <w:jc w:val="right"/>
              <w:rPr>
                <w:sz w:val="17"/>
              </w:rPr>
            </w:pPr>
            <w:r>
              <w:rPr>
                <w:i/>
                <w:sz w:val="17"/>
              </w:rPr>
              <w:t>1.487</w:t>
            </w:r>
          </w:p>
        </w:tc>
        <w:tc>
          <w:tcPr>
            <w:tcW w:w="1377" w:type="dxa"/>
            <w:tcBorders>
              <w:bottom w:val="single" w:color="009EE0" w:sz="2" w:space="0"/>
            </w:tcBorders>
            <w:tcMar>
              <w:top w:w="22" w:type="dxa"/>
              <w:left w:w="28" w:type="dxa"/>
              <w:bottom w:w="22" w:type="dxa"/>
              <w:right w:w="28" w:type="dxa"/>
            </w:tcMar>
          </w:tcPr>
          <w:p w:rsidR="006B6965" w:rsidRDefault="003A166B" w14:paraId="1FAC44EB" w14:textId="77777777">
            <w:pPr>
              <w:pStyle w:val="p-table"/>
              <w:jc w:val="right"/>
              <w:rPr>
                <w:sz w:val="17"/>
              </w:rPr>
            </w:pPr>
            <w:r>
              <w:rPr>
                <w:i/>
                <w:sz w:val="17"/>
              </w:rPr>
              <w:t>‒</w:t>
            </w:r>
            <w:r>
              <w:rPr>
                <w:i/>
                <w:sz w:val="17"/>
              </w:rPr>
              <w:t xml:space="preserve"> 50</w:t>
            </w:r>
          </w:p>
        </w:tc>
        <w:tc>
          <w:tcPr>
            <w:tcW w:w="1377" w:type="dxa"/>
            <w:tcBorders>
              <w:bottom w:val="single" w:color="009EE0" w:sz="2" w:space="0"/>
            </w:tcBorders>
            <w:tcMar>
              <w:top w:w="22" w:type="dxa"/>
              <w:left w:w="28" w:type="dxa"/>
              <w:bottom w:w="22" w:type="dxa"/>
              <w:right w:w="28" w:type="dxa"/>
            </w:tcMar>
          </w:tcPr>
          <w:p w:rsidR="006B6965" w:rsidRDefault="003A166B" w14:paraId="2EDCAB83" w14:textId="77777777">
            <w:pPr>
              <w:pStyle w:val="p-table"/>
              <w:jc w:val="right"/>
              <w:rPr>
                <w:sz w:val="17"/>
              </w:rPr>
            </w:pPr>
            <w:r>
              <w:rPr>
                <w:i/>
                <w:sz w:val="17"/>
              </w:rPr>
              <w:t>1.437</w:t>
            </w:r>
          </w:p>
        </w:tc>
      </w:tr>
      <w:tr w:rsidR="006B6965" w14:paraId="517771D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1DE48F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7A13B1E" w14:textId="77777777">
            <w:pPr>
              <w:pStyle w:val="p-table"/>
              <w:rPr>
                <w:sz w:val="17"/>
              </w:rPr>
            </w:pPr>
            <w:r>
              <w:rPr>
                <w:sz w:val="17"/>
              </w:rPr>
              <w:t>Veiligheid Genetisch Gemodificeerde Organismen (GGO)</w:t>
            </w:r>
          </w:p>
        </w:tc>
        <w:tc>
          <w:tcPr>
            <w:tcW w:w="1377" w:type="dxa"/>
            <w:tcBorders>
              <w:bottom w:val="single" w:color="009EE0" w:sz="2" w:space="0"/>
            </w:tcBorders>
            <w:tcMar>
              <w:top w:w="22" w:type="dxa"/>
              <w:left w:w="28" w:type="dxa"/>
              <w:bottom w:w="22" w:type="dxa"/>
              <w:right w:w="28" w:type="dxa"/>
            </w:tcMar>
          </w:tcPr>
          <w:p w:rsidR="006B6965" w:rsidRDefault="003A166B" w14:paraId="1F65A127" w14:textId="77777777">
            <w:pPr>
              <w:pStyle w:val="p-table"/>
              <w:jc w:val="right"/>
              <w:rPr>
                <w:sz w:val="17"/>
              </w:rPr>
            </w:pPr>
            <w:r>
              <w:rPr>
                <w:sz w:val="17"/>
              </w:rPr>
              <w:t>956</w:t>
            </w:r>
          </w:p>
        </w:tc>
        <w:tc>
          <w:tcPr>
            <w:tcW w:w="1377" w:type="dxa"/>
            <w:tcBorders>
              <w:bottom w:val="single" w:color="009EE0" w:sz="2" w:space="0"/>
            </w:tcBorders>
            <w:tcMar>
              <w:top w:w="22" w:type="dxa"/>
              <w:left w:w="28" w:type="dxa"/>
              <w:bottom w:w="22" w:type="dxa"/>
              <w:right w:w="28" w:type="dxa"/>
            </w:tcMar>
          </w:tcPr>
          <w:p w:rsidR="006B6965" w:rsidRDefault="003A166B" w14:paraId="18E411F0" w14:textId="77777777">
            <w:pPr>
              <w:pStyle w:val="p-table"/>
              <w:jc w:val="right"/>
              <w:rPr>
                <w:sz w:val="17"/>
              </w:rPr>
            </w:pPr>
            <w:r>
              <w:rPr>
                <w:sz w:val="17"/>
              </w:rPr>
              <w:t>‒</w:t>
            </w:r>
            <w:r>
              <w:rPr>
                <w:sz w:val="17"/>
              </w:rPr>
              <w:t xml:space="preserve"> 50</w:t>
            </w:r>
          </w:p>
        </w:tc>
        <w:tc>
          <w:tcPr>
            <w:tcW w:w="1377" w:type="dxa"/>
            <w:tcBorders>
              <w:bottom w:val="single" w:color="009EE0" w:sz="2" w:space="0"/>
            </w:tcBorders>
            <w:tcMar>
              <w:top w:w="22" w:type="dxa"/>
              <w:left w:w="28" w:type="dxa"/>
              <w:bottom w:w="22" w:type="dxa"/>
              <w:right w:w="28" w:type="dxa"/>
            </w:tcMar>
          </w:tcPr>
          <w:p w:rsidR="006B6965" w:rsidRDefault="003A166B" w14:paraId="0090E395" w14:textId="77777777">
            <w:pPr>
              <w:pStyle w:val="p-table"/>
              <w:jc w:val="right"/>
              <w:rPr>
                <w:sz w:val="17"/>
              </w:rPr>
            </w:pPr>
            <w:r>
              <w:rPr>
                <w:sz w:val="17"/>
              </w:rPr>
              <w:t>906</w:t>
            </w:r>
          </w:p>
        </w:tc>
      </w:tr>
      <w:tr w:rsidR="006B6965" w14:paraId="3C3C729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E5827F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7021DA0"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3737565F" w14:textId="77777777">
            <w:pPr>
              <w:pStyle w:val="p-table"/>
              <w:jc w:val="right"/>
              <w:rPr>
                <w:sz w:val="17"/>
              </w:rPr>
            </w:pPr>
            <w:r>
              <w:rPr>
                <w:sz w:val="17"/>
              </w:rPr>
              <w:t>531</w:t>
            </w:r>
          </w:p>
        </w:tc>
        <w:tc>
          <w:tcPr>
            <w:tcW w:w="1377" w:type="dxa"/>
            <w:tcBorders>
              <w:bottom w:val="single" w:color="009EE0" w:sz="2" w:space="0"/>
            </w:tcBorders>
            <w:tcMar>
              <w:top w:w="22" w:type="dxa"/>
              <w:left w:w="28" w:type="dxa"/>
              <w:bottom w:w="22" w:type="dxa"/>
              <w:right w:w="28" w:type="dxa"/>
            </w:tcMar>
          </w:tcPr>
          <w:p w:rsidR="006B6965" w:rsidRDefault="003A166B" w14:paraId="60F94CC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7037F6E" w14:textId="77777777">
            <w:pPr>
              <w:pStyle w:val="p-table"/>
              <w:jc w:val="right"/>
              <w:rPr>
                <w:sz w:val="17"/>
              </w:rPr>
            </w:pPr>
            <w:r>
              <w:rPr>
                <w:sz w:val="17"/>
              </w:rPr>
              <w:t>531</w:t>
            </w:r>
          </w:p>
        </w:tc>
      </w:tr>
      <w:tr w:rsidR="006B6965" w14:paraId="6D40B7D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6048CE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79D69E8"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5CF4BEEC" w14:textId="77777777">
            <w:pPr>
              <w:pStyle w:val="p-table"/>
              <w:jc w:val="right"/>
              <w:rPr>
                <w:sz w:val="17"/>
              </w:rPr>
            </w:pPr>
            <w:r>
              <w:rPr>
                <w:i/>
                <w:sz w:val="17"/>
              </w:rPr>
              <w:t>5.531</w:t>
            </w:r>
          </w:p>
        </w:tc>
        <w:tc>
          <w:tcPr>
            <w:tcW w:w="1377" w:type="dxa"/>
            <w:tcBorders>
              <w:bottom w:val="single" w:color="009EE0" w:sz="2" w:space="0"/>
            </w:tcBorders>
            <w:tcMar>
              <w:top w:w="22" w:type="dxa"/>
              <w:left w:w="28" w:type="dxa"/>
              <w:bottom w:w="22" w:type="dxa"/>
              <w:right w:w="28" w:type="dxa"/>
            </w:tcMar>
          </w:tcPr>
          <w:p w:rsidR="006B6965" w:rsidRDefault="003A166B" w14:paraId="344D552D"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5C97957" w14:textId="77777777">
            <w:pPr>
              <w:pStyle w:val="p-table"/>
              <w:jc w:val="right"/>
              <w:rPr>
                <w:sz w:val="17"/>
              </w:rPr>
            </w:pPr>
            <w:r>
              <w:rPr>
                <w:i/>
                <w:sz w:val="17"/>
              </w:rPr>
              <w:t>5.531</w:t>
            </w:r>
          </w:p>
        </w:tc>
      </w:tr>
      <w:tr w:rsidR="006B6965" w14:paraId="349D1F8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6D9F75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2F2BA04" w14:textId="77777777">
            <w:pPr>
              <w:pStyle w:val="p-table"/>
              <w:rPr>
                <w:sz w:val="17"/>
              </w:rPr>
            </w:pPr>
            <w:r>
              <w:rPr>
                <w:sz w:val="17"/>
              </w:rPr>
              <w:t>Bijdrage aan agentschap RIVM</w:t>
            </w:r>
          </w:p>
        </w:tc>
        <w:tc>
          <w:tcPr>
            <w:tcW w:w="1377" w:type="dxa"/>
            <w:tcBorders>
              <w:bottom w:val="single" w:color="009EE0" w:sz="2" w:space="0"/>
            </w:tcBorders>
            <w:tcMar>
              <w:top w:w="22" w:type="dxa"/>
              <w:left w:w="28" w:type="dxa"/>
              <w:bottom w:w="22" w:type="dxa"/>
              <w:right w:w="28" w:type="dxa"/>
            </w:tcMar>
          </w:tcPr>
          <w:p w:rsidR="006B6965" w:rsidRDefault="003A166B" w14:paraId="44D71D7E" w14:textId="77777777">
            <w:pPr>
              <w:pStyle w:val="p-table"/>
              <w:jc w:val="right"/>
              <w:rPr>
                <w:sz w:val="17"/>
              </w:rPr>
            </w:pPr>
            <w:r>
              <w:rPr>
                <w:sz w:val="17"/>
              </w:rPr>
              <w:t>3.550</w:t>
            </w:r>
          </w:p>
        </w:tc>
        <w:tc>
          <w:tcPr>
            <w:tcW w:w="1377" w:type="dxa"/>
            <w:tcBorders>
              <w:bottom w:val="single" w:color="009EE0" w:sz="2" w:space="0"/>
            </w:tcBorders>
            <w:tcMar>
              <w:top w:w="22" w:type="dxa"/>
              <w:left w:w="28" w:type="dxa"/>
              <w:bottom w:w="22" w:type="dxa"/>
              <w:right w:w="28" w:type="dxa"/>
            </w:tcMar>
          </w:tcPr>
          <w:p w:rsidR="006B6965" w:rsidRDefault="003A166B" w14:paraId="0B93562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E5CAE72" w14:textId="77777777">
            <w:pPr>
              <w:pStyle w:val="p-table"/>
              <w:jc w:val="right"/>
              <w:rPr>
                <w:sz w:val="17"/>
              </w:rPr>
            </w:pPr>
            <w:r>
              <w:rPr>
                <w:sz w:val="17"/>
              </w:rPr>
              <w:t>3.550</w:t>
            </w:r>
          </w:p>
        </w:tc>
      </w:tr>
      <w:tr w:rsidR="006B6965" w14:paraId="1A0C6FD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AD08A1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D4F5A37" w14:textId="77777777">
            <w:pPr>
              <w:pStyle w:val="p-table"/>
              <w:rPr>
                <w:sz w:val="17"/>
              </w:rPr>
            </w:pPr>
            <w:r>
              <w:rPr>
                <w:sz w:val="17"/>
              </w:rPr>
              <w:t>Bijdrage aan COGEM</w:t>
            </w:r>
          </w:p>
        </w:tc>
        <w:tc>
          <w:tcPr>
            <w:tcW w:w="1377" w:type="dxa"/>
            <w:tcBorders>
              <w:bottom w:val="single" w:color="009EE0" w:sz="2" w:space="0"/>
            </w:tcBorders>
            <w:tcMar>
              <w:top w:w="22" w:type="dxa"/>
              <w:left w:w="28" w:type="dxa"/>
              <w:bottom w:w="22" w:type="dxa"/>
              <w:right w:w="28" w:type="dxa"/>
            </w:tcMar>
          </w:tcPr>
          <w:p w:rsidR="006B6965" w:rsidRDefault="003A166B" w14:paraId="6844EE75" w14:textId="77777777">
            <w:pPr>
              <w:pStyle w:val="p-table"/>
              <w:jc w:val="right"/>
              <w:rPr>
                <w:sz w:val="17"/>
              </w:rPr>
            </w:pPr>
            <w:r>
              <w:rPr>
                <w:sz w:val="17"/>
              </w:rPr>
              <w:t>1.981</w:t>
            </w:r>
          </w:p>
        </w:tc>
        <w:tc>
          <w:tcPr>
            <w:tcW w:w="1377" w:type="dxa"/>
            <w:tcBorders>
              <w:bottom w:val="single" w:color="009EE0" w:sz="2" w:space="0"/>
            </w:tcBorders>
            <w:tcMar>
              <w:top w:w="22" w:type="dxa"/>
              <w:left w:w="28" w:type="dxa"/>
              <w:bottom w:w="22" w:type="dxa"/>
              <w:right w:w="28" w:type="dxa"/>
            </w:tcMar>
          </w:tcPr>
          <w:p w:rsidR="006B6965" w:rsidRDefault="003A166B" w14:paraId="377CEFB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F05514A" w14:textId="77777777">
            <w:pPr>
              <w:pStyle w:val="p-table"/>
              <w:jc w:val="right"/>
              <w:rPr>
                <w:sz w:val="17"/>
              </w:rPr>
            </w:pPr>
            <w:r>
              <w:rPr>
                <w:sz w:val="17"/>
              </w:rPr>
              <w:t>1.981</w:t>
            </w:r>
          </w:p>
        </w:tc>
      </w:tr>
      <w:tr w:rsidR="006B6965" w14:paraId="39E924B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A2BF494" w14:textId="77777777">
            <w:pPr>
              <w:pStyle w:val="p-table"/>
              <w:rPr>
                <w:sz w:val="17"/>
              </w:rPr>
            </w:pPr>
            <w:r>
              <w:rPr>
                <w:b/>
                <w:sz w:val="17"/>
              </w:rPr>
              <w:t>22.3</w:t>
            </w:r>
          </w:p>
        </w:tc>
        <w:tc>
          <w:tcPr>
            <w:tcW w:w="4590" w:type="dxa"/>
            <w:tcBorders>
              <w:bottom w:val="single" w:color="009EE0" w:sz="2" w:space="0"/>
            </w:tcBorders>
            <w:tcMar>
              <w:top w:w="22" w:type="dxa"/>
              <w:left w:w="28" w:type="dxa"/>
              <w:bottom w:w="22" w:type="dxa"/>
              <w:right w:w="28" w:type="dxa"/>
            </w:tcMar>
          </w:tcPr>
          <w:p w:rsidR="006B6965" w:rsidRDefault="003A166B" w14:paraId="3352D1AB" w14:textId="77777777">
            <w:pPr>
              <w:pStyle w:val="p-table"/>
              <w:rPr>
                <w:sz w:val="17"/>
              </w:rPr>
            </w:pPr>
            <w:r>
              <w:rPr>
                <w:b/>
                <w:sz w:val="17"/>
              </w:rPr>
              <w:t>Veiligheid bedrijven en transport</w:t>
            </w:r>
          </w:p>
        </w:tc>
        <w:tc>
          <w:tcPr>
            <w:tcW w:w="1377" w:type="dxa"/>
            <w:tcBorders>
              <w:bottom w:val="single" w:color="009EE0" w:sz="2" w:space="0"/>
            </w:tcBorders>
            <w:tcMar>
              <w:top w:w="22" w:type="dxa"/>
              <w:left w:w="28" w:type="dxa"/>
              <w:bottom w:w="22" w:type="dxa"/>
              <w:right w:w="28" w:type="dxa"/>
            </w:tcMar>
          </w:tcPr>
          <w:p w:rsidR="006B6965" w:rsidRDefault="003A166B" w14:paraId="0B426949" w14:textId="77777777">
            <w:pPr>
              <w:pStyle w:val="p-table"/>
              <w:jc w:val="right"/>
              <w:rPr>
                <w:sz w:val="17"/>
              </w:rPr>
            </w:pPr>
            <w:r>
              <w:rPr>
                <w:b/>
                <w:sz w:val="17"/>
              </w:rPr>
              <w:t>53.045</w:t>
            </w:r>
          </w:p>
        </w:tc>
        <w:tc>
          <w:tcPr>
            <w:tcW w:w="1377" w:type="dxa"/>
            <w:tcBorders>
              <w:bottom w:val="single" w:color="009EE0" w:sz="2" w:space="0"/>
            </w:tcBorders>
            <w:tcMar>
              <w:top w:w="22" w:type="dxa"/>
              <w:left w:w="28" w:type="dxa"/>
              <w:bottom w:w="22" w:type="dxa"/>
              <w:right w:w="28" w:type="dxa"/>
            </w:tcMar>
          </w:tcPr>
          <w:p w:rsidR="006B6965" w:rsidRDefault="003A166B" w14:paraId="0DCDD909" w14:textId="77777777">
            <w:pPr>
              <w:pStyle w:val="p-table"/>
              <w:jc w:val="right"/>
              <w:rPr>
                <w:sz w:val="17"/>
              </w:rPr>
            </w:pPr>
            <w:r>
              <w:rPr>
                <w:b/>
                <w:sz w:val="17"/>
              </w:rPr>
              <w:t>‒</w:t>
            </w:r>
            <w:r>
              <w:rPr>
                <w:b/>
                <w:sz w:val="17"/>
              </w:rPr>
              <w:t xml:space="preserve"> 7.580</w:t>
            </w:r>
          </w:p>
        </w:tc>
        <w:tc>
          <w:tcPr>
            <w:tcW w:w="1377" w:type="dxa"/>
            <w:tcBorders>
              <w:bottom w:val="single" w:color="009EE0" w:sz="2" w:space="0"/>
            </w:tcBorders>
            <w:tcMar>
              <w:top w:w="22" w:type="dxa"/>
              <w:left w:w="28" w:type="dxa"/>
              <w:bottom w:w="22" w:type="dxa"/>
              <w:right w:w="28" w:type="dxa"/>
            </w:tcMar>
          </w:tcPr>
          <w:p w:rsidR="006B6965" w:rsidRDefault="003A166B" w14:paraId="2D0BD4A2" w14:textId="77777777">
            <w:pPr>
              <w:pStyle w:val="p-table"/>
              <w:jc w:val="right"/>
              <w:rPr>
                <w:sz w:val="17"/>
              </w:rPr>
            </w:pPr>
            <w:r>
              <w:rPr>
                <w:b/>
                <w:sz w:val="17"/>
              </w:rPr>
              <w:t>45.465</w:t>
            </w:r>
          </w:p>
        </w:tc>
      </w:tr>
      <w:tr w:rsidR="006B6965" w14:paraId="5D5C6D8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0316BF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30808D9"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26483B0F" w14:textId="77777777">
            <w:pPr>
              <w:pStyle w:val="p-table"/>
              <w:jc w:val="right"/>
              <w:rPr>
                <w:sz w:val="17"/>
              </w:rPr>
            </w:pPr>
            <w:r>
              <w:rPr>
                <w:i/>
                <w:sz w:val="17"/>
              </w:rPr>
              <w:t>16.796</w:t>
            </w:r>
          </w:p>
        </w:tc>
        <w:tc>
          <w:tcPr>
            <w:tcW w:w="1377" w:type="dxa"/>
            <w:tcBorders>
              <w:bottom w:val="single" w:color="009EE0" w:sz="2" w:space="0"/>
            </w:tcBorders>
            <w:tcMar>
              <w:top w:w="22" w:type="dxa"/>
              <w:left w:w="28" w:type="dxa"/>
              <w:bottom w:w="22" w:type="dxa"/>
              <w:right w:w="28" w:type="dxa"/>
            </w:tcMar>
          </w:tcPr>
          <w:p w:rsidR="006B6965" w:rsidRDefault="003A166B" w14:paraId="3C0E7A34" w14:textId="77777777">
            <w:pPr>
              <w:pStyle w:val="p-table"/>
              <w:jc w:val="right"/>
              <w:rPr>
                <w:sz w:val="17"/>
              </w:rPr>
            </w:pPr>
            <w:r>
              <w:rPr>
                <w:i/>
                <w:sz w:val="17"/>
              </w:rPr>
              <w:t>‒</w:t>
            </w:r>
            <w:r>
              <w:rPr>
                <w:i/>
                <w:sz w:val="17"/>
              </w:rPr>
              <w:t xml:space="preserve"> 4.096</w:t>
            </w:r>
          </w:p>
        </w:tc>
        <w:tc>
          <w:tcPr>
            <w:tcW w:w="1377" w:type="dxa"/>
            <w:tcBorders>
              <w:bottom w:val="single" w:color="009EE0" w:sz="2" w:space="0"/>
            </w:tcBorders>
            <w:tcMar>
              <w:top w:w="22" w:type="dxa"/>
              <w:left w:w="28" w:type="dxa"/>
              <w:bottom w:w="22" w:type="dxa"/>
              <w:right w:w="28" w:type="dxa"/>
            </w:tcMar>
          </w:tcPr>
          <w:p w:rsidR="006B6965" w:rsidRDefault="003A166B" w14:paraId="1272E8DF" w14:textId="77777777">
            <w:pPr>
              <w:pStyle w:val="p-table"/>
              <w:jc w:val="right"/>
              <w:rPr>
                <w:sz w:val="17"/>
              </w:rPr>
            </w:pPr>
            <w:r>
              <w:rPr>
                <w:i/>
                <w:sz w:val="17"/>
              </w:rPr>
              <w:t>12.700</w:t>
            </w:r>
          </w:p>
        </w:tc>
      </w:tr>
      <w:tr w:rsidR="006B6965" w14:paraId="69AE28F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DE2CEE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1292FBE" w14:textId="77777777">
            <w:pPr>
              <w:pStyle w:val="p-table"/>
              <w:rPr>
                <w:sz w:val="17"/>
              </w:rPr>
            </w:pPr>
            <w:r>
              <w:rPr>
                <w:sz w:val="17"/>
              </w:rPr>
              <w:t>Omgevingsveiligheid</w:t>
            </w:r>
          </w:p>
        </w:tc>
        <w:tc>
          <w:tcPr>
            <w:tcW w:w="1377" w:type="dxa"/>
            <w:tcBorders>
              <w:bottom w:val="single" w:color="009EE0" w:sz="2" w:space="0"/>
            </w:tcBorders>
            <w:tcMar>
              <w:top w:w="22" w:type="dxa"/>
              <w:left w:w="28" w:type="dxa"/>
              <w:bottom w:w="22" w:type="dxa"/>
              <w:right w:w="28" w:type="dxa"/>
            </w:tcMar>
          </w:tcPr>
          <w:p w:rsidR="006B6965" w:rsidRDefault="003A166B" w14:paraId="6419571A" w14:textId="77777777">
            <w:pPr>
              <w:pStyle w:val="p-table"/>
              <w:jc w:val="right"/>
              <w:rPr>
                <w:sz w:val="17"/>
              </w:rPr>
            </w:pPr>
            <w:r>
              <w:rPr>
                <w:sz w:val="17"/>
              </w:rPr>
              <w:t>7.822</w:t>
            </w:r>
          </w:p>
        </w:tc>
        <w:tc>
          <w:tcPr>
            <w:tcW w:w="1377" w:type="dxa"/>
            <w:tcBorders>
              <w:bottom w:val="single" w:color="009EE0" w:sz="2" w:space="0"/>
            </w:tcBorders>
            <w:tcMar>
              <w:top w:w="22" w:type="dxa"/>
              <w:left w:w="28" w:type="dxa"/>
              <w:bottom w:w="22" w:type="dxa"/>
              <w:right w:w="28" w:type="dxa"/>
            </w:tcMar>
          </w:tcPr>
          <w:p w:rsidR="006B6965" w:rsidRDefault="003A166B" w14:paraId="3B2F5A6F" w14:textId="77777777">
            <w:pPr>
              <w:pStyle w:val="p-table"/>
              <w:jc w:val="right"/>
              <w:rPr>
                <w:sz w:val="17"/>
              </w:rPr>
            </w:pPr>
            <w:r>
              <w:rPr>
                <w:sz w:val="17"/>
              </w:rPr>
              <w:t>‒</w:t>
            </w:r>
            <w:r>
              <w:rPr>
                <w:sz w:val="17"/>
              </w:rPr>
              <w:t xml:space="preserve"> 3.950</w:t>
            </w:r>
          </w:p>
        </w:tc>
        <w:tc>
          <w:tcPr>
            <w:tcW w:w="1377" w:type="dxa"/>
            <w:tcBorders>
              <w:bottom w:val="single" w:color="009EE0" w:sz="2" w:space="0"/>
            </w:tcBorders>
            <w:tcMar>
              <w:top w:w="22" w:type="dxa"/>
              <w:left w:w="28" w:type="dxa"/>
              <w:bottom w:w="22" w:type="dxa"/>
              <w:right w:w="28" w:type="dxa"/>
            </w:tcMar>
          </w:tcPr>
          <w:p w:rsidR="006B6965" w:rsidRDefault="003A166B" w14:paraId="22AD33EF" w14:textId="77777777">
            <w:pPr>
              <w:pStyle w:val="p-table"/>
              <w:jc w:val="right"/>
              <w:rPr>
                <w:sz w:val="17"/>
              </w:rPr>
            </w:pPr>
            <w:r>
              <w:rPr>
                <w:sz w:val="17"/>
              </w:rPr>
              <w:t>3.872</w:t>
            </w:r>
          </w:p>
        </w:tc>
      </w:tr>
      <w:tr w:rsidR="006B6965" w14:paraId="061AF01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966A76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2321208" w14:textId="77777777">
            <w:pPr>
              <w:pStyle w:val="p-table"/>
              <w:rPr>
                <w:sz w:val="17"/>
              </w:rPr>
            </w:pPr>
            <w:r>
              <w:rPr>
                <w:sz w:val="17"/>
              </w:rPr>
              <w:t>Asbest</w:t>
            </w:r>
          </w:p>
        </w:tc>
        <w:tc>
          <w:tcPr>
            <w:tcW w:w="1377" w:type="dxa"/>
            <w:tcBorders>
              <w:bottom w:val="single" w:color="009EE0" w:sz="2" w:space="0"/>
            </w:tcBorders>
            <w:tcMar>
              <w:top w:w="22" w:type="dxa"/>
              <w:left w:w="28" w:type="dxa"/>
              <w:bottom w:w="22" w:type="dxa"/>
              <w:right w:w="28" w:type="dxa"/>
            </w:tcMar>
          </w:tcPr>
          <w:p w:rsidR="006B6965" w:rsidRDefault="003A166B" w14:paraId="65EAAC66" w14:textId="77777777">
            <w:pPr>
              <w:pStyle w:val="p-table"/>
              <w:jc w:val="right"/>
              <w:rPr>
                <w:sz w:val="17"/>
              </w:rPr>
            </w:pPr>
            <w:r>
              <w:rPr>
                <w:sz w:val="17"/>
              </w:rPr>
              <w:t>1.063</w:t>
            </w:r>
          </w:p>
        </w:tc>
        <w:tc>
          <w:tcPr>
            <w:tcW w:w="1377" w:type="dxa"/>
            <w:tcBorders>
              <w:bottom w:val="single" w:color="009EE0" w:sz="2" w:space="0"/>
            </w:tcBorders>
            <w:tcMar>
              <w:top w:w="22" w:type="dxa"/>
              <w:left w:w="28" w:type="dxa"/>
              <w:bottom w:w="22" w:type="dxa"/>
              <w:right w:w="28" w:type="dxa"/>
            </w:tcMar>
          </w:tcPr>
          <w:p w:rsidR="006B6965" w:rsidRDefault="003A166B" w14:paraId="76E4A9AE" w14:textId="77777777">
            <w:pPr>
              <w:pStyle w:val="p-table"/>
              <w:jc w:val="right"/>
              <w:rPr>
                <w:sz w:val="17"/>
              </w:rPr>
            </w:pPr>
            <w:r>
              <w:rPr>
                <w:sz w:val="17"/>
              </w:rPr>
              <w:t>‒</w:t>
            </w:r>
            <w:r>
              <w:rPr>
                <w:sz w:val="17"/>
              </w:rPr>
              <w:t xml:space="preserve"> 1</w:t>
            </w:r>
          </w:p>
        </w:tc>
        <w:tc>
          <w:tcPr>
            <w:tcW w:w="1377" w:type="dxa"/>
            <w:tcBorders>
              <w:bottom w:val="single" w:color="009EE0" w:sz="2" w:space="0"/>
            </w:tcBorders>
            <w:tcMar>
              <w:top w:w="22" w:type="dxa"/>
              <w:left w:w="28" w:type="dxa"/>
              <w:bottom w:w="22" w:type="dxa"/>
              <w:right w:w="28" w:type="dxa"/>
            </w:tcMar>
          </w:tcPr>
          <w:p w:rsidR="006B6965" w:rsidRDefault="003A166B" w14:paraId="3D4E763E" w14:textId="77777777">
            <w:pPr>
              <w:pStyle w:val="p-table"/>
              <w:jc w:val="right"/>
              <w:rPr>
                <w:sz w:val="17"/>
              </w:rPr>
            </w:pPr>
            <w:r>
              <w:rPr>
                <w:sz w:val="17"/>
              </w:rPr>
              <w:t>1.062</w:t>
            </w:r>
          </w:p>
        </w:tc>
      </w:tr>
      <w:tr w:rsidR="006B6965" w14:paraId="3CEBADA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2791B0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B0E2393" w14:textId="77777777">
            <w:pPr>
              <w:pStyle w:val="p-table"/>
              <w:rPr>
                <w:sz w:val="17"/>
              </w:rPr>
            </w:pPr>
            <w:r>
              <w:rPr>
                <w:sz w:val="17"/>
              </w:rPr>
              <w:t>Waarvan RWS</w:t>
            </w:r>
          </w:p>
        </w:tc>
        <w:tc>
          <w:tcPr>
            <w:tcW w:w="1377" w:type="dxa"/>
            <w:tcBorders>
              <w:bottom w:val="single" w:color="009EE0" w:sz="2" w:space="0"/>
            </w:tcBorders>
            <w:tcMar>
              <w:top w:w="22" w:type="dxa"/>
              <w:left w:w="28" w:type="dxa"/>
              <w:bottom w:w="22" w:type="dxa"/>
              <w:right w:w="28" w:type="dxa"/>
            </w:tcMar>
          </w:tcPr>
          <w:p w:rsidR="006B6965" w:rsidRDefault="003A166B" w14:paraId="38777DF1" w14:textId="77777777">
            <w:pPr>
              <w:pStyle w:val="p-table"/>
              <w:jc w:val="right"/>
              <w:rPr>
                <w:sz w:val="17"/>
              </w:rPr>
            </w:pPr>
            <w:r>
              <w:rPr>
                <w:sz w:val="17"/>
              </w:rPr>
              <w:t>2.855</w:t>
            </w:r>
          </w:p>
        </w:tc>
        <w:tc>
          <w:tcPr>
            <w:tcW w:w="1377" w:type="dxa"/>
            <w:tcBorders>
              <w:bottom w:val="single" w:color="009EE0" w:sz="2" w:space="0"/>
            </w:tcBorders>
            <w:tcMar>
              <w:top w:w="22" w:type="dxa"/>
              <w:left w:w="28" w:type="dxa"/>
              <w:bottom w:w="22" w:type="dxa"/>
              <w:right w:w="28" w:type="dxa"/>
            </w:tcMar>
          </w:tcPr>
          <w:p w:rsidR="006B6965" w:rsidRDefault="003A166B" w14:paraId="5B27619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0D7ABEF" w14:textId="77777777">
            <w:pPr>
              <w:pStyle w:val="p-table"/>
              <w:jc w:val="right"/>
              <w:rPr>
                <w:sz w:val="17"/>
              </w:rPr>
            </w:pPr>
            <w:r>
              <w:rPr>
                <w:sz w:val="17"/>
              </w:rPr>
              <w:t>2.855</w:t>
            </w:r>
          </w:p>
        </w:tc>
      </w:tr>
      <w:tr w:rsidR="006B6965" w14:paraId="7C41F3D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87140C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BCFB23D" w14:textId="77777777">
            <w:pPr>
              <w:pStyle w:val="p-table"/>
              <w:rPr>
                <w:sz w:val="17"/>
              </w:rPr>
            </w:pPr>
            <w:r>
              <w:rPr>
                <w:sz w:val="17"/>
              </w:rPr>
              <w:t>VTH-stelsel</w:t>
            </w:r>
          </w:p>
        </w:tc>
        <w:tc>
          <w:tcPr>
            <w:tcW w:w="1377" w:type="dxa"/>
            <w:tcBorders>
              <w:bottom w:val="single" w:color="009EE0" w:sz="2" w:space="0"/>
            </w:tcBorders>
            <w:tcMar>
              <w:top w:w="22" w:type="dxa"/>
              <w:left w:w="28" w:type="dxa"/>
              <w:bottom w:w="22" w:type="dxa"/>
              <w:right w:w="28" w:type="dxa"/>
            </w:tcMar>
          </w:tcPr>
          <w:p w:rsidR="006B6965" w:rsidRDefault="003A166B" w14:paraId="19F5D017" w14:textId="77777777">
            <w:pPr>
              <w:pStyle w:val="p-table"/>
              <w:jc w:val="right"/>
              <w:rPr>
                <w:sz w:val="17"/>
              </w:rPr>
            </w:pPr>
            <w:r>
              <w:rPr>
                <w:sz w:val="17"/>
              </w:rPr>
              <w:t>1.486</w:t>
            </w:r>
          </w:p>
        </w:tc>
        <w:tc>
          <w:tcPr>
            <w:tcW w:w="1377" w:type="dxa"/>
            <w:tcBorders>
              <w:bottom w:val="single" w:color="009EE0" w:sz="2" w:space="0"/>
            </w:tcBorders>
            <w:tcMar>
              <w:top w:w="22" w:type="dxa"/>
              <w:left w:w="28" w:type="dxa"/>
              <w:bottom w:w="22" w:type="dxa"/>
              <w:right w:w="28" w:type="dxa"/>
            </w:tcMar>
          </w:tcPr>
          <w:p w:rsidR="006B6965" w:rsidRDefault="003A166B" w14:paraId="063CB4A3" w14:textId="77777777">
            <w:pPr>
              <w:pStyle w:val="p-table"/>
              <w:jc w:val="right"/>
              <w:rPr>
                <w:sz w:val="17"/>
              </w:rPr>
            </w:pPr>
            <w:r>
              <w:rPr>
                <w:sz w:val="17"/>
              </w:rPr>
              <w:t>627</w:t>
            </w:r>
          </w:p>
        </w:tc>
        <w:tc>
          <w:tcPr>
            <w:tcW w:w="1377" w:type="dxa"/>
            <w:tcBorders>
              <w:bottom w:val="single" w:color="009EE0" w:sz="2" w:space="0"/>
            </w:tcBorders>
            <w:tcMar>
              <w:top w:w="22" w:type="dxa"/>
              <w:left w:w="28" w:type="dxa"/>
              <w:bottom w:w="22" w:type="dxa"/>
              <w:right w:w="28" w:type="dxa"/>
            </w:tcMar>
          </w:tcPr>
          <w:p w:rsidR="006B6965" w:rsidRDefault="003A166B" w14:paraId="61EA801E" w14:textId="77777777">
            <w:pPr>
              <w:pStyle w:val="p-table"/>
              <w:jc w:val="right"/>
              <w:rPr>
                <w:sz w:val="17"/>
              </w:rPr>
            </w:pPr>
            <w:r>
              <w:rPr>
                <w:sz w:val="17"/>
              </w:rPr>
              <w:t>2.113</w:t>
            </w:r>
          </w:p>
        </w:tc>
      </w:tr>
      <w:tr w:rsidR="006B6965" w14:paraId="0FE37A9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9352D8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81FFEB0"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5E7A88B1" w14:textId="77777777">
            <w:pPr>
              <w:pStyle w:val="p-table"/>
              <w:jc w:val="right"/>
              <w:rPr>
                <w:sz w:val="17"/>
              </w:rPr>
            </w:pPr>
            <w:r>
              <w:rPr>
                <w:sz w:val="17"/>
              </w:rPr>
              <w:t>3.570</w:t>
            </w:r>
          </w:p>
        </w:tc>
        <w:tc>
          <w:tcPr>
            <w:tcW w:w="1377" w:type="dxa"/>
            <w:tcBorders>
              <w:bottom w:val="single" w:color="009EE0" w:sz="2" w:space="0"/>
            </w:tcBorders>
            <w:tcMar>
              <w:top w:w="22" w:type="dxa"/>
              <w:left w:w="28" w:type="dxa"/>
              <w:bottom w:w="22" w:type="dxa"/>
              <w:right w:w="28" w:type="dxa"/>
            </w:tcMar>
          </w:tcPr>
          <w:p w:rsidR="006B6965" w:rsidRDefault="003A166B" w14:paraId="1DDAD794" w14:textId="77777777">
            <w:pPr>
              <w:pStyle w:val="p-table"/>
              <w:jc w:val="right"/>
              <w:rPr>
                <w:sz w:val="17"/>
              </w:rPr>
            </w:pPr>
            <w:r>
              <w:rPr>
                <w:sz w:val="17"/>
              </w:rPr>
              <w:t>‒</w:t>
            </w:r>
            <w:r>
              <w:rPr>
                <w:sz w:val="17"/>
              </w:rPr>
              <w:t xml:space="preserve"> 772</w:t>
            </w:r>
          </w:p>
        </w:tc>
        <w:tc>
          <w:tcPr>
            <w:tcW w:w="1377" w:type="dxa"/>
            <w:tcBorders>
              <w:bottom w:val="single" w:color="009EE0" w:sz="2" w:space="0"/>
            </w:tcBorders>
            <w:tcMar>
              <w:top w:w="22" w:type="dxa"/>
              <w:left w:w="28" w:type="dxa"/>
              <w:bottom w:w="22" w:type="dxa"/>
              <w:right w:w="28" w:type="dxa"/>
            </w:tcMar>
          </w:tcPr>
          <w:p w:rsidR="006B6965" w:rsidRDefault="003A166B" w14:paraId="6F8D041B" w14:textId="77777777">
            <w:pPr>
              <w:pStyle w:val="p-table"/>
              <w:jc w:val="right"/>
              <w:rPr>
                <w:sz w:val="17"/>
              </w:rPr>
            </w:pPr>
            <w:r>
              <w:rPr>
                <w:sz w:val="17"/>
              </w:rPr>
              <w:t>2.798</w:t>
            </w:r>
          </w:p>
        </w:tc>
      </w:tr>
      <w:tr w:rsidR="006B6965" w14:paraId="212C305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4E3CE2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2685DF9"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08E9EEF4" w14:textId="77777777">
            <w:pPr>
              <w:pStyle w:val="p-table"/>
              <w:jc w:val="right"/>
              <w:rPr>
                <w:sz w:val="17"/>
              </w:rPr>
            </w:pPr>
            <w:r>
              <w:rPr>
                <w:i/>
                <w:sz w:val="17"/>
              </w:rPr>
              <w:t>18.720</w:t>
            </w:r>
          </w:p>
        </w:tc>
        <w:tc>
          <w:tcPr>
            <w:tcW w:w="1377" w:type="dxa"/>
            <w:tcBorders>
              <w:bottom w:val="single" w:color="009EE0" w:sz="2" w:space="0"/>
            </w:tcBorders>
            <w:tcMar>
              <w:top w:w="22" w:type="dxa"/>
              <w:left w:w="28" w:type="dxa"/>
              <w:bottom w:w="22" w:type="dxa"/>
              <w:right w:w="28" w:type="dxa"/>
            </w:tcMar>
          </w:tcPr>
          <w:p w:rsidR="006B6965" w:rsidRDefault="003A166B" w14:paraId="1180C3C9" w14:textId="77777777">
            <w:pPr>
              <w:pStyle w:val="p-table"/>
              <w:jc w:val="right"/>
              <w:rPr>
                <w:sz w:val="17"/>
              </w:rPr>
            </w:pPr>
            <w:r>
              <w:rPr>
                <w:i/>
                <w:sz w:val="17"/>
              </w:rPr>
              <w:t>‒</w:t>
            </w:r>
            <w:r>
              <w:rPr>
                <w:i/>
                <w:sz w:val="17"/>
              </w:rPr>
              <w:t xml:space="preserve"> 3.525</w:t>
            </w:r>
          </w:p>
        </w:tc>
        <w:tc>
          <w:tcPr>
            <w:tcW w:w="1377" w:type="dxa"/>
            <w:tcBorders>
              <w:bottom w:val="single" w:color="009EE0" w:sz="2" w:space="0"/>
            </w:tcBorders>
            <w:tcMar>
              <w:top w:w="22" w:type="dxa"/>
              <w:left w:w="28" w:type="dxa"/>
              <w:bottom w:w="22" w:type="dxa"/>
              <w:right w:w="28" w:type="dxa"/>
            </w:tcMar>
          </w:tcPr>
          <w:p w:rsidR="006B6965" w:rsidRDefault="003A166B" w14:paraId="13E3B1E4" w14:textId="77777777">
            <w:pPr>
              <w:pStyle w:val="p-table"/>
              <w:jc w:val="right"/>
              <w:rPr>
                <w:sz w:val="17"/>
              </w:rPr>
            </w:pPr>
            <w:r>
              <w:rPr>
                <w:i/>
                <w:sz w:val="17"/>
              </w:rPr>
              <w:t>15.195</w:t>
            </w:r>
          </w:p>
        </w:tc>
      </w:tr>
      <w:tr w:rsidR="006B6965" w14:paraId="2A46ED3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746B85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F1AD9CB" w14:textId="77777777">
            <w:pPr>
              <w:pStyle w:val="p-table"/>
              <w:rPr>
                <w:sz w:val="17"/>
              </w:rPr>
            </w:pPr>
            <w:r>
              <w:rPr>
                <w:sz w:val="17"/>
              </w:rPr>
              <w:t xml:space="preserve">inricht &amp; </w:t>
            </w:r>
            <w:proofErr w:type="spellStart"/>
            <w:r>
              <w:rPr>
                <w:sz w:val="17"/>
              </w:rPr>
              <w:t>transp</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342201B6" w14:textId="77777777">
            <w:pPr>
              <w:pStyle w:val="p-table"/>
              <w:jc w:val="right"/>
              <w:rPr>
                <w:sz w:val="17"/>
              </w:rPr>
            </w:pPr>
            <w:r>
              <w:rPr>
                <w:sz w:val="17"/>
              </w:rPr>
              <w:t>7.259</w:t>
            </w:r>
          </w:p>
        </w:tc>
        <w:tc>
          <w:tcPr>
            <w:tcW w:w="1377" w:type="dxa"/>
            <w:tcBorders>
              <w:bottom w:val="single" w:color="009EE0" w:sz="2" w:space="0"/>
            </w:tcBorders>
            <w:tcMar>
              <w:top w:w="22" w:type="dxa"/>
              <w:left w:w="28" w:type="dxa"/>
              <w:bottom w:w="22" w:type="dxa"/>
              <w:right w:w="28" w:type="dxa"/>
            </w:tcMar>
          </w:tcPr>
          <w:p w:rsidR="006B6965" w:rsidRDefault="003A166B" w14:paraId="17A8691A" w14:textId="77777777">
            <w:pPr>
              <w:pStyle w:val="p-table"/>
              <w:jc w:val="right"/>
              <w:rPr>
                <w:sz w:val="17"/>
              </w:rPr>
            </w:pPr>
            <w:r>
              <w:rPr>
                <w:sz w:val="17"/>
              </w:rPr>
              <w:t>‒</w:t>
            </w:r>
            <w:r>
              <w:rPr>
                <w:sz w:val="17"/>
              </w:rPr>
              <w:t xml:space="preserve"> 2.894</w:t>
            </w:r>
          </w:p>
        </w:tc>
        <w:tc>
          <w:tcPr>
            <w:tcW w:w="1377" w:type="dxa"/>
            <w:tcBorders>
              <w:bottom w:val="single" w:color="009EE0" w:sz="2" w:space="0"/>
            </w:tcBorders>
            <w:tcMar>
              <w:top w:w="22" w:type="dxa"/>
              <w:left w:w="28" w:type="dxa"/>
              <w:bottom w:w="22" w:type="dxa"/>
              <w:right w:w="28" w:type="dxa"/>
            </w:tcMar>
          </w:tcPr>
          <w:p w:rsidR="006B6965" w:rsidRDefault="003A166B" w14:paraId="32D4D6F3" w14:textId="77777777">
            <w:pPr>
              <w:pStyle w:val="p-table"/>
              <w:jc w:val="right"/>
              <w:rPr>
                <w:sz w:val="17"/>
              </w:rPr>
            </w:pPr>
            <w:r>
              <w:rPr>
                <w:sz w:val="17"/>
              </w:rPr>
              <w:t>4.365</w:t>
            </w:r>
          </w:p>
        </w:tc>
      </w:tr>
      <w:tr w:rsidR="006B6965" w14:paraId="51523C6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E070EA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FC9F4EE" w14:textId="77777777">
            <w:pPr>
              <w:pStyle w:val="p-table"/>
              <w:rPr>
                <w:sz w:val="17"/>
              </w:rPr>
            </w:pPr>
            <w:r>
              <w:rPr>
                <w:sz w:val="17"/>
              </w:rPr>
              <w:t>Vuurwerk</w:t>
            </w:r>
          </w:p>
        </w:tc>
        <w:tc>
          <w:tcPr>
            <w:tcW w:w="1377" w:type="dxa"/>
            <w:tcBorders>
              <w:bottom w:val="single" w:color="009EE0" w:sz="2" w:space="0"/>
            </w:tcBorders>
            <w:tcMar>
              <w:top w:w="22" w:type="dxa"/>
              <w:left w:w="28" w:type="dxa"/>
              <w:bottom w:w="22" w:type="dxa"/>
              <w:right w:w="28" w:type="dxa"/>
            </w:tcMar>
          </w:tcPr>
          <w:p w:rsidR="006B6965" w:rsidRDefault="003A166B" w14:paraId="31C64DC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FA2230F" w14:textId="77777777">
            <w:pPr>
              <w:pStyle w:val="p-table"/>
              <w:jc w:val="right"/>
              <w:rPr>
                <w:sz w:val="17"/>
              </w:rPr>
            </w:pPr>
            <w:r>
              <w:rPr>
                <w:sz w:val="17"/>
              </w:rPr>
              <w:t>44</w:t>
            </w:r>
          </w:p>
        </w:tc>
        <w:tc>
          <w:tcPr>
            <w:tcW w:w="1377" w:type="dxa"/>
            <w:tcBorders>
              <w:bottom w:val="single" w:color="009EE0" w:sz="2" w:space="0"/>
            </w:tcBorders>
            <w:tcMar>
              <w:top w:w="22" w:type="dxa"/>
              <w:left w:w="28" w:type="dxa"/>
              <w:bottom w:w="22" w:type="dxa"/>
              <w:right w:w="28" w:type="dxa"/>
            </w:tcMar>
          </w:tcPr>
          <w:p w:rsidR="006B6965" w:rsidRDefault="003A166B" w14:paraId="2A27BB89" w14:textId="77777777">
            <w:pPr>
              <w:pStyle w:val="p-table"/>
              <w:jc w:val="right"/>
              <w:rPr>
                <w:sz w:val="17"/>
              </w:rPr>
            </w:pPr>
            <w:r>
              <w:rPr>
                <w:sz w:val="17"/>
              </w:rPr>
              <w:t>44</w:t>
            </w:r>
          </w:p>
        </w:tc>
      </w:tr>
      <w:tr w:rsidR="006B6965" w14:paraId="5F8514C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E3254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71954E1" w14:textId="77777777">
            <w:pPr>
              <w:pStyle w:val="p-table"/>
              <w:rPr>
                <w:sz w:val="17"/>
              </w:rPr>
            </w:pPr>
            <w:r>
              <w:rPr>
                <w:sz w:val="17"/>
              </w:rPr>
              <w:t>Overige subsidies</w:t>
            </w:r>
          </w:p>
        </w:tc>
        <w:tc>
          <w:tcPr>
            <w:tcW w:w="1377" w:type="dxa"/>
            <w:tcBorders>
              <w:bottom w:val="single" w:color="009EE0" w:sz="2" w:space="0"/>
            </w:tcBorders>
            <w:tcMar>
              <w:top w:w="22" w:type="dxa"/>
              <w:left w:w="28" w:type="dxa"/>
              <w:bottom w:w="22" w:type="dxa"/>
              <w:right w:w="28" w:type="dxa"/>
            </w:tcMar>
          </w:tcPr>
          <w:p w:rsidR="006B6965" w:rsidRDefault="003A166B" w14:paraId="01DA17E7" w14:textId="77777777">
            <w:pPr>
              <w:pStyle w:val="p-table"/>
              <w:jc w:val="right"/>
              <w:rPr>
                <w:sz w:val="17"/>
              </w:rPr>
            </w:pPr>
            <w:r>
              <w:rPr>
                <w:sz w:val="17"/>
              </w:rPr>
              <w:t>11.461</w:t>
            </w:r>
          </w:p>
        </w:tc>
        <w:tc>
          <w:tcPr>
            <w:tcW w:w="1377" w:type="dxa"/>
            <w:tcBorders>
              <w:bottom w:val="single" w:color="009EE0" w:sz="2" w:space="0"/>
            </w:tcBorders>
            <w:tcMar>
              <w:top w:w="22" w:type="dxa"/>
              <w:left w:w="28" w:type="dxa"/>
              <w:bottom w:w="22" w:type="dxa"/>
              <w:right w:w="28" w:type="dxa"/>
            </w:tcMar>
          </w:tcPr>
          <w:p w:rsidR="006B6965" w:rsidRDefault="003A166B" w14:paraId="26D3BC6E" w14:textId="77777777">
            <w:pPr>
              <w:pStyle w:val="p-table"/>
              <w:jc w:val="right"/>
              <w:rPr>
                <w:sz w:val="17"/>
              </w:rPr>
            </w:pPr>
            <w:r>
              <w:rPr>
                <w:sz w:val="17"/>
              </w:rPr>
              <w:t>‒</w:t>
            </w:r>
            <w:r>
              <w:rPr>
                <w:sz w:val="17"/>
              </w:rPr>
              <w:t xml:space="preserve"> 675</w:t>
            </w:r>
          </w:p>
        </w:tc>
        <w:tc>
          <w:tcPr>
            <w:tcW w:w="1377" w:type="dxa"/>
            <w:tcBorders>
              <w:bottom w:val="single" w:color="009EE0" w:sz="2" w:space="0"/>
            </w:tcBorders>
            <w:tcMar>
              <w:top w:w="22" w:type="dxa"/>
              <w:left w:w="28" w:type="dxa"/>
              <w:bottom w:w="22" w:type="dxa"/>
              <w:right w:w="28" w:type="dxa"/>
            </w:tcMar>
          </w:tcPr>
          <w:p w:rsidR="006B6965" w:rsidRDefault="003A166B" w14:paraId="23F094B1" w14:textId="77777777">
            <w:pPr>
              <w:pStyle w:val="p-table"/>
              <w:jc w:val="right"/>
              <w:rPr>
                <w:sz w:val="17"/>
              </w:rPr>
            </w:pPr>
            <w:r>
              <w:rPr>
                <w:sz w:val="17"/>
              </w:rPr>
              <w:t>10.786</w:t>
            </w:r>
          </w:p>
        </w:tc>
      </w:tr>
      <w:tr w:rsidR="006B6965" w14:paraId="028D59F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F7B054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D85B58D"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0D92D6BD" w14:textId="77777777">
            <w:pPr>
              <w:pStyle w:val="p-table"/>
              <w:jc w:val="right"/>
              <w:rPr>
                <w:sz w:val="17"/>
              </w:rPr>
            </w:pPr>
            <w:r>
              <w:rPr>
                <w:i/>
                <w:sz w:val="17"/>
              </w:rPr>
              <w:t>13.736</w:t>
            </w:r>
          </w:p>
        </w:tc>
        <w:tc>
          <w:tcPr>
            <w:tcW w:w="1377" w:type="dxa"/>
            <w:tcBorders>
              <w:bottom w:val="single" w:color="009EE0" w:sz="2" w:space="0"/>
            </w:tcBorders>
            <w:tcMar>
              <w:top w:w="22" w:type="dxa"/>
              <w:left w:w="28" w:type="dxa"/>
              <w:bottom w:w="22" w:type="dxa"/>
              <w:right w:w="28" w:type="dxa"/>
            </w:tcMar>
          </w:tcPr>
          <w:p w:rsidR="006B6965" w:rsidRDefault="003A166B" w14:paraId="5544D585" w14:textId="77777777">
            <w:pPr>
              <w:pStyle w:val="p-table"/>
              <w:jc w:val="right"/>
              <w:rPr>
                <w:sz w:val="17"/>
              </w:rPr>
            </w:pPr>
            <w:r>
              <w:rPr>
                <w:i/>
                <w:sz w:val="17"/>
              </w:rPr>
              <w:t>41</w:t>
            </w:r>
          </w:p>
        </w:tc>
        <w:tc>
          <w:tcPr>
            <w:tcW w:w="1377" w:type="dxa"/>
            <w:tcBorders>
              <w:bottom w:val="single" w:color="009EE0" w:sz="2" w:space="0"/>
            </w:tcBorders>
            <w:tcMar>
              <w:top w:w="22" w:type="dxa"/>
              <w:left w:w="28" w:type="dxa"/>
              <w:bottom w:w="22" w:type="dxa"/>
              <w:right w:w="28" w:type="dxa"/>
            </w:tcMar>
          </w:tcPr>
          <w:p w:rsidR="006B6965" w:rsidRDefault="003A166B" w14:paraId="4CC02662" w14:textId="77777777">
            <w:pPr>
              <w:pStyle w:val="p-table"/>
              <w:jc w:val="right"/>
              <w:rPr>
                <w:sz w:val="17"/>
              </w:rPr>
            </w:pPr>
            <w:r>
              <w:rPr>
                <w:i/>
                <w:sz w:val="17"/>
              </w:rPr>
              <w:t>13.777</w:t>
            </w:r>
          </w:p>
        </w:tc>
      </w:tr>
      <w:tr w:rsidR="006B6965" w14:paraId="0FE3240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3C2175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805B1E2" w14:textId="77777777">
            <w:pPr>
              <w:pStyle w:val="p-table"/>
              <w:rPr>
                <w:sz w:val="17"/>
              </w:rPr>
            </w:pPr>
            <w:r>
              <w:rPr>
                <w:sz w:val="17"/>
              </w:rPr>
              <w:t>Bijdrage aan RWS</w:t>
            </w:r>
          </w:p>
        </w:tc>
        <w:tc>
          <w:tcPr>
            <w:tcW w:w="1377" w:type="dxa"/>
            <w:tcBorders>
              <w:bottom w:val="single" w:color="009EE0" w:sz="2" w:space="0"/>
            </w:tcBorders>
            <w:tcMar>
              <w:top w:w="22" w:type="dxa"/>
              <w:left w:w="28" w:type="dxa"/>
              <w:bottom w:w="22" w:type="dxa"/>
              <w:right w:w="28" w:type="dxa"/>
            </w:tcMar>
          </w:tcPr>
          <w:p w:rsidR="006B6965" w:rsidRDefault="003A166B" w14:paraId="1D85F6B3" w14:textId="77777777">
            <w:pPr>
              <w:pStyle w:val="p-table"/>
              <w:jc w:val="right"/>
              <w:rPr>
                <w:sz w:val="17"/>
              </w:rPr>
            </w:pPr>
            <w:r>
              <w:rPr>
                <w:sz w:val="17"/>
              </w:rPr>
              <w:t>7.207</w:t>
            </w:r>
          </w:p>
        </w:tc>
        <w:tc>
          <w:tcPr>
            <w:tcW w:w="1377" w:type="dxa"/>
            <w:tcBorders>
              <w:bottom w:val="single" w:color="009EE0" w:sz="2" w:space="0"/>
            </w:tcBorders>
            <w:tcMar>
              <w:top w:w="22" w:type="dxa"/>
              <w:left w:w="28" w:type="dxa"/>
              <w:bottom w:w="22" w:type="dxa"/>
              <w:right w:w="28" w:type="dxa"/>
            </w:tcMar>
          </w:tcPr>
          <w:p w:rsidR="006B6965" w:rsidRDefault="003A166B" w14:paraId="3755DFC9" w14:textId="77777777">
            <w:pPr>
              <w:pStyle w:val="p-table"/>
              <w:jc w:val="right"/>
              <w:rPr>
                <w:sz w:val="17"/>
              </w:rPr>
            </w:pPr>
            <w:r>
              <w:rPr>
                <w:sz w:val="17"/>
              </w:rPr>
              <w:t>41</w:t>
            </w:r>
          </w:p>
        </w:tc>
        <w:tc>
          <w:tcPr>
            <w:tcW w:w="1377" w:type="dxa"/>
            <w:tcBorders>
              <w:bottom w:val="single" w:color="009EE0" w:sz="2" w:space="0"/>
            </w:tcBorders>
            <w:tcMar>
              <w:top w:w="22" w:type="dxa"/>
              <w:left w:w="28" w:type="dxa"/>
              <w:bottom w:w="22" w:type="dxa"/>
              <w:right w:w="28" w:type="dxa"/>
            </w:tcMar>
          </w:tcPr>
          <w:p w:rsidR="006B6965" w:rsidRDefault="003A166B" w14:paraId="7476E2AE" w14:textId="77777777">
            <w:pPr>
              <w:pStyle w:val="p-table"/>
              <w:jc w:val="right"/>
              <w:rPr>
                <w:sz w:val="17"/>
              </w:rPr>
            </w:pPr>
            <w:r>
              <w:rPr>
                <w:sz w:val="17"/>
              </w:rPr>
              <w:t>7.248</w:t>
            </w:r>
          </w:p>
        </w:tc>
      </w:tr>
      <w:tr w:rsidR="006B6965" w14:paraId="55A54A1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7EABD7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3748283" w14:textId="77777777">
            <w:pPr>
              <w:pStyle w:val="p-table"/>
              <w:rPr>
                <w:sz w:val="17"/>
              </w:rPr>
            </w:pPr>
            <w:r>
              <w:rPr>
                <w:sz w:val="17"/>
              </w:rPr>
              <w:t>Bijdrage aan RVO</w:t>
            </w:r>
          </w:p>
        </w:tc>
        <w:tc>
          <w:tcPr>
            <w:tcW w:w="1377" w:type="dxa"/>
            <w:tcBorders>
              <w:bottom w:val="single" w:color="009EE0" w:sz="2" w:space="0"/>
            </w:tcBorders>
            <w:tcMar>
              <w:top w:w="22" w:type="dxa"/>
              <w:left w:w="28" w:type="dxa"/>
              <w:bottom w:w="22" w:type="dxa"/>
              <w:right w:w="28" w:type="dxa"/>
            </w:tcMar>
          </w:tcPr>
          <w:p w:rsidR="006B6965" w:rsidRDefault="003A166B" w14:paraId="47BF991B" w14:textId="77777777">
            <w:pPr>
              <w:pStyle w:val="p-table"/>
              <w:jc w:val="right"/>
              <w:rPr>
                <w:sz w:val="17"/>
              </w:rPr>
            </w:pPr>
            <w:r>
              <w:rPr>
                <w:sz w:val="17"/>
              </w:rPr>
              <w:t>416</w:t>
            </w:r>
          </w:p>
        </w:tc>
        <w:tc>
          <w:tcPr>
            <w:tcW w:w="1377" w:type="dxa"/>
            <w:tcBorders>
              <w:bottom w:val="single" w:color="009EE0" w:sz="2" w:space="0"/>
            </w:tcBorders>
            <w:tcMar>
              <w:top w:w="22" w:type="dxa"/>
              <w:left w:w="28" w:type="dxa"/>
              <w:bottom w:w="22" w:type="dxa"/>
              <w:right w:w="28" w:type="dxa"/>
            </w:tcMar>
          </w:tcPr>
          <w:p w:rsidR="006B6965" w:rsidRDefault="003A166B" w14:paraId="1C617F8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365DB92" w14:textId="77777777">
            <w:pPr>
              <w:pStyle w:val="p-table"/>
              <w:jc w:val="right"/>
              <w:rPr>
                <w:sz w:val="17"/>
              </w:rPr>
            </w:pPr>
            <w:r>
              <w:rPr>
                <w:sz w:val="17"/>
              </w:rPr>
              <w:t>416</w:t>
            </w:r>
          </w:p>
        </w:tc>
      </w:tr>
      <w:tr w:rsidR="006B6965" w14:paraId="6267B99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118AE0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AD8E934" w14:textId="77777777">
            <w:pPr>
              <w:pStyle w:val="p-table"/>
              <w:rPr>
                <w:sz w:val="17"/>
              </w:rPr>
            </w:pPr>
            <w:r>
              <w:rPr>
                <w:sz w:val="17"/>
              </w:rPr>
              <w:t>Bijdrage aan RIVM</w:t>
            </w:r>
          </w:p>
        </w:tc>
        <w:tc>
          <w:tcPr>
            <w:tcW w:w="1377" w:type="dxa"/>
            <w:tcBorders>
              <w:bottom w:val="single" w:color="009EE0" w:sz="2" w:space="0"/>
            </w:tcBorders>
            <w:tcMar>
              <w:top w:w="22" w:type="dxa"/>
              <w:left w:w="28" w:type="dxa"/>
              <w:bottom w:w="22" w:type="dxa"/>
              <w:right w:w="28" w:type="dxa"/>
            </w:tcMar>
          </w:tcPr>
          <w:p w:rsidR="006B6965" w:rsidRDefault="003A166B" w14:paraId="1E77659B" w14:textId="77777777">
            <w:pPr>
              <w:pStyle w:val="p-table"/>
              <w:jc w:val="right"/>
              <w:rPr>
                <w:sz w:val="17"/>
              </w:rPr>
            </w:pPr>
            <w:r>
              <w:rPr>
                <w:sz w:val="17"/>
              </w:rPr>
              <w:t>6.113</w:t>
            </w:r>
          </w:p>
        </w:tc>
        <w:tc>
          <w:tcPr>
            <w:tcW w:w="1377" w:type="dxa"/>
            <w:tcBorders>
              <w:bottom w:val="single" w:color="009EE0" w:sz="2" w:space="0"/>
            </w:tcBorders>
            <w:tcMar>
              <w:top w:w="22" w:type="dxa"/>
              <w:left w:w="28" w:type="dxa"/>
              <w:bottom w:w="22" w:type="dxa"/>
              <w:right w:w="28" w:type="dxa"/>
            </w:tcMar>
          </w:tcPr>
          <w:p w:rsidR="006B6965" w:rsidRDefault="003A166B" w14:paraId="6581AC92"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AC63EE5" w14:textId="77777777">
            <w:pPr>
              <w:pStyle w:val="p-table"/>
              <w:jc w:val="right"/>
              <w:rPr>
                <w:sz w:val="17"/>
              </w:rPr>
            </w:pPr>
            <w:r>
              <w:rPr>
                <w:sz w:val="17"/>
              </w:rPr>
              <w:t>6.113</w:t>
            </w:r>
          </w:p>
        </w:tc>
      </w:tr>
      <w:tr w:rsidR="006B6965" w14:paraId="0CBC376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04702D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F449BB0" w14:textId="77777777">
            <w:pPr>
              <w:pStyle w:val="p-table"/>
              <w:rPr>
                <w:sz w:val="17"/>
              </w:rPr>
            </w:pPr>
            <w:r>
              <w:rPr>
                <w:i/>
                <w:sz w:val="17"/>
              </w:rPr>
              <w:t>Inkomensoverdrachten</w:t>
            </w:r>
          </w:p>
        </w:tc>
        <w:tc>
          <w:tcPr>
            <w:tcW w:w="1377" w:type="dxa"/>
            <w:tcBorders>
              <w:bottom w:val="single" w:color="009EE0" w:sz="2" w:space="0"/>
            </w:tcBorders>
            <w:tcMar>
              <w:top w:w="22" w:type="dxa"/>
              <w:left w:w="28" w:type="dxa"/>
              <w:bottom w:w="22" w:type="dxa"/>
              <w:right w:w="28" w:type="dxa"/>
            </w:tcMar>
          </w:tcPr>
          <w:p w:rsidR="006B6965" w:rsidRDefault="003A166B" w14:paraId="0615A7E0" w14:textId="77777777">
            <w:pPr>
              <w:pStyle w:val="p-table"/>
              <w:jc w:val="right"/>
              <w:rPr>
                <w:sz w:val="17"/>
              </w:rPr>
            </w:pPr>
            <w:r>
              <w:rPr>
                <w:i/>
                <w:sz w:val="17"/>
              </w:rPr>
              <w:t>3.793</w:t>
            </w:r>
          </w:p>
        </w:tc>
        <w:tc>
          <w:tcPr>
            <w:tcW w:w="1377" w:type="dxa"/>
            <w:tcBorders>
              <w:bottom w:val="single" w:color="009EE0" w:sz="2" w:space="0"/>
            </w:tcBorders>
            <w:tcMar>
              <w:top w:w="22" w:type="dxa"/>
              <w:left w:w="28" w:type="dxa"/>
              <w:bottom w:w="22" w:type="dxa"/>
              <w:right w:w="28" w:type="dxa"/>
            </w:tcMar>
          </w:tcPr>
          <w:p w:rsidR="006B6965" w:rsidRDefault="003A166B" w14:paraId="07D5F673"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65C447D" w14:textId="77777777">
            <w:pPr>
              <w:pStyle w:val="p-table"/>
              <w:jc w:val="right"/>
              <w:rPr>
                <w:sz w:val="17"/>
              </w:rPr>
            </w:pPr>
            <w:r>
              <w:rPr>
                <w:i/>
                <w:sz w:val="17"/>
              </w:rPr>
              <w:t>3.793</w:t>
            </w:r>
          </w:p>
        </w:tc>
      </w:tr>
      <w:tr w:rsidR="006B6965" w14:paraId="06B26A9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BA6CCB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907DE26" w14:textId="77777777">
            <w:pPr>
              <w:pStyle w:val="p-table"/>
              <w:rPr>
                <w:sz w:val="17"/>
              </w:rPr>
            </w:pPr>
            <w:r>
              <w:rPr>
                <w:sz w:val="17"/>
              </w:rPr>
              <w:t>Inkomensoverdrachten mesothelioom</w:t>
            </w:r>
          </w:p>
        </w:tc>
        <w:tc>
          <w:tcPr>
            <w:tcW w:w="1377" w:type="dxa"/>
            <w:tcBorders>
              <w:bottom w:val="single" w:color="009EE0" w:sz="2" w:space="0"/>
            </w:tcBorders>
            <w:tcMar>
              <w:top w:w="22" w:type="dxa"/>
              <w:left w:w="28" w:type="dxa"/>
              <w:bottom w:w="22" w:type="dxa"/>
              <w:right w:w="28" w:type="dxa"/>
            </w:tcMar>
          </w:tcPr>
          <w:p w:rsidR="006B6965" w:rsidRDefault="003A166B" w14:paraId="7DE21997" w14:textId="77777777">
            <w:pPr>
              <w:pStyle w:val="p-table"/>
              <w:jc w:val="right"/>
              <w:rPr>
                <w:sz w:val="17"/>
              </w:rPr>
            </w:pPr>
            <w:r>
              <w:rPr>
                <w:sz w:val="17"/>
              </w:rPr>
              <w:t>3.793</w:t>
            </w:r>
          </w:p>
        </w:tc>
        <w:tc>
          <w:tcPr>
            <w:tcW w:w="1377" w:type="dxa"/>
            <w:tcBorders>
              <w:bottom w:val="single" w:color="009EE0" w:sz="2" w:space="0"/>
            </w:tcBorders>
            <w:tcMar>
              <w:top w:w="22" w:type="dxa"/>
              <w:left w:w="28" w:type="dxa"/>
              <w:bottom w:w="22" w:type="dxa"/>
              <w:right w:w="28" w:type="dxa"/>
            </w:tcMar>
          </w:tcPr>
          <w:p w:rsidR="006B6965" w:rsidRDefault="003A166B" w14:paraId="65FCA22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7E49199" w14:textId="77777777">
            <w:pPr>
              <w:pStyle w:val="p-table"/>
              <w:jc w:val="right"/>
              <w:rPr>
                <w:sz w:val="17"/>
              </w:rPr>
            </w:pPr>
            <w:r>
              <w:rPr>
                <w:sz w:val="17"/>
              </w:rPr>
              <w:t>3.793</w:t>
            </w:r>
          </w:p>
        </w:tc>
      </w:tr>
      <w:tr w:rsidR="006B6965" w14:paraId="6255D28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5B095D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627181F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794D72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40E998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F24D03F" w14:textId="77777777">
            <w:pPr>
              <w:pStyle w:val="p-table"/>
              <w:rPr>
                <w:sz w:val="17"/>
              </w:rPr>
            </w:pPr>
          </w:p>
        </w:tc>
      </w:tr>
      <w:tr w:rsidR="006B6965" w14:paraId="7ABE735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17B915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C8384D5"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6C8BAB21" w14:textId="77777777">
            <w:pPr>
              <w:pStyle w:val="p-table"/>
              <w:jc w:val="right"/>
              <w:rPr>
                <w:sz w:val="17"/>
              </w:rPr>
            </w:pPr>
            <w:r>
              <w:rPr>
                <w:b/>
                <w:sz w:val="17"/>
              </w:rPr>
              <w:t>250</w:t>
            </w:r>
          </w:p>
        </w:tc>
        <w:tc>
          <w:tcPr>
            <w:tcW w:w="1377" w:type="dxa"/>
            <w:tcBorders>
              <w:bottom w:val="single" w:color="009EE0" w:sz="2" w:space="0"/>
            </w:tcBorders>
            <w:tcMar>
              <w:top w:w="22" w:type="dxa"/>
              <w:left w:w="28" w:type="dxa"/>
              <w:bottom w:w="22" w:type="dxa"/>
              <w:right w:w="28" w:type="dxa"/>
            </w:tcMar>
          </w:tcPr>
          <w:p w:rsidR="006B6965" w:rsidRDefault="003A166B" w14:paraId="45310354" w14:textId="77777777">
            <w:pPr>
              <w:pStyle w:val="p-table"/>
              <w:jc w:val="right"/>
              <w:rPr>
                <w:sz w:val="17"/>
              </w:rPr>
            </w:pPr>
            <w:r>
              <w:rPr>
                <w:b/>
                <w:sz w:val="17"/>
              </w:rPr>
              <w:t>778</w:t>
            </w:r>
          </w:p>
        </w:tc>
        <w:tc>
          <w:tcPr>
            <w:tcW w:w="1377" w:type="dxa"/>
            <w:tcBorders>
              <w:bottom w:val="single" w:color="009EE0" w:sz="2" w:space="0"/>
            </w:tcBorders>
            <w:tcMar>
              <w:top w:w="22" w:type="dxa"/>
              <w:left w:w="28" w:type="dxa"/>
              <w:bottom w:w="22" w:type="dxa"/>
              <w:right w:w="28" w:type="dxa"/>
            </w:tcMar>
          </w:tcPr>
          <w:p w:rsidR="006B6965" w:rsidRDefault="003A166B" w14:paraId="04598E8D" w14:textId="77777777">
            <w:pPr>
              <w:pStyle w:val="p-table"/>
              <w:jc w:val="right"/>
              <w:rPr>
                <w:sz w:val="17"/>
              </w:rPr>
            </w:pPr>
            <w:r>
              <w:rPr>
                <w:b/>
                <w:sz w:val="17"/>
              </w:rPr>
              <w:t>1.028</w:t>
            </w:r>
          </w:p>
        </w:tc>
      </w:tr>
      <w:tr w:rsidR="006B6965" w14:paraId="34A1C6F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75AB7D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6E4B0BE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015105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321791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62FD8ED" w14:textId="77777777">
            <w:pPr>
              <w:pStyle w:val="p-table"/>
              <w:rPr>
                <w:sz w:val="17"/>
              </w:rPr>
            </w:pPr>
          </w:p>
        </w:tc>
      </w:tr>
    </w:tbl>
    <w:p w:rsidR="006B6965" w:rsidRDefault="006B6965" w14:paraId="3D5A43BA" w14:textId="77777777">
      <w:pPr>
        <w:pStyle w:val="p-marginbottom"/>
      </w:pPr>
    </w:p>
    <w:p w:rsidR="006B6965" w:rsidRDefault="003A166B" w14:paraId="4AE4FC2E" w14:textId="77777777">
      <w:pPr>
        <w:pStyle w:val="section-title-4"/>
      </w:pPr>
      <w:r>
        <w:lastRenderedPageBreak/>
        <w:t>Toelichting</w:t>
      </w:r>
    </w:p>
    <w:p w:rsidR="006B6965" w:rsidRDefault="003A166B" w14:paraId="4DAB40BC" w14:textId="77777777">
      <w:pPr>
        <w:pStyle w:val="header-h1"/>
      </w:pPr>
      <w:r>
        <w:t>Verplichtingen</w:t>
      </w:r>
    </w:p>
    <w:p w:rsidR="006B6965" w:rsidRDefault="003A166B" w14:paraId="3DDF45D6" w14:textId="77777777">
      <w:pPr>
        <w:pStyle w:val="p"/>
      </w:pPr>
      <w:r>
        <w:t>Het verplichtingenbudget op artikel 22 is in 2025 met € 7,7 miljoen verlaagd. Dit wordt verklaard door de hieronder toegelichte uitgavenmutaties.</w:t>
      </w:r>
    </w:p>
    <w:p w:rsidR="006B6965" w:rsidRDefault="003A166B" w14:paraId="3986FEE8" w14:textId="77777777">
      <w:pPr>
        <w:pStyle w:val="header-h1"/>
      </w:pPr>
      <w:r>
        <w:t>Uitgaven</w:t>
      </w:r>
    </w:p>
    <w:p w:rsidR="006B6965" w:rsidRDefault="003A166B" w14:paraId="0AEDCDCC" w14:textId="77777777">
      <w:pPr>
        <w:pStyle w:val="header-h1"/>
      </w:pPr>
      <w:r>
        <w:t xml:space="preserve">Artikel 22.03 Veiligheid </w:t>
      </w:r>
      <w:r>
        <w:t>bedrijven en transport</w:t>
      </w:r>
    </w:p>
    <w:p w:rsidR="006B6965" w:rsidRDefault="003A166B" w14:paraId="5FFCB179" w14:textId="77777777">
      <w:pPr>
        <w:pStyle w:val="header-h2"/>
      </w:pPr>
      <w:r>
        <w:t>Opdrachten</w:t>
      </w:r>
    </w:p>
    <w:p w:rsidR="006B6965" w:rsidRDefault="003A166B" w14:paraId="7C3148CB" w14:textId="77777777">
      <w:pPr>
        <w:pStyle w:val="p"/>
      </w:pPr>
      <w:r>
        <w:t>De verlaging van het opdrachtenbudget met € 4,1 miljoen wordt met name veroorzaakt door:</w:t>
      </w:r>
    </w:p>
    <w:p w:rsidR="006B6965" w:rsidRDefault="003A166B" w14:paraId="09C28BC9" w14:textId="77777777">
      <w:r>
        <w:rPr>
          <w:rStyle w:val="span-u"/>
        </w:rPr>
        <w:t>Omgevingsveiligheid:</w:t>
      </w:r>
      <w:r>
        <w:t xml:space="preserve"> Het opdrachtenbudget is met € 4,0 miljoen verlaagd en wordt met name verklaard door:</w:t>
      </w:r>
    </w:p>
    <w:p w:rsidR="006B6965" w:rsidRDefault="003A166B" w14:paraId="07795133" w14:textId="77777777">
      <w:pPr>
        <w:pStyle w:val="ol-p-l1"/>
        <w:numPr>
          <w:ilvl w:val="0"/>
          <w:numId w:val="26"/>
        </w:numPr>
      </w:pPr>
      <w:r>
        <w:rPr>
          <w:rStyle w:val="ol-text"/>
        </w:rPr>
        <w:t xml:space="preserve">Een overboeking naar het Provinciefonds van € 1,9 miljoen voor de </w:t>
      </w:r>
      <w:proofErr w:type="spellStart"/>
      <w:r>
        <w:rPr>
          <w:rStyle w:val="ol-text"/>
        </w:rPr>
        <w:t>Meerjarenagenda</w:t>
      </w:r>
      <w:proofErr w:type="spellEnd"/>
      <w:r>
        <w:rPr>
          <w:rStyle w:val="ol-text"/>
        </w:rPr>
        <w:t xml:space="preserve"> Versterking Omgevingsveiligheid (MVO) voor het uitvoeren van decentrale structurele en wettelijke taken en voor de financiering van innovatie en projecten voor besluit risico zware ongevallen (BRZO+) en publieksreeks gevaarlijke stoffen (PGS).</w:t>
      </w:r>
    </w:p>
    <w:p w:rsidR="006B6965" w:rsidRDefault="003A166B" w14:paraId="542CC753" w14:textId="77777777">
      <w:pPr>
        <w:pStyle w:val="ol-p-l1"/>
        <w:numPr>
          <w:ilvl w:val="0"/>
          <w:numId w:val="5"/>
        </w:numPr>
      </w:pPr>
      <w:r>
        <w:rPr>
          <w:rStyle w:val="ol-text"/>
        </w:rPr>
        <w:t xml:space="preserve">Een overboeking naar het Gemeentefonds van € 3,9 miljoen voor de </w:t>
      </w:r>
      <w:proofErr w:type="spellStart"/>
      <w:r>
        <w:rPr>
          <w:rStyle w:val="ol-text"/>
        </w:rPr>
        <w:t>Meerjarenagenda</w:t>
      </w:r>
      <w:proofErr w:type="spellEnd"/>
      <w:r>
        <w:rPr>
          <w:rStyle w:val="ol-text"/>
        </w:rPr>
        <w:t xml:space="preserve"> Versterking Omgevingsveiligheid (MVO) voor het uitvoeren van decentrale structurele taken en voor de financiering van innovatie en projecten voor het Register Externe veiligheid.</w:t>
      </w:r>
    </w:p>
    <w:p w:rsidR="006B6965" w:rsidRDefault="003A166B" w14:paraId="54E7A506" w14:textId="77777777">
      <w:pPr>
        <w:pStyle w:val="ol-p-l1"/>
        <w:numPr>
          <w:ilvl w:val="0"/>
          <w:numId w:val="5"/>
        </w:numPr>
      </w:pPr>
      <w:r>
        <w:rPr>
          <w:rStyle w:val="ol-text"/>
        </w:rPr>
        <w:t xml:space="preserve">Een overboeking naar </w:t>
      </w:r>
      <w:proofErr w:type="spellStart"/>
      <w:r>
        <w:rPr>
          <w:rStyle w:val="ol-text"/>
        </w:rPr>
        <w:t>JenV</w:t>
      </w:r>
      <w:proofErr w:type="spellEnd"/>
      <w:r>
        <w:rPr>
          <w:rStyle w:val="ol-text"/>
        </w:rPr>
        <w:t xml:space="preserve"> van € 1,3 miljoen voor NIS2. </w:t>
      </w:r>
      <w:proofErr w:type="spellStart"/>
      <w:r>
        <w:rPr>
          <w:rStyle w:val="ol-text"/>
        </w:rPr>
        <w:t>IenW</w:t>
      </w:r>
      <w:proofErr w:type="spellEnd"/>
      <w:r>
        <w:rPr>
          <w:rStyle w:val="ol-text"/>
        </w:rPr>
        <w:t xml:space="preserve"> heeft voor de voorbereiding op en uitvoering van sectorale Computer Security Incident Response Team(CSIRT)-taken middelen gereserveerd vanaf het </w:t>
      </w:r>
      <w:r>
        <w:rPr>
          <w:rStyle w:val="ol-text"/>
        </w:rPr>
        <w:t>begrotingsjaar 2025 dat overgeheveld wordt naar het Nationaal Cyber Security Centrum (NCSC). Het NCSC gebruikt deze middelen voor de daadwerkelijke uitvoering van de sectorale CSIRT-taken op basis van de NIS2.</w:t>
      </w:r>
    </w:p>
    <w:p w:rsidR="006B6965" w:rsidRDefault="003A166B" w14:paraId="55B2CA45" w14:textId="77777777">
      <w:pPr>
        <w:pStyle w:val="ol-p-l1"/>
        <w:numPr>
          <w:ilvl w:val="0"/>
          <w:numId w:val="5"/>
        </w:numPr>
      </w:pPr>
      <w:r>
        <w:rPr>
          <w:rStyle w:val="ol-text"/>
        </w:rPr>
        <w:t xml:space="preserve">Een herschikking van € 2,0 miljoen vanuit het subsidiebudget van dit artikel voor de </w:t>
      </w:r>
      <w:proofErr w:type="spellStart"/>
      <w:r>
        <w:rPr>
          <w:rStyle w:val="ol-text"/>
        </w:rPr>
        <w:t>meerjarenagenda</w:t>
      </w:r>
      <w:proofErr w:type="spellEnd"/>
      <w:r>
        <w:rPr>
          <w:rStyle w:val="ol-text"/>
        </w:rPr>
        <w:t xml:space="preserve"> versterking omgevingsveiligheid (MVO). De middelen worden overgeheveld ten gunste van de voorgenomen overboeking aan het provinciefonds en gemeentefonds voor de MVO.</w:t>
      </w:r>
    </w:p>
    <w:p w:rsidR="006B6965" w:rsidRDefault="006B6965" w14:paraId="470692E8" w14:textId="77777777"/>
    <w:p w:rsidR="006B6965" w:rsidRDefault="003A166B" w14:paraId="623E9FF4" w14:textId="77777777">
      <w:pPr>
        <w:pStyle w:val="header-h2"/>
      </w:pPr>
      <w:r>
        <w:t>Subsidies</w:t>
      </w:r>
    </w:p>
    <w:p w:rsidR="006B6965" w:rsidRDefault="003A166B" w14:paraId="178B2D08" w14:textId="77777777">
      <w:pPr>
        <w:pStyle w:val="p"/>
      </w:pPr>
      <w:r>
        <w:t>De verlaging van het subsidiebudget met € 3,5 miljoen wordt met name veroorzaakt door:</w:t>
      </w:r>
    </w:p>
    <w:p w:rsidR="006B6965" w:rsidRDefault="003A166B" w14:paraId="514B5A21" w14:textId="77777777">
      <w:r>
        <w:rPr>
          <w:rStyle w:val="span-u"/>
        </w:rPr>
        <w:t xml:space="preserve">Inricht &amp; </w:t>
      </w:r>
      <w:proofErr w:type="spellStart"/>
      <w:r>
        <w:rPr>
          <w:rStyle w:val="span-u"/>
        </w:rPr>
        <w:t>transp</w:t>
      </w:r>
      <w:proofErr w:type="spellEnd"/>
      <w:r>
        <w:rPr>
          <w:rStyle w:val="span-u"/>
        </w:rPr>
        <w:t>:</w:t>
      </w:r>
      <w:r>
        <w:t xml:space="preserve"> Het subsidiebudget is met € 2,9 miljoen verlaagd en wordt met name verklaard door:</w:t>
      </w:r>
    </w:p>
    <w:p w:rsidR="006B6965" w:rsidRDefault="003A166B" w14:paraId="52CD961A" w14:textId="77777777">
      <w:pPr>
        <w:pStyle w:val="ol-p-l1"/>
        <w:numPr>
          <w:ilvl w:val="0"/>
          <w:numId w:val="27"/>
        </w:numPr>
      </w:pPr>
      <w:r>
        <w:rPr>
          <w:rStyle w:val="ol-text"/>
        </w:rPr>
        <w:t xml:space="preserve">Een herschikking van € 2,0 miljoen naar het opdrachtenbudget van dit artikel voor de </w:t>
      </w:r>
      <w:proofErr w:type="spellStart"/>
      <w:r>
        <w:rPr>
          <w:rStyle w:val="ol-text"/>
        </w:rPr>
        <w:t>meerjarenagenda</w:t>
      </w:r>
      <w:proofErr w:type="spellEnd"/>
      <w:r>
        <w:rPr>
          <w:rStyle w:val="ol-text"/>
        </w:rPr>
        <w:t xml:space="preserve"> versterking omgevingsveiligheid (MVO). De middelen worden overgeheveld ten gunste van de voorgenomen overboeking aan het provinciefonds en gemeentefonds voorde MVO.</w:t>
      </w:r>
    </w:p>
    <w:p w:rsidR="006B6965" w:rsidRDefault="003A166B" w14:paraId="340455C9" w14:textId="77777777">
      <w:pPr>
        <w:pStyle w:val="ol-p-l1"/>
        <w:numPr>
          <w:ilvl w:val="0"/>
          <w:numId w:val="5"/>
        </w:numPr>
      </w:pPr>
      <w:r>
        <w:rPr>
          <w:rStyle w:val="ol-text"/>
        </w:rPr>
        <w:t>Een overboeking naar het Gemeentefonds van € 0,9 miljoen. Dit is ter compensatie voor werkzaamheden voor het Register Externe Veiligheidsrisico's om data aan te leveren voor dit register.</w:t>
      </w:r>
    </w:p>
    <w:p w:rsidR="006B6965" w:rsidRDefault="003A166B" w14:paraId="255BE0E7" w14:textId="77777777">
      <w:pPr>
        <w:pStyle w:val="ol-p-l1"/>
        <w:numPr>
          <w:ilvl w:val="0"/>
          <w:numId w:val="5"/>
        </w:numPr>
      </w:pPr>
      <w:r>
        <w:rPr>
          <w:rStyle w:val="ol-text"/>
        </w:rPr>
        <w:t>Een herschikking van € 0,7 miljoen naar het opdrachtenbudget voor de versterking van het VTH-stelsel. Eerder was voorzien om een hoger voorschot in 2025 te verlenen voor de subsidie aan Omgevingsdienst Nederland voor onder andere het starten van verbindingsteams en het fuseren van omgevingsdiensten. Er is later besloten om het voorschot te verlagen in 2025 en te verhogen in 2026.</w:t>
      </w:r>
    </w:p>
    <w:p w:rsidR="006B6965" w:rsidRDefault="003A166B" w14:paraId="50CFD270" w14:textId="77777777">
      <w:pPr>
        <w:pStyle w:val="ol-p-l1"/>
        <w:numPr>
          <w:ilvl w:val="0"/>
          <w:numId w:val="5"/>
        </w:numPr>
      </w:pPr>
      <w:r>
        <w:rPr>
          <w:rStyle w:val="ol-text"/>
        </w:rPr>
        <w:lastRenderedPageBreak/>
        <w:t>Diverse kleine mutaties die het resterende verschil verklaren.</w:t>
      </w:r>
    </w:p>
    <w:p w:rsidR="006B6965" w:rsidRDefault="006B6965" w14:paraId="4FC8E854" w14:textId="77777777"/>
    <w:p w:rsidR="006B6965" w:rsidRDefault="003A166B" w14:paraId="6985CFF4" w14:textId="77777777">
      <w:pPr>
        <w:pStyle w:val="header-h1"/>
      </w:pPr>
      <w:r>
        <w:t>Ontvangsten</w:t>
      </w:r>
    </w:p>
    <w:p w:rsidR="006B6965" w:rsidRDefault="003A166B" w14:paraId="4D87C3FE" w14:textId="77777777">
      <w:pPr>
        <w:pStyle w:val="p"/>
      </w:pPr>
      <w:r>
        <w:t>De ontvangsten mutaties zijn kleiner dan de gehanteerde norm en worden daarom niet toegelicht (zie ).</w:t>
      </w:r>
    </w:p>
    <w:p w:rsidR="006B6965" w:rsidRDefault="003A166B" w14:paraId="6C76C6E1" w14:textId="77777777">
      <w:pPr>
        <w:pStyle w:val="section-title-3"/>
      </w:pPr>
      <w:r>
        <w:t>3.11 Artikel 23 Meteorologie, Seismologie en Aardobservatie</w:t>
      </w:r>
    </w:p>
    <w:p w:rsidR="006B6965" w:rsidRDefault="003A166B" w14:paraId="23B89D40"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403BA8A7"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7C756F4C" w14:textId="77777777">
            <w:pPr>
              <w:pStyle w:val="kio2-table-title"/>
            </w:pPr>
            <w:r>
              <w:t>Tabel 15 Budgettaire gevolgen van beleid artikel 23 Meteorologie, Seismologie en Aardobservatie (bedragen x € 1.000)</w:t>
            </w:r>
          </w:p>
        </w:tc>
      </w:tr>
      <w:tr w:rsidR="006B6965" w14:paraId="62BB8B40"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4BC1D3D4"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65E83897"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18CFEB20"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7B7BDE2C"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5A073CFD" w14:textId="77777777">
            <w:pPr>
              <w:pStyle w:val="p-table"/>
              <w:jc w:val="center"/>
              <w:rPr>
                <w:color w:val="000000"/>
                <w:sz w:val="17"/>
              </w:rPr>
            </w:pPr>
            <w:r>
              <w:rPr>
                <w:color w:val="000000"/>
                <w:sz w:val="17"/>
              </w:rPr>
              <w:t xml:space="preserve">Stand </w:t>
            </w:r>
            <w:r>
              <w:rPr>
                <w:color w:val="000000"/>
                <w:sz w:val="17"/>
              </w:rPr>
              <w:t>suppletoire begroting september (3) = (1) + (2)</w:t>
            </w:r>
          </w:p>
        </w:tc>
      </w:tr>
      <w:tr w:rsidR="006B6965" w14:paraId="0AD3144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4FDA122E"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7BF8592E"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01823E30" w14:textId="77777777">
            <w:pPr>
              <w:pStyle w:val="p-table"/>
              <w:jc w:val="right"/>
              <w:rPr>
                <w:sz w:val="17"/>
              </w:rPr>
            </w:pPr>
            <w:r>
              <w:rPr>
                <w:b/>
                <w:sz w:val="17"/>
              </w:rPr>
              <w:t>78.187</w:t>
            </w:r>
          </w:p>
        </w:tc>
        <w:tc>
          <w:tcPr>
            <w:tcW w:w="1377" w:type="dxa"/>
            <w:tcBorders>
              <w:bottom w:val="single" w:color="009EE0" w:sz="2" w:space="0"/>
            </w:tcBorders>
            <w:tcMar>
              <w:top w:w="22" w:type="dxa"/>
              <w:left w:w="28" w:type="dxa"/>
              <w:bottom w:w="22" w:type="dxa"/>
              <w:right w:w="28" w:type="dxa"/>
            </w:tcMar>
          </w:tcPr>
          <w:p w:rsidR="006B6965" w:rsidRDefault="003A166B" w14:paraId="7C98704E" w14:textId="77777777">
            <w:pPr>
              <w:pStyle w:val="p-table"/>
              <w:jc w:val="right"/>
              <w:rPr>
                <w:sz w:val="17"/>
              </w:rPr>
            </w:pPr>
            <w:r>
              <w:rPr>
                <w:b/>
                <w:sz w:val="17"/>
              </w:rPr>
              <w:t>260</w:t>
            </w:r>
          </w:p>
        </w:tc>
        <w:tc>
          <w:tcPr>
            <w:tcW w:w="1377" w:type="dxa"/>
            <w:tcBorders>
              <w:bottom w:val="single" w:color="009EE0" w:sz="2" w:space="0"/>
            </w:tcBorders>
            <w:tcMar>
              <w:top w:w="22" w:type="dxa"/>
              <w:left w:w="28" w:type="dxa"/>
              <w:bottom w:w="22" w:type="dxa"/>
              <w:right w:w="28" w:type="dxa"/>
            </w:tcMar>
          </w:tcPr>
          <w:p w:rsidR="006B6965" w:rsidRDefault="003A166B" w14:paraId="7F195B5E" w14:textId="77777777">
            <w:pPr>
              <w:pStyle w:val="p-table"/>
              <w:jc w:val="right"/>
              <w:rPr>
                <w:sz w:val="17"/>
              </w:rPr>
            </w:pPr>
            <w:r>
              <w:rPr>
                <w:b/>
                <w:sz w:val="17"/>
              </w:rPr>
              <w:t>78.447</w:t>
            </w:r>
          </w:p>
        </w:tc>
      </w:tr>
      <w:tr w:rsidR="006B6965" w14:paraId="1277F93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EBD5CE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21A2E35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0F8420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F09833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AFCE207" w14:textId="77777777">
            <w:pPr>
              <w:pStyle w:val="p-table"/>
              <w:rPr>
                <w:sz w:val="17"/>
              </w:rPr>
            </w:pPr>
          </w:p>
        </w:tc>
      </w:tr>
      <w:tr w:rsidR="006B6965" w14:paraId="1CFCA32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F9F8DB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70B7E51"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1EF9BA0D" w14:textId="77777777">
            <w:pPr>
              <w:pStyle w:val="p-table"/>
              <w:jc w:val="right"/>
              <w:rPr>
                <w:sz w:val="17"/>
              </w:rPr>
            </w:pPr>
            <w:r>
              <w:rPr>
                <w:b/>
                <w:sz w:val="17"/>
              </w:rPr>
              <w:t>77.247</w:t>
            </w:r>
          </w:p>
        </w:tc>
        <w:tc>
          <w:tcPr>
            <w:tcW w:w="1377" w:type="dxa"/>
            <w:tcBorders>
              <w:bottom w:val="single" w:color="009EE0" w:sz="2" w:space="0"/>
            </w:tcBorders>
            <w:tcMar>
              <w:top w:w="22" w:type="dxa"/>
              <w:left w:w="28" w:type="dxa"/>
              <w:bottom w:w="22" w:type="dxa"/>
              <w:right w:w="28" w:type="dxa"/>
            </w:tcMar>
          </w:tcPr>
          <w:p w:rsidR="006B6965" w:rsidRDefault="003A166B" w14:paraId="6D634948" w14:textId="77777777">
            <w:pPr>
              <w:pStyle w:val="p-table"/>
              <w:jc w:val="right"/>
              <w:rPr>
                <w:sz w:val="17"/>
              </w:rPr>
            </w:pPr>
            <w:r>
              <w:rPr>
                <w:b/>
                <w:sz w:val="17"/>
              </w:rPr>
              <w:t>260</w:t>
            </w:r>
          </w:p>
        </w:tc>
        <w:tc>
          <w:tcPr>
            <w:tcW w:w="1377" w:type="dxa"/>
            <w:tcBorders>
              <w:bottom w:val="single" w:color="009EE0" w:sz="2" w:space="0"/>
            </w:tcBorders>
            <w:tcMar>
              <w:top w:w="22" w:type="dxa"/>
              <w:left w:w="28" w:type="dxa"/>
              <w:bottom w:w="22" w:type="dxa"/>
              <w:right w:w="28" w:type="dxa"/>
            </w:tcMar>
          </w:tcPr>
          <w:p w:rsidR="006B6965" w:rsidRDefault="003A166B" w14:paraId="14FF30B7" w14:textId="77777777">
            <w:pPr>
              <w:pStyle w:val="p-table"/>
              <w:jc w:val="right"/>
              <w:rPr>
                <w:sz w:val="17"/>
              </w:rPr>
            </w:pPr>
            <w:r>
              <w:rPr>
                <w:b/>
                <w:sz w:val="17"/>
              </w:rPr>
              <w:t>77.507</w:t>
            </w:r>
          </w:p>
        </w:tc>
      </w:tr>
      <w:tr w:rsidR="006B6965" w14:paraId="507D4ED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30B5A9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059E594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6D2A74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A68C72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0AE0EDF" w14:textId="77777777">
            <w:pPr>
              <w:pStyle w:val="p-table"/>
              <w:rPr>
                <w:sz w:val="17"/>
              </w:rPr>
            </w:pPr>
          </w:p>
        </w:tc>
      </w:tr>
      <w:tr w:rsidR="006B6965" w14:paraId="63783F0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7247438E" w14:textId="77777777">
            <w:pPr>
              <w:pStyle w:val="p-table"/>
              <w:rPr>
                <w:sz w:val="17"/>
              </w:rPr>
            </w:pPr>
            <w:r>
              <w:rPr>
                <w:b/>
                <w:sz w:val="17"/>
              </w:rPr>
              <w:t>23.1</w:t>
            </w:r>
          </w:p>
        </w:tc>
        <w:tc>
          <w:tcPr>
            <w:tcW w:w="4590" w:type="dxa"/>
            <w:tcBorders>
              <w:bottom w:val="single" w:color="009EE0" w:sz="2" w:space="0"/>
            </w:tcBorders>
            <w:tcMar>
              <w:top w:w="22" w:type="dxa"/>
              <w:left w:w="28" w:type="dxa"/>
              <w:bottom w:w="22" w:type="dxa"/>
              <w:right w:w="28" w:type="dxa"/>
            </w:tcMar>
          </w:tcPr>
          <w:p w:rsidR="006B6965" w:rsidRDefault="003A166B" w14:paraId="32F7A588" w14:textId="77777777">
            <w:pPr>
              <w:pStyle w:val="p-table"/>
              <w:rPr>
                <w:sz w:val="17"/>
              </w:rPr>
            </w:pPr>
            <w:r>
              <w:rPr>
                <w:b/>
                <w:sz w:val="17"/>
              </w:rPr>
              <w:t>Meteorologie en seismologie</w:t>
            </w:r>
          </w:p>
        </w:tc>
        <w:tc>
          <w:tcPr>
            <w:tcW w:w="1377" w:type="dxa"/>
            <w:tcBorders>
              <w:bottom w:val="single" w:color="009EE0" w:sz="2" w:space="0"/>
            </w:tcBorders>
            <w:tcMar>
              <w:top w:w="22" w:type="dxa"/>
              <w:left w:w="28" w:type="dxa"/>
              <w:bottom w:w="22" w:type="dxa"/>
              <w:right w:w="28" w:type="dxa"/>
            </w:tcMar>
          </w:tcPr>
          <w:p w:rsidR="006B6965" w:rsidRDefault="003A166B" w14:paraId="6196317D" w14:textId="77777777">
            <w:pPr>
              <w:pStyle w:val="p-table"/>
              <w:jc w:val="right"/>
              <w:rPr>
                <w:sz w:val="17"/>
              </w:rPr>
            </w:pPr>
            <w:r>
              <w:rPr>
                <w:b/>
                <w:sz w:val="17"/>
              </w:rPr>
              <w:t>57.263</w:t>
            </w:r>
          </w:p>
        </w:tc>
        <w:tc>
          <w:tcPr>
            <w:tcW w:w="1377" w:type="dxa"/>
            <w:tcBorders>
              <w:bottom w:val="single" w:color="009EE0" w:sz="2" w:space="0"/>
            </w:tcBorders>
            <w:tcMar>
              <w:top w:w="22" w:type="dxa"/>
              <w:left w:w="28" w:type="dxa"/>
              <w:bottom w:w="22" w:type="dxa"/>
              <w:right w:w="28" w:type="dxa"/>
            </w:tcMar>
          </w:tcPr>
          <w:p w:rsidR="006B6965" w:rsidRDefault="003A166B" w14:paraId="59F57581" w14:textId="77777777">
            <w:pPr>
              <w:pStyle w:val="p-table"/>
              <w:jc w:val="right"/>
              <w:rPr>
                <w:sz w:val="17"/>
              </w:rPr>
            </w:pPr>
            <w:r>
              <w:rPr>
                <w:b/>
                <w:sz w:val="17"/>
              </w:rPr>
              <w:t>260</w:t>
            </w:r>
          </w:p>
        </w:tc>
        <w:tc>
          <w:tcPr>
            <w:tcW w:w="1377" w:type="dxa"/>
            <w:tcBorders>
              <w:bottom w:val="single" w:color="009EE0" w:sz="2" w:space="0"/>
            </w:tcBorders>
            <w:tcMar>
              <w:top w:w="22" w:type="dxa"/>
              <w:left w:w="28" w:type="dxa"/>
              <w:bottom w:w="22" w:type="dxa"/>
              <w:right w:w="28" w:type="dxa"/>
            </w:tcMar>
          </w:tcPr>
          <w:p w:rsidR="006B6965" w:rsidRDefault="003A166B" w14:paraId="38A9C1B0" w14:textId="77777777">
            <w:pPr>
              <w:pStyle w:val="p-table"/>
              <w:jc w:val="right"/>
              <w:rPr>
                <w:sz w:val="17"/>
              </w:rPr>
            </w:pPr>
            <w:r>
              <w:rPr>
                <w:b/>
                <w:sz w:val="17"/>
              </w:rPr>
              <w:t>57.523</w:t>
            </w:r>
          </w:p>
        </w:tc>
      </w:tr>
      <w:tr w:rsidR="006B6965" w14:paraId="69C640C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716AAF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BA97AC7"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0FD81537" w14:textId="77777777">
            <w:pPr>
              <w:pStyle w:val="p-table"/>
              <w:jc w:val="right"/>
              <w:rPr>
                <w:sz w:val="17"/>
              </w:rPr>
            </w:pPr>
            <w:r>
              <w:rPr>
                <w:i/>
                <w:sz w:val="17"/>
              </w:rPr>
              <w:t>52.543</w:t>
            </w:r>
          </w:p>
        </w:tc>
        <w:tc>
          <w:tcPr>
            <w:tcW w:w="1377" w:type="dxa"/>
            <w:tcBorders>
              <w:bottom w:val="single" w:color="009EE0" w:sz="2" w:space="0"/>
            </w:tcBorders>
            <w:tcMar>
              <w:top w:w="22" w:type="dxa"/>
              <w:left w:w="28" w:type="dxa"/>
              <w:bottom w:w="22" w:type="dxa"/>
              <w:right w:w="28" w:type="dxa"/>
            </w:tcMar>
          </w:tcPr>
          <w:p w:rsidR="006B6965" w:rsidRDefault="003A166B" w14:paraId="6FB28830" w14:textId="77777777">
            <w:pPr>
              <w:pStyle w:val="p-table"/>
              <w:jc w:val="right"/>
              <w:rPr>
                <w:sz w:val="17"/>
              </w:rPr>
            </w:pPr>
            <w:r>
              <w:rPr>
                <w:i/>
                <w:sz w:val="17"/>
              </w:rPr>
              <w:t>260</w:t>
            </w:r>
          </w:p>
        </w:tc>
        <w:tc>
          <w:tcPr>
            <w:tcW w:w="1377" w:type="dxa"/>
            <w:tcBorders>
              <w:bottom w:val="single" w:color="009EE0" w:sz="2" w:space="0"/>
            </w:tcBorders>
            <w:tcMar>
              <w:top w:w="22" w:type="dxa"/>
              <w:left w:w="28" w:type="dxa"/>
              <w:bottom w:w="22" w:type="dxa"/>
              <w:right w:w="28" w:type="dxa"/>
            </w:tcMar>
          </w:tcPr>
          <w:p w:rsidR="006B6965" w:rsidRDefault="003A166B" w14:paraId="2F1F95E5" w14:textId="77777777">
            <w:pPr>
              <w:pStyle w:val="p-table"/>
              <w:jc w:val="right"/>
              <w:rPr>
                <w:sz w:val="17"/>
              </w:rPr>
            </w:pPr>
            <w:r>
              <w:rPr>
                <w:i/>
                <w:sz w:val="17"/>
              </w:rPr>
              <w:t>52.803</w:t>
            </w:r>
          </w:p>
        </w:tc>
      </w:tr>
      <w:tr w:rsidR="006B6965" w14:paraId="63486DC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5B073F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D5E1B8F" w14:textId="77777777">
            <w:pPr>
              <w:pStyle w:val="p-table"/>
              <w:rPr>
                <w:sz w:val="17"/>
              </w:rPr>
            </w:pPr>
            <w:r>
              <w:rPr>
                <w:sz w:val="17"/>
              </w:rPr>
              <w:t xml:space="preserve">Waarvan bijdragen aan </w:t>
            </w:r>
            <w:r>
              <w:rPr>
                <w:sz w:val="17"/>
              </w:rPr>
              <w:t>agentschap KNMI</w:t>
            </w:r>
          </w:p>
        </w:tc>
        <w:tc>
          <w:tcPr>
            <w:tcW w:w="1377" w:type="dxa"/>
            <w:tcBorders>
              <w:bottom w:val="single" w:color="009EE0" w:sz="2" w:space="0"/>
            </w:tcBorders>
            <w:tcMar>
              <w:top w:w="22" w:type="dxa"/>
              <w:left w:w="28" w:type="dxa"/>
              <w:bottom w:w="22" w:type="dxa"/>
              <w:right w:w="28" w:type="dxa"/>
            </w:tcMar>
          </w:tcPr>
          <w:p w:rsidR="006B6965" w:rsidRDefault="003A166B" w14:paraId="6E53F96A" w14:textId="77777777">
            <w:pPr>
              <w:pStyle w:val="p-table"/>
              <w:jc w:val="right"/>
              <w:rPr>
                <w:sz w:val="17"/>
              </w:rPr>
            </w:pPr>
            <w:r>
              <w:rPr>
                <w:sz w:val="17"/>
              </w:rPr>
              <w:t>52.543</w:t>
            </w:r>
          </w:p>
        </w:tc>
        <w:tc>
          <w:tcPr>
            <w:tcW w:w="1377" w:type="dxa"/>
            <w:tcBorders>
              <w:bottom w:val="single" w:color="009EE0" w:sz="2" w:space="0"/>
            </w:tcBorders>
            <w:tcMar>
              <w:top w:w="22" w:type="dxa"/>
              <w:left w:w="28" w:type="dxa"/>
              <w:bottom w:w="22" w:type="dxa"/>
              <w:right w:w="28" w:type="dxa"/>
            </w:tcMar>
          </w:tcPr>
          <w:p w:rsidR="006B6965" w:rsidRDefault="003A166B" w14:paraId="269447C1" w14:textId="77777777">
            <w:pPr>
              <w:pStyle w:val="p-table"/>
              <w:jc w:val="right"/>
              <w:rPr>
                <w:sz w:val="17"/>
              </w:rPr>
            </w:pPr>
            <w:r>
              <w:rPr>
                <w:sz w:val="17"/>
              </w:rPr>
              <w:t>260</w:t>
            </w:r>
          </w:p>
        </w:tc>
        <w:tc>
          <w:tcPr>
            <w:tcW w:w="1377" w:type="dxa"/>
            <w:tcBorders>
              <w:bottom w:val="single" w:color="009EE0" w:sz="2" w:space="0"/>
            </w:tcBorders>
            <w:tcMar>
              <w:top w:w="22" w:type="dxa"/>
              <w:left w:w="28" w:type="dxa"/>
              <w:bottom w:w="22" w:type="dxa"/>
              <w:right w:w="28" w:type="dxa"/>
            </w:tcMar>
          </w:tcPr>
          <w:p w:rsidR="006B6965" w:rsidRDefault="003A166B" w14:paraId="21916E7D" w14:textId="77777777">
            <w:pPr>
              <w:pStyle w:val="p-table"/>
              <w:jc w:val="right"/>
              <w:rPr>
                <w:sz w:val="17"/>
              </w:rPr>
            </w:pPr>
            <w:r>
              <w:rPr>
                <w:sz w:val="17"/>
              </w:rPr>
              <w:t>52.803</w:t>
            </w:r>
          </w:p>
        </w:tc>
      </w:tr>
      <w:tr w:rsidR="006B6965" w14:paraId="3471A4C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CA93AB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33F9318"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28FAD42A" w14:textId="77777777">
            <w:pPr>
              <w:pStyle w:val="p-table"/>
              <w:jc w:val="right"/>
              <w:rPr>
                <w:sz w:val="17"/>
              </w:rPr>
            </w:pPr>
            <w:r>
              <w:rPr>
                <w:i/>
                <w:sz w:val="17"/>
              </w:rPr>
              <w:t>4.720</w:t>
            </w:r>
          </w:p>
        </w:tc>
        <w:tc>
          <w:tcPr>
            <w:tcW w:w="1377" w:type="dxa"/>
            <w:tcBorders>
              <w:bottom w:val="single" w:color="009EE0" w:sz="2" w:space="0"/>
            </w:tcBorders>
            <w:tcMar>
              <w:top w:w="22" w:type="dxa"/>
              <w:left w:w="28" w:type="dxa"/>
              <w:bottom w:w="22" w:type="dxa"/>
              <w:right w:w="28" w:type="dxa"/>
            </w:tcMar>
          </w:tcPr>
          <w:p w:rsidR="006B6965" w:rsidRDefault="003A166B" w14:paraId="39AA1DEF"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4E4B2906" w14:textId="77777777">
            <w:pPr>
              <w:pStyle w:val="p-table"/>
              <w:jc w:val="right"/>
              <w:rPr>
                <w:sz w:val="17"/>
              </w:rPr>
            </w:pPr>
            <w:r>
              <w:rPr>
                <w:i/>
                <w:sz w:val="17"/>
              </w:rPr>
              <w:t>4.720</w:t>
            </w:r>
          </w:p>
        </w:tc>
      </w:tr>
      <w:tr w:rsidR="006B6965" w14:paraId="675AF54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6CBE2E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6CB9120" w14:textId="77777777">
            <w:pPr>
              <w:pStyle w:val="p-table"/>
              <w:rPr>
                <w:sz w:val="17"/>
              </w:rPr>
            </w:pPr>
            <w:r>
              <w:rPr>
                <w:sz w:val="17"/>
              </w:rPr>
              <w:t>Contributie WMO (HGIS)</w:t>
            </w:r>
          </w:p>
        </w:tc>
        <w:tc>
          <w:tcPr>
            <w:tcW w:w="1377" w:type="dxa"/>
            <w:tcBorders>
              <w:bottom w:val="single" w:color="009EE0" w:sz="2" w:space="0"/>
            </w:tcBorders>
            <w:tcMar>
              <w:top w:w="22" w:type="dxa"/>
              <w:left w:w="28" w:type="dxa"/>
              <w:bottom w:w="22" w:type="dxa"/>
              <w:right w:w="28" w:type="dxa"/>
            </w:tcMar>
          </w:tcPr>
          <w:p w:rsidR="006B6965" w:rsidRDefault="003A166B" w14:paraId="5A8B6C17" w14:textId="77777777">
            <w:pPr>
              <w:pStyle w:val="p-table"/>
              <w:jc w:val="right"/>
              <w:rPr>
                <w:sz w:val="17"/>
              </w:rPr>
            </w:pPr>
            <w:r>
              <w:rPr>
                <w:sz w:val="17"/>
              </w:rPr>
              <w:t>1.043</w:t>
            </w:r>
          </w:p>
        </w:tc>
        <w:tc>
          <w:tcPr>
            <w:tcW w:w="1377" w:type="dxa"/>
            <w:tcBorders>
              <w:bottom w:val="single" w:color="009EE0" w:sz="2" w:space="0"/>
            </w:tcBorders>
            <w:tcMar>
              <w:top w:w="22" w:type="dxa"/>
              <w:left w:w="28" w:type="dxa"/>
              <w:bottom w:w="22" w:type="dxa"/>
              <w:right w:w="28" w:type="dxa"/>
            </w:tcMar>
          </w:tcPr>
          <w:p w:rsidR="006B6965" w:rsidRDefault="003A166B" w14:paraId="31BE84AD"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4F49DE9" w14:textId="77777777">
            <w:pPr>
              <w:pStyle w:val="p-table"/>
              <w:jc w:val="right"/>
              <w:rPr>
                <w:sz w:val="17"/>
              </w:rPr>
            </w:pPr>
            <w:r>
              <w:rPr>
                <w:sz w:val="17"/>
              </w:rPr>
              <w:t>1.043</w:t>
            </w:r>
          </w:p>
        </w:tc>
      </w:tr>
      <w:tr w:rsidR="006B6965" w14:paraId="672F5B1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7803B3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D6BD2EA" w14:textId="77777777">
            <w:pPr>
              <w:pStyle w:val="p-table"/>
              <w:rPr>
                <w:sz w:val="17"/>
              </w:rPr>
            </w:pPr>
            <w:r>
              <w:rPr>
                <w:sz w:val="17"/>
              </w:rPr>
              <w:t>Contributie ECMWF (HGIS)</w:t>
            </w:r>
          </w:p>
        </w:tc>
        <w:tc>
          <w:tcPr>
            <w:tcW w:w="1377" w:type="dxa"/>
            <w:tcBorders>
              <w:bottom w:val="single" w:color="009EE0" w:sz="2" w:space="0"/>
            </w:tcBorders>
            <w:tcMar>
              <w:top w:w="22" w:type="dxa"/>
              <w:left w:w="28" w:type="dxa"/>
              <w:bottom w:w="22" w:type="dxa"/>
              <w:right w:w="28" w:type="dxa"/>
            </w:tcMar>
          </w:tcPr>
          <w:p w:rsidR="006B6965" w:rsidRDefault="003A166B" w14:paraId="2C874E79" w14:textId="77777777">
            <w:pPr>
              <w:pStyle w:val="p-table"/>
              <w:jc w:val="right"/>
              <w:rPr>
                <w:sz w:val="17"/>
              </w:rPr>
            </w:pPr>
            <w:r>
              <w:rPr>
                <w:sz w:val="17"/>
              </w:rPr>
              <w:t>3.633</w:t>
            </w:r>
          </w:p>
        </w:tc>
        <w:tc>
          <w:tcPr>
            <w:tcW w:w="1377" w:type="dxa"/>
            <w:tcBorders>
              <w:bottom w:val="single" w:color="009EE0" w:sz="2" w:space="0"/>
            </w:tcBorders>
            <w:tcMar>
              <w:top w:w="22" w:type="dxa"/>
              <w:left w:w="28" w:type="dxa"/>
              <w:bottom w:w="22" w:type="dxa"/>
              <w:right w:w="28" w:type="dxa"/>
            </w:tcMar>
          </w:tcPr>
          <w:p w:rsidR="006B6965" w:rsidRDefault="003A166B" w14:paraId="5DDA4E5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AFC96BC" w14:textId="77777777">
            <w:pPr>
              <w:pStyle w:val="p-table"/>
              <w:jc w:val="right"/>
              <w:rPr>
                <w:sz w:val="17"/>
              </w:rPr>
            </w:pPr>
            <w:r>
              <w:rPr>
                <w:sz w:val="17"/>
              </w:rPr>
              <w:t>3.633</w:t>
            </w:r>
          </w:p>
        </w:tc>
      </w:tr>
      <w:tr w:rsidR="006B6965" w14:paraId="6C99EAE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EC5CB4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5137746" w14:textId="77777777">
            <w:pPr>
              <w:pStyle w:val="p-table"/>
              <w:rPr>
                <w:sz w:val="17"/>
              </w:rPr>
            </w:pPr>
            <w:r>
              <w:rPr>
                <w:sz w:val="17"/>
              </w:rPr>
              <w:t>Overige bijdragen aan (</w:t>
            </w:r>
            <w:proofErr w:type="spellStart"/>
            <w:r>
              <w:rPr>
                <w:sz w:val="17"/>
              </w:rPr>
              <w:t>inter</w:t>
            </w:r>
            <w:proofErr w:type="spellEnd"/>
            <w:r>
              <w:rPr>
                <w:sz w:val="17"/>
              </w:rPr>
              <w:t>-)nationale organisaties</w:t>
            </w:r>
          </w:p>
        </w:tc>
        <w:tc>
          <w:tcPr>
            <w:tcW w:w="1377" w:type="dxa"/>
            <w:tcBorders>
              <w:bottom w:val="single" w:color="009EE0" w:sz="2" w:space="0"/>
            </w:tcBorders>
            <w:tcMar>
              <w:top w:w="22" w:type="dxa"/>
              <w:left w:w="28" w:type="dxa"/>
              <w:bottom w:w="22" w:type="dxa"/>
              <w:right w:w="28" w:type="dxa"/>
            </w:tcMar>
          </w:tcPr>
          <w:p w:rsidR="006B6965" w:rsidRDefault="003A166B" w14:paraId="76D3792A" w14:textId="77777777">
            <w:pPr>
              <w:pStyle w:val="p-table"/>
              <w:jc w:val="right"/>
              <w:rPr>
                <w:sz w:val="17"/>
              </w:rPr>
            </w:pPr>
            <w:r>
              <w:rPr>
                <w:sz w:val="17"/>
              </w:rPr>
              <w:t>44</w:t>
            </w:r>
          </w:p>
        </w:tc>
        <w:tc>
          <w:tcPr>
            <w:tcW w:w="1377" w:type="dxa"/>
            <w:tcBorders>
              <w:bottom w:val="single" w:color="009EE0" w:sz="2" w:space="0"/>
            </w:tcBorders>
            <w:tcMar>
              <w:top w:w="22" w:type="dxa"/>
              <w:left w:w="28" w:type="dxa"/>
              <w:bottom w:w="22" w:type="dxa"/>
              <w:right w:w="28" w:type="dxa"/>
            </w:tcMar>
          </w:tcPr>
          <w:p w:rsidR="006B6965" w:rsidRDefault="003A166B" w14:paraId="29DC3E1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145C4C2" w14:textId="77777777">
            <w:pPr>
              <w:pStyle w:val="p-table"/>
              <w:jc w:val="right"/>
              <w:rPr>
                <w:sz w:val="17"/>
              </w:rPr>
            </w:pPr>
            <w:r>
              <w:rPr>
                <w:sz w:val="17"/>
              </w:rPr>
              <w:t>44</w:t>
            </w:r>
          </w:p>
        </w:tc>
      </w:tr>
      <w:tr w:rsidR="006B6965" w14:paraId="6A5B0C0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7D5114E" w14:textId="77777777">
            <w:pPr>
              <w:pStyle w:val="p-table"/>
              <w:rPr>
                <w:sz w:val="17"/>
              </w:rPr>
            </w:pPr>
            <w:r>
              <w:rPr>
                <w:b/>
                <w:sz w:val="17"/>
              </w:rPr>
              <w:t>23.2</w:t>
            </w:r>
          </w:p>
        </w:tc>
        <w:tc>
          <w:tcPr>
            <w:tcW w:w="4590" w:type="dxa"/>
            <w:tcBorders>
              <w:bottom w:val="single" w:color="009EE0" w:sz="2" w:space="0"/>
            </w:tcBorders>
            <w:tcMar>
              <w:top w:w="22" w:type="dxa"/>
              <w:left w:w="28" w:type="dxa"/>
              <w:bottom w:w="22" w:type="dxa"/>
              <w:right w:w="28" w:type="dxa"/>
            </w:tcMar>
          </w:tcPr>
          <w:p w:rsidR="006B6965" w:rsidRDefault="003A166B" w14:paraId="7405D90A" w14:textId="77777777">
            <w:pPr>
              <w:pStyle w:val="p-table"/>
              <w:rPr>
                <w:sz w:val="17"/>
              </w:rPr>
            </w:pPr>
            <w:r>
              <w:rPr>
                <w:b/>
                <w:sz w:val="17"/>
              </w:rPr>
              <w:t>Aardobservatie</w:t>
            </w:r>
          </w:p>
        </w:tc>
        <w:tc>
          <w:tcPr>
            <w:tcW w:w="1377" w:type="dxa"/>
            <w:tcBorders>
              <w:bottom w:val="single" w:color="009EE0" w:sz="2" w:space="0"/>
            </w:tcBorders>
            <w:tcMar>
              <w:top w:w="22" w:type="dxa"/>
              <w:left w:w="28" w:type="dxa"/>
              <w:bottom w:w="22" w:type="dxa"/>
              <w:right w:w="28" w:type="dxa"/>
            </w:tcMar>
          </w:tcPr>
          <w:p w:rsidR="006B6965" w:rsidRDefault="003A166B" w14:paraId="1F645091" w14:textId="77777777">
            <w:pPr>
              <w:pStyle w:val="p-table"/>
              <w:jc w:val="right"/>
              <w:rPr>
                <w:sz w:val="17"/>
              </w:rPr>
            </w:pPr>
            <w:r>
              <w:rPr>
                <w:b/>
                <w:sz w:val="17"/>
              </w:rPr>
              <w:t>19.984</w:t>
            </w:r>
          </w:p>
        </w:tc>
        <w:tc>
          <w:tcPr>
            <w:tcW w:w="1377" w:type="dxa"/>
            <w:tcBorders>
              <w:bottom w:val="single" w:color="009EE0" w:sz="2" w:space="0"/>
            </w:tcBorders>
            <w:tcMar>
              <w:top w:w="22" w:type="dxa"/>
              <w:left w:w="28" w:type="dxa"/>
              <w:bottom w:w="22" w:type="dxa"/>
              <w:right w:w="28" w:type="dxa"/>
            </w:tcMar>
          </w:tcPr>
          <w:p w:rsidR="006B6965" w:rsidRDefault="003A166B" w14:paraId="66738EEF"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A3F52DE" w14:textId="77777777">
            <w:pPr>
              <w:pStyle w:val="p-table"/>
              <w:jc w:val="right"/>
              <w:rPr>
                <w:sz w:val="17"/>
              </w:rPr>
            </w:pPr>
            <w:r>
              <w:rPr>
                <w:b/>
                <w:sz w:val="17"/>
              </w:rPr>
              <w:t>19.984</w:t>
            </w:r>
          </w:p>
        </w:tc>
      </w:tr>
      <w:tr w:rsidR="006B6965" w14:paraId="7D62184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1E857D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97F5011"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742F580A" w14:textId="77777777">
            <w:pPr>
              <w:pStyle w:val="p-table"/>
              <w:jc w:val="right"/>
              <w:rPr>
                <w:sz w:val="17"/>
              </w:rPr>
            </w:pPr>
            <w:r>
              <w:rPr>
                <w:i/>
                <w:sz w:val="17"/>
              </w:rPr>
              <w:t>19.984</w:t>
            </w:r>
          </w:p>
        </w:tc>
        <w:tc>
          <w:tcPr>
            <w:tcW w:w="1377" w:type="dxa"/>
            <w:tcBorders>
              <w:bottom w:val="single" w:color="009EE0" w:sz="2" w:space="0"/>
            </w:tcBorders>
            <w:tcMar>
              <w:top w:w="22" w:type="dxa"/>
              <w:left w:w="28" w:type="dxa"/>
              <w:bottom w:w="22" w:type="dxa"/>
              <w:right w:w="28" w:type="dxa"/>
            </w:tcMar>
          </w:tcPr>
          <w:p w:rsidR="006B6965" w:rsidRDefault="003A166B" w14:paraId="57517CDB"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C2FB5E6" w14:textId="77777777">
            <w:pPr>
              <w:pStyle w:val="p-table"/>
              <w:jc w:val="right"/>
              <w:rPr>
                <w:sz w:val="17"/>
              </w:rPr>
            </w:pPr>
            <w:r>
              <w:rPr>
                <w:i/>
                <w:sz w:val="17"/>
              </w:rPr>
              <w:t>19.984</w:t>
            </w:r>
          </w:p>
        </w:tc>
      </w:tr>
      <w:tr w:rsidR="006B6965" w14:paraId="36A68D7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74B944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984FC5A" w14:textId="77777777">
            <w:pPr>
              <w:pStyle w:val="p-table"/>
              <w:rPr>
                <w:sz w:val="17"/>
              </w:rPr>
            </w:pPr>
            <w:r>
              <w:rPr>
                <w:sz w:val="17"/>
              </w:rPr>
              <w:t>KNMI: Bijdrage voor Aardobservatie</w:t>
            </w:r>
          </w:p>
        </w:tc>
        <w:tc>
          <w:tcPr>
            <w:tcW w:w="1377" w:type="dxa"/>
            <w:tcBorders>
              <w:bottom w:val="single" w:color="009EE0" w:sz="2" w:space="0"/>
            </w:tcBorders>
            <w:tcMar>
              <w:top w:w="22" w:type="dxa"/>
              <w:left w:w="28" w:type="dxa"/>
              <w:bottom w:w="22" w:type="dxa"/>
              <w:right w:w="28" w:type="dxa"/>
            </w:tcMar>
          </w:tcPr>
          <w:p w:rsidR="006B6965" w:rsidRDefault="003A166B" w14:paraId="2DD1F33F" w14:textId="77777777">
            <w:pPr>
              <w:pStyle w:val="p-table"/>
              <w:jc w:val="right"/>
              <w:rPr>
                <w:sz w:val="17"/>
              </w:rPr>
            </w:pPr>
            <w:r>
              <w:rPr>
                <w:sz w:val="17"/>
              </w:rPr>
              <w:t>19.984</w:t>
            </w:r>
          </w:p>
        </w:tc>
        <w:tc>
          <w:tcPr>
            <w:tcW w:w="1377" w:type="dxa"/>
            <w:tcBorders>
              <w:bottom w:val="single" w:color="009EE0" w:sz="2" w:space="0"/>
            </w:tcBorders>
            <w:tcMar>
              <w:top w:w="22" w:type="dxa"/>
              <w:left w:w="28" w:type="dxa"/>
              <w:bottom w:w="22" w:type="dxa"/>
              <w:right w:w="28" w:type="dxa"/>
            </w:tcMar>
          </w:tcPr>
          <w:p w:rsidR="006B6965" w:rsidRDefault="003A166B" w14:paraId="6A6D769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46BCD10" w14:textId="77777777">
            <w:pPr>
              <w:pStyle w:val="p-table"/>
              <w:jc w:val="right"/>
              <w:rPr>
                <w:sz w:val="17"/>
              </w:rPr>
            </w:pPr>
            <w:r>
              <w:rPr>
                <w:sz w:val="17"/>
              </w:rPr>
              <w:t>19.984</w:t>
            </w:r>
          </w:p>
        </w:tc>
      </w:tr>
      <w:tr w:rsidR="006B6965" w14:paraId="0C3567B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E8EFAD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E3991F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1A1DA1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937AB7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7BB0180" w14:textId="77777777">
            <w:pPr>
              <w:pStyle w:val="p-table"/>
              <w:rPr>
                <w:sz w:val="17"/>
              </w:rPr>
            </w:pPr>
          </w:p>
        </w:tc>
      </w:tr>
      <w:tr w:rsidR="006B6965" w14:paraId="0DBE5CC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7D9882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F4895AE"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4EA334DD"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62FD77A"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46A5150" w14:textId="77777777">
            <w:pPr>
              <w:pStyle w:val="p-table"/>
              <w:jc w:val="right"/>
              <w:rPr>
                <w:sz w:val="17"/>
              </w:rPr>
            </w:pPr>
            <w:r>
              <w:rPr>
                <w:b/>
                <w:sz w:val="17"/>
              </w:rPr>
              <w:t>0</w:t>
            </w:r>
          </w:p>
        </w:tc>
      </w:tr>
      <w:tr w:rsidR="006B6965" w14:paraId="147F8D1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AFA1BA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803BBF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24E0A6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6F2FDC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2FF3ACD" w14:textId="77777777">
            <w:pPr>
              <w:pStyle w:val="p-table"/>
              <w:rPr>
                <w:sz w:val="17"/>
              </w:rPr>
            </w:pPr>
          </w:p>
        </w:tc>
      </w:tr>
    </w:tbl>
    <w:p w:rsidR="006B6965" w:rsidRDefault="006B6965" w14:paraId="7C544AD3" w14:textId="77777777">
      <w:pPr>
        <w:pStyle w:val="p-marginbottom"/>
      </w:pPr>
    </w:p>
    <w:p w:rsidR="006B6965" w:rsidRDefault="003A166B" w14:paraId="48C77C95" w14:textId="77777777">
      <w:pPr>
        <w:pStyle w:val="section-title-4"/>
      </w:pPr>
      <w:r>
        <w:t>Toelichting</w:t>
      </w:r>
    </w:p>
    <w:p w:rsidR="006B6965" w:rsidRDefault="003A166B" w14:paraId="28034AC1" w14:textId="77777777">
      <w:pPr>
        <w:pStyle w:val="header-h1"/>
      </w:pPr>
      <w:r>
        <w:t>Verplichtingen</w:t>
      </w:r>
    </w:p>
    <w:p w:rsidR="006B6965" w:rsidRDefault="003A166B" w14:paraId="215793CC" w14:textId="77777777">
      <w:pPr>
        <w:pStyle w:val="p"/>
      </w:pPr>
      <w:r>
        <w:t xml:space="preserve">De verplichtingenmutaties zijn lager dan de </w:t>
      </w:r>
      <w:r>
        <w:t>voorgeschreven norm en worden daarom niet toegelicht (zie normering in de ).</w:t>
      </w:r>
    </w:p>
    <w:p w:rsidR="006B6965" w:rsidRDefault="003A166B" w14:paraId="37CDD01A" w14:textId="77777777">
      <w:pPr>
        <w:pStyle w:val="header-h1"/>
      </w:pPr>
      <w:r>
        <w:t>Uitgaven</w:t>
      </w:r>
    </w:p>
    <w:p w:rsidR="006B6965" w:rsidRDefault="003A166B" w14:paraId="6DB54ADC" w14:textId="77777777">
      <w:pPr>
        <w:pStyle w:val="p"/>
      </w:pPr>
      <w:r>
        <w:t>De uitgavenmutaties zijn lager dan de voorgeschreven norm en worden daarom niet toegelicht (zie normering in de ).</w:t>
      </w:r>
    </w:p>
    <w:p w:rsidR="006B6965" w:rsidRDefault="003A166B" w14:paraId="5F05DCD2" w14:textId="77777777">
      <w:pPr>
        <w:pStyle w:val="header-h1"/>
      </w:pPr>
      <w:r>
        <w:t>Ontvangsten</w:t>
      </w:r>
    </w:p>
    <w:p w:rsidR="006B6965" w:rsidRDefault="003A166B" w14:paraId="7EF54AB6" w14:textId="77777777">
      <w:pPr>
        <w:pStyle w:val="p"/>
      </w:pPr>
      <w:r>
        <w:t>De ontvangstenmutaties zijn lager dan de voorgeschreven norm en worden daarom niet toegelicht (zie normering in de ).</w:t>
      </w:r>
    </w:p>
    <w:p w:rsidR="006B6965" w:rsidRDefault="003A166B" w14:paraId="234033EF" w14:textId="77777777">
      <w:pPr>
        <w:pStyle w:val="section-title-3"/>
      </w:pPr>
      <w:r>
        <w:lastRenderedPageBreak/>
        <w:t>3.12 Artikel 24 Inspectie Leefomgeving en Transport</w:t>
      </w:r>
    </w:p>
    <w:p w:rsidR="006B6965" w:rsidRDefault="003A166B" w14:paraId="71152F90"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15457891"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54CE9C0D" w14:textId="77777777">
            <w:pPr>
              <w:pStyle w:val="kio2-table-title"/>
            </w:pPr>
            <w:r>
              <w:t>Tabel 16 Budgettaire gevolgen van beleid artikel 24 Inspectie Leefomgeving en Transport (bedragen x € 1.000)</w:t>
            </w:r>
          </w:p>
        </w:tc>
      </w:tr>
      <w:tr w:rsidR="006B6965" w14:paraId="1460CE50"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252EFDFC"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16D285F0"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2569166A"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B8DAC43"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15165252" w14:textId="77777777">
            <w:pPr>
              <w:pStyle w:val="p-table"/>
              <w:jc w:val="center"/>
              <w:rPr>
                <w:color w:val="000000"/>
                <w:sz w:val="17"/>
              </w:rPr>
            </w:pPr>
            <w:r>
              <w:rPr>
                <w:color w:val="000000"/>
                <w:sz w:val="17"/>
              </w:rPr>
              <w:t>Stand suppletoire begroting september (3) = (1) + (2)</w:t>
            </w:r>
          </w:p>
        </w:tc>
      </w:tr>
      <w:tr w:rsidR="006B6965" w14:paraId="33232C4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0D78137"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468516FD"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7ACFB2FC" w14:textId="77777777">
            <w:pPr>
              <w:pStyle w:val="p-table"/>
              <w:jc w:val="right"/>
              <w:rPr>
                <w:sz w:val="17"/>
              </w:rPr>
            </w:pPr>
            <w:r>
              <w:rPr>
                <w:b/>
                <w:sz w:val="17"/>
              </w:rPr>
              <w:t>229.162</w:t>
            </w:r>
          </w:p>
        </w:tc>
        <w:tc>
          <w:tcPr>
            <w:tcW w:w="1377" w:type="dxa"/>
            <w:tcBorders>
              <w:bottom w:val="single" w:color="009EE0" w:sz="2" w:space="0"/>
            </w:tcBorders>
            <w:tcMar>
              <w:top w:w="22" w:type="dxa"/>
              <w:left w:w="28" w:type="dxa"/>
              <w:bottom w:w="22" w:type="dxa"/>
              <w:right w:w="28" w:type="dxa"/>
            </w:tcMar>
          </w:tcPr>
          <w:p w:rsidR="006B6965" w:rsidRDefault="003A166B" w14:paraId="0D126DE7" w14:textId="77777777">
            <w:pPr>
              <w:pStyle w:val="p-table"/>
              <w:jc w:val="right"/>
              <w:rPr>
                <w:sz w:val="17"/>
              </w:rPr>
            </w:pPr>
            <w:r>
              <w:rPr>
                <w:b/>
                <w:sz w:val="17"/>
              </w:rPr>
              <w:t>6.923</w:t>
            </w:r>
          </w:p>
        </w:tc>
        <w:tc>
          <w:tcPr>
            <w:tcW w:w="1377" w:type="dxa"/>
            <w:tcBorders>
              <w:bottom w:val="single" w:color="009EE0" w:sz="2" w:space="0"/>
            </w:tcBorders>
            <w:tcMar>
              <w:top w:w="22" w:type="dxa"/>
              <w:left w:w="28" w:type="dxa"/>
              <w:bottom w:w="22" w:type="dxa"/>
              <w:right w:w="28" w:type="dxa"/>
            </w:tcMar>
          </w:tcPr>
          <w:p w:rsidR="006B6965" w:rsidRDefault="003A166B" w14:paraId="170EF03E" w14:textId="77777777">
            <w:pPr>
              <w:pStyle w:val="p-table"/>
              <w:jc w:val="right"/>
              <w:rPr>
                <w:sz w:val="17"/>
              </w:rPr>
            </w:pPr>
            <w:r>
              <w:rPr>
                <w:b/>
                <w:sz w:val="17"/>
              </w:rPr>
              <w:t>236.085</w:t>
            </w:r>
          </w:p>
        </w:tc>
      </w:tr>
      <w:tr w:rsidR="006B6965" w14:paraId="16C542B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7666AA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F16276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FF1ECE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F1B833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D858828" w14:textId="77777777">
            <w:pPr>
              <w:pStyle w:val="p-table"/>
              <w:rPr>
                <w:sz w:val="17"/>
              </w:rPr>
            </w:pPr>
          </w:p>
        </w:tc>
      </w:tr>
      <w:tr w:rsidR="006B6965" w14:paraId="3641C65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89C6A2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3A20D14"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4ADC6BBE" w14:textId="77777777">
            <w:pPr>
              <w:pStyle w:val="p-table"/>
              <w:jc w:val="right"/>
              <w:rPr>
                <w:sz w:val="17"/>
              </w:rPr>
            </w:pPr>
            <w:r>
              <w:rPr>
                <w:b/>
                <w:sz w:val="17"/>
              </w:rPr>
              <w:t>231.467</w:t>
            </w:r>
          </w:p>
        </w:tc>
        <w:tc>
          <w:tcPr>
            <w:tcW w:w="1377" w:type="dxa"/>
            <w:tcBorders>
              <w:bottom w:val="single" w:color="009EE0" w:sz="2" w:space="0"/>
            </w:tcBorders>
            <w:tcMar>
              <w:top w:w="22" w:type="dxa"/>
              <w:left w:w="28" w:type="dxa"/>
              <w:bottom w:w="22" w:type="dxa"/>
              <w:right w:w="28" w:type="dxa"/>
            </w:tcMar>
          </w:tcPr>
          <w:p w:rsidR="006B6965" w:rsidRDefault="003A166B" w14:paraId="051E29B3" w14:textId="77777777">
            <w:pPr>
              <w:pStyle w:val="p-table"/>
              <w:jc w:val="right"/>
              <w:rPr>
                <w:sz w:val="17"/>
              </w:rPr>
            </w:pPr>
            <w:r>
              <w:rPr>
                <w:b/>
                <w:sz w:val="17"/>
              </w:rPr>
              <w:t>6.923</w:t>
            </w:r>
          </w:p>
        </w:tc>
        <w:tc>
          <w:tcPr>
            <w:tcW w:w="1377" w:type="dxa"/>
            <w:tcBorders>
              <w:bottom w:val="single" w:color="009EE0" w:sz="2" w:space="0"/>
            </w:tcBorders>
            <w:tcMar>
              <w:top w:w="22" w:type="dxa"/>
              <w:left w:w="28" w:type="dxa"/>
              <w:bottom w:w="22" w:type="dxa"/>
              <w:right w:w="28" w:type="dxa"/>
            </w:tcMar>
          </w:tcPr>
          <w:p w:rsidR="006B6965" w:rsidRDefault="003A166B" w14:paraId="71326B0D" w14:textId="77777777">
            <w:pPr>
              <w:pStyle w:val="p-table"/>
              <w:jc w:val="right"/>
              <w:rPr>
                <w:sz w:val="17"/>
              </w:rPr>
            </w:pPr>
            <w:r>
              <w:rPr>
                <w:b/>
                <w:sz w:val="17"/>
              </w:rPr>
              <w:t>238.390</w:t>
            </w:r>
          </w:p>
        </w:tc>
      </w:tr>
      <w:tr w:rsidR="006B6965" w14:paraId="5961C07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461B6D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03AF3BE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499EDC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044A5F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4A0D6EA" w14:textId="77777777">
            <w:pPr>
              <w:pStyle w:val="p-table"/>
              <w:rPr>
                <w:sz w:val="17"/>
              </w:rPr>
            </w:pPr>
          </w:p>
        </w:tc>
      </w:tr>
      <w:tr w:rsidR="006B6965" w14:paraId="679ECBF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1620D5EB" w14:textId="77777777">
            <w:pPr>
              <w:pStyle w:val="p-table"/>
              <w:rPr>
                <w:sz w:val="17"/>
              </w:rPr>
            </w:pPr>
            <w:r>
              <w:rPr>
                <w:b/>
                <w:sz w:val="17"/>
              </w:rPr>
              <w:t>24.1</w:t>
            </w:r>
          </w:p>
        </w:tc>
        <w:tc>
          <w:tcPr>
            <w:tcW w:w="4590" w:type="dxa"/>
            <w:tcBorders>
              <w:bottom w:val="single" w:color="009EE0" w:sz="2" w:space="0"/>
            </w:tcBorders>
            <w:tcMar>
              <w:top w:w="22" w:type="dxa"/>
              <w:left w:w="28" w:type="dxa"/>
              <w:bottom w:w="22" w:type="dxa"/>
              <w:right w:w="28" w:type="dxa"/>
            </w:tcMar>
          </w:tcPr>
          <w:p w:rsidR="006B6965" w:rsidRDefault="003A166B" w14:paraId="04BB5F8F" w14:textId="77777777">
            <w:pPr>
              <w:pStyle w:val="p-table"/>
              <w:rPr>
                <w:sz w:val="17"/>
              </w:rPr>
            </w:pPr>
            <w:r>
              <w:rPr>
                <w:b/>
                <w:sz w:val="17"/>
              </w:rPr>
              <w:t>Personele uitgaven</w:t>
            </w:r>
          </w:p>
        </w:tc>
        <w:tc>
          <w:tcPr>
            <w:tcW w:w="1377" w:type="dxa"/>
            <w:tcBorders>
              <w:bottom w:val="single" w:color="009EE0" w:sz="2" w:space="0"/>
            </w:tcBorders>
            <w:tcMar>
              <w:top w:w="22" w:type="dxa"/>
              <w:left w:w="28" w:type="dxa"/>
              <w:bottom w:w="22" w:type="dxa"/>
              <w:right w:w="28" w:type="dxa"/>
            </w:tcMar>
          </w:tcPr>
          <w:p w:rsidR="006B6965" w:rsidRDefault="003A166B" w14:paraId="234D937E" w14:textId="77777777">
            <w:pPr>
              <w:pStyle w:val="p-table"/>
              <w:jc w:val="right"/>
              <w:rPr>
                <w:sz w:val="17"/>
              </w:rPr>
            </w:pPr>
            <w:r>
              <w:rPr>
                <w:b/>
                <w:sz w:val="17"/>
              </w:rPr>
              <w:t>205.631</w:t>
            </w:r>
          </w:p>
        </w:tc>
        <w:tc>
          <w:tcPr>
            <w:tcW w:w="1377" w:type="dxa"/>
            <w:tcBorders>
              <w:bottom w:val="single" w:color="009EE0" w:sz="2" w:space="0"/>
            </w:tcBorders>
            <w:tcMar>
              <w:top w:w="22" w:type="dxa"/>
              <w:left w:w="28" w:type="dxa"/>
              <w:bottom w:w="22" w:type="dxa"/>
              <w:right w:w="28" w:type="dxa"/>
            </w:tcMar>
          </w:tcPr>
          <w:p w:rsidR="006B6965" w:rsidRDefault="003A166B" w14:paraId="7220187F" w14:textId="77777777">
            <w:pPr>
              <w:pStyle w:val="p-table"/>
              <w:jc w:val="right"/>
              <w:rPr>
                <w:sz w:val="17"/>
              </w:rPr>
            </w:pPr>
            <w:r>
              <w:rPr>
                <w:b/>
                <w:sz w:val="17"/>
              </w:rPr>
              <w:t>1.006</w:t>
            </w:r>
          </w:p>
        </w:tc>
        <w:tc>
          <w:tcPr>
            <w:tcW w:w="1377" w:type="dxa"/>
            <w:tcBorders>
              <w:bottom w:val="single" w:color="009EE0" w:sz="2" w:space="0"/>
            </w:tcBorders>
            <w:tcMar>
              <w:top w:w="22" w:type="dxa"/>
              <w:left w:w="28" w:type="dxa"/>
              <w:bottom w:w="22" w:type="dxa"/>
              <w:right w:w="28" w:type="dxa"/>
            </w:tcMar>
          </w:tcPr>
          <w:p w:rsidR="006B6965" w:rsidRDefault="003A166B" w14:paraId="5458A42A" w14:textId="77777777">
            <w:pPr>
              <w:pStyle w:val="p-table"/>
              <w:jc w:val="right"/>
              <w:rPr>
                <w:sz w:val="17"/>
              </w:rPr>
            </w:pPr>
            <w:r>
              <w:rPr>
                <w:b/>
                <w:sz w:val="17"/>
              </w:rPr>
              <w:t>206.637</w:t>
            </w:r>
          </w:p>
        </w:tc>
      </w:tr>
      <w:tr w:rsidR="006B6965" w14:paraId="7F2192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204252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41292F4" w14:textId="77777777">
            <w:pPr>
              <w:pStyle w:val="p-table"/>
              <w:rPr>
                <w:sz w:val="17"/>
              </w:rPr>
            </w:pPr>
            <w:r>
              <w:rPr>
                <w:i/>
                <w:sz w:val="17"/>
              </w:rPr>
              <w:t>Personele uitgaven</w:t>
            </w:r>
          </w:p>
        </w:tc>
        <w:tc>
          <w:tcPr>
            <w:tcW w:w="1377" w:type="dxa"/>
            <w:tcBorders>
              <w:bottom w:val="single" w:color="009EE0" w:sz="2" w:space="0"/>
            </w:tcBorders>
            <w:tcMar>
              <w:top w:w="22" w:type="dxa"/>
              <w:left w:w="28" w:type="dxa"/>
              <w:bottom w:w="22" w:type="dxa"/>
              <w:right w:w="28" w:type="dxa"/>
            </w:tcMar>
          </w:tcPr>
          <w:p w:rsidR="006B6965" w:rsidRDefault="003A166B" w14:paraId="579C542F" w14:textId="77777777">
            <w:pPr>
              <w:pStyle w:val="p-table"/>
              <w:jc w:val="right"/>
              <w:rPr>
                <w:sz w:val="17"/>
              </w:rPr>
            </w:pPr>
            <w:r>
              <w:rPr>
                <w:i/>
                <w:sz w:val="17"/>
              </w:rPr>
              <w:t>205.631</w:t>
            </w:r>
          </w:p>
        </w:tc>
        <w:tc>
          <w:tcPr>
            <w:tcW w:w="1377" w:type="dxa"/>
            <w:tcBorders>
              <w:bottom w:val="single" w:color="009EE0" w:sz="2" w:space="0"/>
            </w:tcBorders>
            <w:tcMar>
              <w:top w:w="22" w:type="dxa"/>
              <w:left w:w="28" w:type="dxa"/>
              <w:bottom w:w="22" w:type="dxa"/>
              <w:right w:w="28" w:type="dxa"/>
            </w:tcMar>
          </w:tcPr>
          <w:p w:rsidR="006B6965" w:rsidRDefault="003A166B" w14:paraId="23567C19" w14:textId="77777777">
            <w:pPr>
              <w:pStyle w:val="p-table"/>
              <w:jc w:val="right"/>
              <w:rPr>
                <w:sz w:val="17"/>
              </w:rPr>
            </w:pPr>
            <w:r>
              <w:rPr>
                <w:i/>
                <w:sz w:val="17"/>
              </w:rPr>
              <w:t>1.006</w:t>
            </w:r>
          </w:p>
        </w:tc>
        <w:tc>
          <w:tcPr>
            <w:tcW w:w="1377" w:type="dxa"/>
            <w:tcBorders>
              <w:bottom w:val="single" w:color="009EE0" w:sz="2" w:space="0"/>
            </w:tcBorders>
            <w:tcMar>
              <w:top w:w="22" w:type="dxa"/>
              <w:left w:w="28" w:type="dxa"/>
              <w:bottom w:w="22" w:type="dxa"/>
              <w:right w:w="28" w:type="dxa"/>
            </w:tcMar>
          </w:tcPr>
          <w:p w:rsidR="006B6965" w:rsidRDefault="003A166B" w14:paraId="47E38992" w14:textId="77777777">
            <w:pPr>
              <w:pStyle w:val="p-table"/>
              <w:jc w:val="right"/>
              <w:rPr>
                <w:sz w:val="17"/>
              </w:rPr>
            </w:pPr>
            <w:r>
              <w:rPr>
                <w:i/>
                <w:sz w:val="17"/>
              </w:rPr>
              <w:t>206.637</w:t>
            </w:r>
          </w:p>
        </w:tc>
      </w:tr>
      <w:tr w:rsidR="006B6965" w14:paraId="3C27FBD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6024C1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12D7A33" w14:textId="77777777">
            <w:pPr>
              <w:pStyle w:val="p-table"/>
              <w:rPr>
                <w:sz w:val="17"/>
              </w:rPr>
            </w:pPr>
            <w:r>
              <w:rPr>
                <w:sz w:val="17"/>
              </w:rPr>
              <w:t>Eigen personeel</w:t>
            </w:r>
          </w:p>
        </w:tc>
        <w:tc>
          <w:tcPr>
            <w:tcW w:w="1377" w:type="dxa"/>
            <w:tcBorders>
              <w:bottom w:val="single" w:color="009EE0" w:sz="2" w:space="0"/>
            </w:tcBorders>
            <w:tcMar>
              <w:top w:w="22" w:type="dxa"/>
              <w:left w:w="28" w:type="dxa"/>
              <w:bottom w:w="22" w:type="dxa"/>
              <w:right w:w="28" w:type="dxa"/>
            </w:tcMar>
          </w:tcPr>
          <w:p w:rsidR="006B6965" w:rsidRDefault="003A166B" w14:paraId="28B5D5B0" w14:textId="77777777">
            <w:pPr>
              <w:pStyle w:val="p-table"/>
              <w:jc w:val="right"/>
              <w:rPr>
                <w:sz w:val="17"/>
              </w:rPr>
            </w:pPr>
            <w:r>
              <w:rPr>
                <w:sz w:val="17"/>
              </w:rPr>
              <w:t>181.879</w:t>
            </w:r>
          </w:p>
        </w:tc>
        <w:tc>
          <w:tcPr>
            <w:tcW w:w="1377" w:type="dxa"/>
            <w:tcBorders>
              <w:bottom w:val="single" w:color="009EE0" w:sz="2" w:space="0"/>
            </w:tcBorders>
            <w:tcMar>
              <w:top w:w="22" w:type="dxa"/>
              <w:left w:w="28" w:type="dxa"/>
              <w:bottom w:w="22" w:type="dxa"/>
              <w:right w:w="28" w:type="dxa"/>
            </w:tcMar>
          </w:tcPr>
          <w:p w:rsidR="006B6965" w:rsidRDefault="003A166B" w14:paraId="62D38EA3" w14:textId="77777777">
            <w:pPr>
              <w:pStyle w:val="p-table"/>
              <w:jc w:val="right"/>
              <w:rPr>
                <w:sz w:val="17"/>
              </w:rPr>
            </w:pPr>
            <w:r>
              <w:rPr>
                <w:sz w:val="17"/>
              </w:rPr>
              <w:t>5.692</w:t>
            </w:r>
          </w:p>
        </w:tc>
        <w:tc>
          <w:tcPr>
            <w:tcW w:w="1377" w:type="dxa"/>
            <w:tcBorders>
              <w:bottom w:val="single" w:color="009EE0" w:sz="2" w:space="0"/>
            </w:tcBorders>
            <w:tcMar>
              <w:top w:w="22" w:type="dxa"/>
              <w:left w:w="28" w:type="dxa"/>
              <w:bottom w:w="22" w:type="dxa"/>
              <w:right w:w="28" w:type="dxa"/>
            </w:tcMar>
          </w:tcPr>
          <w:p w:rsidR="006B6965" w:rsidRDefault="003A166B" w14:paraId="6913EAEA" w14:textId="77777777">
            <w:pPr>
              <w:pStyle w:val="p-table"/>
              <w:jc w:val="right"/>
              <w:rPr>
                <w:sz w:val="17"/>
              </w:rPr>
            </w:pPr>
            <w:r>
              <w:rPr>
                <w:sz w:val="17"/>
              </w:rPr>
              <w:t>187.571</w:t>
            </w:r>
          </w:p>
        </w:tc>
      </w:tr>
      <w:tr w:rsidR="006B6965" w14:paraId="1D1C985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4F4F8A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4F37263" w14:textId="77777777">
            <w:pPr>
              <w:pStyle w:val="p-table"/>
              <w:rPr>
                <w:sz w:val="17"/>
              </w:rPr>
            </w:pPr>
            <w:r>
              <w:rPr>
                <w:sz w:val="17"/>
              </w:rPr>
              <w:t>Externe Inhuur</w:t>
            </w:r>
          </w:p>
        </w:tc>
        <w:tc>
          <w:tcPr>
            <w:tcW w:w="1377" w:type="dxa"/>
            <w:tcBorders>
              <w:bottom w:val="single" w:color="009EE0" w:sz="2" w:space="0"/>
            </w:tcBorders>
            <w:tcMar>
              <w:top w:w="22" w:type="dxa"/>
              <w:left w:w="28" w:type="dxa"/>
              <w:bottom w:w="22" w:type="dxa"/>
              <w:right w:w="28" w:type="dxa"/>
            </w:tcMar>
          </w:tcPr>
          <w:p w:rsidR="006B6965" w:rsidRDefault="003A166B" w14:paraId="2A780C65" w14:textId="77777777">
            <w:pPr>
              <w:pStyle w:val="p-table"/>
              <w:jc w:val="right"/>
              <w:rPr>
                <w:sz w:val="17"/>
              </w:rPr>
            </w:pPr>
            <w:r>
              <w:rPr>
                <w:sz w:val="17"/>
              </w:rPr>
              <w:t>23.752</w:t>
            </w:r>
          </w:p>
        </w:tc>
        <w:tc>
          <w:tcPr>
            <w:tcW w:w="1377" w:type="dxa"/>
            <w:tcBorders>
              <w:bottom w:val="single" w:color="009EE0" w:sz="2" w:space="0"/>
            </w:tcBorders>
            <w:tcMar>
              <w:top w:w="22" w:type="dxa"/>
              <w:left w:w="28" w:type="dxa"/>
              <w:bottom w:w="22" w:type="dxa"/>
              <w:right w:w="28" w:type="dxa"/>
            </w:tcMar>
          </w:tcPr>
          <w:p w:rsidR="006B6965" w:rsidRDefault="003A166B" w14:paraId="5A803CA8" w14:textId="77777777">
            <w:pPr>
              <w:pStyle w:val="p-table"/>
              <w:jc w:val="right"/>
              <w:rPr>
                <w:sz w:val="17"/>
              </w:rPr>
            </w:pPr>
            <w:r>
              <w:rPr>
                <w:sz w:val="17"/>
              </w:rPr>
              <w:t>‒</w:t>
            </w:r>
            <w:r>
              <w:rPr>
                <w:sz w:val="17"/>
              </w:rPr>
              <w:t xml:space="preserve"> 4.686</w:t>
            </w:r>
          </w:p>
        </w:tc>
        <w:tc>
          <w:tcPr>
            <w:tcW w:w="1377" w:type="dxa"/>
            <w:tcBorders>
              <w:bottom w:val="single" w:color="009EE0" w:sz="2" w:space="0"/>
            </w:tcBorders>
            <w:tcMar>
              <w:top w:w="22" w:type="dxa"/>
              <w:left w:w="28" w:type="dxa"/>
              <w:bottom w:w="22" w:type="dxa"/>
              <w:right w:w="28" w:type="dxa"/>
            </w:tcMar>
          </w:tcPr>
          <w:p w:rsidR="006B6965" w:rsidRDefault="003A166B" w14:paraId="04A3DB31" w14:textId="77777777">
            <w:pPr>
              <w:pStyle w:val="p-table"/>
              <w:jc w:val="right"/>
              <w:rPr>
                <w:sz w:val="17"/>
              </w:rPr>
            </w:pPr>
            <w:r>
              <w:rPr>
                <w:sz w:val="17"/>
              </w:rPr>
              <w:t>19.066</w:t>
            </w:r>
          </w:p>
        </w:tc>
      </w:tr>
      <w:tr w:rsidR="006B6965" w14:paraId="7F0B955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D0CAAD3" w14:textId="77777777">
            <w:pPr>
              <w:pStyle w:val="p-table"/>
              <w:rPr>
                <w:sz w:val="17"/>
              </w:rPr>
            </w:pPr>
            <w:r>
              <w:rPr>
                <w:b/>
                <w:sz w:val="17"/>
              </w:rPr>
              <w:t>24.2</w:t>
            </w:r>
          </w:p>
        </w:tc>
        <w:tc>
          <w:tcPr>
            <w:tcW w:w="4590" w:type="dxa"/>
            <w:tcBorders>
              <w:bottom w:val="single" w:color="009EE0" w:sz="2" w:space="0"/>
            </w:tcBorders>
            <w:tcMar>
              <w:top w:w="22" w:type="dxa"/>
              <w:left w:w="28" w:type="dxa"/>
              <w:bottom w:w="22" w:type="dxa"/>
              <w:right w:w="28" w:type="dxa"/>
            </w:tcMar>
          </w:tcPr>
          <w:p w:rsidR="006B6965" w:rsidRDefault="003A166B" w14:paraId="1A025877" w14:textId="77777777">
            <w:pPr>
              <w:pStyle w:val="p-table"/>
              <w:rPr>
                <w:sz w:val="17"/>
              </w:rPr>
            </w:pPr>
            <w:r>
              <w:rPr>
                <w:b/>
                <w:sz w:val="17"/>
              </w:rPr>
              <w:t>Materiële uitgaven</w:t>
            </w:r>
          </w:p>
        </w:tc>
        <w:tc>
          <w:tcPr>
            <w:tcW w:w="1377" w:type="dxa"/>
            <w:tcBorders>
              <w:bottom w:val="single" w:color="009EE0" w:sz="2" w:space="0"/>
            </w:tcBorders>
            <w:tcMar>
              <w:top w:w="22" w:type="dxa"/>
              <w:left w:w="28" w:type="dxa"/>
              <w:bottom w:w="22" w:type="dxa"/>
              <w:right w:w="28" w:type="dxa"/>
            </w:tcMar>
          </w:tcPr>
          <w:p w:rsidR="006B6965" w:rsidRDefault="003A166B" w14:paraId="670891CA" w14:textId="77777777">
            <w:pPr>
              <w:pStyle w:val="p-table"/>
              <w:jc w:val="right"/>
              <w:rPr>
                <w:sz w:val="17"/>
              </w:rPr>
            </w:pPr>
            <w:r>
              <w:rPr>
                <w:b/>
                <w:sz w:val="17"/>
              </w:rPr>
              <w:t>25.836</w:t>
            </w:r>
          </w:p>
        </w:tc>
        <w:tc>
          <w:tcPr>
            <w:tcW w:w="1377" w:type="dxa"/>
            <w:tcBorders>
              <w:bottom w:val="single" w:color="009EE0" w:sz="2" w:space="0"/>
            </w:tcBorders>
            <w:tcMar>
              <w:top w:w="22" w:type="dxa"/>
              <w:left w:w="28" w:type="dxa"/>
              <w:bottom w:w="22" w:type="dxa"/>
              <w:right w:w="28" w:type="dxa"/>
            </w:tcMar>
          </w:tcPr>
          <w:p w:rsidR="006B6965" w:rsidRDefault="003A166B" w14:paraId="4ECDD3F0" w14:textId="77777777">
            <w:pPr>
              <w:pStyle w:val="p-table"/>
              <w:jc w:val="right"/>
              <w:rPr>
                <w:sz w:val="17"/>
              </w:rPr>
            </w:pPr>
            <w:r>
              <w:rPr>
                <w:b/>
                <w:sz w:val="17"/>
              </w:rPr>
              <w:t>5.917</w:t>
            </w:r>
          </w:p>
        </w:tc>
        <w:tc>
          <w:tcPr>
            <w:tcW w:w="1377" w:type="dxa"/>
            <w:tcBorders>
              <w:bottom w:val="single" w:color="009EE0" w:sz="2" w:space="0"/>
            </w:tcBorders>
            <w:tcMar>
              <w:top w:w="22" w:type="dxa"/>
              <w:left w:w="28" w:type="dxa"/>
              <w:bottom w:w="22" w:type="dxa"/>
              <w:right w:w="28" w:type="dxa"/>
            </w:tcMar>
          </w:tcPr>
          <w:p w:rsidR="006B6965" w:rsidRDefault="003A166B" w14:paraId="49488B0F" w14:textId="77777777">
            <w:pPr>
              <w:pStyle w:val="p-table"/>
              <w:jc w:val="right"/>
              <w:rPr>
                <w:sz w:val="17"/>
              </w:rPr>
            </w:pPr>
            <w:r>
              <w:rPr>
                <w:b/>
                <w:sz w:val="17"/>
              </w:rPr>
              <w:t>31.753</w:t>
            </w:r>
          </w:p>
        </w:tc>
      </w:tr>
      <w:tr w:rsidR="006B6965" w14:paraId="5FE6E90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A6E059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9D99F50" w14:textId="77777777">
            <w:pPr>
              <w:pStyle w:val="p-table"/>
              <w:rPr>
                <w:sz w:val="17"/>
              </w:rPr>
            </w:pPr>
            <w:r>
              <w:rPr>
                <w:i/>
                <w:sz w:val="17"/>
              </w:rPr>
              <w:t xml:space="preserve">Materiële </w:t>
            </w:r>
            <w:r>
              <w:rPr>
                <w:i/>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5CC1AD15" w14:textId="77777777">
            <w:pPr>
              <w:pStyle w:val="p-table"/>
              <w:jc w:val="right"/>
              <w:rPr>
                <w:sz w:val="17"/>
              </w:rPr>
            </w:pPr>
            <w:r>
              <w:rPr>
                <w:i/>
                <w:sz w:val="17"/>
              </w:rPr>
              <w:t>25.836</w:t>
            </w:r>
          </w:p>
        </w:tc>
        <w:tc>
          <w:tcPr>
            <w:tcW w:w="1377" w:type="dxa"/>
            <w:tcBorders>
              <w:bottom w:val="single" w:color="009EE0" w:sz="2" w:space="0"/>
            </w:tcBorders>
            <w:tcMar>
              <w:top w:w="22" w:type="dxa"/>
              <w:left w:w="28" w:type="dxa"/>
              <w:bottom w:w="22" w:type="dxa"/>
              <w:right w:w="28" w:type="dxa"/>
            </w:tcMar>
          </w:tcPr>
          <w:p w:rsidR="006B6965" w:rsidRDefault="003A166B" w14:paraId="0D19E37C" w14:textId="77777777">
            <w:pPr>
              <w:pStyle w:val="p-table"/>
              <w:jc w:val="right"/>
              <w:rPr>
                <w:sz w:val="17"/>
              </w:rPr>
            </w:pPr>
            <w:r>
              <w:rPr>
                <w:i/>
                <w:sz w:val="17"/>
              </w:rPr>
              <w:t>5.917</w:t>
            </w:r>
          </w:p>
        </w:tc>
        <w:tc>
          <w:tcPr>
            <w:tcW w:w="1377" w:type="dxa"/>
            <w:tcBorders>
              <w:bottom w:val="single" w:color="009EE0" w:sz="2" w:space="0"/>
            </w:tcBorders>
            <w:tcMar>
              <w:top w:w="22" w:type="dxa"/>
              <w:left w:w="28" w:type="dxa"/>
              <w:bottom w:w="22" w:type="dxa"/>
              <w:right w:w="28" w:type="dxa"/>
            </w:tcMar>
          </w:tcPr>
          <w:p w:rsidR="006B6965" w:rsidRDefault="003A166B" w14:paraId="3538D241" w14:textId="77777777">
            <w:pPr>
              <w:pStyle w:val="p-table"/>
              <w:jc w:val="right"/>
              <w:rPr>
                <w:sz w:val="17"/>
              </w:rPr>
            </w:pPr>
            <w:r>
              <w:rPr>
                <w:i/>
                <w:sz w:val="17"/>
              </w:rPr>
              <w:t>31.753</w:t>
            </w:r>
          </w:p>
        </w:tc>
      </w:tr>
      <w:tr w:rsidR="006B6965" w14:paraId="41011C2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88643C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1E1FBE9" w14:textId="77777777">
            <w:pPr>
              <w:pStyle w:val="p-table"/>
              <w:rPr>
                <w:sz w:val="17"/>
              </w:rPr>
            </w:pPr>
            <w:r>
              <w:rPr>
                <w:sz w:val="17"/>
              </w:rPr>
              <w:t>ICT</w:t>
            </w:r>
          </w:p>
        </w:tc>
        <w:tc>
          <w:tcPr>
            <w:tcW w:w="1377" w:type="dxa"/>
            <w:tcBorders>
              <w:bottom w:val="single" w:color="009EE0" w:sz="2" w:space="0"/>
            </w:tcBorders>
            <w:tcMar>
              <w:top w:w="22" w:type="dxa"/>
              <w:left w:w="28" w:type="dxa"/>
              <w:bottom w:w="22" w:type="dxa"/>
              <w:right w:w="28" w:type="dxa"/>
            </w:tcMar>
          </w:tcPr>
          <w:p w:rsidR="006B6965" w:rsidRDefault="003A166B" w14:paraId="2589E759" w14:textId="77777777">
            <w:pPr>
              <w:pStyle w:val="p-table"/>
              <w:jc w:val="right"/>
              <w:rPr>
                <w:sz w:val="17"/>
              </w:rPr>
            </w:pPr>
            <w:r>
              <w:rPr>
                <w:sz w:val="17"/>
              </w:rPr>
              <w:t>1.246</w:t>
            </w:r>
          </w:p>
        </w:tc>
        <w:tc>
          <w:tcPr>
            <w:tcW w:w="1377" w:type="dxa"/>
            <w:tcBorders>
              <w:bottom w:val="single" w:color="009EE0" w:sz="2" w:space="0"/>
            </w:tcBorders>
            <w:tcMar>
              <w:top w:w="22" w:type="dxa"/>
              <w:left w:w="28" w:type="dxa"/>
              <w:bottom w:w="22" w:type="dxa"/>
              <w:right w:w="28" w:type="dxa"/>
            </w:tcMar>
          </w:tcPr>
          <w:p w:rsidR="006B6965" w:rsidRDefault="003A166B" w14:paraId="367D02AC" w14:textId="77777777">
            <w:pPr>
              <w:pStyle w:val="p-table"/>
              <w:jc w:val="right"/>
              <w:rPr>
                <w:sz w:val="17"/>
              </w:rPr>
            </w:pPr>
            <w:r>
              <w:rPr>
                <w:sz w:val="17"/>
              </w:rPr>
              <w:t>2.796</w:t>
            </w:r>
          </w:p>
        </w:tc>
        <w:tc>
          <w:tcPr>
            <w:tcW w:w="1377" w:type="dxa"/>
            <w:tcBorders>
              <w:bottom w:val="single" w:color="009EE0" w:sz="2" w:space="0"/>
            </w:tcBorders>
            <w:tcMar>
              <w:top w:w="22" w:type="dxa"/>
              <w:left w:w="28" w:type="dxa"/>
              <w:bottom w:w="22" w:type="dxa"/>
              <w:right w:w="28" w:type="dxa"/>
            </w:tcMar>
          </w:tcPr>
          <w:p w:rsidR="006B6965" w:rsidRDefault="003A166B" w14:paraId="74DC42F1" w14:textId="77777777">
            <w:pPr>
              <w:pStyle w:val="p-table"/>
              <w:jc w:val="right"/>
              <w:rPr>
                <w:sz w:val="17"/>
              </w:rPr>
            </w:pPr>
            <w:r>
              <w:rPr>
                <w:sz w:val="17"/>
              </w:rPr>
              <w:t>4.042</w:t>
            </w:r>
          </w:p>
        </w:tc>
      </w:tr>
      <w:tr w:rsidR="006B6965" w14:paraId="7A14F90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2A2B14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678D7B4" w14:textId="77777777">
            <w:pPr>
              <w:pStyle w:val="p-table"/>
              <w:rPr>
                <w:sz w:val="17"/>
              </w:rPr>
            </w:pPr>
            <w:r>
              <w:rPr>
                <w:sz w:val="17"/>
              </w:rPr>
              <w:t xml:space="preserve">Bijdragen aan </w:t>
            </w:r>
            <w:proofErr w:type="spellStart"/>
            <w:r>
              <w:rPr>
                <w:sz w:val="17"/>
              </w:rPr>
              <w:t>SSOs</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34F7CA1D" w14:textId="77777777">
            <w:pPr>
              <w:pStyle w:val="p-table"/>
              <w:jc w:val="right"/>
              <w:rPr>
                <w:sz w:val="17"/>
              </w:rPr>
            </w:pPr>
            <w:r>
              <w:rPr>
                <w:sz w:val="17"/>
              </w:rPr>
              <w:t>9.847</w:t>
            </w:r>
          </w:p>
        </w:tc>
        <w:tc>
          <w:tcPr>
            <w:tcW w:w="1377" w:type="dxa"/>
            <w:tcBorders>
              <w:bottom w:val="single" w:color="009EE0" w:sz="2" w:space="0"/>
            </w:tcBorders>
            <w:tcMar>
              <w:top w:w="22" w:type="dxa"/>
              <w:left w:w="28" w:type="dxa"/>
              <w:bottom w:w="22" w:type="dxa"/>
              <w:right w:w="28" w:type="dxa"/>
            </w:tcMar>
          </w:tcPr>
          <w:p w:rsidR="006B6965" w:rsidRDefault="003A166B" w14:paraId="21119D71" w14:textId="77777777">
            <w:pPr>
              <w:pStyle w:val="p-table"/>
              <w:jc w:val="right"/>
              <w:rPr>
                <w:sz w:val="17"/>
              </w:rPr>
            </w:pPr>
            <w:r>
              <w:rPr>
                <w:sz w:val="17"/>
              </w:rPr>
              <w:t>2.808</w:t>
            </w:r>
          </w:p>
        </w:tc>
        <w:tc>
          <w:tcPr>
            <w:tcW w:w="1377" w:type="dxa"/>
            <w:tcBorders>
              <w:bottom w:val="single" w:color="009EE0" w:sz="2" w:space="0"/>
            </w:tcBorders>
            <w:tcMar>
              <w:top w:w="22" w:type="dxa"/>
              <w:left w:w="28" w:type="dxa"/>
              <w:bottom w:w="22" w:type="dxa"/>
              <w:right w:w="28" w:type="dxa"/>
            </w:tcMar>
          </w:tcPr>
          <w:p w:rsidR="006B6965" w:rsidRDefault="003A166B" w14:paraId="3BD1C8E6" w14:textId="77777777">
            <w:pPr>
              <w:pStyle w:val="p-table"/>
              <w:jc w:val="right"/>
              <w:rPr>
                <w:sz w:val="17"/>
              </w:rPr>
            </w:pPr>
            <w:r>
              <w:rPr>
                <w:sz w:val="17"/>
              </w:rPr>
              <w:t>12.655</w:t>
            </w:r>
          </w:p>
        </w:tc>
      </w:tr>
      <w:tr w:rsidR="006B6965" w14:paraId="4F3389B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1A20A0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066DCCD" w14:textId="77777777">
            <w:pPr>
              <w:pStyle w:val="p-table"/>
              <w:rPr>
                <w:sz w:val="17"/>
              </w:rPr>
            </w:pPr>
            <w:r>
              <w:rPr>
                <w:sz w:val="17"/>
              </w:rPr>
              <w:t>overige materiele uitgaven</w:t>
            </w:r>
          </w:p>
        </w:tc>
        <w:tc>
          <w:tcPr>
            <w:tcW w:w="1377" w:type="dxa"/>
            <w:tcBorders>
              <w:bottom w:val="single" w:color="009EE0" w:sz="2" w:space="0"/>
            </w:tcBorders>
            <w:tcMar>
              <w:top w:w="22" w:type="dxa"/>
              <w:left w:w="28" w:type="dxa"/>
              <w:bottom w:w="22" w:type="dxa"/>
              <w:right w:w="28" w:type="dxa"/>
            </w:tcMar>
          </w:tcPr>
          <w:p w:rsidR="006B6965" w:rsidRDefault="003A166B" w14:paraId="5531516E" w14:textId="77777777">
            <w:pPr>
              <w:pStyle w:val="p-table"/>
              <w:jc w:val="right"/>
              <w:rPr>
                <w:sz w:val="17"/>
              </w:rPr>
            </w:pPr>
            <w:r>
              <w:rPr>
                <w:sz w:val="17"/>
              </w:rPr>
              <w:t>14.743</w:t>
            </w:r>
          </w:p>
        </w:tc>
        <w:tc>
          <w:tcPr>
            <w:tcW w:w="1377" w:type="dxa"/>
            <w:tcBorders>
              <w:bottom w:val="single" w:color="009EE0" w:sz="2" w:space="0"/>
            </w:tcBorders>
            <w:tcMar>
              <w:top w:w="22" w:type="dxa"/>
              <w:left w:w="28" w:type="dxa"/>
              <w:bottom w:w="22" w:type="dxa"/>
              <w:right w:w="28" w:type="dxa"/>
            </w:tcMar>
          </w:tcPr>
          <w:p w:rsidR="006B6965" w:rsidRDefault="003A166B" w14:paraId="600DC233" w14:textId="77777777">
            <w:pPr>
              <w:pStyle w:val="p-table"/>
              <w:jc w:val="right"/>
              <w:rPr>
                <w:sz w:val="17"/>
              </w:rPr>
            </w:pPr>
            <w:r>
              <w:rPr>
                <w:sz w:val="17"/>
              </w:rPr>
              <w:t>313</w:t>
            </w:r>
          </w:p>
        </w:tc>
        <w:tc>
          <w:tcPr>
            <w:tcW w:w="1377" w:type="dxa"/>
            <w:tcBorders>
              <w:bottom w:val="single" w:color="009EE0" w:sz="2" w:space="0"/>
            </w:tcBorders>
            <w:tcMar>
              <w:top w:w="22" w:type="dxa"/>
              <w:left w:w="28" w:type="dxa"/>
              <w:bottom w:w="22" w:type="dxa"/>
              <w:right w:w="28" w:type="dxa"/>
            </w:tcMar>
          </w:tcPr>
          <w:p w:rsidR="006B6965" w:rsidRDefault="003A166B" w14:paraId="0AE0052F" w14:textId="77777777">
            <w:pPr>
              <w:pStyle w:val="p-table"/>
              <w:jc w:val="right"/>
              <w:rPr>
                <w:sz w:val="17"/>
              </w:rPr>
            </w:pPr>
            <w:r>
              <w:rPr>
                <w:sz w:val="17"/>
              </w:rPr>
              <w:t>15.056</w:t>
            </w:r>
          </w:p>
        </w:tc>
      </w:tr>
      <w:tr w:rsidR="006B6965" w14:paraId="3C6D10F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736AFF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80A181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64BC18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34C9D0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D3103D6" w14:textId="77777777">
            <w:pPr>
              <w:pStyle w:val="p-table"/>
              <w:rPr>
                <w:sz w:val="17"/>
              </w:rPr>
            </w:pPr>
          </w:p>
        </w:tc>
      </w:tr>
      <w:tr w:rsidR="006B6965" w14:paraId="078A767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F30C6F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D4DFFDE"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445DD771" w14:textId="77777777">
            <w:pPr>
              <w:pStyle w:val="p-table"/>
              <w:jc w:val="right"/>
              <w:rPr>
                <w:sz w:val="17"/>
              </w:rPr>
            </w:pPr>
            <w:r>
              <w:rPr>
                <w:b/>
                <w:sz w:val="17"/>
              </w:rPr>
              <w:t>15.116</w:t>
            </w:r>
          </w:p>
        </w:tc>
        <w:tc>
          <w:tcPr>
            <w:tcW w:w="1377" w:type="dxa"/>
            <w:tcBorders>
              <w:bottom w:val="single" w:color="009EE0" w:sz="2" w:space="0"/>
            </w:tcBorders>
            <w:tcMar>
              <w:top w:w="22" w:type="dxa"/>
              <w:left w:w="28" w:type="dxa"/>
              <w:bottom w:w="22" w:type="dxa"/>
              <w:right w:w="28" w:type="dxa"/>
            </w:tcMar>
          </w:tcPr>
          <w:p w:rsidR="006B6965" w:rsidRDefault="003A166B" w14:paraId="5F1EE430" w14:textId="77777777">
            <w:pPr>
              <w:pStyle w:val="p-table"/>
              <w:jc w:val="right"/>
              <w:rPr>
                <w:sz w:val="17"/>
              </w:rPr>
            </w:pPr>
            <w:r>
              <w:rPr>
                <w:b/>
                <w:sz w:val="17"/>
              </w:rPr>
              <w:t>748</w:t>
            </w:r>
          </w:p>
        </w:tc>
        <w:tc>
          <w:tcPr>
            <w:tcW w:w="1377" w:type="dxa"/>
            <w:tcBorders>
              <w:bottom w:val="single" w:color="009EE0" w:sz="2" w:space="0"/>
            </w:tcBorders>
            <w:tcMar>
              <w:top w:w="22" w:type="dxa"/>
              <w:left w:w="28" w:type="dxa"/>
              <w:bottom w:w="22" w:type="dxa"/>
              <w:right w:w="28" w:type="dxa"/>
            </w:tcMar>
          </w:tcPr>
          <w:p w:rsidR="006B6965" w:rsidRDefault="003A166B" w14:paraId="3F24F2FC" w14:textId="77777777">
            <w:pPr>
              <w:pStyle w:val="p-table"/>
              <w:jc w:val="right"/>
              <w:rPr>
                <w:sz w:val="17"/>
              </w:rPr>
            </w:pPr>
            <w:r>
              <w:rPr>
                <w:b/>
                <w:sz w:val="17"/>
              </w:rPr>
              <w:t>15.864</w:t>
            </w:r>
          </w:p>
        </w:tc>
      </w:tr>
      <w:tr w:rsidR="006B6965" w14:paraId="08780E0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5EF0FD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1F40755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6E16AB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0C78A2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20AEECD" w14:textId="77777777">
            <w:pPr>
              <w:pStyle w:val="p-table"/>
              <w:rPr>
                <w:sz w:val="17"/>
              </w:rPr>
            </w:pPr>
          </w:p>
        </w:tc>
      </w:tr>
    </w:tbl>
    <w:p w:rsidR="006B6965" w:rsidRDefault="006B6965" w14:paraId="00BE2CE9" w14:textId="77777777">
      <w:pPr>
        <w:pStyle w:val="p-marginbottom"/>
      </w:pPr>
    </w:p>
    <w:p w:rsidR="006B6965" w:rsidRDefault="003A166B" w14:paraId="1ACD9361" w14:textId="77777777">
      <w:pPr>
        <w:pStyle w:val="section-title-4"/>
      </w:pPr>
      <w:r>
        <w:t>Toelichting</w:t>
      </w:r>
    </w:p>
    <w:p w:rsidR="006B6965" w:rsidRDefault="003A166B" w14:paraId="5B9BB493" w14:textId="77777777">
      <w:pPr>
        <w:pStyle w:val="header-h1"/>
      </w:pPr>
      <w:r>
        <w:t>Verplichtingen</w:t>
      </w:r>
    </w:p>
    <w:p w:rsidR="006B6965" w:rsidRDefault="003A166B" w14:paraId="7F6B438D" w14:textId="77777777">
      <w:pPr>
        <w:pStyle w:val="p"/>
      </w:pPr>
      <w:r>
        <w:t xml:space="preserve">Het </w:t>
      </w:r>
      <w:r>
        <w:t>verplichtingenbudget op artikel 24 is in 2025 met € 6,9 miljoen verhoogd. Dit wordt verklaard door de hieronder toegelichte uitgavenmutaties.</w:t>
      </w:r>
    </w:p>
    <w:p w:rsidR="006B6965" w:rsidRDefault="003A166B" w14:paraId="510B8024" w14:textId="77777777">
      <w:pPr>
        <w:pStyle w:val="header-h1"/>
      </w:pPr>
      <w:r>
        <w:t>Uitgaven</w:t>
      </w:r>
    </w:p>
    <w:p w:rsidR="006B6965" w:rsidRDefault="003A166B" w14:paraId="413FD219" w14:textId="77777777">
      <w:pPr>
        <w:pStyle w:val="header-h1"/>
      </w:pPr>
      <w:r>
        <w:t>Artikel 24.01 Personele uitgaven</w:t>
      </w:r>
    </w:p>
    <w:p w:rsidR="006B6965" w:rsidRDefault="003A166B" w14:paraId="486BEDEF" w14:textId="77777777">
      <w:pPr>
        <w:pStyle w:val="header-h2"/>
      </w:pPr>
      <w:r>
        <w:t>Personele uitgaven</w:t>
      </w:r>
    </w:p>
    <w:p w:rsidR="006B6965" w:rsidRDefault="003A166B" w14:paraId="6F93D665" w14:textId="77777777">
      <w:pPr>
        <w:pStyle w:val="p"/>
      </w:pPr>
      <w:r>
        <w:t>Het budget voor personele uitgaven is in 2025 met € 1,0 miljoen verhoogd. Dit komt met name door de volgende mutaties:</w:t>
      </w:r>
    </w:p>
    <w:p w:rsidR="006B6965" w:rsidRDefault="003A166B" w14:paraId="1594C21A" w14:textId="77777777">
      <w:r>
        <w:rPr>
          <w:rStyle w:val="span-u"/>
        </w:rPr>
        <w:t>Eigen personeel:</w:t>
      </w:r>
      <w:r>
        <w:t xml:space="preserve"> Het uitgavenbudget op eigen personeel is met € 5,7 miljoen verhoogd. Dit wordt met name verklaard door:</w:t>
      </w:r>
    </w:p>
    <w:p w:rsidR="006B6965" w:rsidRDefault="003A166B" w14:paraId="06E71805" w14:textId="77777777">
      <w:pPr>
        <w:pStyle w:val="ol-p-l1"/>
        <w:numPr>
          <w:ilvl w:val="0"/>
          <w:numId w:val="28"/>
        </w:numPr>
      </w:pPr>
      <w:r>
        <w:rPr>
          <w:rStyle w:val="ol-text"/>
        </w:rPr>
        <w:t>De ILT had in 2024 het budget met 3,0 miljoen overschreden, hiervoor was er 3,0 miljoen budget ingehouden in 2025. Er is besloten dat de uitgaven rond de transitie KIWA-taken luchtvaart, bruine vloot en DICTU die in 2024 zorgden voor de overschrijding niet ten koste gaan van het ILT-budget in 2025. De helft van hiervan (€ 1,5 miljoen) wordt ingezet voor personele uitgaven.</w:t>
      </w:r>
    </w:p>
    <w:p w:rsidR="006B6965" w:rsidRDefault="003A166B" w14:paraId="6A91309C" w14:textId="77777777">
      <w:pPr>
        <w:pStyle w:val="ol-p-l1"/>
        <w:numPr>
          <w:ilvl w:val="0"/>
          <w:numId w:val="5"/>
        </w:numPr>
      </w:pPr>
      <w:r>
        <w:rPr>
          <w:rStyle w:val="ol-text"/>
        </w:rPr>
        <w:t>Een bijdrage van € 1,1 miljoen van artikel 21 (DGMI) in het kader van de herziene Europese Verordening Overbrenging Afvalstoffen (EVOA). De herziene verordening leidt tot veel wijzigingen die gefaseerd doorgevoerd moeten worden. De voorbereidingen voor de eerste wijzigingen zijn reeds gestart.</w:t>
      </w:r>
    </w:p>
    <w:p w:rsidR="006B6965" w:rsidRDefault="003A166B" w14:paraId="5F02C4BC" w14:textId="77777777">
      <w:pPr>
        <w:pStyle w:val="ol-p-l1"/>
        <w:numPr>
          <w:ilvl w:val="0"/>
          <w:numId w:val="5"/>
        </w:numPr>
      </w:pPr>
      <w:r>
        <w:rPr>
          <w:rStyle w:val="ol-text"/>
        </w:rPr>
        <w:t>Het budget voor externe inhuur is met € 5,0 miljoen verlaagd deels ten behoeve van het budget voor eigen personeel. Door de beheersmaatregelen op externe inhuur is het mogelijk om de uitgaven op eigen personeel en materieel te dekken. Het personeelsbudget wordt daarom met € 1,5 miljoen opgehoogd. Dit past binnen de ambitie van minder externe inhuur.</w:t>
      </w:r>
    </w:p>
    <w:p w:rsidR="006B6965" w:rsidRDefault="006B6965" w14:paraId="08424800" w14:textId="77777777"/>
    <w:p w:rsidR="006B6965" w:rsidRDefault="003A166B" w14:paraId="71D0EA75" w14:textId="77777777">
      <w:r>
        <w:rPr>
          <w:rStyle w:val="span-u"/>
        </w:rPr>
        <w:t>Externe inhuur:</w:t>
      </w:r>
      <w:r>
        <w:t xml:space="preserve"> Het uitgaven budget op externe inhuur is met € 4,7 miljoen verlaagd. Dit komt met name door de volgende mutaties:</w:t>
      </w:r>
    </w:p>
    <w:p w:rsidR="006B6965" w:rsidRDefault="003A166B" w14:paraId="76BF8F20" w14:textId="77777777">
      <w:pPr>
        <w:pStyle w:val="ol-p-l1"/>
        <w:numPr>
          <w:ilvl w:val="0"/>
          <w:numId w:val="29"/>
        </w:numPr>
      </w:pPr>
      <w:r>
        <w:rPr>
          <w:rStyle w:val="ol-text"/>
        </w:rPr>
        <w:t xml:space="preserve">Het budget voor externe inhuur is met € 5,0 miljoen verlaagd ten behoeve van het budget voor eigen personeel (€ 1,5 miljoen), voor bijdragen aan </w:t>
      </w:r>
      <w:proofErr w:type="spellStart"/>
      <w:r>
        <w:rPr>
          <w:rStyle w:val="ol-text"/>
        </w:rPr>
        <w:t>SSOs</w:t>
      </w:r>
      <w:proofErr w:type="spellEnd"/>
      <w:r>
        <w:rPr>
          <w:rStyle w:val="ol-text"/>
        </w:rPr>
        <w:t xml:space="preserve"> (€ 3,0 miljoen) en overige materiële uitgaven (€ 0,5 </w:t>
      </w:r>
      <w:proofErr w:type="spellStart"/>
      <w:r>
        <w:rPr>
          <w:rStyle w:val="ol-text"/>
        </w:rPr>
        <w:t>miloen</w:t>
      </w:r>
      <w:proofErr w:type="spellEnd"/>
      <w:r>
        <w:rPr>
          <w:rStyle w:val="ol-text"/>
        </w:rPr>
        <w:t>). Door de beheersmaatregelen op externe inhuur is het mogelijk om de uitgaven op eigen personeel en materieel te dekken. Dit past binnen de ambitie van minder externe inhuur.</w:t>
      </w:r>
    </w:p>
    <w:p w:rsidR="006B6965" w:rsidRDefault="003A166B" w14:paraId="2DE2ABF2" w14:textId="77777777">
      <w:pPr>
        <w:pStyle w:val="ol-p-l1"/>
        <w:numPr>
          <w:ilvl w:val="0"/>
          <w:numId w:val="5"/>
        </w:numPr>
      </w:pPr>
      <w:r>
        <w:rPr>
          <w:rStyle w:val="ol-text"/>
        </w:rPr>
        <w:t>De ILT had in 2024 het budget met 3,0 miljoen overschreden, hiervoor was er 3 miljoen budget ingehouden in 2025. Er is besloten dat de uitgaven rond de transitie KIWA-taken luchtvaart, bruine vloot en DICTU die in 2024 zorgden voor de overschrijding niet ten koste gaan van het ILT-budget in 2025. De helft wordt ingezet voor externe inhuur.</w:t>
      </w:r>
    </w:p>
    <w:p w:rsidR="006B6965" w:rsidRDefault="006B6965" w14:paraId="6BEB3D5A" w14:textId="77777777"/>
    <w:p w:rsidR="006B6965" w:rsidRDefault="003A166B" w14:paraId="3A9D88C0" w14:textId="77777777">
      <w:pPr>
        <w:pStyle w:val="header-h1"/>
      </w:pPr>
      <w:r>
        <w:t>Artikel 24.02 Materiële uitgaven</w:t>
      </w:r>
    </w:p>
    <w:p w:rsidR="006B6965" w:rsidRDefault="003A166B" w14:paraId="48940CAF" w14:textId="77777777">
      <w:pPr>
        <w:pStyle w:val="header-h2"/>
      </w:pPr>
      <w:r>
        <w:t>Materiële uitgaven</w:t>
      </w:r>
    </w:p>
    <w:p w:rsidR="006B6965" w:rsidRDefault="003A166B" w14:paraId="72B774BB" w14:textId="77777777">
      <w:pPr>
        <w:pStyle w:val="p"/>
      </w:pPr>
      <w:r>
        <w:t>Het budget voor Materiële uitgaven is in 2025 met € 5,9 miljoen verhoogd. Dit komt met name door de volgende mutaties:</w:t>
      </w:r>
    </w:p>
    <w:p w:rsidR="006B6965" w:rsidRDefault="003A166B" w14:paraId="03061E00" w14:textId="77777777">
      <w:pPr>
        <w:pStyle w:val="p"/>
      </w:pPr>
      <w:r>
        <w:rPr>
          <w:rStyle w:val="span-u"/>
        </w:rPr>
        <w:t>ICT</w:t>
      </w:r>
      <w:r>
        <w:t xml:space="preserve">: Het uitgavenbudget op ICT is met € 2,8 miljoen verhoogd. Dit wordt met name veroorzaakt doordat de investering in de vernieuwde </w:t>
      </w:r>
      <w:proofErr w:type="spellStart"/>
      <w:r>
        <w:t>hoogbeveiligde</w:t>
      </w:r>
      <w:proofErr w:type="spellEnd"/>
      <w:r>
        <w:t xml:space="preserve"> ICT-omgeving voor IOD-ILT in 2025 valt in plaats van 2026. Hierom is er € 1,0 miljoen naar voren gehaald. Daarmee kan de laatste fase van het traject in 2025 afgerond worden.</w:t>
      </w:r>
    </w:p>
    <w:p w:rsidR="006B6965" w:rsidRDefault="003A166B" w14:paraId="1CB9A76A" w14:textId="77777777">
      <w:pPr>
        <w:pStyle w:val="p"/>
      </w:pPr>
      <w:r>
        <w:rPr>
          <w:rStyle w:val="span-u"/>
        </w:rPr>
        <w:t xml:space="preserve">Bijdragen aan </w:t>
      </w:r>
      <w:proofErr w:type="spellStart"/>
      <w:r>
        <w:rPr>
          <w:rStyle w:val="span-u"/>
        </w:rPr>
        <w:t>SSOs</w:t>
      </w:r>
      <w:proofErr w:type="spellEnd"/>
      <w:r>
        <w:rPr>
          <w:rStyle w:val="span-u"/>
        </w:rPr>
        <w:t>:</w:t>
      </w:r>
      <w:r>
        <w:t xml:space="preserve"> De bijdrage aan </w:t>
      </w:r>
      <w:proofErr w:type="spellStart"/>
      <w:r>
        <w:t>SSO's</w:t>
      </w:r>
      <w:proofErr w:type="spellEnd"/>
      <w:r>
        <w:t xml:space="preserve"> zijn met € 2,8 miljoen verhoogd. Dit komt voornamelijk omdat er, zoals hierboven bij Personele uitgaven beschreven wordt, materiële uitgaven gedekt worden met de herverdeelde middelen naar aanleiding van de beheersmaatregelen op externe inhuur.</w:t>
      </w:r>
    </w:p>
    <w:p w:rsidR="006B6965" w:rsidRDefault="003A166B" w14:paraId="195856F1" w14:textId="77777777">
      <w:pPr>
        <w:pStyle w:val="header-h1"/>
      </w:pPr>
      <w:r>
        <w:t>Ontvangsten</w:t>
      </w:r>
    </w:p>
    <w:p w:rsidR="006B6965" w:rsidRDefault="003A166B" w14:paraId="6D0C2654" w14:textId="77777777">
      <w:pPr>
        <w:pStyle w:val="p"/>
      </w:pPr>
      <w:r>
        <w:t>De ontvangstenmutaties zijn lager dan de voorgeschreven norm en worden daarom niet toegelicht (zie normering in de ).</w:t>
      </w:r>
    </w:p>
    <w:p w:rsidR="006B6965" w:rsidRDefault="003A166B" w14:paraId="06274900" w14:textId="77777777">
      <w:pPr>
        <w:pStyle w:val="section-title-3"/>
      </w:pPr>
      <w:r>
        <w:t>3.13 Artikel 25 Brede Doeluitkering</w:t>
      </w:r>
    </w:p>
    <w:p w:rsidR="006B6965" w:rsidRDefault="003A166B" w14:paraId="2C282871"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09447211"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1BA44DAC" w14:textId="77777777">
            <w:pPr>
              <w:pStyle w:val="kio2-table-title"/>
            </w:pPr>
            <w:r>
              <w:t>Tabel 17 Budgettaire gevolgen van beleid artikel 25 Brede Doeluitkering (bedragen x € 1.000)</w:t>
            </w:r>
          </w:p>
        </w:tc>
      </w:tr>
      <w:tr w:rsidR="006B6965" w14:paraId="2DBF206B"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21D89A98"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0DAF7756"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1F81E7F9"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55AD0B1B"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6A8FE7DE" w14:textId="77777777">
            <w:pPr>
              <w:pStyle w:val="p-table"/>
              <w:jc w:val="center"/>
              <w:rPr>
                <w:color w:val="000000"/>
                <w:sz w:val="17"/>
              </w:rPr>
            </w:pPr>
            <w:r>
              <w:rPr>
                <w:color w:val="000000"/>
                <w:sz w:val="17"/>
              </w:rPr>
              <w:t>Stand suppletoire begroting september (3) = (1) + (2)</w:t>
            </w:r>
          </w:p>
        </w:tc>
      </w:tr>
      <w:tr w:rsidR="006B6965" w14:paraId="03EF34B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184B6A83"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2041DB90"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1990F117" w14:textId="77777777">
            <w:pPr>
              <w:pStyle w:val="p-table"/>
              <w:jc w:val="right"/>
              <w:rPr>
                <w:sz w:val="17"/>
              </w:rPr>
            </w:pPr>
            <w:r>
              <w:rPr>
                <w:b/>
                <w:sz w:val="17"/>
              </w:rPr>
              <w:t>1.095.657</w:t>
            </w:r>
          </w:p>
        </w:tc>
        <w:tc>
          <w:tcPr>
            <w:tcW w:w="1377" w:type="dxa"/>
            <w:tcBorders>
              <w:bottom w:val="single" w:color="009EE0" w:sz="2" w:space="0"/>
            </w:tcBorders>
            <w:tcMar>
              <w:top w:w="22" w:type="dxa"/>
              <w:left w:w="28" w:type="dxa"/>
              <w:bottom w:w="22" w:type="dxa"/>
              <w:right w:w="28" w:type="dxa"/>
            </w:tcMar>
          </w:tcPr>
          <w:p w:rsidR="006B6965" w:rsidRDefault="003A166B" w14:paraId="687DC7A9"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C618319" w14:textId="77777777">
            <w:pPr>
              <w:pStyle w:val="p-table"/>
              <w:jc w:val="right"/>
              <w:rPr>
                <w:sz w:val="17"/>
              </w:rPr>
            </w:pPr>
            <w:r>
              <w:rPr>
                <w:b/>
                <w:sz w:val="17"/>
              </w:rPr>
              <w:t>1.095.657</w:t>
            </w:r>
          </w:p>
        </w:tc>
      </w:tr>
      <w:tr w:rsidR="006B6965" w14:paraId="1FEA802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AC63A2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71B0E22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9E1983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E9839F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0F55C80" w14:textId="77777777">
            <w:pPr>
              <w:pStyle w:val="p-table"/>
              <w:rPr>
                <w:sz w:val="17"/>
              </w:rPr>
            </w:pPr>
          </w:p>
        </w:tc>
      </w:tr>
      <w:tr w:rsidR="006B6965" w14:paraId="34E9385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2442AD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C2C7AE9"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2173F957" w14:textId="77777777">
            <w:pPr>
              <w:pStyle w:val="p-table"/>
              <w:jc w:val="right"/>
              <w:rPr>
                <w:sz w:val="17"/>
              </w:rPr>
            </w:pPr>
            <w:r>
              <w:rPr>
                <w:b/>
                <w:sz w:val="17"/>
              </w:rPr>
              <w:t>1.320.281</w:t>
            </w:r>
          </w:p>
        </w:tc>
        <w:tc>
          <w:tcPr>
            <w:tcW w:w="1377" w:type="dxa"/>
            <w:tcBorders>
              <w:bottom w:val="single" w:color="009EE0" w:sz="2" w:space="0"/>
            </w:tcBorders>
            <w:tcMar>
              <w:top w:w="22" w:type="dxa"/>
              <w:left w:w="28" w:type="dxa"/>
              <w:bottom w:w="22" w:type="dxa"/>
              <w:right w:w="28" w:type="dxa"/>
            </w:tcMar>
          </w:tcPr>
          <w:p w:rsidR="006B6965" w:rsidRDefault="003A166B" w14:paraId="79314E04"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38AF516" w14:textId="77777777">
            <w:pPr>
              <w:pStyle w:val="p-table"/>
              <w:jc w:val="right"/>
              <w:rPr>
                <w:sz w:val="17"/>
              </w:rPr>
            </w:pPr>
            <w:r>
              <w:rPr>
                <w:b/>
                <w:sz w:val="17"/>
              </w:rPr>
              <w:t>1.320.281</w:t>
            </w:r>
          </w:p>
        </w:tc>
      </w:tr>
      <w:tr w:rsidR="006B6965" w14:paraId="667513E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2242CD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70D9F56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4A81F1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0BDE23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F9C339E" w14:textId="77777777">
            <w:pPr>
              <w:pStyle w:val="p-table"/>
              <w:rPr>
                <w:sz w:val="17"/>
              </w:rPr>
            </w:pPr>
          </w:p>
        </w:tc>
      </w:tr>
      <w:tr w:rsidR="006B6965" w14:paraId="54AD081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348A8201" w14:textId="77777777">
            <w:pPr>
              <w:pStyle w:val="p-table"/>
              <w:rPr>
                <w:sz w:val="17"/>
              </w:rPr>
            </w:pPr>
            <w:r>
              <w:rPr>
                <w:b/>
                <w:sz w:val="17"/>
              </w:rPr>
              <w:t>25.1</w:t>
            </w:r>
          </w:p>
        </w:tc>
        <w:tc>
          <w:tcPr>
            <w:tcW w:w="4590" w:type="dxa"/>
            <w:tcBorders>
              <w:bottom w:val="single" w:color="009EE0" w:sz="2" w:space="0"/>
            </w:tcBorders>
            <w:tcMar>
              <w:top w:w="22" w:type="dxa"/>
              <w:left w:w="28" w:type="dxa"/>
              <w:bottom w:w="22" w:type="dxa"/>
              <w:right w:w="28" w:type="dxa"/>
            </w:tcMar>
          </w:tcPr>
          <w:p w:rsidR="006B6965" w:rsidRDefault="003A166B" w14:paraId="40AA3376" w14:textId="77777777">
            <w:pPr>
              <w:pStyle w:val="p-table"/>
              <w:rPr>
                <w:sz w:val="17"/>
              </w:rPr>
            </w:pPr>
            <w:r>
              <w:rPr>
                <w:b/>
                <w:sz w:val="17"/>
              </w:rPr>
              <w:t>Brede doeluitkering</w:t>
            </w:r>
          </w:p>
        </w:tc>
        <w:tc>
          <w:tcPr>
            <w:tcW w:w="1377" w:type="dxa"/>
            <w:tcBorders>
              <w:bottom w:val="single" w:color="009EE0" w:sz="2" w:space="0"/>
            </w:tcBorders>
            <w:tcMar>
              <w:top w:w="22" w:type="dxa"/>
              <w:left w:w="28" w:type="dxa"/>
              <w:bottom w:w="22" w:type="dxa"/>
              <w:right w:w="28" w:type="dxa"/>
            </w:tcMar>
          </w:tcPr>
          <w:p w:rsidR="006B6965" w:rsidRDefault="003A166B" w14:paraId="5C84FA33" w14:textId="77777777">
            <w:pPr>
              <w:pStyle w:val="p-table"/>
              <w:jc w:val="right"/>
              <w:rPr>
                <w:sz w:val="17"/>
              </w:rPr>
            </w:pPr>
            <w:r>
              <w:rPr>
                <w:b/>
                <w:sz w:val="17"/>
              </w:rPr>
              <w:t>1.320.281</w:t>
            </w:r>
          </w:p>
        </w:tc>
        <w:tc>
          <w:tcPr>
            <w:tcW w:w="1377" w:type="dxa"/>
            <w:tcBorders>
              <w:bottom w:val="single" w:color="009EE0" w:sz="2" w:space="0"/>
            </w:tcBorders>
            <w:tcMar>
              <w:top w:w="22" w:type="dxa"/>
              <w:left w:w="28" w:type="dxa"/>
              <w:bottom w:w="22" w:type="dxa"/>
              <w:right w:w="28" w:type="dxa"/>
            </w:tcMar>
          </w:tcPr>
          <w:p w:rsidR="006B6965" w:rsidRDefault="003A166B" w14:paraId="747F698A"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700CC5E" w14:textId="77777777">
            <w:pPr>
              <w:pStyle w:val="p-table"/>
              <w:jc w:val="right"/>
              <w:rPr>
                <w:sz w:val="17"/>
              </w:rPr>
            </w:pPr>
            <w:r>
              <w:rPr>
                <w:b/>
                <w:sz w:val="17"/>
              </w:rPr>
              <w:t>1.320.281</w:t>
            </w:r>
          </w:p>
        </w:tc>
      </w:tr>
      <w:tr w:rsidR="006B6965" w14:paraId="60B0BBE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D1C414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0023D35" w14:textId="77777777">
            <w:pPr>
              <w:pStyle w:val="p-table"/>
              <w:rPr>
                <w:sz w:val="17"/>
              </w:rPr>
            </w:pPr>
            <w:r>
              <w:rPr>
                <w:i/>
                <w:sz w:val="17"/>
              </w:rPr>
              <w:t>Bijdrage aan medeoverheden</w:t>
            </w:r>
          </w:p>
        </w:tc>
        <w:tc>
          <w:tcPr>
            <w:tcW w:w="1377" w:type="dxa"/>
            <w:tcBorders>
              <w:bottom w:val="single" w:color="009EE0" w:sz="2" w:space="0"/>
            </w:tcBorders>
            <w:tcMar>
              <w:top w:w="22" w:type="dxa"/>
              <w:left w:w="28" w:type="dxa"/>
              <w:bottom w:w="22" w:type="dxa"/>
              <w:right w:w="28" w:type="dxa"/>
            </w:tcMar>
          </w:tcPr>
          <w:p w:rsidR="006B6965" w:rsidRDefault="003A166B" w14:paraId="40F2D4FF" w14:textId="77777777">
            <w:pPr>
              <w:pStyle w:val="p-table"/>
              <w:jc w:val="right"/>
              <w:rPr>
                <w:sz w:val="17"/>
              </w:rPr>
            </w:pPr>
            <w:r>
              <w:rPr>
                <w:i/>
                <w:sz w:val="17"/>
              </w:rPr>
              <w:t>1.320.281</w:t>
            </w:r>
          </w:p>
        </w:tc>
        <w:tc>
          <w:tcPr>
            <w:tcW w:w="1377" w:type="dxa"/>
            <w:tcBorders>
              <w:bottom w:val="single" w:color="009EE0" w:sz="2" w:space="0"/>
            </w:tcBorders>
            <w:tcMar>
              <w:top w:w="22" w:type="dxa"/>
              <w:left w:w="28" w:type="dxa"/>
              <w:bottom w:w="22" w:type="dxa"/>
              <w:right w:w="28" w:type="dxa"/>
            </w:tcMar>
          </w:tcPr>
          <w:p w:rsidR="006B6965" w:rsidRDefault="003A166B" w14:paraId="3EE22410"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48E4319" w14:textId="77777777">
            <w:pPr>
              <w:pStyle w:val="p-table"/>
              <w:jc w:val="right"/>
              <w:rPr>
                <w:sz w:val="17"/>
              </w:rPr>
            </w:pPr>
            <w:r>
              <w:rPr>
                <w:i/>
                <w:sz w:val="17"/>
              </w:rPr>
              <w:t>1.320.281</w:t>
            </w:r>
          </w:p>
        </w:tc>
      </w:tr>
      <w:tr w:rsidR="006B6965" w14:paraId="6EB19B4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7261C2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C13190E"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53B4DE90" w14:textId="77777777">
            <w:pPr>
              <w:pStyle w:val="p-table"/>
              <w:jc w:val="right"/>
              <w:rPr>
                <w:sz w:val="17"/>
              </w:rPr>
            </w:pPr>
            <w:r>
              <w:rPr>
                <w:sz w:val="17"/>
              </w:rPr>
              <w:t>1.320.281</w:t>
            </w:r>
          </w:p>
        </w:tc>
        <w:tc>
          <w:tcPr>
            <w:tcW w:w="1377" w:type="dxa"/>
            <w:tcBorders>
              <w:bottom w:val="single" w:color="009EE0" w:sz="2" w:space="0"/>
            </w:tcBorders>
            <w:tcMar>
              <w:top w:w="22" w:type="dxa"/>
              <w:left w:w="28" w:type="dxa"/>
              <w:bottom w:w="22" w:type="dxa"/>
              <w:right w:w="28" w:type="dxa"/>
            </w:tcMar>
          </w:tcPr>
          <w:p w:rsidR="006B6965" w:rsidRDefault="003A166B" w14:paraId="5CCB282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8D06B4F" w14:textId="77777777">
            <w:pPr>
              <w:pStyle w:val="p-table"/>
              <w:jc w:val="right"/>
              <w:rPr>
                <w:sz w:val="17"/>
              </w:rPr>
            </w:pPr>
            <w:r>
              <w:rPr>
                <w:sz w:val="17"/>
              </w:rPr>
              <w:t>1.320.281</w:t>
            </w:r>
          </w:p>
        </w:tc>
      </w:tr>
      <w:tr w:rsidR="006B6965" w14:paraId="4CD6DC5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E9FBE8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15C132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456E90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535833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0F68847" w14:textId="77777777">
            <w:pPr>
              <w:pStyle w:val="p-table"/>
              <w:rPr>
                <w:sz w:val="17"/>
              </w:rPr>
            </w:pPr>
          </w:p>
        </w:tc>
      </w:tr>
      <w:tr w:rsidR="006B6965" w14:paraId="0E82E1C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9CFD98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5DA28A0"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7D556E9E"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181A433"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5851BA8" w14:textId="77777777">
            <w:pPr>
              <w:pStyle w:val="p-table"/>
              <w:jc w:val="right"/>
              <w:rPr>
                <w:sz w:val="17"/>
              </w:rPr>
            </w:pPr>
            <w:r>
              <w:rPr>
                <w:b/>
                <w:sz w:val="17"/>
              </w:rPr>
              <w:t>0</w:t>
            </w:r>
          </w:p>
        </w:tc>
      </w:tr>
      <w:tr w:rsidR="006B6965" w14:paraId="37E9F96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E1CA94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C96A05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99144F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51006D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2E2F550" w14:textId="77777777">
            <w:pPr>
              <w:pStyle w:val="p-table"/>
              <w:rPr>
                <w:sz w:val="17"/>
              </w:rPr>
            </w:pPr>
          </w:p>
        </w:tc>
      </w:tr>
    </w:tbl>
    <w:p w:rsidR="006B6965" w:rsidRDefault="006B6965" w14:paraId="261170C8" w14:textId="77777777">
      <w:pPr>
        <w:pStyle w:val="p-marginbottom"/>
      </w:pPr>
    </w:p>
    <w:p w:rsidR="006B6965" w:rsidRDefault="003A166B" w14:paraId="06208160" w14:textId="77777777">
      <w:pPr>
        <w:pStyle w:val="section-title-4"/>
      </w:pPr>
      <w:r>
        <w:lastRenderedPageBreak/>
        <w:t>Toelichting</w:t>
      </w:r>
    </w:p>
    <w:p w:rsidR="006B6965" w:rsidRDefault="003A166B" w14:paraId="280FF5C0" w14:textId="77777777">
      <w:pPr>
        <w:pStyle w:val="p"/>
      </w:pPr>
      <w:r>
        <w:t>Er hebben geen mutaties plaatsgevonden op dit artikel.</w:t>
      </w:r>
    </w:p>
    <w:p w:rsidR="006B6965" w:rsidRDefault="003A166B" w14:paraId="0753913C" w14:textId="77777777">
      <w:pPr>
        <w:pStyle w:val="section-title-3"/>
      </w:pPr>
      <w:r>
        <w:t>3.14 Artikel 26 Bijdrage Investeringsfonds</w:t>
      </w:r>
    </w:p>
    <w:p w:rsidR="006B6965" w:rsidRDefault="003A166B" w14:paraId="2BF74D0A"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1C9E1CFC"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495352D9" w14:textId="77777777">
            <w:pPr>
              <w:pStyle w:val="kio2-table-title"/>
            </w:pPr>
            <w:r>
              <w:t>Tabel 18 Budgettaire gevolgen van beleid artikel 26 Bijdrage Investeringsfonds (bedragen x € 1.000)</w:t>
            </w:r>
          </w:p>
        </w:tc>
      </w:tr>
      <w:tr w:rsidR="006B6965" w14:paraId="2C53F927"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78CAB454"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1374F0FB"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084D8768"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2150596E"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228390BA" w14:textId="77777777">
            <w:pPr>
              <w:pStyle w:val="p-table"/>
              <w:jc w:val="center"/>
              <w:rPr>
                <w:color w:val="000000"/>
                <w:sz w:val="17"/>
              </w:rPr>
            </w:pPr>
            <w:r>
              <w:rPr>
                <w:color w:val="000000"/>
                <w:sz w:val="17"/>
              </w:rPr>
              <w:t>Stand suppletoire begroting september (3) = (1) + (2)</w:t>
            </w:r>
          </w:p>
        </w:tc>
      </w:tr>
      <w:tr w:rsidR="006B6965" w14:paraId="02A361F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2C8A0EE2"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4769B30B"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3D0676A7" w14:textId="77777777">
            <w:pPr>
              <w:pStyle w:val="p-table"/>
              <w:jc w:val="right"/>
              <w:rPr>
                <w:sz w:val="17"/>
              </w:rPr>
            </w:pPr>
            <w:r>
              <w:rPr>
                <w:b/>
                <w:sz w:val="17"/>
              </w:rPr>
              <w:t>10.208.481</w:t>
            </w:r>
          </w:p>
        </w:tc>
        <w:tc>
          <w:tcPr>
            <w:tcW w:w="1377" w:type="dxa"/>
            <w:tcBorders>
              <w:bottom w:val="single" w:color="009EE0" w:sz="2" w:space="0"/>
            </w:tcBorders>
            <w:tcMar>
              <w:top w:w="22" w:type="dxa"/>
              <w:left w:w="28" w:type="dxa"/>
              <w:bottom w:w="22" w:type="dxa"/>
              <w:right w:w="28" w:type="dxa"/>
            </w:tcMar>
          </w:tcPr>
          <w:p w:rsidR="006B6965" w:rsidRDefault="003A166B" w14:paraId="3C02AD59" w14:textId="77777777">
            <w:pPr>
              <w:pStyle w:val="p-table"/>
              <w:jc w:val="right"/>
              <w:rPr>
                <w:sz w:val="17"/>
              </w:rPr>
            </w:pPr>
            <w:r>
              <w:rPr>
                <w:b/>
                <w:sz w:val="17"/>
              </w:rPr>
              <w:t>380.950</w:t>
            </w:r>
          </w:p>
        </w:tc>
        <w:tc>
          <w:tcPr>
            <w:tcW w:w="1377" w:type="dxa"/>
            <w:tcBorders>
              <w:bottom w:val="single" w:color="009EE0" w:sz="2" w:space="0"/>
            </w:tcBorders>
            <w:tcMar>
              <w:top w:w="22" w:type="dxa"/>
              <w:left w:w="28" w:type="dxa"/>
              <w:bottom w:w="22" w:type="dxa"/>
              <w:right w:w="28" w:type="dxa"/>
            </w:tcMar>
          </w:tcPr>
          <w:p w:rsidR="006B6965" w:rsidRDefault="003A166B" w14:paraId="4DC11083" w14:textId="77777777">
            <w:pPr>
              <w:pStyle w:val="p-table"/>
              <w:jc w:val="right"/>
              <w:rPr>
                <w:sz w:val="17"/>
              </w:rPr>
            </w:pPr>
            <w:r>
              <w:rPr>
                <w:b/>
                <w:sz w:val="17"/>
              </w:rPr>
              <w:t>10.589.431</w:t>
            </w:r>
          </w:p>
        </w:tc>
      </w:tr>
      <w:tr w:rsidR="006B6965" w14:paraId="1F1EE2B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0F2C5B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0C977D5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AB008C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E4DD7D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B5F391D" w14:textId="77777777">
            <w:pPr>
              <w:pStyle w:val="p-table"/>
              <w:rPr>
                <w:sz w:val="17"/>
              </w:rPr>
            </w:pPr>
          </w:p>
        </w:tc>
      </w:tr>
      <w:tr w:rsidR="006B6965" w14:paraId="3B01271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EECE79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17C7207"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7E2F53FA" w14:textId="77777777">
            <w:pPr>
              <w:pStyle w:val="p-table"/>
              <w:jc w:val="right"/>
              <w:rPr>
                <w:sz w:val="17"/>
              </w:rPr>
            </w:pPr>
            <w:r>
              <w:rPr>
                <w:b/>
                <w:sz w:val="17"/>
              </w:rPr>
              <w:t>10.428.481</w:t>
            </w:r>
          </w:p>
        </w:tc>
        <w:tc>
          <w:tcPr>
            <w:tcW w:w="1377" w:type="dxa"/>
            <w:tcBorders>
              <w:bottom w:val="single" w:color="009EE0" w:sz="2" w:space="0"/>
            </w:tcBorders>
            <w:tcMar>
              <w:top w:w="22" w:type="dxa"/>
              <w:left w:w="28" w:type="dxa"/>
              <w:bottom w:w="22" w:type="dxa"/>
              <w:right w:w="28" w:type="dxa"/>
            </w:tcMar>
          </w:tcPr>
          <w:p w:rsidR="006B6965" w:rsidRDefault="003A166B" w14:paraId="78B58B10" w14:textId="77777777">
            <w:pPr>
              <w:pStyle w:val="p-table"/>
              <w:jc w:val="right"/>
              <w:rPr>
                <w:sz w:val="17"/>
              </w:rPr>
            </w:pPr>
            <w:r>
              <w:rPr>
                <w:b/>
                <w:sz w:val="17"/>
              </w:rPr>
              <w:t>160.950</w:t>
            </w:r>
          </w:p>
        </w:tc>
        <w:tc>
          <w:tcPr>
            <w:tcW w:w="1377" w:type="dxa"/>
            <w:tcBorders>
              <w:bottom w:val="single" w:color="009EE0" w:sz="2" w:space="0"/>
            </w:tcBorders>
            <w:tcMar>
              <w:top w:w="22" w:type="dxa"/>
              <w:left w:w="28" w:type="dxa"/>
              <w:bottom w:w="22" w:type="dxa"/>
              <w:right w:w="28" w:type="dxa"/>
            </w:tcMar>
          </w:tcPr>
          <w:p w:rsidR="006B6965" w:rsidRDefault="003A166B" w14:paraId="67A4DEB8" w14:textId="77777777">
            <w:pPr>
              <w:pStyle w:val="p-table"/>
              <w:jc w:val="right"/>
              <w:rPr>
                <w:sz w:val="17"/>
              </w:rPr>
            </w:pPr>
            <w:r>
              <w:rPr>
                <w:b/>
                <w:sz w:val="17"/>
              </w:rPr>
              <w:t>10.589.431</w:t>
            </w:r>
          </w:p>
        </w:tc>
      </w:tr>
      <w:tr w:rsidR="006B6965" w14:paraId="3D16153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644721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7AD8ED8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F1D882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AFDCCE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5ABDBA4" w14:textId="77777777">
            <w:pPr>
              <w:pStyle w:val="p-table"/>
              <w:rPr>
                <w:sz w:val="17"/>
              </w:rPr>
            </w:pPr>
          </w:p>
        </w:tc>
      </w:tr>
      <w:tr w:rsidR="006B6965" w14:paraId="0B7B11D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1338DBBD" w14:textId="77777777">
            <w:pPr>
              <w:pStyle w:val="p-table"/>
              <w:rPr>
                <w:sz w:val="17"/>
              </w:rPr>
            </w:pPr>
            <w:r>
              <w:rPr>
                <w:b/>
                <w:sz w:val="17"/>
              </w:rPr>
              <w:t>26.1</w:t>
            </w:r>
          </w:p>
        </w:tc>
        <w:tc>
          <w:tcPr>
            <w:tcW w:w="4590" w:type="dxa"/>
            <w:tcBorders>
              <w:bottom w:val="single" w:color="009EE0" w:sz="2" w:space="0"/>
            </w:tcBorders>
            <w:tcMar>
              <w:top w:w="22" w:type="dxa"/>
              <w:left w:w="28" w:type="dxa"/>
              <w:bottom w:w="22" w:type="dxa"/>
              <w:right w:w="28" w:type="dxa"/>
            </w:tcMar>
          </w:tcPr>
          <w:p w:rsidR="006B6965" w:rsidRDefault="003A166B" w14:paraId="0752A5B3" w14:textId="77777777">
            <w:pPr>
              <w:pStyle w:val="p-table"/>
              <w:rPr>
                <w:sz w:val="17"/>
              </w:rPr>
            </w:pPr>
            <w:r>
              <w:rPr>
                <w:b/>
                <w:sz w:val="17"/>
              </w:rPr>
              <w:t>Bijdrage Mobiliteitsfonds</w:t>
            </w:r>
          </w:p>
        </w:tc>
        <w:tc>
          <w:tcPr>
            <w:tcW w:w="1377" w:type="dxa"/>
            <w:tcBorders>
              <w:bottom w:val="single" w:color="009EE0" w:sz="2" w:space="0"/>
            </w:tcBorders>
            <w:tcMar>
              <w:top w:w="22" w:type="dxa"/>
              <w:left w:w="28" w:type="dxa"/>
              <w:bottom w:w="22" w:type="dxa"/>
              <w:right w:w="28" w:type="dxa"/>
            </w:tcMar>
          </w:tcPr>
          <w:p w:rsidR="006B6965" w:rsidRDefault="003A166B" w14:paraId="08AB74CF" w14:textId="77777777">
            <w:pPr>
              <w:pStyle w:val="p-table"/>
              <w:jc w:val="right"/>
              <w:rPr>
                <w:sz w:val="17"/>
              </w:rPr>
            </w:pPr>
            <w:r>
              <w:rPr>
                <w:b/>
                <w:sz w:val="17"/>
              </w:rPr>
              <w:t>8.872.462</w:t>
            </w:r>
          </w:p>
        </w:tc>
        <w:tc>
          <w:tcPr>
            <w:tcW w:w="1377" w:type="dxa"/>
            <w:tcBorders>
              <w:bottom w:val="single" w:color="009EE0" w:sz="2" w:space="0"/>
            </w:tcBorders>
            <w:tcMar>
              <w:top w:w="22" w:type="dxa"/>
              <w:left w:w="28" w:type="dxa"/>
              <w:bottom w:w="22" w:type="dxa"/>
              <w:right w:w="28" w:type="dxa"/>
            </w:tcMar>
          </w:tcPr>
          <w:p w:rsidR="006B6965" w:rsidRDefault="003A166B" w14:paraId="34ACE631" w14:textId="77777777">
            <w:pPr>
              <w:pStyle w:val="p-table"/>
              <w:jc w:val="right"/>
              <w:rPr>
                <w:sz w:val="17"/>
              </w:rPr>
            </w:pPr>
            <w:r>
              <w:rPr>
                <w:b/>
                <w:sz w:val="17"/>
              </w:rPr>
              <w:t>136.855</w:t>
            </w:r>
          </w:p>
        </w:tc>
        <w:tc>
          <w:tcPr>
            <w:tcW w:w="1377" w:type="dxa"/>
            <w:tcBorders>
              <w:bottom w:val="single" w:color="009EE0" w:sz="2" w:space="0"/>
            </w:tcBorders>
            <w:tcMar>
              <w:top w:w="22" w:type="dxa"/>
              <w:left w:w="28" w:type="dxa"/>
              <w:bottom w:w="22" w:type="dxa"/>
              <w:right w:w="28" w:type="dxa"/>
            </w:tcMar>
          </w:tcPr>
          <w:p w:rsidR="006B6965" w:rsidRDefault="003A166B" w14:paraId="6807BA18" w14:textId="77777777">
            <w:pPr>
              <w:pStyle w:val="p-table"/>
              <w:jc w:val="right"/>
              <w:rPr>
                <w:sz w:val="17"/>
              </w:rPr>
            </w:pPr>
            <w:r>
              <w:rPr>
                <w:b/>
                <w:sz w:val="17"/>
              </w:rPr>
              <w:t>9.009.317</w:t>
            </w:r>
          </w:p>
        </w:tc>
      </w:tr>
      <w:tr w:rsidR="006B6965" w14:paraId="2A2E858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B677CB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C28EACD" w14:textId="77777777">
            <w:pPr>
              <w:pStyle w:val="p-table"/>
              <w:rPr>
                <w:sz w:val="17"/>
              </w:rPr>
            </w:pPr>
            <w:r>
              <w:rPr>
                <w:i/>
                <w:sz w:val="17"/>
              </w:rPr>
              <w:t>Bijdrage aan (andere) begrotingshoofdstukken</w:t>
            </w:r>
          </w:p>
        </w:tc>
        <w:tc>
          <w:tcPr>
            <w:tcW w:w="1377" w:type="dxa"/>
            <w:tcBorders>
              <w:bottom w:val="single" w:color="009EE0" w:sz="2" w:space="0"/>
            </w:tcBorders>
            <w:tcMar>
              <w:top w:w="22" w:type="dxa"/>
              <w:left w:w="28" w:type="dxa"/>
              <w:bottom w:w="22" w:type="dxa"/>
              <w:right w:w="28" w:type="dxa"/>
            </w:tcMar>
          </w:tcPr>
          <w:p w:rsidR="006B6965" w:rsidRDefault="003A166B" w14:paraId="68C47E48" w14:textId="77777777">
            <w:pPr>
              <w:pStyle w:val="p-table"/>
              <w:jc w:val="right"/>
              <w:rPr>
                <w:sz w:val="17"/>
              </w:rPr>
            </w:pPr>
            <w:r>
              <w:rPr>
                <w:i/>
                <w:sz w:val="17"/>
              </w:rPr>
              <w:t>8.872.462</w:t>
            </w:r>
          </w:p>
        </w:tc>
        <w:tc>
          <w:tcPr>
            <w:tcW w:w="1377" w:type="dxa"/>
            <w:tcBorders>
              <w:bottom w:val="single" w:color="009EE0" w:sz="2" w:space="0"/>
            </w:tcBorders>
            <w:tcMar>
              <w:top w:w="22" w:type="dxa"/>
              <w:left w:w="28" w:type="dxa"/>
              <w:bottom w:w="22" w:type="dxa"/>
              <w:right w:w="28" w:type="dxa"/>
            </w:tcMar>
          </w:tcPr>
          <w:p w:rsidR="006B6965" w:rsidRDefault="003A166B" w14:paraId="552D78C1" w14:textId="77777777">
            <w:pPr>
              <w:pStyle w:val="p-table"/>
              <w:jc w:val="right"/>
              <w:rPr>
                <w:sz w:val="17"/>
              </w:rPr>
            </w:pPr>
            <w:r>
              <w:rPr>
                <w:i/>
                <w:sz w:val="17"/>
              </w:rPr>
              <w:t>136.855</w:t>
            </w:r>
          </w:p>
        </w:tc>
        <w:tc>
          <w:tcPr>
            <w:tcW w:w="1377" w:type="dxa"/>
            <w:tcBorders>
              <w:bottom w:val="single" w:color="009EE0" w:sz="2" w:space="0"/>
            </w:tcBorders>
            <w:tcMar>
              <w:top w:w="22" w:type="dxa"/>
              <w:left w:w="28" w:type="dxa"/>
              <w:bottom w:w="22" w:type="dxa"/>
              <w:right w:w="28" w:type="dxa"/>
            </w:tcMar>
          </w:tcPr>
          <w:p w:rsidR="006B6965" w:rsidRDefault="003A166B" w14:paraId="4C7E73D5" w14:textId="77777777">
            <w:pPr>
              <w:pStyle w:val="p-table"/>
              <w:jc w:val="right"/>
              <w:rPr>
                <w:sz w:val="17"/>
              </w:rPr>
            </w:pPr>
            <w:r>
              <w:rPr>
                <w:i/>
                <w:sz w:val="17"/>
              </w:rPr>
              <w:t>9.009.317</w:t>
            </w:r>
          </w:p>
        </w:tc>
      </w:tr>
      <w:tr w:rsidR="006B6965" w14:paraId="4B2D6BF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5C63D8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1332C93"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1341D6A7" w14:textId="77777777">
            <w:pPr>
              <w:pStyle w:val="p-table"/>
              <w:jc w:val="right"/>
              <w:rPr>
                <w:sz w:val="17"/>
              </w:rPr>
            </w:pPr>
            <w:r>
              <w:rPr>
                <w:sz w:val="17"/>
              </w:rPr>
              <w:t>8.872.462</w:t>
            </w:r>
          </w:p>
        </w:tc>
        <w:tc>
          <w:tcPr>
            <w:tcW w:w="1377" w:type="dxa"/>
            <w:tcBorders>
              <w:bottom w:val="single" w:color="009EE0" w:sz="2" w:space="0"/>
            </w:tcBorders>
            <w:tcMar>
              <w:top w:w="22" w:type="dxa"/>
              <w:left w:w="28" w:type="dxa"/>
              <w:bottom w:w="22" w:type="dxa"/>
              <w:right w:w="28" w:type="dxa"/>
            </w:tcMar>
          </w:tcPr>
          <w:p w:rsidR="006B6965" w:rsidRDefault="003A166B" w14:paraId="5FD47093" w14:textId="77777777">
            <w:pPr>
              <w:pStyle w:val="p-table"/>
              <w:jc w:val="right"/>
              <w:rPr>
                <w:sz w:val="17"/>
              </w:rPr>
            </w:pPr>
            <w:r>
              <w:rPr>
                <w:sz w:val="17"/>
              </w:rPr>
              <w:t>136.855</w:t>
            </w:r>
          </w:p>
        </w:tc>
        <w:tc>
          <w:tcPr>
            <w:tcW w:w="1377" w:type="dxa"/>
            <w:tcBorders>
              <w:bottom w:val="single" w:color="009EE0" w:sz="2" w:space="0"/>
            </w:tcBorders>
            <w:tcMar>
              <w:top w:w="22" w:type="dxa"/>
              <w:left w:w="28" w:type="dxa"/>
              <w:bottom w:w="22" w:type="dxa"/>
              <w:right w:w="28" w:type="dxa"/>
            </w:tcMar>
          </w:tcPr>
          <w:p w:rsidR="006B6965" w:rsidRDefault="003A166B" w14:paraId="73EFA22C" w14:textId="77777777">
            <w:pPr>
              <w:pStyle w:val="p-table"/>
              <w:jc w:val="right"/>
              <w:rPr>
                <w:sz w:val="17"/>
              </w:rPr>
            </w:pPr>
            <w:r>
              <w:rPr>
                <w:sz w:val="17"/>
              </w:rPr>
              <w:t>9.009.317</w:t>
            </w:r>
          </w:p>
        </w:tc>
      </w:tr>
      <w:tr w:rsidR="006B6965" w14:paraId="1B3FE21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2893D7D8" w14:textId="77777777">
            <w:pPr>
              <w:pStyle w:val="p-table"/>
              <w:rPr>
                <w:sz w:val="17"/>
              </w:rPr>
            </w:pPr>
            <w:r>
              <w:rPr>
                <w:b/>
                <w:sz w:val="17"/>
              </w:rPr>
              <w:t>26.2</w:t>
            </w:r>
          </w:p>
        </w:tc>
        <w:tc>
          <w:tcPr>
            <w:tcW w:w="4590" w:type="dxa"/>
            <w:tcBorders>
              <w:bottom w:val="single" w:color="009EE0" w:sz="2" w:space="0"/>
            </w:tcBorders>
            <w:tcMar>
              <w:top w:w="22" w:type="dxa"/>
              <w:left w:w="28" w:type="dxa"/>
              <w:bottom w:w="22" w:type="dxa"/>
              <w:right w:w="28" w:type="dxa"/>
            </w:tcMar>
          </w:tcPr>
          <w:p w:rsidR="006B6965" w:rsidRDefault="003A166B" w14:paraId="4ACC4FA3" w14:textId="77777777">
            <w:pPr>
              <w:pStyle w:val="p-table"/>
              <w:rPr>
                <w:sz w:val="17"/>
              </w:rPr>
            </w:pPr>
            <w:r>
              <w:rPr>
                <w:b/>
                <w:sz w:val="17"/>
              </w:rPr>
              <w:t>Bijdrage Deltafonds</w:t>
            </w:r>
          </w:p>
        </w:tc>
        <w:tc>
          <w:tcPr>
            <w:tcW w:w="1377" w:type="dxa"/>
            <w:tcBorders>
              <w:bottom w:val="single" w:color="009EE0" w:sz="2" w:space="0"/>
            </w:tcBorders>
            <w:tcMar>
              <w:top w:w="22" w:type="dxa"/>
              <w:left w:w="28" w:type="dxa"/>
              <w:bottom w:w="22" w:type="dxa"/>
              <w:right w:w="28" w:type="dxa"/>
            </w:tcMar>
          </w:tcPr>
          <w:p w:rsidR="006B6965" w:rsidRDefault="003A166B" w14:paraId="1B17F5B6" w14:textId="77777777">
            <w:pPr>
              <w:pStyle w:val="p-table"/>
              <w:jc w:val="right"/>
              <w:rPr>
                <w:sz w:val="17"/>
              </w:rPr>
            </w:pPr>
            <w:r>
              <w:rPr>
                <w:b/>
                <w:sz w:val="17"/>
              </w:rPr>
              <w:t>1.556.019</w:t>
            </w:r>
          </w:p>
        </w:tc>
        <w:tc>
          <w:tcPr>
            <w:tcW w:w="1377" w:type="dxa"/>
            <w:tcBorders>
              <w:bottom w:val="single" w:color="009EE0" w:sz="2" w:space="0"/>
            </w:tcBorders>
            <w:tcMar>
              <w:top w:w="22" w:type="dxa"/>
              <w:left w:w="28" w:type="dxa"/>
              <w:bottom w:w="22" w:type="dxa"/>
              <w:right w:w="28" w:type="dxa"/>
            </w:tcMar>
          </w:tcPr>
          <w:p w:rsidR="006B6965" w:rsidRDefault="003A166B" w14:paraId="013A0443" w14:textId="77777777">
            <w:pPr>
              <w:pStyle w:val="p-table"/>
              <w:jc w:val="right"/>
              <w:rPr>
                <w:sz w:val="17"/>
              </w:rPr>
            </w:pPr>
            <w:r>
              <w:rPr>
                <w:b/>
                <w:sz w:val="17"/>
              </w:rPr>
              <w:t>24.095</w:t>
            </w:r>
          </w:p>
        </w:tc>
        <w:tc>
          <w:tcPr>
            <w:tcW w:w="1377" w:type="dxa"/>
            <w:tcBorders>
              <w:bottom w:val="single" w:color="009EE0" w:sz="2" w:space="0"/>
            </w:tcBorders>
            <w:tcMar>
              <w:top w:w="22" w:type="dxa"/>
              <w:left w:w="28" w:type="dxa"/>
              <w:bottom w:w="22" w:type="dxa"/>
              <w:right w:w="28" w:type="dxa"/>
            </w:tcMar>
          </w:tcPr>
          <w:p w:rsidR="006B6965" w:rsidRDefault="003A166B" w14:paraId="29C23A36" w14:textId="77777777">
            <w:pPr>
              <w:pStyle w:val="p-table"/>
              <w:jc w:val="right"/>
              <w:rPr>
                <w:sz w:val="17"/>
              </w:rPr>
            </w:pPr>
            <w:r>
              <w:rPr>
                <w:b/>
                <w:sz w:val="17"/>
              </w:rPr>
              <w:t>1.580.114</w:t>
            </w:r>
          </w:p>
        </w:tc>
      </w:tr>
      <w:tr w:rsidR="006B6965" w14:paraId="1790B04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CD2563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C42CF8B" w14:textId="77777777">
            <w:pPr>
              <w:pStyle w:val="p-table"/>
              <w:rPr>
                <w:sz w:val="17"/>
              </w:rPr>
            </w:pPr>
            <w:r>
              <w:rPr>
                <w:i/>
                <w:sz w:val="17"/>
              </w:rPr>
              <w:t>Bijdrage aan (andere) begrotingshoofdstukken</w:t>
            </w:r>
          </w:p>
        </w:tc>
        <w:tc>
          <w:tcPr>
            <w:tcW w:w="1377" w:type="dxa"/>
            <w:tcBorders>
              <w:bottom w:val="single" w:color="009EE0" w:sz="2" w:space="0"/>
            </w:tcBorders>
            <w:tcMar>
              <w:top w:w="22" w:type="dxa"/>
              <w:left w:w="28" w:type="dxa"/>
              <w:bottom w:w="22" w:type="dxa"/>
              <w:right w:w="28" w:type="dxa"/>
            </w:tcMar>
          </w:tcPr>
          <w:p w:rsidR="006B6965" w:rsidRDefault="003A166B" w14:paraId="1A20C8E9" w14:textId="77777777">
            <w:pPr>
              <w:pStyle w:val="p-table"/>
              <w:jc w:val="right"/>
              <w:rPr>
                <w:sz w:val="17"/>
              </w:rPr>
            </w:pPr>
            <w:r>
              <w:rPr>
                <w:i/>
                <w:sz w:val="17"/>
              </w:rPr>
              <w:t>1.556.019</w:t>
            </w:r>
          </w:p>
        </w:tc>
        <w:tc>
          <w:tcPr>
            <w:tcW w:w="1377" w:type="dxa"/>
            <w:tcBorders>
              <w:bottom w:val="single" w:color="009EE0" w:sz="2" w:space="0"/>
            </w:tcBorders>
            <w:tcMar>
              <w:top w:w="22" w:type="dxa"/>
              <w:left w:w="28" w:type="dxa"/>
              <w:bottom w:w="22" w:type="dxa"/>
              <w:right w:w="28" w:type="dxa"/>
            </w:tcMar>
          </w:tcPr>
          <w:p w:rsidR="006B6965" w:rsidRDefault="003A166B" w14:paraId="76C85C12" w14:textId="77777777">
            <w:pPr>
              <w:pStyle w:val="p-table"/>
              <w:jc w:val="right"/>
              <w:rPr>
                <w:sz w:val="17"/>
              </w:rPr>
            </w:pPr>
            <w:r>
              <w:rPr>
                <w:i/>
                <w:sz w:val="17"/>
              </w:rPr>
              <w:t>24.095</w:t>
            </w:r>
          </w:p>
        </w:tc>
        <w:tc>
          <w:tcPr>
            <w:tcW w:w="1377" w:type="dxa"/>
            <w:tcBorders>
              <w:bottom w:val="single" w:color="009EE0" w:sz="2" w:space="0"/>
            </w:tcBorders>
            <w:tcMar>
              <w:top w:w="22" w:type="dxa"/>
              <w:left w:w="28" w:type="dxa"/>
              <w:bottom w:w="22" w:type="dxa"/>
              <w:right w:w="28" w:type="dxa"/>
            </w:tcMar>
          </w:tcPr>
          <w:p w:rsidR="006B6965" w:rsidRDefault="003A166B" w14:paraId="7F811F0A" w14:textId="77777777">
            <w:pPr>
              <w:pStyle w:val="p-table"/>
              <w:jc w:val="right"/>
              <w:rPr>
                <w:sz w:val="17"/>
              </w:rPr>
            </w:pPr>
            <w:r>
              <w:rPr>
                <w:i/>
                <w:sz w:val="17"/>
              </w:rPr>
              <w:t>1.580.114</w:t>
            </w:r>
          </w:p>
        </w:tc>
      </w:tr>
      <w:tr w:rsidR="006B6965" w14:paraId="530475A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4C67D9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DCBCFE2"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3EF2F163" w14:textId="77777777">
            <w:pPr>
              <w:pStyle w:val="p-table"/>
              <w:jc w:val="right"/>
              <w:rPr>
                <w:sz w:val="17"/>
              </w:rPr>
            </w:pPr>
            <w:r>
              <w:rPr>
                <w:sz w:val="17"/>
              </w:rPr>
              <w:t>1.556.019</w:t>
            </w:r>
          </w:p>
        </w:tc>
        <w:tc>
          <w:tcPr>
            <w:tcW w:w="1377" w:type="dxa"/>
            <w:tcBorders>
              <w:bottom w:val="single" w:color="009EE0" w:sz="2" w:space="0"/>
            </w:tcBorders>
            <w:tcMar>
              <w:top w:w="22" w:type="dxa"/>
              <w:left w:w="28" w:type="dxa"/>
              <w:bottom w:w="22" w:type="dxa"/>
              <w:right w:w="28" w:type="dxa"/>
            </w:tcMar>
          </w:tcPr>
          <w:p w:rsidR="006B6965" w:rsidRDefault="003A166B" w14:paraId="0923262E" w14:textId="77777777">
            <w:pPr>
              <w:pStyle w:val="p-table"/>
              <w:jc w:val="right"/>
              <w:rPr>
                <w:sz w:val="17"/>
              </w:rPr>
            </w:pPr>
            <w:r>
              <w:rPr>
                <w:sz w:val="17"/>
              </w:rPr>
              <w:t>24.095</w:t>
            </w:r>
          </w:p>
        </w:tc>
        <w:tc>
          <w:tcPr>
            <w:tcW w:w="1377" w:type="dxa"/>
            <w:tcBorders>
              <w:bottom w:val="single" w:color="009EE0" w:sz="2" w:space="0"/>
            </w:tcBorders>
            <w:tcMar>
              <w:top w:w="22" w:type="dxa"/>
              <w:left w:w="28" w:type="dxa"/>
              <w:bottom w:w="22" w:type="dxa"/>
              <w:right w:w="28" w:type="dxa"/>
            </w:tcMar>
          </w:tcPr>
          <w:p w:rsidR="006B6965" w:rsidRDefault="003A166B" w14:paraId="247C6391" w14:textId="77777777">
            <w:pPr>
              <w:pStyle w:val="p-table"/>
              <w:jc w:val="right"/>
              <w:rPr>
                <w:sz w:val="17"/>
              </w:rPr>
            </w:pPr>
            <w:r>
              <w:rPr>
                <w:sz w:val="17"/>
              </w:rPr>
              <w:t>1.580.114</w:t>
            </w:r>
          </w:p>
        </w:tc>
      </w:tr>
      <w:tr w:rsidR="006B6965" w14:paraId="43D50B3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D21BE6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291C37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D039A0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E39899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060276B" w14:textId="77777777">
            <w:pPr>
              <w:pStyle w:val="p-table"/>
              <w:rPr>
                <w:sz w:val="17"/>
              </w:rPr>
            </w:pPr>
          </w:p>
        </w:tc>
      </w:tr>
      <w:tr w:rsidR="006B6965" w14:paraId="1EECE3D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F1CF50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4F20861"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04385978"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0CCF730"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52338E74" w14:textId="77777777">
            <w:pPr>
              <w:pStyle w:val="p-table"/>
              <w:jc w:val="right"/>
              <w:rPr>
                <w:sz w:val="17"/>
              </w:rPr>
            </w:pPr>
            <w:r>
              <w:rPr>
                <w:b/>
                <w:sz w:val="17"/>
              </w:rPr>
              <w:t>0</w:t>
            </w:r>
          </w:p>
        </w:tc>
      </w:tr>
      <w:tr w:rsidR="006B6965" w14:paraId="0896297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0EC888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0D3EF82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3C2470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F2BEDF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354D5AE" w14:textId="77777777">
            <w:pPr>
              <w:pStyle w:val="p-table"/>
              <w:rPr>
                <w:sz w:val="17"/>
              </w:rPr>
            </w:pPr>
          </w:p>
        </w:tc>
      </w:tr>
    </w:tbl>
    <w:p w:rsidR="006B6965" w:rsidRDefault="006B6965" w14:paraId="03C25982" w14:textId="77777777">
      <w:pPr>
        <w:pStyle w:val="p-marginbottom"/>
      </w:pPr>
    </w:p>
    <w:p w:rsidR="006B6965" w:rsidRDefault="003A166B" w14:paraId="51F09370" w14:textId="77777777">
      <w:pPr>
        <w:pStyle w:val="section-title-4"/>
      </w:pPr>
      <w:r>
        <w:t>Toelichting</w:t>
      </w:r>
    </w:p>
    <w:p w:rsidR="006B6965" w:rsidRDefault="003A166B" w14:paraId="155506E8" w14:textId="77777777">
      <w:pPr>
        <w:pStyle w:val="header-h1"/>
      </w:pPr>
      <w:r>
        <w:t>Verplichtingen</w:t>
      </w:r>
    </w:p>
    <w:p w:rsidR="006B6965" w:rsidRDefault="003A166B" w14:paraId="79F6B63D" w14:textId="77777777">
      <w:pPr>
        <w:pStyle w:val="p"/>
      </w:pPr>
      <w:r>
        <w:t xml:space="preserve">Het verplichtingenbudget wordt met </w:t>
      </w:r>
      <w:r>
        <w:t>€ 381,0 miljoen verhoogd. Dit wordt met name veroorzaakt door hieronder toegelichte uitgavenmutaties en eenzijdige correctie op de verplichtingen van € 220,0 miljoen. De kaderaanpassing op het Mobiliteitsfonds bij de 1e suppletoire begroting abusievelijk zonder verplichtingen geboekt.</w:t>
      </w:r>
    </w:p>
    <w:p w:rsidR="006B6965" w:rsidRDefault="003A166B" w14:paraId="08BA38B3" w14:textId="77777777">
      <w:pPr>
        <w:pStyle w:val="header-h1"/>
      </w:pPr>
      <w:r>
        <w:t>Uitgaven</w:t>
      </w:r>
    </w:p>
    <w:p w:rsidR="006B6965" w:rsidRDefault="003A166B" w14:paraId="6B1DEC4A" w14:textId="77777777">
      <w:pPr>
        <w:pStyle w:val="header-h1"/>
      </w:pPr>
      <w:r>
        <w:t>Artikel 26.01 Bijdrage aan het Mobiliteitsfonds</w:t>
      </w:r>
    </w:p>
    <w:p w:rsidR="006B6965" w:rsidRDefault="003A166B" w14:paraId="75FEB4BC" w14:textId="77777777">
      <w:pPr>
        <w:pStyle w:val="header-h2"/>
      </w:pPr>
      <w:r>
        <w:t>Bijdrage aan (andere) begrotingshoofdstukken</w:t>
      </w:r>
    </w:p>
    <w:p w:rsidR="006B6965" w:rsidRDefault="003A166B" w14:paraId="47689931" w14:textId="77777777">
      <w:pPr>
        <w:pStyle w:val="p"/>
      </w:pPr>
      <w:r>
        <w:t>De bijdrage vanuit de beleidsbegroting Hoofdstuk XII aan het Mobiliteitsfonds is in 2025 met € 136,9 miljoen toegenomen. Voor meer details wordt verwezen naar de suppletoire begroting september van het Mobiliteitsfonds.</w:t>
      </w:r>
    </w:p>
    <w:p w:rsidR="006B6965" w:rsidRDefault="003A166B" w14:paraId="12C9C140" w14:textId="77777777">
      <w:pPr>
        <w:pStyle w:val="header-h1"/>
      </w:pPr>
      <w:r>
        <w:t>Artikel 26.02 Bijdrage aan het Deltafonds</w:t>
      </w:r>
    </w:p>
    <w:p w:rsidR="006B6965" w:rsidRDefault="003A166B" w14:paraId="61075C8F" w14:textId="77777777">
      <w:pPr>
        <w:pStyle w:val="header-h2"/>
      </w:pPr>
      <w:r>
        <w:t>Bijdrage aan (andere) begrotingshoofdstukken</w:t>
      </w:r>
    </w:p>
    <w:p w:rsidR="006B6965" w:rsidRDefault="003A166B" w14:paraId="7276CF82" w14:textId="77777777">
      <w:pPr>
        <w:pStyle w:val="p"/>
      </w:pPr>
      <w:r>
        <w:t>De bijdrage vanuit de beleidsbegroting Hoofdstuk XII aan het Deltafonds is in 2025 met € 24,1 miljoen verhoogd. Voor meer details wordt verwezen naar de suppletoire begroting september van het Deltafonds.</w:t>
      </w:r>
    </w:p>
    <w:p w:rsidR="006B6965" w:rsidRDefault="003A166B" w14:paraId="5303AE34" w14:textId="77777777">
      <w:pPr>
        <w:pStyle w:val="header-h1"/>
      </w:pPr>
      <w:r>
        <w:t>Ontvangsten</w:t>
      </w:r>
    </w:p>
    <w:p w:rsidR="006B6965" w:rsidRDefault="003A166B" w14:paraId="4F3EE405" w14:textId="77777777">
      <w:pPr>
        <w:pStyle w:val="p"/>
      </w:pPr>
      <w:r>
        <w:t>Op dit artikel worden geen ontvangsten geboekt.</w:t>
      </w:r>
    </w:p>
    <w:p w:rsidR="006B6965" w:rsidRDefault="006B6965" w14:paraId="3ABE7992" w14:textId="77777777">
      <w:pPr>
        <w:pStyle w:val="page-break"/>
      </w:pPr>
    </w:p>
    <w:p w:rsidR="006B6965" w:rsidRDefault="003A166B" w14:paraId="384AA324" w14:textId="77777777">
      <w:pPr>
        <w:pStyle w:val="section-title-2"/>
      </w:pPr>
      <w:bookmarkStart w:name="97602027962296" w:id="5"/>
      <w:r>
        <w:t>4 Niet-beleidsartikelen</w:t>
      </w:r>
      <w:bookmarkEnd w:id="5"/>
    </w:p>
    <w:p w:rsidR="006B6965" w:rsidRDefault="003A166B" w14:paraId="22617266" w14:textId="77777777">
      <w:pPr>
        <w:pStyle w:val="section-title-3"/>
      </w:pPr>
      <w:r>
        <w:t>4.1 Artikel 97 Algemeen Kerndepartement</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1AD03087"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0F6E7020" w14:textId="77777777">
            <w:pPr>
              <w:pStyle w:val="kio2-table-title"/>
            </w:pPr>
            <w:r>
              <w:t>Tabel 19 Budgettaire gevolgen van beleid artikel 97 Algemeen Kerndepartement (bedragen x € 1.000)</w:t>
            </w:r>
          </w:p>
        </w:tc>
      </w:tr>
      <w:tr w:rsidR="006B6965" w14:paraId="31BF6E9C"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3FE267A9"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6BAF9635"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A226AF6"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256E3503"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0FF47F2C" w14:textId="77777777">
            <w:pPr>
              <w:pStyle w:val="p-table"/>
              <w:jc w:val="center"/>
              <w:rPr>
                <w:color w:val="000000"/>
                <w:sz w:val="17"/>
              </w:rPr>
            </w:pPr>
            <w:r>
              <w:rPr>
                <w:color w:val="000000"/>
                <w:sz w:val="17"/>
              </w:rPr>
              <w:t xml:space="preserve">Stand suppletoire begroting </w:t>
            </w:r>
            <w:r>
              <w:rPr>
                <w:color w:val="000000"/>
                <w:sz w:val="17"/>
              </w:rPr>
              <w:t>september (3) = (1) + (2)</w:t>
            </w:r>
          </w:p>
        </w:tc>
      </w:tr>
      <w:tr w:rsidR="006B6965" w14:paraId="72BF11F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18033648"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4E46394E"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7711344F" w14:textId="77777777">
            <w:pPr>
              <w:pStyle w:val="p-table"/>
              <w:jc w:val="right"/>
              <w:rPr>
                <w:sz w:val="17"/>
              </w:rPr>
            </w:pPr>
            <w:r>
              <w:rPr>
                <w:b/>
                <w:sz w:val="17"/>
              </w:rPr>
              <w:t>47.206</w:t>
            </w:r>
          </w:p>
        </w:tc>
        <w:tc>
          <w:tcPr>
            <w:tcW w:w="1377" w:type="dxa"/>
            <w:tcBorders>
              <w:bottom w:val="single" w:color="009EE0" w:sz="2" w:space="0"/>
            </w:tcBorders>
            <w:tcMar>
              <w:top w:w="22" w:type="dxa"/>
              <w:left w:w="28" w:type="dxa"/>
              <w:bottom w:w="22" w:type="dxa"/>
              <w:right w:w="28" w:type="dxa"/>
            </w:tcMar>
          </w:tcPr>
          <w:p w:rsidR="006B6965" w:rsidRDefault="003A166B" w14:paraId="6A10A5C5" w14:textId="77777777">
            <w:pPr>
              <w:pStyle w:val="p-table"/>
              <w:jc w:val="right"/>
              <w:rPr>
                <w:sz w:val="17"/>
              </w:rPr>
            </w:pPr>
            <w:r>
              <w:rPr>
                <w:b/>
                <w:sz w:val="17"/>
              </w:rPr>
              <w:t>14.041</w:t>
            </w:r>
          </w:p>
        </w:tc>
        <w:tc>
          <w:tcPr>
            <w:tcW w:w="1377" w:type="dxa"/>
            <w:tcBorders>
              <w:bottom w:val="single" w:color="009EE0" w:sz="2" w:space="0"/>
            </w:tcBorders>
            <w:tcMar>
              <w:top w:w="22" w:type="dxa"/>
              <w:left w:w="28" w:type="dxa"/>
              <w:bottom w:w="22" w:type="dxa"/>
              <w:right w:w="28" w:type="dxa"/>
            </w:tcMar>
          </w:tcPr>
          <w:p w:rsidR="006B6965" w:rsidRDefault="003A166B" w14:paraId="1BB46623" w14:textId="77777777">
            <w:pPr>
              <w:pStyle w:val="p-table"/>
              <w:jc w:val="right"/>
              <w:rPr>
                <w:sz w:val="17"/>
              </w:rPr>
            </w:pPr>
            <w:r>
              <w:rPr>
                <w:b/>
                <w:sz w:val="17"/>
              </w:rPr>
              <w:t>61.247</w:t>
            </w:r>
          </w:p>
        </w:tc>
      </w:tr>
      <w:tr w:rsidR="006B6965" w14:paraId="2EED990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7206AD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21AEE88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E1AA47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F24FA0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8995F65" w14:textId="77777777">
            <w:pPr>
              <w:pStyle w:val="p-table"/>
              <w:rPr>
                <w:sz w:val="17"/>
              </w:rPr>
            </w:pPr>
          </w:p>
        </w:tc>
      </w:tr>
      <w:tr w:rsidR="006B6965" w14:paraId="20D9145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C13AA2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974995A"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192BE83D" w14:textId="77777777">
            <w:pPr>
              <w:pStyle w:val="p-table"/>
              <w:jc w:val="right"/>
              <w:rPr>
                <w:sz w:val="17"/>
              </w:rPr>
            </w:pPr>
            <w:r>
              <w:rPr>
                <w:b/>
                <w:sz w:val="17"/>
              </w:rPr>
              <w:t>63.873</w:t>
            </w:r>
          </w:p>
        </w:tc>
        <w:tc>
          <w:tcPr>
            <w:tcW w:w="1377" w:type="dxa"/>
            <w:tcBorders>
              <w:bottom w:val="single" w:color="009EE0" w:sz="2" w:space="0"/>
            </w:tcBorders>
            <w:tcMar>
              <w:top w:w="22" w:type="dxa"/>
              <w:left w:w="28" w:type="dxa"/>
              <w:bottom w:w="22" w:type="dxa"/>
              <w:right w:w="28" w:type="dxa"/>
            </w:tcMar>
          </w:tcPr>
          <w:p w:rsidR="006B6965" w:rsidRDefault="003A166B" w14:paraId="44793E22" w14:textId="77777777">
            <w:pPr>
              <w:pStyle w:val="p-table"/>
              <w:jc w:val="right"/>
              <w:rPr>
                <w:sz w:val="17"/>
              </w:rPr>
            </w:pPr>
            <w:r>
              <w:rPr>
                <w:b/>
                <w:sz w:val="17"/>
              </w:rPr>
              <w:t>5.338</w:t>
            </w:r>
          </w:p>
        </w:tc>
        <w:tc>
          <w:tcPr>
            <w:tcW w:w="1377" w:type="dxa"/>
            <w:tcBorders>
              <w:bottom w:val="single" w:color="009EE0" w:sz="2" w:space="0"/>
            </w:tcBorders>
            <w:tcMar>
              <w:top w:w="22" w:type="dxa"/>
              <w:left w:w="28" w:type="dxa"/>
              <w:bottom w:w="22" w:type="dxa"/>
              <w:right w:w="28" w:type="dxa"/>
            </w:tcMar>
          </w:tcPr>
          <w:p w:rsidR="006B6965" w:rsidRDefault="003A166B" w14:paraId="7A516D3F" w14:textId="77777777">
            <w:pPr>
              <w:pStyle w:val="p-table"/>
              <w:jc w:val="right"/>
              <w:rPr>
                <w:sz w:val="17"/>
              </w:rPr>
            </w:pPr>
            <w:r>
              <w:rPr>
                <w:b/>
                <w:sz w:val="17"/>
              </w:rPr>
              <w:t>69.211</w:t>
            </w:r>
          </w:p>
        </w:tc>
      </w:tr>
      <w:tr w:rsidR="006B6965" w14:paraId="294589A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2EEB44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5A881EF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31851D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7080E0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B0EFE7C" w14:textId="77777777">
            <w:pPr>
              <w:pStyle w:val="p-table"/>
              <w:rPr>
                <w:sz w:val="17"/>
              </w:rPr>
            </w:pPr>
          </w:p>
        </w:tc>
      </w:tr>
      <w:tr w:rsidR="006B6965" w14:paraId="4AC4094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BBEA4C1" w14:textId="77777777">
            <w:pPr>
              <w:pStyle w:val="p-table"/>
              <w:rPr>
                <w:sz w:val="17"/>
              </w:rPr>
            </w:pPr>
            <w:r>
              <w:rPr>
                <w:b/>
                <w:sz w:val="17"/>
              </w:rPr>
              <w:t>97.1</w:t>
            </w:r>
          </w:p>
        </w:tc>
        <w:tc>
          <w:tcPr>
            <w:tcW w:w="4590" w:type="dxa"/>
            <w:tcBorders>
              <w:bottom w:val="single" w:color="009EE0" w:sz="2" w:space="0"/>
            </w:tcBorders>
            <w:tcMar>
              <w:top w:w="22" w:type="dxa"/>
              <w:left w:w="28" w:type="dxa"/>
              <w:bottom w:w="22" w:type="dxa"/>
              <w:right w:w="28" w:type="dxa"/>
            </w:tcMar>
          </w:tcPr>
          <w:p w:rsidR="006B6965" w:rsidRDefault="003A166B" w14:paraId="0BC37F32" w14:textId="77777777">
            <w:pPr>
              <w:pStyle w:val="p-table"/>
              <w:rPr>
                <w:sz w:val="17"/>
              </w:rPr>
            </w:pPr>
            <w:r>
              <w:rPr>
                <w:b/>
                <w:sz w:val="17"/>
              </w:rPr>
              <w:t>Algemeen departement</w:t>
            </w:r>
          </w:p>
        </w:tc>
        <w:tc>
          <w:tcPr>
            <w:tcW w:w="1377" w:type="dxa"/>
            <w:tcBorders>
              <w:bottom w:val="single" w:color="009EE0" w:sz="2" w:space="0"/>
            </w:tcBorders>
            <w:tcMar>
              <w:top w:w="22" w:type="dxa"/>
              <w:left w:w="28" w:type="dxa"/>
              <w:bottom w:w="22" w:type="dxa"/>
              <w:right w:w="28" w:type="dxa"/>
            </w:tcMar>
          </w:tcPr>
          <w:p w:rsidR="006B6965" w:rsidRDefault="003A166B" w14:paraId="65F35709" w14:textId="77777777">
            <w:pPr>
              <w:pStyle w:val="p-table"/>
              <w:jc w:val="right"/>
              <w:rPr>
                <w:sz w:val="17"/>
              </w:rPr>
            </w:pPr>
            <w:r>
              <w:rPr>
                <w:b/>
                <w:sz w:val="17"/>
              </w:rPr>
              <w:t>60.895</w:t>
            </w:r>
          </w:p>
        </w:tc>
        <w:tc>
          <w:tcPr>
            <w:tcW w:w="1377" w:type="dxa"/>
            <w:tcBorders>
              <w:bottom w:val="single" w:color="009EE0" w:sz="2" w:space="0"/>
            </w:tcBorders>
            <w:tcMar>
              <w:top w:w="22" w:type="dxa"/>
              <w:left w:w="28" w:type="dxa"/>
              <w:bottom w:w="22" w:type="dxa"/>
              <w:right w:w="28" w:type="dxa"/>
            </w:tcMar>
          </w:tcPr>
          <w:p w:rsidR="006B6965" w:rsidRDefault="003A166B" w14:paraId="435EE51D" w14:textId="77777777">
            <w:pPr>
              <w:pStyle w:val="p-table"/>
              <w:jc w:val="right"/>
              <w:rPr>
                <w:sz w:val="17"/>
              </w:rPr>
            </w:pPr>
            <w:r>
              <w:rPr>
                <w:b/>
                <w:sz w:val="17"/>
              </w:rPr>
              <w:t>5.338</w:t>
            </w:r>
          </w:p>
        </w:tc>
        <w:tc>
          <w:tcPr>
            <w:tcW w:w="1377" w:type="dxa"/>
            <w:tcBorders>
              <w:bottom w:val="single" w:color="009EE0" w:sz="2" w:space="0"/>
            </w:tcBorders>
            <w:tcMar>
              <w:top w:w="22" w:type="dxa"/>
              <w:left w:w="28" w:type="dxa"/>
              <w:bottom w:w="22" w:type="dxa"/>
              <w:right w:w="28" w:type="dxa"/>
            </w:tcMar>
          </w:tcPr>
          <w:p w:rsidR="006B6965" w:rsidRDefault="003A166B" w14:paraId="2A885224" w14:textId="77777777">
            <w:pPr>
              <w:pStyle w:val="p-table"/>
              <w:jc w:val="right"/>
              <w:rPr>
                <w:sz w:val="17"/>
              </w:rPr>
            </w:pPr>
            <w:r>
              <w:rPr>
                <w:b/>
                <w:sz w:val="17"/>
              </w:rPr>
              <w:t>66.233</w:t>
            </w:r>
          </w:p>
        </w:tc>
      </w:tr>
      <w:tr w:rsidR="006B6965" w14:paraId="0DB597F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DA5506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A0A1DD7"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61279134" w14:textId="77777777">
            <w:pPr>
              <w:pStyle w:val="p-table"/>
              <w:jc w:val="right"/>
              <w:rPr>
                <w:sz w:val="17"/>
              </w:rPr>
            </w:pPr>
            <w:r>
              <w:rPr>
                <w:i/>
                <w:sz w:val="17"/>
              </w:rPr>
              <w:t>45.701</w:t>
            </w:r>
          </w:p>
        </w:tc>
        <w:tc>
          <w:tcPr>
            <w:tcW w:w="1377" w:type="dxa"/>
            <w:tcBorders>
              <w:bottom w:val="single" w:color="009EE0" w:sz="2" w:space="0"/>
            </w:tcBorders>
            <w:tcMar>
              <w:top w:w="22" w:type="dxa"/>
              <w:left w:w="28" w:type="dxa"/>
              <w:bottom w:w="22" w:type="dxa"/>
              <w:right w:w="28" w:type="dxa"/>
            </w:tcMar>
          </w:tcPr>
          <w:p w:rsidR="006B6965" w:rsidRDefault="003A166B" w14:paraId="45FA5866" w14:textId="77777777">
            <w:pPr>
              <w:pStyle w:val="p-table"/>
              <w:jc w:val="right"/>
              <w:rPr>
                <w:sz w:val="17"/>
              </w:rPr>
            </w:pPr>
            <w:r>
              <w:rPr>
                <w:i/>
                <w:sz w:val="17"/>
              </w:rPr>
              <w:t>5.200</w:t>
            </w:r>
          </w:p>
        </w:tc>
        <w:tc>
          <w:tcPr>
            <w:tcW w:w="1377" w:type="dxa"/>
            <w:tcBorders>
              <w:bottom w:val="single" w:color="009EE0" w:sz="2" w:space="0"/>
            </w:tcBorders>
            <w:tcMar>
              <w:top w:w="22" w:type="dxa"/>
              <w:left w:w="28" w:type="dxa"/>
              <w:bottom w:w="22" w:type="dxa"/>
              <w:right w:w="28" w:type="dxa"/>
            </w:tcMar>
          </w:tcPr>
          <w:p w:rsidR="006B6965" w:rsidRDefault="003A166B" w14:paraId="301E1919" w14:textId="77777777">
            <w:pPr>
              <w:pStyle w:val="p-table"/>
              <w:jc w:val="right"/>
              <w:rPr>
                <w:sz w:val="17"/>
              </w:rPr>
            </w:pPr>
            <w:r>
              <w:rPr>
                <w:i/>
                <w:sz w:val="17"/>
              </w:rPr>
              <w:t>50.901</w:t>
            </w:r>
          </w:p>
        </w:tc>
      </w:tr>
      <w:tr w:rsidR="006B6965" w14:paraId="2CBCD70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A93CE4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35E2534" w14:textId="77777777">
            <w:pPr>
              <w:pStyle w:val="p-table"/>
              <w:rPr>
                <w:sz w:val="17"/>
              </w:rPr>
            </w:pPr>
            <w:r>
              <w:rPr>
                <w:sz w:val="17"/>
              </w:rPr>
              <w:t>van A naar Beter</w:t>
            </w:r>
          </w:p>
        </w:tc>
        <w:tc>
          <w:tcPr>
            <w:tcW w:w="1377" w:type="dxa"/>
            <w:tcBorders>
              <w:bottom w:val="single" w:color="009EE0" w:sz="2" w:space="0"/>
            </w:tcBorders>
            <w:tcMar>
              <w:top w:w="22" w:type="dxa"/>
              <w:left w:w="28" w:type="dxa"/>
              <w:bottom w:w="22" w:type="dxa"/>
              <w:right w:w="28" w:type="dxa"/>
            </w:tcMar>
          </w:tcPr>
          <w:p w:rsidR="006B6965" w:rsidRDefault="003A166B" w14:paraId="2DC635CD" w14:textId="77777777">
            <w:pPr>
              <w:pStyle w:val="p-table"/>
              <w:jc w:val="right"/>
              <w:rPr>
                <w:sz w:val="17"/>
              </w:rPr>
            </w:pPr>
            <w:r>
              <w:rPr>
                <w:sz w:val="17"/>
              </w:rPr>
              <w:t>1.799</w:t>
            </w:r>
          </w:p>
        </w:tc>
        <w:tc>
          <w:tcPr>
            <w:tcW w:w="1377" w:type="dxa"/>
            <w:tcBorders>
              <w:bottom w:val="single" w:color="009EE0" w:sz="2" w:space="0"/>
            </w:tcBorders>
            <w:tcMar>
              <w:top w:w="22" w:type="dxa"/>
              <w:left w:w="28" w:type="dxa"/>
              <w:bottom w:w="22" w:type="dxa"/>
              <w:right w:w="28" w:type="dxa"/>
            </w:tcMar>
          </w:tcPr>
          <w:p w:rsidR="006B6965" w:rsidRDefault="003A166B" w14:paraId="280AC14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FA4B4E7" w14:textId="77777777">
            <w:pPr>
              <w:pStyle w:val="p-table"/>
              <w:jc w:val="right"/>
              <w:rPr>
                <w:sz w:val="17"/>
              </w:rPr>
            </w:pPr>
            <w:r>
              <w:rPr>
                <w:sz w:val="17"/>
              </w:rPr>
              <w:t>1.799</w:t>
            </w:r>
          </w:p>
        </w:tc>
      </w:tr>
      <w:tr w:rsidR="006B6965" w14:paraId="783A109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3925B4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0C54316" w14:textId="77777777">
            <w:pPr>
              <w:pStyle w:val="p-table"/>
              <w:rPr>
                <w:sz w:val="17"/>
              </w:rPr>
            </w:pPr>
            <w:r>
              <w:rPr>
                <w:sz w:val="17"/>
              </w:rPr>
              <w:t xml:space="preserve">Externe juridische </w:t>
            </w:r>
            <w:r>
              <w:rPr>
                <w:sz w:val="17"/>
              </w:rPr>
              <w:t>advisering</w:t>
            </w:r>
          </w:p>
        </w:tc>
        <w:tc>
          <w:tcPr>
            <w:tcW w:w="1377" w:type="dxa"/>
            <w:tcBorders>
              <w:bottom w:val="single" w:color="009EE0" w:sz="2" w:space="0"/>
            </w:tcBorders>
            <w:tcMar>
              <w:top w:w="22" w:type="dxa"/>
              <w:left w:w="28" w:type="dxa"/>
              <w:bottom w:w="22" w:type="dxa"/>
              <w:right w:w="28" w:type="dxa"/>
            </w:tcMar>
          </w:tcPr>
          <w:p w:rsidR="006B6965" w:rsidRDefault="003A166B" w14:paraId="2AAB599E" w14:textId="77777777">
            <w:pPr>
              <w:pStyle w:val="p-table"/>
              <w:jc w:val="right"/>
              <w:rPr>
                <w:sz w:val="17"/>
              </w:rPr>
            </w:pPr>
            <w:r>
              <w:rPr>
                <w:sz w:val="17"/>
              </w:rPr>
              <w:t>2.335</w:t>
            </w:r>
          </w:p>
        </w:tc>
        <w:tc>
          <w:tcPr>
            <w:tcW w:w="1377" w:type="dxa"/>
            <w:tcBorders>
              <w:bottom w:val="single" w:color="009EE0" w:sz="2" w:space="0"/>
            </w:tcBorders>
            <w:tcMar>
              <w:top w:w="22" w:type="dxa"/>
              <w:left w:w="28" w:type="dxa"/>
              <w:bottom w:w="22" w:type="dxa"/>
              <w:right w:w="28" w:type="dxa"/>
            </w:tcMar>
          </w:tcPr>
          <w:p w:rsidR="006B6965" w:rsidRDefault="003A166B" w14:paraId="0A99C5D7" w14:textId="77777777">
            <w:pPr>
              <w:pStyle w:val="p-table"/>
              <w:jc w:val="right"/>
              <w:rPr>
                <w:sz w:val="17"/>
              </w:rPr>
            </w:pPr>
            <w:r>
              <w:rPr>
                <w:sz w:val="17"/>
              </w:rPr>
              <w:t>1.028</w:t>
            </w:r>
          </w:p>
        </w:tc>
        <w:tc>
          <w:tcPr>
            <w:tcW w:w="1377" w:type="dxa"/>
            <w:tcBorders>
              <w:bottom w:val="single" w:color="009EE0" w:sz="2" w:space="0"/>
            </w:tcBorders>
            <w:tcMar>
              <w:top w:w="22" w:type="dxa"/>
              <w:left w:w="28" w:type="dxa"/>
              <w:bottom w:w="22" w:type="dxa"/>
              <w:right w:w="28" w:type="dxa"/>
            </w:tcMar>
          </w:tcPr>
          <w:p w:rsidR="006B6965" w:rsidRDefault="003A166B" w14:paraId="48477400" w14:textId="77777777">
            <w:pPr>
              <w:pStyle w:val="p-table"/>
              <w:jc w:val="right"/>
              <w:rPr>
                <w:sz w:val="17"/>
              </w:rPr>
            </w:pPr>
            <w:r>
              <w:rPr>
                <w:sz w:val="17"/>
              </w:rPr>
              <w:t>3.363</w:t>
            </w:r>
          </w:p>
        </w:tc>
      </w:tr>
      <w:tr w:rsidR="006B6965" w14:paraId="154B163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69C025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A12C383" w14:textId="77777777">
            <w:pPr>
              <w:pStyle w:val="p-table"/>
              <w:rPr>
                <w:sz w:val="17"/>
              </w:rPr>
            </w:pPr>
            <w:r>
              <w:rPr>
                <w:sz w:val="17"/>
              </w:rPr>
              <w:t>Onderzoeken PBL</w:t>
            </w:r>
          </w:p>
        </w:tc>
        <w:tc>
          <w:tcPr>
            <w:tcW w:w="1377" w:type="dxa"/>
            <w:tcBorders>
              <w:bottom w:val="single" w:color="009EE0" w:sz="2" w:space="0"/>
            </w:tcBorders>
            <w:tcMar>
              <w:top w:w="22" w:type="dxa"/>
              <w:left w:w="28" w:type="dxa"/>
              <w:bottom w:w="22" w:type="dxa"/>
              <w:right w:w="28" w:type="dxa"/>
            </w:tcMar>
          </w:tcPr>
          <w:p w:rsidR="006B6965" w:rsidRDefault="003A166B" w14:paraId="0CE32E64" w14:textId="77777777">
            <w:pPr>
              <w:pStyle w:val="p-table"/>
              <w:jc w:val="right"/>
              <w:rPr>
                <w:sz w:val="17"/>
              </w:rPr>
            </w:pPr>
            <w:r>
              <w:rPr>
                <w:sz w:val="17"/>
              </w:rPr>
              <w:t>4.695</w:t>
            </w:r>
          </w:p>
        </w:tc>
        <w:tc>
          <w:tcPr>
            <w:tcW w:w="1377" w:type="dxa"/>
            <w:tcBorders>
              <w:bottom w:val="single" w:color="009EE0" w:sz="2" w:space="0"/>
            </w:tcBorders>
            <w:tcMar>
              <w:top w:w="22" w:type="dxa"/>
              <w:left w:w="28" w:type="dxa"/>
              <w:bottom w:w="22" w:type="dxa"/>
              <w:right w:w="28" w:type="dxa"/>
            </w:tcMar>
          </w:tcPr>
          <w:p w:rsidR="006B6965" w:rsidRDefault="003A166B" w14:paraId="027775D8" w14:textId="77777777">
            <w:pPr>
              <w:pStyle w:val="p-table"/>
              <w:jc w:val="right"/>
              <w:rPr>
                <w:sz w:val="17"/>
              </w:rPr>
            </w:pPr>
            <w:r>
              <w:rPr>
                <w:sz w:val="17"/>
              </w:rPr>
              <w:t>‒</w:t>
            </w:r>
            <w:r>
              <w:rPr>
                <w:sz w:val="17"/>
              </w:rPr>
              <w:t xml:space="preserve"> 54</w:t>
            </w:r>
          </w:p>
        </w:tc>
        <w:tc>
          <w:tcPr>
            <w:tcW w:w="1377" w:type="dxa"/>
            <w:tcBorders>
              <w:bottom w:val="single" w:color="009EE0" w:sz="2" w:space="0"/>
            </w:tcBorders>
            <w:tcMar>
              <w:top w:w="22" w:type="dxa"/>
              <w:left w:w="28" w:type="dxa"/>
              <w:bottom w:w="22" w:type="dxa"/>
              <w:right w:w="28" w:type="dxa"/>
            </w:tcMar>
          </w:tcPr>
          <w:p w:rsidR="006B6965" w:rsidRDefault="003A166B" w14:paraId="3BF085D5" w14:textId="77777777">
            <w:pPr>
              <w:pStyle w:val="p-table"/>
              <w:jc w:val="right"/>
              <w:rPr>
                <w:sz w:val="17"/>
              </w:rPr>
            </w:pPr>
            <w:r>
              <w:rPr>
                <w:sz w:val="17"/>
              </w:rPr>
              <w:t>4.641</w:t>
            </w:r>
          </w:p>
        </w:tc>
      </w:tr>
      <w:tr w:rsidR="006B6965" w14:paraId="3FEFEFF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CA04B0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C6ACF24" w14:textId="77777777">
            <w:pPr>
              <w:pStyle w:val="p-table"/>
              <w:rPr>
                <w:sz w:val="17"/>
              </w:rPr>
            </w:pPr>
            <w:r>
              <w:rPr>
                <w:sz w:val="17"/>
              </w:rPr>
              <w:t>Onderzoeken ANVS</w:t>
            </w:r>
          </w:p>
        </w:tc>
        <w:tc>
          <w:tcPr>
            <w:tcW w:w="1377" w:type="dxa"/>
            <w:tcBorders>
              <w:bottom w:val="single" w:color="009EE0" w:sz="2" w:space="0"/>
            </w:tcBorders>
            <w:tcMar>
              <w:top w:w="22" w:type="dxa"/>
              <w:left w:w="28" w:type="dxa"/>
              <w:bottom w:w="22" w:type="dxa"/>
              <w:right w:w="28" w:type="dxa"/>
            </w:tcMar>
          </w:tcPr>
          <w:p w:rsidR="006B6965" w:rsidRDefault="003A166B" w14:paraId="18996721" w14:textId="77777777">
            <w:pPr>
              <w:pStyle w:val="p-table"/>
              <w:jc w:val="right"/>
              <w:rPr>
                <w:sz w:val="17"/>
              </w:rPr>
            </w:pPr>
            <w:r>
              <w:rPr>
                <w:sz w:val="17"/>
              </w:rPr>
              <w:t>3.761</w:t>
            </w:r>
          </w:p>
        </w:tc>
        <w:tc>
          <w:tcPr>
            <w:tcW w:w="1377" w:type="dxa"/>
            <w:tcBorders>
              <w:bottom w:val="single" w:color="009EE0" w:sz="2" w:space="0"/>
            </w:tcBorders>
            <w:tcMar>
              <w:top w:w="22" w:type="dxa"/>
              <w:left w:w="28" w:type="dxa"/>
              <w:bottom w:w="22" w:type="dxa"/>
              <w:right w:w="28" w:type="dxa"/>
            </w:tcMar>
          </w:tcPr>
          <w:p w:rsidR="006B6965" w:rsidRDefault="003A166B" w14:paraId="501628A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D22ED20" w14:textId="77777777">
            <w:pPr>
              <w:pStyle w:val="p-table"/>
              <w:jc w:val="right"/>
              <w:rPr>
                <w:sz w:val="17"/>
              </w:rPr>
            </w:pPr>
            <w:r>
              <w:rPr>
                <w:sz w:val="17"/>
              </w:rPr>
              <w:t>3.761</w:t>
            </w:r>
          </w:p>
        </w:tc>
      </w:tr>
      <w:tr w:rsidR="006B6965" w14:paraId="5002D81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2D6B76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2475D09" w14:textId="77777777">
            <w:pPr>
              <w:pStyle w:val="p-table"/>
              <w:rPr>
                <w:sz w:val="17"/>
              </w:rPr>
            </w:pPr>
            <w:r>
              <w:rPr>
                <w:sz w:val="17"/>
              </w:rPr>
              <w:t>DCC</w:t>
            </w:r>
          </w:p>
        </w:tc>
        <w:tc>
          <w:tcPr>
            <w:tcW w:w="1377" w:type="dxa"/>
            <w:tcBorders>
              <w:bottom w:val="single" w:color="009EE0" w:sz="2" w:space="0"/>
            </w:tcBorders>
            <w:tcMar>
              <w:top w:w="22" w:type="dxa"/>
              <w:left w:w="28" w:type="dxa"/>
              <w:bottom w:w="22" w:type="dxa"/>
              <w:right w:w="28" w:type="dxa"/>
            </w:tcMar>
          </w:tcPr>
          <w:p w:rsidR="006B6965" w:rsidRDefault="003A166B" w14:paraId="76C9021A" w14:textId="77777777">
            <w:pPr>
              <w:pStyle w:val="p-table"/>
              <w:jc w:val="right"/>
              <w:rPr>
                <w:sz w:val="17"/>
              </w:rPr>
            </w:pPr>
            <w:r>
              <w:rPr>
                <w:sz w:val="17"/>
              </w:rPr>
              <w:t>9.109</w:t>
            </w:r>
          </w:p>
        </w:tc>
        <w:tc>
          <w:tcPr>
            <w:tcW w:w="1377" w:type="dxa"/>
            <w:tcBorders>
              <w:bottom w:val="single" w:color="009EE0" w:sz="2" w:space="0"/>
            </w:tcBorders>
            <w:tcMar>
              <w:top w:w="22" w:type="dxa"/>
              <w:left w:w="28" w:type="dxa"/>
              <w:bottom w:w="22" w:type="dxa"/>
              <w:right w:w="28" w:type="dxa"/>
            </w:tcMar>
          </w:tcPr>
          <w:p w:rsidR="006B6965" w:rsidRDefault="003A166B" w14:paraId="18628580" w14:textId="77777777">
            <w:pPr>
              <w:pStyle w:val="p-table"/>
              <w:jc w:val="right"/>
              <w:rPr>
                <w:sz w:val="17"/>
              </w:rPr>
            </w:pPr>
            <w:r>
              <w:rPr>
                <w:sz w:val="17"/>
              </w:rPr>
              <w:t>120</w:t>
            </w:r>
          </w:p>
        </w:tc>
        <w:tc>
          <w:tcPr>
            <w:tcW w:w="1377" w:type="dxa"/>
            <w:tcBorders>
              <w:bottom w:val="single" w:color="009EE0" w:sz="2" w:space="0"/>
            </w:tcBorders>
            <w:tcMar>
              <w:top w:w="22" w:type="dxa"/>
              <w:left w:w="28" w:type="dxa"/>
              <w:bottom w:w="22" w:type="dxa"/>
              <w:right w:w="28" w:type="dxa"/>
            </w:tcMar>
          </w:tcPr>
          <w:p w:rsidR="006B6965" w:rsidRDefault="003A166B" w14:paraId="16A84244" w14:textId="77777777">
            <w:pPr>
              <w:pStyle w:val="p-table"/>
              <w:jc w:val="right"/>
              <w:rPr>
                <w:sz w:val="17"/>
              </w:rPr>
            </w:pPr>
            <w:r>
              <w:rPr>
                <w:sz w:val="17"/>
              </w:rPr>
              <w:t>9.229</w:t>
            </w:r>
          </w:p>
        </w:tc>
      </w:tr>
      <w:tr w:rsidR="006B6965" w14:paraId="74F54E3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82986D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C2773DA" w14:textId="77777777">
            <w:pPr>
              <w:pStyle w:val="p-table"/>
              <w:rPr>
                <w:sz w:val="17"/>
              </w:rPr>
            </w:pPr>
            <w:r>
              <w:rPr>
                <w:sz w:val="17"/>
              </w:rPr>
              <w:t>Regeringsvliegtuig</w:t>
            </w:r>
          </w:p>
        </w:tc>
        <w:tc>
          <w:tcPr>
            <w:tcW w:w="1377" w:type="dxa"/>
            <w:tcBorders>
              <w:bottom w:val="single" w:color="009EE0" w:sz="2" w:space="0"/>
            </w:tcBorders>
            <w:tcMar>
              <w:top w:w="22" w:type="dxa"/>
              <w:left w:w="28" w:type="dxa"/>
              <w:bottom w:w="22" w:type="dxa"/>
              <w:right w:w="28" w:type="dxa"/>
            </w:tcMar>
          </w:tcPr>
          <w:p w:rsidR="006B6965" w:rsidRDefault="003A166B" w14:paraId="60942213" w14:textId="77777777">
            <w:pPr>
              <w:pStyle w:val="p-table"/>
              <w:jc w:val="right"/>
              <w:rPr>
                <w:sz w:val="17"/>
              </w:rPr>
            </w:pPr>
            <w:r>
              <w:rPr>
                <w:sz w:val="17"/>
              </w:rPr>
              <w:t>11.125</w:t>
            </w:r>
          </w:p>
        </w:tc>
        <w:tc>
          <w:tcPr>
            <w:tcW w:w="1377" w:type="dxa"/>
            <w:tcBorders>
              <w:bottom w:val="single" w:color="009EE0" w:sz="2" w:space="0"/>
            </w:tcBorders>
            <w:tcMar>
              <w:top w:w="22" w:type="dxa"/>
              <w:left w:w="28" w:type="dxa"/>
              <w:bottom w:w="22" w:type="dxa"/>
              <w:right w:w="28" w:type="dxa"/>
            </w:tcMar>
          </w:tcPr>
          <w:p w:rsidR="006B6965" w:rsidRDefault="003A166B" w14:paraId="2DEC0F5E" w14:textId="77777777">
            <w:pPr>
              <w:pStyle w:val="p-table"/>
              <w:jc w:val="right"/>
              <w:rPr>
                <w:sz w:val="17"/>
              </w:rPr>
            </w:pPr>
            <w:r>
              <w:rPr>
                <w:sz w:val="17"/>
              </w:rPr>
              <w:t>5.126</w:t>
            </w:r>
          </w:p>
        </w:tc>
        <w:tc>
          <w:tcPr>
            <w:tcW w:w="1377" w:type="dxa"/>
            <w:tcBorders>
              <w:bottom w:val="single" w:color="009EE0" w:sz="2" w:space="0"/>
            </w:tcBorders>
            <w:tcMar>
              <w:top w:w="22" w:type="dxa"/>
              <w:left w:w="28" w:type="dxa"/>
              <w:bottom w:w="22" w:type="dxa"/>
              <w:right w:w="28" w:type="dxa"/>
            </w:tcMar>
          </w:tcPr>
          <w:p w:rsidR="006B6965" w:rsidRDefault="003A166B" w14:paraId="5416422B" w14:textId="77777777">
            <w:pPr>
              <w:pStyle w:val="p-table"/>
              <w:jc w:val="right"/>
              <w:rPr>
                <w:sz w:val="17"/>
              </w:rPr>
            </w:pPr>
            <w:r>
              <w:rPr>
                <w:sz w:val="17"/>
              </w:rPr>
              <w:t>16.251</w:t>
            </w:r>
          </w:p>
        </w:tc>
      </w:tr>
      <w:tr w:rsidR="006B6965" w14:paraId="041256A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1C6E26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5E899CE" w14:textId="77777777">
            <w:pPr>
              <w:pStyle w:val="p-table"/>
              <w:rPr>
                <w:sz w:val="17"/>
              </w:rPr>
            </w:pPr>
            <w:r>
              <w:rPr>
                <w:sz w:val="17"/>
              </w:rPr>
              <w:t>Overige opdrachten</w:t>
            </w:r>
          </w:p>
        </w:tc>
        <w:tc>
          <w:tcPr>
            <w:tcW w:w="1377" w:type="dxa"/>
            <w:tcBorders>
              <w:bottom w:val="single" w:color="009EE0" w:sz="2" w:space="0"/>
            </w:tcBorders>
            <w:tcMar>
              <w:top w:w="22" w:type="dxa"/>
              <w:left w:w="28" w:type="dxa"/>
              <w:bottom w:w="22" w:type="dxa"/>
              <w:right w:w="28" w:type="dxa"/>
            </w:tcMar>
          </w:tcPr>
          <w:p w:rsidR="006B6965" w:rsidRDefault="003A166B" w14:paraId="07614E81" w14:textId="77777777">
            <w:pPr>
              <w:pStyle w:val="p-table"/>
              <w:jc w:val="right"/>
              <w:rPr>
                <w:sz w:val="17"/>
              </w:rPr>
            </w:pPr>
            <w:r>
              <w:rPr>
                <w:sz w:val="17"/>
              </w:rPr>
              <w:t>12.877</w:t>
            </w:r>
          </w:p>
        </w:tc>
        <w:tc>
          <w:tcPr>
            <w:tcW w:w="1377" w:type="dxa"/>
            <w:tcBorders>
              <w:bottom w:val="single" w:color="009EE0" w:sz="2" w:space="0"/>
            </w:tcBorders>
            <w:tcMar>
              <w:top w:w="22" w:type="dxa"/>
              <w:left w:w="28" w:type="dxa"/>
              <w:bottom w:w="22" w:type="dxa"/>
              <w:right w:w="28" w:type="dxa"/>
            </w:tcMar>
          </w:tcPr>
          <w:p w:rsidR="006B6965" w:rsidRDefault="003A166B" w14:paraId="3B0D6D1A" w14:textId="77777777">
            <w:pPr>
              <w:pStyle w:val="p-table"/>
              <w:jc w:val="right"/>
              <w:rPr>
                <w:sz w:val="17"/>
              </w:rPr>
            </w:pPr>
            <w:r>
              <w:rPr>
                <w:sz w:val="17"/>
              </w:rPr>
              <w:t>‒</w:t>
            </w:r>
            <w:r>
              <w:rPr>
                <w:sz w:val="17"/>
              </w:rPr>
              <w:t xml:space="preserve"> 1.020</w:t>
            </w:r>
          </w:p>
        </w:tc>
        <w:tc>
          <w:tcPr>
            <w:tcW w:w="1377" w:type="dxa"/>
            <w:tcBorders>
              <w:bottom w:val="single" w:color="009EE0" w:sz="2" w:space="0"/>
            </w:tcBorders>
            <w:tcMar>
              <w:top w:w="22" w:type="dxa"/>
              <w:left w:w="28" w:type="dxa"/>
              <w:bottom w:w="22" w:type="dxa"/>
              <w:right w:w="28" w:type="dxa"/>
            </w:tcMar>
          </w:tcPr>
          <w:p w:rsidR="006B6965" w:rsidRDefault="003A166B" w14:paraId="0D1F47CE" w14:textId="77777777">
            <w:pPr>
              <w:pStyle w:val="p-table"/>
              <w:jc w:val="right"/>
              <w:rPr>
                <w:sz w:val="17"/>
              </w:rPr>
            </w:pPr>
            <w:r>
              <w:rPr>
                <w:sz w:val="17"/>
              </w:rPr>
              <w:t>11.857</w:t>
            </w:r>
          </w:p>
        </w:tc>
      </w:tr>
      <w:tr w:rsidR="006B6965" w14:paraId="5C0EC13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E92C33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F59106A" w14:textId="77777777">
            <w:pPr>
              <w:pStyle w:val="p-table"/>
              <w:rPr>
                <w:sz w:val="17"/>
              </w:rPr>
            </w:pPr>
            <w:r>
              <w:rPr>
                <w:i/>
                <w:sz w:val="17"/>
              </w:rPr>
              <w:t>Subsidies (regelingen)</w:t>
            </w:r>
          </w:p>
        </w:tc>
        <w:tc>
          <w:tcPr>
            <w:tcW w:w="1377" w:type="dxa"/>
            <w:tcBorders>
              <w:bottom w:val="single" w:color="009EE0" w:sz="2" w:space="0"/>
            </w:tcBorders>
            <w:tcMar>
              <w:top w:w="22" w:type="dxa"/>
              <w:left w:w="28" w:type="dxa"/>
              <w:bottom w:w="22" w:type="dxa"/>
              <w:right w:w="28" w:type="dxa"/>
            </w:tcMar>
          </w:tcPr>
          <w:p w:rsidR="006B6965" w:rsidRDefault="003A166B" w14:paraId="46D7AC1E" w14:textId="77777777">
            <w:pPr>
              <w:pStyle w:val="p-table"/>
              <w:jc w:val="right"/>
              <w:rPr>
                <w:sz w:val="17"/>
              </w:rPr>
            </w:pPr>
            <w:r>
              <w:rPr>
                <w:i/>
                <w:sz w:val="17"/>
              </w:rPr>
              <w:t>29</w:t>
            </w:r>
          </w:p>
        </w:tc>
        <w:tc>
          <w:tcPr>
            <w:tcW w:w="1377" w:type="dxa"/>
            <w:tcBorders>
              <w:bottom w:val="single" w:color="009EE0" w:sz="2" w:space="0"/>
            </w:tcBorders>
            <w:tcMar>
              <w:top w:w="22" w:type="dxa"/>
              <w:left w:w="28" w:type="dxa"/>
              <w:bottom w:w="22" w:type="dxa"/>
              <w:right w:w="28" w:type="dxa"/>
            </w:tcMar>
          </w:tcPr>
          <w:p w:rsidR="006B6965" w:rsidRDefault="003A166B" w14:paraId="5AF2CD3E"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2FB8B544" w14:textId="77777777">
            <w:pPr>
              <w:pStyle w:val="p-table"/>
              <w:jc w:val="right"/>
              <w:rPr>
                <w:sz w:val="17"/>
              </w:rPr>
            </w:pPr>
            <w:r>
              <w:rPr>
                <w:i/>
                <w:sz w:val="17"/>
              </w:rPr>
              <w:t>29</w:t>
            </w:r>
          </w:p>
        </w:tc>
      </w:tr>
      <w:tr w:rsidR="006B6965" w14:paraId="58AD438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D16B70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B77E71A" w14:textId="77777777">
            <w:pPr>
              <w:pStyle w:val="p-table"/>
              <w:rPr>
                <w:sz w:val="17"/>
              </w:rPr>
            </w:pPr>
            <w:r>
              <w:rPr>
                <w:sz w:val="17"/>
              </w:rPr>
              <w:t xml:space="preserve">Overige </w:t>
            </w:r>
            <w:r>
              <w:rPr>
                <w:sz w:val="17"/>
              </w:rPr>
              <w:t>subsidies</w:t>
            </w:r>
          </w:p>
        </w:tc>
        <w:tc>
          <w:tcPr>
            <w:tcW w:w="1377" w:type="dxa"/>
            <w:tcBorders>
              <w:bottom w:val="single" w:color="009EE0" w:sz="2" w:space="0"/>
            </w:tcBorders>
            <w:tcMar>
              <w:top w:w="22" w:type="dxa"/>
              <w:left w:w="28" w:type="dxa"/>
              <w:bottom w:w="22" w:type="dxa"/>
              <w:right w:w="28" w:type="dxa"/>
            </w:tcMar>
          </w:tcPr>
          <w:p w:rsidR="006B6965" w:rsidRDefault="003A166B" w14:paraId="31E99156" w14:textId="77777777">
            <w:pPr>
              <w:pStyle w:val="p-table"/>
              <w:jc w:val="right"/>
              <w:rPr>
                <w:sz w:val="17"/>
              </w:rPr>
            </w:pPr>
            <w:r>
              <w:rPr>
                <w:sz w:val="17"/>
              </w:rPr>
              <w:t>29</w:t>
            </w:r>
          </w:p>
        </w:tc>
        <w:tc>
          <w:tcPr>
            <w:tcW w:w="1377" w:type="dxa"/>
            <w:tcBorders>
              <w:bottom w:val="single" w:color="009EE0" w:sz="2" w:space="0"/>
            </w:tcBorders>
            <w:tcMar>
              <w:top w:w="22" w:type="dxa"/>
              <w:left w:w="28" w:type="dxa"/>
              <w:bottom w:w="22" w:type="dxa"/>
              <w:right w:w="28" w:type="dxa"/>
            </w:tcMar>
          </w:tcPr>
          <w:p w:rsidR="006B6965" w:rsidRDefault="003A166B" w14:paraId="68794F4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10E2679A" w14:textId="77777777">
            <w:pPr>
              <w:pStyle w:val="p-table"/>
              <w:jc w:val="right"/>
              <w:rPr>
                <w:sz w:val="17"/>
              </w:rPr>
            </w:pPr>
            <w:r>
              <w:rPr>
                <w:sz w:val="17"/>
              </w:rPr>
              <w:t>29</w:t>
            </w:r>
          </w:p>
        </w:tc>
      </w:tr>
      <w:tr w:rsidR="006B6965" w14:paraId="6E4EB7E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A038D6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5552EBE" w14:textId="77777777">
            <w:pPr>
              <w:pStyle w:val="p-table"/>
              <w:rPr>
                <w:sz w:val="17"/>
              </w:rPr>
            </w:pPr>
            <w:r>
              <w:rPr>
                <w:i/>
                <w:sz w:val="17"/>
              </w:rPr>
              <w:t>Bijdrage aan agentschappen</w:t>
            </w:r>
          </w:p>
        </w:tc>
        <w:tc>
          <w:tcPr>
            <w:tcW w:w="1377" w:type="dxa"/>
            <w:tcBorders>
              <w:bottom w:val="single" w:color="009EE0" w:sz="2" w:space="0"/>
            </w:tcBorders>
            <w:tcMar>
              <w:top w:w="22" w:type="dxa"/>
              <w:left w:w="28" w:type="dxa"/>
              <w:bottom w:w="22" w:type="dxa"/>
              <w:right w:w="28" w:type="dxa"/>
            </w:tcMar>
          </w:tcPr>
          <w:p w:rsidR="006B6965" w:rsidRDefault="003A166B" w14:paraId="6FEF05F0" w14:textId="77777777">
            <w:pPr>
              <w:pStyle w:val="p-table"/>
              <w:jc w:val="right"/>
              <w:rPr>
                <w:sz w:val="17"/>
              </w:rPr>
            </w:pPr>
            <w:r>
              <w:rPr>
                <w:i/>
                <w:sz w:val="17"/>
              </w:rPr>
              <w:t>15.165</w:t>
            </w:r>
          </w:p>
        </w:tc>
        <w:tc>
          <w:tcPr>
            <w:tcW w:w="1377" w:type="dxa"/>
            <w:tcBorders>
              <w:bottom w:val="single" w:color="009EE0" w:sz="2" w:space="0"/>
            </w:tcBorders>
            <w:tcMar>
              <w:top w:w="22" w:type="dxa"/>
              <w:left w:w="28" w:type="dxa"/>
              <w:bottom w:w="22" w:type="dxa"/>
              <w:right w:w="28" w:type="dxa"/>
            </w:tcMar>
          </w:tcPr>
          <w:p w:rsidR="006B6965" w:rsidRDefault="003A166B" w14:paraId="3FC3BD00" w14:textId="77777777">
            <w:pPr>
              <w:pStyle w:val="p-table"/>
              <w:jc w:val="right"/>
              <w:rPr>
                <w:sz w:val="17"/>
              </w:rPr>
            </w:pPr>
            <w:r>
              <w:rPr>
                <w:i/>
                <w:sz w:val="17"/>
              </w:rPr>
              <w:t>138</w:t>
            </w:r>
          </w:p>
        </w:tc>
        <w:tc>
          <w:tcPr>
            <w:tcW w:w="1377" w:type="dxa"/>
            <w:tcBorders>
              <w:bottom w:val="single" w:color="009EE0" w:sz="2" w:space="0"/>
            </w:tcBorders>
            <w:tcMar>
              <w:top w:w="22" w:type="dxa"/>
              <w:left w:w="28" w:type="dxa"/>
              <w:bottom w:w="22" w:type="dxa"/>
              <w:right w:w="28" w:type="dxa"/>
            </w:tcMar>
          </w:tcPr>
          <w:p w:rsidR="006B6965" w:rsidRDefault="003A166B" w14:paraId="533689BB" w14:textId="77777777">
            <w:pPr>
              <w:pStyle w:val="p-table"/>
              <w:jc w:val="right"/>
              <w:rPr>
                <w:sz w:val="17"/>
              </w:rPr>
            </w:pPr>
            <w:r>
              <w:rPr>
                <w:i/>
                <w:sz w:val="17"/>
              </w:rPr>
              <w:t>15.303</w:t>
            </w:r>
          </w:p>
        </w:tc>
      </w:tr>
      <w:tr w:rsidR="006B6965" w14:paraId="5A8C3E5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CF1109F"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7179488" w14:textId="77777777">
            <w:pPr>
              <w:pStyle w:val="p-table"/>
              <w:rPr>
                <w:sz w:val="17"/>
              </w:rPr>
            </w:pPr>
            <w:r>
              <w:rPr>
                <w:sz w:val="17"/>
              </w:rPr>
              <w:t>Bijdrage aan agentschap RWS</w:t>
            </w:r>
          </w:p>
        </w:tc>
        <w:tc>
          <w:tcPr>
            <w:tcW w:w="1377" w:type="dxa"/>
            <w:tcBorders>
              <w:bottom w:val="single" w:color="009EE0" w:sz="2" w:space="0"/>
            </w:tcBorders>
            <w:tcMar>
              <w:top w:w="22" w:type="dxa"/>
              <w:left w:w="28" w:type="dxa"/>
              <w:bottom w:w="22" w:type="dxa"/>
              <w:right w:w="28" w:type="dxa"/>
            </w:tcMar>
          </w:tcPr>
          <w:p w:rsidR="006B6965" w:rsidRDefault="003A166B" w14:paraId="4EA9E70B" w14:textId="77777777">
            <w:pPr>
              <w:pStyle w:val="p-table"/>
              <w:jc w:val="right"/>
              <w:rPr>
                <w:sz w:val="17"/>
              </w:rPr>
            </w:pPr>
            <w:r>
              <w:rPr>
                <w:sz w:val="17"/>
              </w:rPr>
              <w:t>3.342</w:t>
            </w:r>
          </w:p>
        </w:tc>
        <w:tc>
          <w:tcPr>
            <w:tcW w:w="1377" w:type="dxa"/>
            <w:tcBorders>
              <w:bottom w:val="single" w:color="009EE0" w:sz="2" w:space="0"/>
            </w:tcBorders>
            <w:tcMar>
              <w:top w:w="22" w:type="dxa"/>
              <w:left w:w="28" w:type="dxa"/>
              <w:bottom w:w="22" w:type="dxa"/>
              <w:right w:w="28" w:type="dxa"/>
            </w:tcMar>
          </w:tcPr>
          <w:p w:rsidR="006B6965" w:rsidRDefault="003A166B" w14:paraId="67116F54" w14:textId="77777777">
            <w:pPr>
              <w:pStyle w:val="p-table"/>
              <w:jc w:val="right"/>
              <w:rPr>
                <w:sz w:val="17"/>
              </w:rPr>
            </w:pPr>
            <w:r>
              <w:rPr>
                <w:sz w:val="17"/>
              </w:rPr>
              <w:t>138</w:t>
            </w:r>
          </w:p>
        </w:tc>
        <w:tc>
          <w:tcPr>
            <w:tcW w:w="1377" w:type="dxa"/>
            <w:tcBorders>
              <w:bottom w:val="single" w:color="009EE0" w:sz="2" w:space="0"/>
            </w:tcBorders>
            <w:tcMar>
              <w:top w:w="22" w:type="dxa"/>
              <w:left w:w="28" w:type="dxa"/>
              <w:bottom w:w="22" w:type="dxa"/>
              <w:right w:w="28" w:type="dxa"/>
            </w:tcMar>
          </w:tcPr>
          <w:p w:rsidR="006B6965" w:rsidRDefault="003A166B" w14:paraId="22E8DDA8" w14:textId="77777777">
            <w:pPr>
              <w:pStyle w:val="p-table"/>
              <w:jc w:val="right"/>
              <w:rPr>
                <w:sz w:val="17"/>
              </w:rPr>
            </w:pPr>
            <w:r>
              <w:rPr>
                <w:sz w:val="17"/>
              </w:rPr>
              <w:t>3.480</w:t>
            </w:r>
          </w:p>
        </w:tc>
      </w:tr>
      <w:tr w:rsidR="006B6965" w14:paraId="365240C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1404DF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AFB1B8D" w14:textId="77777777">
            <w:pPr>
              <w:pStyle w:val="p-table"/>
              <w:rPr>
                <w:sz w:val="17"/>
              </w:rPr>
            </w:pPr>
            <w:r>
              <w:rPr>
                <w:sz w:val="17"/>
              </w:rPr>
              <w:t>Bijdrage aan agentschap KNMI</w:t>
            </w:r>
          </w:p>
        </w:tc>
        <w:tc>
          <w:tcPr>
            <w:tcW w:w="1377" w:type="dxa"/>
            <w:tcBorders>
              <w:bottom w:val="single" w:color="009EE0" w:sz="2" w:space="0"/>
            </w:tcBorders>
            <w:tcMar>
              <w:top w:w="22" w:type="dxa"/>
              <w:left w:w="28" w:type="dxa"/>
              <w:bottom w:w="22" w:type="dxa"/>
              <w:right w:w="28" w:type="dxa"/>
            </w:tcMar>
          </w:tcPr>
          <w:p w:rsidR="006B6965" w:rsidRDefault="003A166B" w14:paraId="7E5CB381" w14:textId="77777777">
            <w:pPr>
              <w:pStyle w:val="p-table"/>
              <w:jc w:val="right"/>
              <w:rPr>
                <w:sz w:val="17"/>
              </w:rPr>
            </w:pPr>
            <w:r>
              <w:rPr>
                <w:sz w:val="17"/>
              </w:rPr>
              <w:t>3.182</w:t>
            </w:r>
          </w:p>
        </w:tc>
        <w:tc>
          <w:tcPr>
            <w:tcW w:w="1377" w:type="dxa"/>
            <w:tcBorders>
              <w:bottom w:val="single" w:color="009EE0" w:sz="2" w:space="0"/>
            </w:tcBorders>
            <w:tcMar>
              <w:top w:w="22" w:type="dxa"/>
              <w:left w:w="28" w:type="dxa"/>
              <w:bottom w:w="22" w:type="dxa"/>
              <w:right w:w="28" w:type="dxa"/>
            </w:tcMar>
          </w:tcPr>
          <w:p w:rsidR="006B6965" w:rsidRDefault="003A166B" w14:paraId="455F606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702826B" w14:textId="77777777">
            <w:pPr>
              <w:pStyle w:val="p-table"/>
              <w:jc w:val="right"/>
              <w:rPr>
                <w:sz w:val="17"/>
              </w:rPr>
            </w:pPr>
            <w:r>
              <w:rPr>
                <w:sz w:val="17"/>
              </w:rPr>
              <w:t>3.182</w:t>
            </w:r>
          </w:p>
        </w:tc>
      </w:tr>
      <w:tr w:rsidR="006B6965" w14:paraId="65B6C06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C8AE59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7966B2E" w14:textId="77777777">
            <w:pPr>
              <w:pStyle w:val="p-table"/>
              <w:rPr>
                <w:sz w:val="17"/>
              </w:rPr>
            </w:pPr>
            <w:r>
              <w:rPr>
                <w:sz w:val="17"/>
              </w:rPr>
              <w:t>Overige bijdragen</w:t>
            </w:r>
          </w:p>
        </w:tc>
        <w:tc>
          <w:tcPr>
            <w:tcW w:w="1377" w:type="dxa"/>
            <w:tcBorders>
              <w:bottom w:val="single" w:color="009EE0" w:sz="2" w:space="0"/>
            </w:tcBorders>
            <w:tcMar>
              <w:top w:w="22" w:type="dxa"/>
              <w:left w:w="28" w:type="dxa"/>
              <w:bottom w:w="22" w:type="dxa"/>
              <w:right w:w="28" w:type="dxa"/>
            </w:tcMar>
          </w:tcPr>
          <w:p w:rsidR="006B6965" w:rsidRDefault="003A166B" w14:paraId="709AACAF" w14:textId="77777777">
            <w:pPr>
              <w:pStyle w:val="p-table"/>
              <w:jc w:val="right"/>
              <w:rPr>
                <w:sz w:val="17"/>
              </w:rPr>
            </w:pPr>
            <w:r>
              <w:rPr>
                <w:sz w:val="17"/>
              </w:rPr>
              <w:t>8.641</w:t>
            </w:r>
          </w:p>
        </w:tc>
        <w:tc>
          <w:tcPr>
            <w:tcW w:w="1377" w:type="dxa"/>
            <w:tcBorders>
              <w:bottom w:val="single" w:color="009EE0" w:sz="2" w:space="0"/>
            </w:tcBorders>
            <w:tcMar>
              <w:top w:w="22" w:type="dxa"/>
              <w:left w:w="28" w:type="dxa"/>
              <w:bottom w:w="22" w:type="dxa"/>
              <w:right w:w="28" w:type="dxa"/>
            </w:tcMar>
          </w:tcPr>
          <w:p w:rsidR="006B6965" w:rsidRDefault="003A166B" w14:paraId="78DFA1C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64DE77F" w14:textId="77777777">
            <w:pPr>
              <w:pStyle w:val="p-table"/>
              <w:jc w:val="right"/>
              <w:rPr>
                <w:sz w:val="17"/>
              </w:rPr>
            </w:pPr>
            <w:r>
              <w:rPr>
                <w:sz w:val="17"/>
              </w:rPr>
              <w:t>8.641</w:t>
            </w:r>
          </w:p>
        </w:tc>
      </w:tr>
      <w:tr w:rsidR="006B6965" w14:paraId="117C12B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2EFF7A38" w14:textId="77777777">
            <w:pPr>
              <w:pStyle w:val="p-table"/>
              <w:rPr>
                <w:sz w:val="17"/>
              </w:rPr>
            </w:pPr>
            <w:r>
              <w:rPr>
                <w:b/>
                <w:sz w:val="17"/>
              </w:rPr>
              <w:t>97.3</w:t>
            </w:r>
          </w:p>
        </w:tc>
        <w:tc>
          <w:tcPr>
            <w:tcW w:w="4590" w:type="dxa"/>
            <w:tcBorders>
              <w:bottom w:val="single" w:color="009EE0" w:sz="2" w:space="0"/>
            </w:tcBorders>
            <w:tcMar>
              <w:top w:w="22" w:type="dxa"/>
              <w:left w:w="28" w:type="dxa"/>
              <w:bottom w:w="22" w:type="dxa"/>
              <w:right w:w="28" w:type="dxa"/>
            </w:tcMar>
          </w:tcPr>
          <w:p w:rsidR="006B6965" w:rsidRDefault="003A166B" w14:paraId="1A009189" w14:textId="77777777">
            <w:pPr>
              <w:pStyle w:val="p-table"/>
              <w:rPr>
                <w:sz w:val="17"/>
              </w:rPr>
            </w:pPr>
            <w:r>
              <w:rPr>
                <w:b/>
                <w:sz w:val="17"/>
              </w:rPr>
              <w:t>Testen reizigers</w:t>
            </w:r>
          </w:p>
        </w:tc>
        <w:tc>
          <w:tcPr>
            <w:tcW w:w="1377" w:type="dxa"/>
            <w:tcBorders>
              <w:bottom w:val="single" w:color="009EE0" w:sz="2" w:space="0"/>
            </w:tcBorders>
            <w:tcMar>
              <w:top w:w="22" w:type="dxa"/>
              <w:left w:w="28" w:type="dxa"/>
              <w:bottom w:w="22" w:type="dxa"/>
              <w:right w:w="28" w:type="dxa"/>
            </w:tcMar>
          </w:tcPr>
          <w:p w:rsidR="006B6965" w:rsidRDefault="003A166B" w14:paraId="22DBEA6C" w14:textId="77777777">
            <w:pPr>
              <w:pStyle w:val="p-table"/>
              <w:jc w:val="right"/>
              <w:rPr>
                <w:sz w:val="17"/>
              </w:rPr>
            </w:pPr>
            <w:r>
              <w:rPr>
                <w:b/>
                <w:sz w:val="17"/>
              </w:rPr>
              <w:t>2.978</w:t>
            </w:r>
          </w:p>
        </w:tc>
        <w:tc>
          <w:tcPr>
            <w:tcW w:w="1377" w:type="dxa"/>
            <w:tcBorders>
              <w:bottom w:val="single" w:color="009EE0" w:sz="2" w:space="0"/>
            </w:tcBorders>
            <w:tcMar>
              <w:top w:w="22" w:type="dxa"/>
              <w:left w:w="28" w:type="dxa"/>
              <w:bottom w:w="22" w:type="dxa"/>
              <w:right w:w="28" w:type="dxa"/>
            </w:tcMar>
          </w:tcPr>
          <w:p w:rsidR="006B6965" w:rsidRDefault="003A166B" w14:paraId="69BCE6CE"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EEF682C" w14:textId="77777777">
            <w:pPr>
              <w:pStyle w:val="p-table"/>
              <w:jc w:val="right"/>
              <w:rPr>
                <w:sz w:val="17"/>
              </w:rPr>
            </w:pPr>
            <w:r>
              <w:rPr>
                <w:b/>
                <w:sz w:val="17"/>
              </w:rPr>
              <w:t>2.978</w:t>
            </w:r>
          </w:p>
        </w:tc>
      </w:tr>
      <w:tr w:rsidR="006B6965" w14:paraId="063F4D3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5FE6A8D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EE7CF9E" w14:textId="77777777">
            <w:pPr>
              <w:pStyle w:val="p-table"/>
              <w:rPr>
                <w:sz w:val="17"/>
              </w:rPr>
            </w:pPr>
            <w:r>
              <w:rPr>
                <w:i/>
                <w:sz w:val="17"/>
              </w:rPr>
              <w:t>Opdrachten</w:t>
            </w:r>
          </w:p>
        </w:tc>
        <w:tc>
          <w:tcPr>
            <w:tcW w:w="1377" w:type="dxa"/>
            <w:tcBorders>
              <w:bottom w:val="single" w:color="009EE0" w:sz="2" w:space="0"/>
            </w:tcBorders>
            <w:tcMar>
              <w:top w:w="22" w:type="dxa"/>
              <w:left w:w="28" w:type="dxa"/>
              <w:bottom w:w="22" w:type="dxa"/>
              <w:right w:w="28" w:type="dxa"/>
            </w:tcMar>
          </w:tcPr>
          <w:p w:rsidR="006B6965" w:rsidRDefault="003A166B" w14:paraId="0E14AAE1" w14:textId="77777777">
            <w:pPr>
              <w:pStyle w:val="p-table"/>
              <w:jc w:val="right"/>
              <w:rPr>
                <w:sz w:val="17"/>
              </w:rPr>
            </w:pPr>
            <w:r>
              <w:rPr>
                <w:i/>
                <w:sz w:val="17"/>
              </w:rPr>
              <w:t>2.978</w:t>
            </w:r>
          </w:p>
        </w:tc>
        <w:tc>
          <w:tcPr>
            <w:tcW w:w="1377" w:type="dxa"/>
            <w:tcBorders>
              <w:bottom w:val="single" w:color="009EE0" w:sz="2" w:space="0"/>
            </w:tcBorders>
            <w:tcMar>
              <w:top w:w="22" w:type="dxa"/>
              <w:left w:w="28" w:type="dxa"/>
              <w:bottom w:w="22" w:type="dxa"/>
              <w:right w:w="28" w:type="dxa"/>
            </w:tcMar>
          </w:tcPr>
          <w:p w:rsidR="006B6965" w:rsidRDefault="003A166B" w14:paraId="49EC4258"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07BA0430" w14:textId="77777777">
            <w:pPr>
              <w:pStyle w:val="p-table"/>
              <w:jc w:val="right"/>
              <w:rPr>
                <w:sz w:val="17"/>
              </w:rPr>
            </w:pPr>
            <w:r>
              <w:rPr>
                <w:i/>
                <w:sz w:val="17"/>
              </w:rPr>
              <w:t>2.978</w:t>
            </w:r>
          </w:p>
        </w:tc>
      </w:tr>
      <w:tr w:rsidR="006B6965" w14:paraId="692DBF0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5826EDB"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7E397A8" w14:textId="77777777">
            <w:pPr>
              <w:pStyle w:val="p-table"/>
              <w:rPr>
                <w:sz w:val="17"/>
              </w:rPr>
            </w:pPr>
            <w:r>
              <w:rPr>
                <w:sz w:val="17"/>
              </w:rPr>
              <w:t>Testen COVID-19</w:t>
            </w:r>
          </w:p>
        </w:tc>
        <w:tc>
          <w:tcPr>
            <w:tcW w:w="1377" w:type="dxa"/>
            <w:tcBorders>
              <w:bottom w:val="single" w:color="009EE0" w:sz="2" w:space="0"/>
            </w:tcBorders>
            <w:tcMar>
              <w:top w:w="22" w:type="dxa"/>
              <w:left w:w="28" w:type="dxa"/>
              <w:bottom w:w="22" w:type="dxa"/>
              <w:right w:w="28" w:type="dxa"/>
            </w:tcMar>
          </w:tcPr>
          <w:p w:rsidR="006B6965" w:rsidRDefault="003A166B" w14:paraId="313DE88A" w14:textId="77777777">
            <w:pPr>
              <w:pStyle w:val="p-table"/>
              <w:jc w:val="right"/>
              <w:rPr>
                <w:sz w:val="17"/>
              </w:rPr>
            </w:pPr>
            <w:r>
              <w:rPr>
                <w:sz w:val="17"/>
              </w:rPr>
              <w:t>2.978</w:t>
            </w:r>
          </w:p>
        </w:tc>
        <w:tc>
          <w:tcPr>
            <w:tcW w:w="1377" w:type="dxa"/>
            <w:tcBorders>
              <w:bottom w:val="single" w:color="009EE0" w:sz="2" w:space="0"/>
            </w:tcBorders>
            <w:tcMar>
              <w:top w:w="22" w:type="dxa"/>
              <w:left w:w="28" w:type="dxa"/>
              <w:bottom w:w="22" w:type="dxa"/>
              <w:right w:w="28" w:type="dxa"/>
            </w:tcMar>
          </w:tcPr>
          <w:p w:rsidR="006B6965" w:rsidRDefault="003A166B" w14:paraId="2F0ECE2D"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6608583B" w14:textId="77777777">
            <w:pPr>
              <w:pStyle w:val="p-table"/>
              <w:jc w:val="right"/>
              <w:rPr>
                <w:sz w:val="17"/>
              </w:rPr>
            </w:pPr>
            <w:r>
              <w:rPr>
                <w:sz w:val="17"/>
              </w:rPr>
              <w:t>2.978</w:t>
            </w:r>
          </w:p>
        </w:tc>
      </w:tr>
      <w:tr w:rsidR="006B6965" w14:paraId="31B11CE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B054E9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5A5172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97514C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BAAA3D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C5CDDAE" w14:textId="77777777">
            <w:pPr>
              <w:pStyle w:val="p-table"/>
              <w:rPr>
                <w:sz w:val="17"/>
              </w:rPr>
            </w:pPr>
          </w:p>
        </w:tc>
      </w:tr>
      <w:tr w:rsidR="006B6965" w14:paraId="6ADCFBD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2AD8DD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7279AD2"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156B2DCD" w14:textId="77777777">
            <w:pPr>
              <w:pStyle w:val="p-table"/>
              <w:jc w:val="right"/>
              <w:rPr>
                <w:sz w:val="17"/>
              </w:rPr>
            </w:pPr>
            <w:r>
              <w:rPr>
                <w:b/>
                <w:sz w:val="17"/>
              </w:rPr>
              <w:t>2.301</w:t>
            </w:r>
          </w:p>
        </w:tc>
        <w:tc>
          <w:tcPr>
            <w:tcW w:w="1377" w:type="dxa"/>
            <w:tcBorders>
              <w:bottom w:val="single" w:color="009EE0" w:sz="2" w:space="0"/>
            </w:tcBorders>
            <w:tcMar>
              <w:top w:w="22" w:type="dxa"/>
              <w:left w:w="28" w:type="dxa"/>
              <w:bottom w:w="22" w:type="dxa"/>
              <w:right w:w="28" w:type="dxa"/>
            </w:tcMar>
          </w:tcPr>
          <w:p w:rsidR="006B6965" w:rsidRDefault="003A166B" w14:paraId="4BC8DE33" w14:textId="77777777">
            <w:pPr>
              <w:pStyle w:val="p-table"/>
              <w:jc w:val="right"/>
              <w:rPr>
                <w:sz w:val="17"/>
              </w:rPr>
            </w:pPr>
            <w:r>
              <w:rPr>
                <w:b/>
                <w:sz w:val="17"/>
              </w:rPr>
              <w:t>815</w:t>
            </w:r>
          </w:p>
        </w:tc>
        <w:tc>
          <w:tcPr>
            <w:tcW w:w="1377" w:type="dxa"/>
            <w:tcBorders>
              <w:bottom w:val="single" w:color="009EE0" w:sz="2" w:space="0"/>
            </w:tcBorders>
            <w:tcMar>
              <w:top w:w="22" w:type="dxa"/>
              <w:left w:w="28" w:type="dxa"/>
              <w:bottom w:w="22" w:type="dxa"/>
              <w:right w:w="28" w:type="dxa"/>
            </w:tcMar>
          </w:tcPr>
          <w:p w:rsidR="006B6965" w:rsidRDefault="003A166B" w14:paraId="7401245D" w14:textId="77777777">
            <w:pPr>
              <w:pStyle w:val="p-table"/>
              <w:jc w:val="right"/>
              <w:rPr>
                <w:sz w:val="17"/>
              </w:rPr>
            </w:pPr>
            <w:r>
              <w:rPr>
                <w:b/>
                <w:sz w:val="17"/>
              </w:rPr>
              <w:t>3.116</w:t>
            </w:r>
          </w:p>
        </w:tc>
      </w:tr>
      <w:tr w:rsidR="006B6965" w14:paraId="0CAE884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AB580D4"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601C214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234851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3E2B25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ADFF45E" w14:textId="77777777">
            <w:pPr>
              <w:pStyle w:val="p-table"/>
              <w:rPr>
                <w:sz w:val="17"/>
              </w:rPr>
            </w:pPr>
          </w:p>
        </w:tc>
      </w:tr>
    </w:tbl>
    <w:p w:rsidR="006B6965" w:rsidRDefault="006B6965" w14:paraId="1EAFB6C2" w14:textId="77777777">
      <w:pPr>
        <w:pStyle w:val="p-marginbottom"/>
      </w:pPr>
    </w:p>
    <w:p w:rsidR="006B6965" w:rsidRDefault="003A166B" w14:paraId="56030093" w14:textId="77777777">
      <w:pPr>
        <w:pStyle w:val="section-title-4"/>
      </w:pPr>
      <w:r>
        <w:t>Toelichting</w:t>
      </w:r>
    </w:p>
    <w:p w:rsidR="006B6965" w:rsidRDefault="003A166B" w14:paraId="4C39E7E9" w14:textId="77777777">
      <w:pPr>
        <w:pStyle w:val="header-h1"/>
      </w:pPr>
      <w:r>
        <w:t>Verplichtingen</w:t>
      </w:r>
    </w:p>
    <w:p w:rsidR="006B6965" w:rsidRDefault="003A166B" w14:paraId="6482ADAF" w14:textId="77777777">
      <w:pPr>
        <w:pStyle w:val="p"/>
      </w:pPr>
      <w:r>
        <w:t xml:space="preserve">Het verplichtingenbudget van het artikel Algemeen Kerndepartement voor 2025 wordt met € 14,0 miljoen verhoogd. Dit wordt met name </w:t>
      </w:r>
      <w:r>
        <w:t>veroorzaakt door de hieronder toegelichte uitgavenmutaties. Het verschil met de verhoogde uitgaven betreft eenzijdige verplichtingenverhogingen t.b.v. de extra kosten voor de NAVO Top en kosten van het regeringsvliegtuig.</w:t>
      </w:r>
    </w:p>
    <w:p w:rsidR="006B6965" w:rsidRDefault="003A166B" w14:paraId="044DFCD4" w14:textId="77777777">
      <w:pPr>
        <w:pStyle w:val="header-h1"/>
      </w:pPr>
      <w:r>
        <w:t>Uitgaven</w:t>
      </w:r>
    </w:p>
    <w:p w:rsidR="006B6965" w:rsidRDefault="003A166B" w14:paraId="3EE8F3DC" w14:textId="77777777">
      <w:pPr>
        <w:pStyle w:val="header-h1"/>
      </w:pPr>
      <w:r>
        <w:t>Artikel 97.01 Algemeen departement</w:t>
      </w:r>
    </w:p>
    <w:p w:rsidR="006B6965" w:rsidRDefault="003A166B" w14:paraId="09E00429" w14:textId="77777777">
      <w:pPr>
        <w:pStyle w:val="header-h2"/>
      </w:pPr>
      <w:r>
        <w:t>Opdrachten</w:t>
      </w:r>
    </w:p>
    <w:p w:rsidR="006B6965" w:rsidRDefault="003A166B" w14:paraId="720C4613" w14:textId="77777777">
      <w:pPr>
        <w:pStyle w:val="p"/>
      </w:pPr>
      <w:r>
        <w:t>De verhoging van het opdrachtenbudget met € 5,2 miljoen worden nagenoeg geheel veroorzaakt door:</w:t>
      </w:r>
    </w:p>
    <w:p w:rsidR="006B6965" w:rsidRDefault="003A166B" w14:paraId="5BE9350C" w14:textId="77777777">
      <w:pPr>
        <w:pStyle w:val="p"/>
      </w:pPr>
      <w:r>
        <w:rPr>
          <w:rStyle w:val="span-u"/>
        </w:rPr>
        <w:t>Regeringsvliegtuig</w:t>
      </w:r>
      <w:r>
        <w:t>: Het opdrachtenbudget is met € 5,1 miljoen verhoogd. De extra kosten voor het regeringsvliegtuig worden enerzijds gedekt met extra bijdragen van andere departementen en anderzijds met een bijdrage vanuit het STINT-budget, omdat de daarvoor gereserveerde gelden niet worden uitgegeven in 2025 omdat de rechtszaak is uitgesteld;</w:t>
      </w:r>
    </w:p>
    <w:p w:rsidR="006B6965" w:rsidRDefault="003A166B" w14:paraId="1CA4E7CD" w14:textId="77777777">
      <w:pPr>
        <w:pStyle w:val="p"/>
      </w:pPr>
      <w:r>
        <w:rPr>
          <w:rStyle w:val="span-u"/>
        </w:rPr>
        <w:t>Externe juridische advisering</w:t>
      </w:r>
      <w:r>
        <w:t xml:space="preserve">: Het opdrachtenbudget is met € 1,0 miljoen </w:t>
      </w:r>
      <w:r>
        <w:lastRenderedPageBreak/>
        <w:t>verhoogd. Dit is het gevolg van de toegenomen inzet van de Landsadvocaat, vooral voor omvangrijke civiele rechtszaken (bv Schiphol) waarbij de inzet van een advocaat verplicht is.</w:t>
      </w:r>
    </w:p>
    <w:p w:rsidR="006B6965" w:rsidRDefault="003A166B" w14:paraId="7D5D6029" w14:textId="77777777">
      <w:pPr>
        <w:pStyle w:val="header-h1"/>
      </w:pPr>
      <w:r>
        <w:t>Ontvangsten</w:t>
      </w:r>
    </w:p>
    <w:p w:rsidR="006B6965" w:rsidRDefault="003A166B" w14:paraId="023F0A0C" w14:textId="77777777">
      <w:pPr>
        <w:pStyle w:val="p"/>
      </w:pPr>
      <w:r>
        <w:t>De ontvangstenmutaties zijn lager dan de voorgeschreven norm en worden daarom niet toegelicht (zie normering in de ).</w:t>
      </w:r>
    </w:p>
    <w:p w:rsidR="006B6965" w:rsidRDefault="006B6965" w14:paraId="4771194B" w14:textId="77777777">
      <w:pPr>
        <w:pStyle w:val="page-break"/>
      </w:pPr>
    </w:p>
    <w:p w:rsidR="006B6965" w:rsidRDefault="003A166B" w14:paraId="58E42F29" w14:textId="77777777">
      <w:pPr>
        <w:pStyle w:val="section-title-3"/>
      </w:pPr>
      <w:r>
        <w:t>4.2 Artikel 98 Apparaat Kerndepartement</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14AAD5F7"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44F20B5D" w14:textId="77777777">
            <w:pPr>
              <w:pStyle w:val="kio2-table-title"/>
            </w:pPr>
            <w:r>
              <w:t>Tabel 20 Budgettaire gevolgen van beleid artikel 98 Apparaat Kerndepartement (bedragen x € 1.000)</w:t>
            </w:r>
          </w:p>
        </w:tc>
      </w:tr>
      <w:tr w:rsidR="006B6965" w14:paraId="465C8B91"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78DF1CC6"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225FD30A"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512FEAE4" w14:textId="77777777">
            <w:pPr>
              <w:pStyle w:val="p-table"/>
              <w:jc w:val="center"/>
              <w:rPr>
                <w:color w:val="000000"/>
                <w:sz w:val="17"/>
              </w:rPr>
            </w:pPr>
            <w:r>
              <w:rPr>
                <w:color w:val="000000"/>
                <w:sz w:val="17"/>
              </w:rPr>
              <w:t xml:space="preserve">Stand eerste suppletoire </w:t>
            </w:r>
            <w:r>
              <w:rPr>
                <w:color w:val="000000"/>
                <w:sz w:val="17"/>
              </w:rPr>
              <w:t xml:space="preserve">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365318E0"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2CEE205E" w14:textId="77777777">
            <w:pPr>
              <w:pStyle w:val="p-table"/>
              <w:jc w:val="center"/>
              <w:rPr>
                <w:color w:val="000000"/>
                <w:sz w:val="17"/>
              </w:rPr>
            </w:pPr>
            <w:r>
              <w:rPr>
                <w:color w:val="000000"/>
                <w:sz w:val="17"/>
              </w:rPr>
              <w:t>Stand suppletoire begroting september (3) = (1) + (2)</w:t>
            </w:r>
          </w:p>
        </w:tc>
      </w:tr>
      <w:tr w:rsidR="006B6965" w14:paraId="4C835EE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67631636"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5F57FBF8"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4D6A3794" w14:textId="77777777">
            <w:pPr>
              <w:pStyle w:val="p-table"/>
              <w:jc w:val="right"/>
              <w:rPr>
                <w:sz w:val="17"/>
              </w:rPr>
            </w:pPr>
            <w:r>
              <w:rPr>
                <w:b/>
                <w:sz w:val="17"/>
              </w:rPr>
              <w:t>544.352</w:t>
            </w:r>
          </w:p>
        </w:tc>
        <w:tc>
          <w:tcPr>
            <w:tcW w:w="1377" w:type="dxa"/>
            <w:tcBorders>
              <w:bottom w:val="single" w:color="009EE0" w:sz="2" w:space="0"/>
            </w:tcBorders>
            <w:tcMar>
              <w:top w:w="22" w:type="dxa"/>
              <w:left w:w="28" w:type="dxa"/>
              <w:bottom w:w="22" w:type="dxa"/>
              <w:right w:w="28" w:type="dxa"/>
            </w:tcMar>
          </w:tcPr>
          <w:p w:rsidR="006B6965" w:rsidRDefault="003A166B" w14:paraId="7EE30479" w14:textId="77777777">
            <w:pPr>
              <w:pStyle w:val="p-table"/>
              <w:jc w:val="right"/>
              <w:rPr>
                <w:sz w:val="17"/>
              </w:rPr>
            </w:pPr>
            <w:r>
              <w:rPr>
                <w:b/>
                <w:sz w:val="17"/>
              </w:rPr>
              <w:t>760</w:t>
            </w:r>
          </w:p>
        </w:tc>
        <w:tc>
          <w:tcPr>
            <w:tcW w:w="1377" w:type="dxa"/>
            <w:tcBorders>
              <w:bottom w:val="single" w:color="009EE0" w:sz="2" w:space="0"/>
            </w:tcBorders>
            <w:tcMar>
              <w:top w:w="22" w:type="dxa"/>
              <w:left w:w="28" w:type="dxa"/>
              <w:bottom w:w="22" w:type="dxa"/>
              <w:right w:w="28" w:type="dxa"/>
            </w:tcMar>
          </w:tcPr>
          <w:p w:rsidR="006B6965" w:rsidRDefault="003A166B" w14:paraId="662FA2BF" w14:textId="77777777">
            <w:pPr>
              <w:pStyle w:val="p-table"/>
              <w:jc w:val="right"/>
              <w:rPr>
                <w:sz w:val="17"/>
              </w:rPr>
            </w:pPr>
            <w:r>
              <w:rPr>
                <w:b/>
                <w:sz w:val="17"/>
              </w:rPr>
              <w:t>545.112</w:t>
            </w:r>
          </w:p>
        </w:tc>
      </w:tr>
      <w:tr w:rsidR="006B6965" w14:paraId="4E0C612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6DD159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A913E5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1120B5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C4AD49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DCB5F1C" w14:textId="77777777">
            <w:pPr>
              <w:pStyle w:val="p-table"/>
              <w:rPr>
                <w:sz w:val="17"/>
              </w:rPr>
            </w:pPr>
          </w:p>
        </w:tc>
      </w:tr>
      <w:tr w:rsidR="006B6965" w14:paraId="7233110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BF806E9"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52DE826"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4D2FA291" w14:textId="77777777">
            <w:pPr>
              <w:pStyle w:val="p-table"/>
              <w:jc w:val="right"/>
              <w:rPr>
                <w:sz w:val="17"/>
              </w:rPr>
            </w:pPr>
            <w:r>
              <w:rPr>
                <w:b/>
                <w:sz w:val="17"/>
              </w:rPr>
              <w:t>559.847</w:t>
            </w:r>
          </w:p>
        </w:tc>
        <w:tc>
          <w:tcPr>
            <w:tcW w:w="1377" w:type="dxa"/>
            <w:tcBorders>
              <w:bottom w:val="single" w:color="009EE0" w:sz="2" w:space="0"/>
            </w:tcBorders>
            <w:tcMar>
              <w:top w:w="22" w:type="dxa"/>
              <w:left w:w="28" w:type="dxa"/>
              <w:bottom w:w="22" w:type="dxa"/>
              <w:right w:w="28" w:type="dxa"/>
            </w:tcMar>
          </w:tcPr>
          <w:p w:rsidR="006B6965" w:rsidRDefault="003A166B" w14:paraId="377C6753" w14:textId="77777777">
            <w:pPr>
              <w:pStyle w:val="p-table"/>
              <w:jc w:val="right"/>
              <w:rPr>
                <w:sz w:val="17"/>
              </w:rPr>
            </w:pPr>
            <w:r>
              <w:rPr>
                <w:b/>
                <w:sz w:val="17"/>
              </w:rPr>
              <w:t>‒</w:t>
            </w:r>
            <w:r>
              <w:rPr>
                <w:b/>
                <w:sz w:val="17"/>
              </w:rPr>
              <w:t xml:space="preserve"> 682</w:t>
            </w:r>
          </w:p>
        </w:tc>
        <w:tc>
          <w:tcPr>
            <w:tcW w:w="1377" w:type="dxa"/>
            <w:tcBorders>
              <w:bottom w:val="single" w:color="009EE0" w:sz="2" w:space="0"/>
            </w:tcBorders>
            <w:tcMar>
              <w:top w:w="22" w:type="dxa"/>
              <w:left w:w="28" w:type="dxa"/>
              <w:bottom w:w="22" w:type="dxa"/>
              <w:right w:w="28" w:type="dxa"/>
            </w:tcMar>
          </w:tcPr>
          <w:p w:rsidR="006B6965" w:rsidRDefault="003A166B" w14:paraId="3A949C0A" w14:textId="77777777">
            <w:pPr>
              <w:pStyle w:val="p-table"/>
              <w:jc w:val="right"/>
              <w:rPr>
                <w:sz w:val="17"/>
              </w:rPr>
            </w:pPr>
            <w:r>
              <w:rPr>
                <w:b/>
                <w:sz w:val="17"/>
              </w:rPr>
              <w:t>559.165</w:t>
            </w:r>
          </w:p>
        </w:tc>
      </w:tr>
      <w:tr w:rsidR="006B6965" w14:paraId="72264CA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C2070B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7390E10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8161E3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391047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D64E15C" w14:textId="77777777">
            <w:pPr>
              <w:pStyle w:val="p-table"/>
              <w:rPr>
                <w:sz w:val="17"/>
              </w:rPr>
            </w:pPr>
          </w:p>
        </w:tc>
      </w:tr>
      <w:tr w:rsidR="006B6965" w14:paraId="6F5B365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42569DE5" w14:textId="77777777">
            <w:pPr>
              <w:pStyle w:val="p-table"/>
              <w:rPr>
                <w:sz w:val="17"/>
              </w:rPr>
            </w:pPr>
            <w:r>
              <w:rPr>
                <w:b/>
                <w:sz w:val="17"/>
              </w:rPr>
              <w:t>98.1</w:t>
            </w:r>
          </w:p>
        </w:tc>
        <w:tc>
          <w:tcPr>
            <w:tcW w:w="4590" w:type="dxa"/>
            <w:tcBorders>
              <w:bottom w:val="single" w:color="009EE0" w:sz="2" w:space="0"/>
            </w:tcBorders>
            <w:tcMar>
              <w:top w:w="22" w:type="dxa"/>
              <w:left w:w="28" w:type="dxa"/>
              <w:bottom w:w="22" w:type="dxa"/>
              <w:right w:w="28" w:type="dxa"/>
            </w:tcMar>
          </w:tcPr>
          <w:p w:rsidR="006B6965" w:rsidRDefault="003A166B" w14:paraId="0FF43921" w14:textId="77777777">
            <w:pPr>
              <w:pStyle w:val="p-table"/>
              <w:rPr>
                <w:sz w:val="17"/>
              </w:rPr>
            </w:pPr>
            <w:r>
              <w:rPr>
                <w:b/>
                <w:sz w:val="17"/>
              </w:rPr>
              <w:t xml:space="preserve">Personele </w:t>
            </w: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27405FC9" w14:textId="77777777">
            <w:pPr>
              <w:pStyle w:val="p-table"/>
              <w:jc w:val="right"/>
              <w:rPr>
                <w:sz w:val="17"/>
              </w:rPr>
            </w:pPr>
            <w:r>
              <w:rPr>
                <w:b/>
                <w:sz w:val="17"/>
              </w:rPr>
              <w:t>414.262</w:t>
            </w:r>
          </w:p>
        </w:tc>
        <w:tc>
          <w:tcPr>
            <w:tcW w:w="1377" w:type="dxa"/>
            <w:tcBorders>
              <w:bottom w:val="single" w:color="009EE0" w:sz="2" w:space="0"/>
            </w:tcBorders>
            <w:tcMar>
              <w:top w:w="22" w:type="dxa"/>
              <w:left w:w="28" w:type="dxa"/>
              <w:bottom w:w="22" w:type="dxa"/>
              <w:right w:w="28" w:type="dxa"/>
            </w:tcMar>
          </w:tcPr>
          <w:p w:rsidR="006B6965" w:rsidRDefault="003A166B" w14:paraId="6BA76FB8" w14:textId="77777777">
            <w:pPr>
              <w:pStyle w:val="p-table"/>
              <w:jc w:val="right"/>
              <w:rPr>
                <w:sz w:val="17"/>
              </w:rPr>
            </w:pPr>
            <w:r>
              <w:rPr>
                <w:b/>
                <w:sz w:val="17"/>
              </w:rPr>
              <w:t>2.604</w:t>
            </w:r>
          </w:p>
        </w:tc>
        <w:tc>
          <w:tcPr>
            <w:tcW w:w="1377" w:type="dxa"/>
            <w:tcBorders>
              <w:bottom w:val="single" w:color="009EE0" w:sz="2" w:space="0"/>
            </w:tcBorders>
            <w:tcMar>
              <w:top w:w="22" w:type="dxa"/>
              <w:left w:w="28" w:type="dxa"/>
              <w:bottom w:w="22" w:type="dxa"/>
              <w:right w:w="28" w:type="dxa"/>
            </w:tcMar>
          </w:tcPr>
          <w:p w:rsidR="006B6965" w:rsidRDefault="003A166B" w14:paraId="1175CD8C" w14:textId="77777777">
            <w:pPr>
              <w:pStyle w:val="p-table"/>
              <w:jc w:val="right"/>
              <w:rPr>
                <w:sz w:val="17"/>
              </w:rPr>
            </w:pPr>
            <w:r>
              <w:rPr>
                <w:b/>
                <w:sz w:val="17"/>
              </w:rPr>
              <w:t>416.866</w:t>
            </w:r>
          </w:p>
        </w:tc>
      </w:tr>
      <w:tr w:rsidR="006B6965" w14:paraId="48D58D46"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93FC60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E9DA7AE" w14:textId="77777777">
            <w:pPr>
              <w:pStyle w:val="p-table"/>
              <w:rPr>
                <w:sz w:val="17"/>
              </w:rPr>
            </w:pPr>
            <w:r>
              <w:rPr>
                <w:i/>
                <w:sz w:val="17"/>
              </w:rPr>
              <w:t>Personele uitgaven</w:t>
            </w:r>
          </w:p>
        </w:tc>
        <w:tc>
          <w:tcPr>
            <w:tcW w:w="1377" w:type="dxa"/>
            <w:tcBorders>
              <w:bottom w:val="single" w:color="009EE0" w:sz="2" w:space="0"/>
            </w:tcBorders>
            <w:tcMar>
              <w:top w:w="22" w:type="dxa"/>
              <w:left w:w="28" w:type="dxa"/>
              <w:bottom w:w="22" w:type="dxa"/>
              <w:right w:w="28" w:type="dxa"/>
            </w:tcMar>
          </w:tcPr>
          <w:p w:rsidR="006B6965" w:rsidRDefault="003A166B" w14:paraId="41369893" w14:textId="77777777">
            <w:pPr>
              <w:pStyle w:val="p-table"/>
              <w:jc w:val="right"/>
              <w:rPr>
                <w:sz w:val="17"/>
              </w:rPr>
            </w:pPr>
            <w:r>
              <w:rPr>
                <w:i/>
                <w:sz w:val="17"/>
              </w:rPr>
              <w:t>414.262</w:t>
            </w:r>
          </w:p>
        </w:tc>
        <w:tc>
          <w:tcPr>
            <w:tcW w:w="1377" w:type="dxa"/>
            <w:tcBorders>
              <w:bottom w:val="single" w:color="009EE0" w:sz="2" w:space="0"/>
            </w:tcBorders>
            <w:tcMar>
              <w:top w:w="22" w:type="dxa"/>
              <w:left w:w="28" w:type="dxa"/>
              <w:bottom w:w="22" w:type="dxa"/>
              <w:right w:w="28" w:type="dxa"/>
            </w:tcMar>
          </w:tcPr>
          <w:p w:rsidR="006B6965" w:rsidRDefault="003A166B" w14:paraId="66881B7D" w14:textId="77777777">
            <w:pPr>
              <w:pStyle w:val="p-table"/>
              <w:jc w:val="right"/>
              <w:rPr>
                <w:sz w:val="17"/>
              </w:rPr>
            </w:pPr>
            <w:r>
              <w:rPr>
                <w:i/>
                <w:sz w:val="17"/>
              </w:rPr>
              <w:t>2.604</w:t>
            </w:r>
          </w:p>
        </w:tc>
        <w:tc>
          <w:tcPr>
            <w:tcW w:w="1377" w:type="dxa"/>
            <w:tcBorders>
              <w:bottom w:val="single" w:color="009EE0" w:sz="2" w:space="0"/>
            </w:tcBorders>
            <w:tcMar>
              <w:top w:w="22" w:type="dxa"/>
              <w:left w:w="28" w:type="dxa"/>
              <w:bottom w:w="22" w:type="dxa"/>
              <w:right w:w="28" w:type="dxa"/>
            </w:tcMar>
          </w:tcPr>
          <w:p w:rsidR="006B6965" w:rsidRDefault="003A166B" w14:paraId="0E936D52" w14:textId="77777777">
            <w:pPr>
              <w:pStyle w:val="p-table"/>
              <w:jc w:val="right"/>
              <w:rPr>
                <w:sz w:val="17"/>
              </w:rPr>
            </w:pPr>
            <w:r>
              <w:rPr>
                <w:i/>
                <w:sz w:val="17"/>
              </w:rPr>
              <w:t>416.866</w:t>
            </w:r>
          </w:p>
        </w:tc>
      </w:tr>
      <w:tr w:rsidR="006B6965" w14:paraId="625FE25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3998FE5"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75321962" w14:textId="77777777">
            <w:pPr>
              <w:pStyle w:val="p-table"/>
              <w:rPr>
                <w:sz w:val="17"/>
              </w:rPr>
            </w:pPr>
            <w:r>
              <w:rPr>
                <w:sz w:val="17"/>
              </w:rPr>
              <w:t>Eigen personeel</w:t>
            </w:r>
          </w:p>
        </w:tc>
        <w:tc>
          <w:tcPr>
            <w:tcW w:w="1377" w:type="dxa"/>
            <w:tcBorders>
              <w:bottom w:val="single" w:color="009EE0" w:sz="2" w:space="0"/>
            </w:tcBorders>
            <w:tcMar>
              <w:top w:w="22" w:type="dxa"/>
              <w:left w:w="28" w:type="dxa"/>
              <w:bottom w:w="22" w:type="dxa"/>
              <w:right w:w="28" w:type="dxa"/>
            </w:tcMar>
          </w:tcPr>
          <w:p w:rsidR="006B6965" w:rsidRDefault="003A166B" w14:paraId="1E04B299" w14:textId="77777777">
            <w:pPr>
              <w:pStyle w:val="p-table"/>
              <w:jc w:val="right"/>
              <w:rPr>
                <w:sz w:val="17"/>
              </w:rPr>
            </w:pPr>
            <w:r>
              <w:rPr>
                <w:sz w:val="17"/>
              </w:rPr>
              <w:t>367.145</w:t>
            </w:r>
          </w:p>
        </w:tc>
        <w:tc>
          <w:tcPr>
            <w:tcW w:w="1377" w:type="dxa"/>
            <w:tcBorders>
              <w:bottom w:val="single" w:color="009EE0" w:sz="2" w:space="0"/>
            </w:tcBorders>
            <w:tcMar>
              <w:top w:w="22" w:type="dxa"/>
              <w:left w:w="28" w:type="dxa"/>
              <w:bottom w:w="22" w:type="dxa"/>
              <w:right w:w="28" w:type="dxa"/>
            </w:tcMar>
          </w:tcPr>
          <w:p w:rsidR="006B6965" w:rsidRDefault="003A166B" w14:paraId="354463EF" w14:textId="77777777">
            <w:pPr>
              <w:pStyle w:val="p-table"/>
              <w:jc w:val="right"/>
              <w:rPr>
                <w:sz w:val="17"/>
              </w:rPr>
            </w:pPr>
            <w:r>
              <w:rPr>
                <w:sz w:val="17"/>
              </w:rPr>
              <w:t>‒</w:t>
            </w:r>
            <w:r>
              <w:rPr>
                <w:sz w:val="17"/>
              </w:rPr>
              <w:t xml:space="preserve"> 1.897</w:t>
            </w:r>
          </w:p>
        </w:tc>
        <w:tc>
          <w:tcPr>
            <w:tcW w:w="1377" w:type="dxa"/>
            <w:tcBorders>
              <w:bottom w:val="single" w:color="009EE0" w:sz="2" w:space="0"/>
            </w:tcBorders>
            <w:tcMar>
              <w:top w:w="22" w:type="dxa"/>
              <w:left w:w="28" w:type="dxa"/>
              <w:bottom w:w="22" w:type="dxa"/>
              <w:right w:w="28" w:type="dxa"/>
            </w:tcMar>
          </w:tcPr>
          <w:p w:rsidR="006B6965" w:rsidRDefault="003A166B" w14:paraId="1BBAA530" w14:textId="77777777">
            <w:pPr>
              <w:pStyle w:val="p-table"/>
              <w:jc w:val="right"/>
              <w:rPr>
                <w:sz w:val="17"/>
              </w:rPr>
            </w:pPr>
            <w:r>
              <w:rPr>
                <w:sz w:val="17"/>
              </w:rPr>
              <w:t>365.248</w:t>
            </w:r>
          </w:p>
        </w:tc>
      </w:tr>
      <w:tr w:rsidR="006B6965" w14:paraId="10BCE1E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37B6E37"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13FED74" w14:textId="77777777">
            <w:pPr>
              <w:pStyle w:val="p-table"/>
              <w:rPr>
                <w:sz w:val="17"/>
              </w:rPr>
            </w:pPr>
            <w:r>
              <w:rPr>
                <w:sz w:val="17"/>
              </w:rPr>
              <w:t>Externe inhuur</w:t>
            </w:r>
          </w:p>
        </w:tc>
        <w:tc>
          <w:tcPr>
            <w:tcW w:w="1377" w:type="dxa"/>
            <w:tcBorders>
              <w:bottom w:val="single" w:color="009EE0" w:sz="2" w:space="0"/>
            </w:tcBorders>
            <w:tcMar>
              <w:top w:w="22" w:type="dxa"/>
              <w:left w:w="28" w:type="dxa"/>
              <w:bottom w:w="22" w:type="dxa"/>
              <w:right w:w="28" w:type="dxa"/>
            </w:tcMar>
          </w:tcPr>
          <w:p w:rsidR="006B6965" w:rsidRDefault="003A166B" w14:paraId="0C853AD5" w14:textId="77777777">
            <w:pPr>
              <w:pStyle w:val="p-table"/>
              <w:jc w:val="right"/>
              <w:rPr>
                <w:sz w:val="17"/>
              </w:rPr>
            </w:pPr>
            <w:r>
              <w:rPr>
                <w:sz w:val="17"/>
              </w:rPr>
              <w:t>46.217</w:t>
            </w:r>
          </w:p>
        </w:tc>
        <w:tc>
          <w:tcPr>
            <w:tcW w:w="1377" w:type="dxa"/>
            <w:tcBorders>
              <w:bottom w:val="single" w:color="009EE0" w:sz="2" w:space="0"/>
            </w:tcBorders>
            <w:tcMar>
              <w:top w:w="22" w:type="dxa"/>
              <w:left w:w="28" w:type="dxa"/>
              <w:bottom w:w="22" w:type="dxa"/>
              <w:right w:w="28" w:type="dxa"/>
            </w:tcMar>
          </w:tcPr>
          <w:p w:rsidR="006B6965" w:rsidRDefault="003A166B" w14:paraId="6E2EBFFD" w14:textId="77777777">
            <w:pPr>
              <w:pStyle w:val="p-table"/>
              <w:jc w:val="right"/>
              <w:rPr>
                <w:sz w:val="17"/>
              </w:rPr>
            </w:pPr>
            <w:r>
              <w:rPr>
                <w:sz w:val="17"/>
              </w:rPr>
              <w:t>4.526</w:t>
            </w:r>
          </w:p>
        </w:tc>
        <w:tc>
          <w:tcPr>
            <w:tcW w:w="1377" w:type="dxa"/>
            <w:tcBorders>
              <w:bottom w:val="single" w:color="009EE0" w:sz="2" w:space="0"/>
            </w:tcBorders>
            <w:tcMar>
              <w:top w:w="22" w:type="dxa"/>
              <w:left w:w="28" w:type="dxa"/>
              <w:bottom w:w="22" w:type="dxa"/>
              <w:right w:w="28" w:type="dxa"/>
            </w:tcMar>
          </w:tcPr>
          <w:p w:rsidR="006B6965" w:rsidRDefault="003A166B" w14:paraId="1288449C" w14:textId="77777777">
            <w:pPr>
              <w:pStyle w:val="p-table"/>
              <w:jc w:val="right"/>
              <w:rPr>
                <w:sz w:val="17"/>
              </w:rPr>
            </w:pPr>
            <w:r>
              <w:rPr>
                <w:sz w:val="17"/>
              </w:rPr>
              <w:t>50.743</w:t>
            </w:r>
          </w:p>
        </w:tc>
      </w:tr>
      <w:tr w:rsidR="006B6965" w14:paraId="5881A91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933FEF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ACA0B1A" w14:textId="77777777">
            <w:pPr>
              <w:pStyle w:val="p-table"/>
              <w:rPr>
                <w:sz w:val="17"/>
              </w:rPr>
            </w:pPr>
            <w:r>
              <w:rPr>
                <w:sz w:val="17"/>
              </w:rPr>
              <w:t>Overige personele uitgaven</w:t>
            </w:r>
          </w:p>
        </w:tc>
        <w:tc>
          <w:tcPr>
            <w:tcW w:w="1377" w:type="dxa"/>
            <w:tcBorders>
              <w:bottom w:val="single" w:color="009EE0" w:sz="2" w:space="0"/>
            </w:tcBorders>
            <w:tcMar>
              <w:top w:w="22" w:type="dxa"/>
              <w:left w:w="28" w:type="dxa"/>
              <w:bottom w:w="22" w:type="dxa"/>
              <w:right w:w="28" w:type="dxa"/>
            </w:tcMar>
          </w:tcPr>
          <w:p w:rsidR="006B6965" w:rsidRDefault="003A166B" w14:paraId="54189A18" w14:textId="77777777">
            <w:pPr>
              <w:pStyle w:val="p-table"/>
              <w:jc w:val="right"/>
              <w:rPr>
                <w:sz w:val="17"/>
              </w:rPr>
            </w:pPr>
            <w:r>
              <w:rPr>
                <w:sz w:val="17"/>
              </w:rPr>
              <w:t>900</w:t>
            </w:r>
          </w:p>
        </w:tc>
        <w:tc>
          <w:tcPr>
            <w:tcW w:w="1377" w:type="dxa"/>
            <w:tcBorders>
              <w:bottom w:val="single" w:color="009EE0" w:sz="2" w:space="0"/>
            </w:tcBorders>
            <w:tcMar>
              <w:top w:w="22" w:type="dxa"/>
              <w:left w:w="28" w:type="dxa"/>
              <w:bottom w:w="22" w:type="dxa"/>
              <w:right w:w="28" w:type="dxa"/>
            </w:tcMar>
          </w:tcPr>
          <w:p w:rsidR="006B6965" w:rsidRDefault="003A166B" w14:paraId="4EDC66A8" w14:textId="77777777">
            <w:pPr>
              <w:pStyle w:val="p-table"/>
              <w:jc w:val="right"/>
              <w:rPr>
                <w:sz w:val="17"/>
              </w:rPr>
            </w:pPr>
            <w:r>
              <w:rPr>
                <w:sz w:val="17"/>
              </w:rPr>
              <w:t>‒</w:t>
            </w:r>
            <w:r>
              <w:rPr>
                <w:sz w:val="17"/>
              </w:rPr>
              <w:t xml:space="preserve"> 25</w:t>
            </w:r>
          </w:p>
        </w:tc>
        <w:tc>
          <w:tcPr>
            <w:tcW w:w="1377" w:type="dxa"/>
            <w:tcBorders>
              <w:bottom w:val="single" w:color="009EE0" w:sz="2" w:space="0"/>
            </w:tcBorders>
            <w:tcMar>
              <w:top w:w="22" w:type="dxa"/>
              <w:left w:w="28" w:type="dxa"/>
              <w:bottom w:w="22" w:type="dxa"/>
              <w:right w:w="28" w:type="dxa"/>
            </w:tcMar>
          </w:tcPr>
          <w:p w:rsidR="006B6965" w:rsidRDefault="003A166B" w14:paraId="785B0FFF" w14:textId="77777777">
            <w:pPr>
              <w:pStyle w:val="p-table"/>
              <w:jc w:val="right"/>
              <w:rPr>
                <w:sz w:val="17"/>
              </w:rPr>
            </w:pPr>
            <w:r>
              <w:rPr>
                <w:sz w:val="17"/>
              </w:rPr>
              <w:t>875</w:t>
            </w:r>
          </w:p>
        </w:tc>
      </w:tr>
      <w:tr w:rsidR="006B6965" w14:paraId="53FC1DE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0140B026" w14:textId="77777777">
            <w:pPr>
              <w:pStyle w:val="p-table"/>
              <w:rPr>
                <w:sz w:val="17"/>
              </w:rPr>
            </w:pPr>
            <w:r>
              <w:rPr>
                <w:b/>
                <w:sz w:val="17"/>
              </w:rPr>
              <w:t>98.2</w:t>
            </w:r>
          </w:p>
        </w:tc>
        <w:tc>
          <w:tcPr>
            <w:tcW w:w="4590" w:type="dxa"/>
            <w:tcBorders>
              <w:bottom w:val="single" w:color="009EE0" w:sz="2" w:space="0"/>
            </w:tcBorders>
            <w:tcMar>
              <w:top w:w="22" w:type="dxa"/>
              <w:left w:w="28" w:type="dxa"/>
              <w:bottom w:w="22" w:type="dxa"/>
              <w:right w:w="28" w:type="dxa"/>
            </w:tcMar>
          </w:tcPr>
          <w:p w:rsidR="006B6965" w:rsidRDefault="003A166B" w14:paraId="29B25EA6" w14:textId="77777777">
            <w:pPr>
              <w:pStyle w:val="p-table"/>
              <w:rPr>
                <w:sz w:val="17"/>
              </w:rPr>
            </w:pPr>
            <w:r>
              <w:rPr>
                <w:b/>
                <w:sz w:val="17"/>
              </w:rPr>
              <w:t>Materiële uitgaven</w:t>
            </w:r>
          </w:p>
        </w:tc>
        <w:tc>
          <w:tcPr>
            <w:tcW w:w="1377" w:type="dxa"/>
            <w:tcBorders>
              <w:bottom w:val="single" w:color="009EE0" w:sz="2" w:space="0"/>
            </w:tcBorders>
            <w:tcMar>
              <w:top w:w="22" w:type="dxa"/>
              <w:left w:w="28" w:type="dxa"/>
              <w:bottom w:w="22" w:type="dxa"/>
              <w:right w:w="28" w:type="dxa"/>
            </w:tcMar>
          </w:tcPr>
          <w:p w:rsidR="006B6965" w:rsidRDefault="003A166B" w14:paraId="3AE5CCAA" w14:textId="77777777">
            <w:pPr>
              <w:pStyle w:val="p-table"/>
              <w:jc w:val="right"/>
              <w:rPr>
                <w:sz w:val="17"/>
              </w:rPr>
            </w:pPr>
            <w:r>
              <w:rPr>
                <w:b/>
                <w:sz w:val="17"/>
              </w:rPr>
              <w:t>145.585</w:t>
            </w:r>
          </w:p>
        </w:tc>
        <w:tc>
          <w:tcPr>
            <w:tcW w:w="1377" w:type="dxa"/>
            <w:tcBorders>
              <w:bottom w:val="single" w:color="009EE0" w:sz="2" w:space="0"/>
            </w:tcBorders>
            <w:tcMar>
              <w:top w:w="22" w:type="dxa"/>
              <w:left w:w="28" w:type="dxa"/>
              <w:bottom w:w="22" w:type="dxa"/>
              <w:right w:w="28" w:type="dxa"/>
            </w:tcMar>
          </w:tcPr>
          <w:p w:rsidR="006B6965" w:rsidRDefault="003A166B" w14:paraId="1CE96A3E" w14:textId="77777777">
            <w:pPr>
              <w:pStyle w:val="p-table"/>
              <w:jc w:val="right"/>
              <w:rPr>
                <w:sz w:val="17"/>
              </w:rPr>
            </w:pPr>
            <w:r>
              <w:rPr>
                <w:b/>
                <w:sz w:val="17"/>
              </w:rPr>
              <w:t>‒</w:t>
            </w:r>
            <w:r>
              <w:rPr>
                <w:b/>
                <w:sz w:val="17"/>
              </w:rPr>
              <w:t xml:space="preserve"> 3.286</w:t>
            </w:r>
          </w:p>
        </w:tc>
        <w:tc>
          <w:tcPr>
            <w:tcW w:w="1377" w:type="dxa"/>
            <w:tcBorders>
              <w:bottom w:val="single" w:color="009EE0" w:sz="2" w:space="0"/>
            </w:tcBorders>
            <w:tcMar>
              <w:top w:w="22" w:type="dxa"/>
              <w:left w:w="28" w:type="dxa"/>
              <w:bottom w:w="22" w:type="dxa"/>
              <w:right w:w="28" w:type="dxa"/>
            </w:tcMar>
          </w:tcPr>
          <w:p w:rsidR="006B6965" w:rsidRDefault="003A166B" w14:paraId="419D8B77" w14:textId="77777777">
            <w:pPr>
              <w:pStyle w:val="p-table"/>
              <w:jc w:val="right"/>
              <w:rPr>
                <w:sz w:val="17"/>
              </w:rPr>
            </w:pPr>
            <w:r>
              <w:rPr>
                <w:b/>
                <w:sz w:val="17"/>
              </w:rPr>
              <w:t>142.299</w:t>
            </w:r>
          </w:p>
        </w:tc>
      </w:tr>
      <w:tr w:rsidR="006B6965" w14:paraId="32BA06A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A13562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2DCAAA0" w14:textId="77777777">
            <w:pPr>
              <w:pStyle w:val="p-table"/>
              <w:rPr>
                <w:sz w:val="17"/>
              </w:rPr>
            </w:pPr>
            <w:r>
              <w:rPr>
                <w:i/>
                <w:sz w:val="17"/>
              </w:rPr>
              <w:t>Materiële uitgaven</w:t>
            </w:r>
          </w:p>
        </w:tc>
        <w:tc>
          <w:tcPr>
            <w:tcW w:w="1377" w:type="dxa"/>
            <w:tcBorders>
              <w:bottom w:val="single" w:color="009EE0" w:sz="2" w:space="0"/>
            </w:tcBorders>
            <w:tcMar>
              <w:top w:w="22" w:type="dxa"/>
              <w:left w:w="28" w:type="dxa"/>
              <w:bottom w:w="22" w:type="dxa"/>
              <w:right w:w="28" w:type="dxa"/>
            </w:tcMar>
          </w:tcPr>
          <w:p w:rsidR="006B6965" w:rsidRDefault="003A166B" w14:paraId="068A8628" w14:textId="77777777">
            <w:pPr>
              <w:pStyle w:val="p-table"/>
              <w:jc w:val="right"/>
              <w:rPr>
                <w:sz w:val="17"/>
              </w:rPr>
            </w:pPr>
            <w:r>
              <w:rPr>
                <w:i/>
                <w:sz w:val="17"/>
              </w:rPr>
              <w:t>145.585</w:t>
            </w:r>
          </w:p>
        </w:tc>
        <w:tc>
          <w:tcPr>
            <w:tcW w:w="1377" w:type="dxa"/>
            <w:tcBorders>
              <w:bottom w:val="single" w:color="009EE0" w:sz="2" w:space="0"/>
            </w:tcBorders>
            <w:tcMar>
              <w:top w:w="22" w:type="dxa"/>
              <w:left w:w="28" w:type="dxa"/>
              <w:bottom w:w="22" w:type="dxa"/>
              <w:right w:w="28" w:type="dxa"/>
            </w:tcMar>
          </w:tcPr>
          <w:p w:rsidR="006B6965" w:rsidRDefault="003A166B" w14:paraId="0B4971B2" w14:textId="77777777">
            <w:pPr>
              <w:pStyle w:val="p-table"/>
              <w:jc w:val="right"/>
              <w:rPr>
                <w:sz w:val="17"/>
              </w:rPr>
            </w:pPr>
            <w:r>
              <w:rPr>
                <w:i/>
                <w:sz w:val="17"/>
              </w:rPr>
              <w:t>‒</w:t>
            </w:r>
            <w:r>
              <w:rPr>
                <w:i/>
                <w:sz w:val="17"/>
              </w:rPr>
              <w:t xml:space="preserve"> 3.286</w:t>
            </w:r>
          </w:p>
        </w:tc>
        <w:tc>
          <w:tcPr>
            <w:tcW w:w="1377" w:type="dxa"/>
            <w:tcBorders>
              <w:bottom w:val="single" w:color="009EE0" w:sz="2" w:space="0"/>
            </w:tcBorders>
            <w:tcMar>
              <w:top w:w="22" w:type="dxa"/>
              <w:left w:w="28" w:type="dxa"/>
              <w:bottom w:w="22" w:type="dxa"/>
              <w:right w:w="28" w:type="dxa"/>
            </w:tcMar>
          </w:tcPr>
          <w:p w:rsidR="006B6965" w:rsidRDefault="003A166B" w14:paraId="1B9B5FE1" w14:textId="77777777">
            <w:pPr>
              <w:pStyle w:val="p-table"/>
              <w:jc w:val="right"/>
              <w:rPr>
                <w:sz w:val="17"/>
              </w:rPr>
            </w:pPr>
            <w:r>
              <w:rPr>
                <w:i/>
                <w:sz w:val="17"/>
              </w:rPr>
              <w:t>142.299</w:t>
            </w:r>
          </w:p>
        </w:tc>
      </w:tr>
      <w:tr w:rsidR="006B6965" w14:paraId="0487ADF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59D9B7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2A63096A" w14:textId="77777777">
            <w:pPr>
              <w:pStyle w:val="p-table"/>
              <w:rPr>
                <w:sz w:val="17"/>
              </w:rPr>
            </w:pPr>
            <w:r>
              <w:rPr>
                <w:sz w:val="17"/>
              </w:rPr>
              <w:t>ICT</w:t>
            </w:r>
          </w:p>
        </w:tc>
        <w:tc>
          <w:tcPr>
            <w:tcW w:w="1377" w:type="dxa"/>
            <w:tcBorders>
              <w:bottom w:val="single" w:color="009EE0" w:sz="2" w:space="0"/>
            </w:tcBorders>
            <w:tcMar>
              <w:top w:w="22" w:type="dxa"/>
              <w:left w:w="28" w:type="dxa"/>
              <w:bottom w:w="22" w:type="dxa"/>
              <w:right w:w="28" w:type="dxa"/>
            </w:tcMar>
          </w:tcPr>
          <w:p w:rsidR="006B6965" w:rsidRDefault="003A166B" w14:paraId="346CFCC7" w14:textId="77777777">
            <w:pPr>
              <w:pStyle w:val="p-table"/>
              <w:jc w:val="right"/>
              <w:rPr>
                <w:sz w:val="17"/>
              </w:rPr>
            </w:pPr>
            <w:r>
              <w:rPr>
                <w:sz w:val="17"/>
              </w:rPr>
              <w:t>52.476</w:t>
            </w:r>
          </w:p>
        </w:tc>
        <w:tc>
          <w:tcPr>
            <w:tcW w:w="1377" w:type="dxa"/>
            <w:tcBorders>
              <w:bottom w:val="single" w:color="009EE0" w:sz="2" w:space="0"/>
            </w:tcBorders>
            <w:tcMar>
              <w:top w:w="22" w:type="dxa"/>
              <w:left w:w="28" w:type="dxa"/>
              <w:bottom w:w="22" w:type="dxa"/>
              <w:right w:w="28" w:type="dxa"/>
            </w:tcMar>
          </w:tcPr>
          <w:p w:rsidR="006B6965" w:rsidRDefault="003A166B" w14:paraId="542A2CE4" w14:textId="77777777">
            <w:pPr>
              <w:pStyle w:val="p-table"/>
              <w:jc w:val="right"/>
              <w:rPr>
                <w:sz w:val="17"/>
              </w:rPr>
            </w:pPr>
            <w:r>
              <w:rPr>
                <w:sz w:val="17"/>
              </w:rPr>
              <w:t>‒</w:t>
            </w:r>
            <w:r>
              <w:rPr>
                <w:sz w:val="17"/>
              </w:rPr>
              <w:t xml:space="preserve"> 1.882</w:t>
            </w:r>
          </w:p>
        </w:tc>
        <w:tc>
          <w:tcPr>
            <w:tcW w:w="1377" w:type="dxa"/>
            <w:tcBorders>
              <w:bottom w:val="single" w:color="009EE0" w:sz="2" w:space="0"/>
            </w:tcBorders>
            <w:tcMar>
              <w:top w:w="22" w:type="dxa"/>
              <w:left w:w="28" w:type="dxa"/>
              <w:bottom w:w="22" w:type="dxa"/>
              <w:right w:w="28" w:type="dxa"/>
            </w:tcMar>
          </w:tcPr>
          <w:p w:rsidR="006B6965" w:rsidRDefault="003A166B" w14:paraId="7109156B" w14:textId="77777777">
            <w:pPr>
              <w:pStyle w:val="p-table"/>
              <w:jc w:val="right"/>
              <w:rPr>
                <w:sz w:val="17"/>
              </w:rPr>
            </w:pPr>
            <w:r>
              <w:rPr>
                <w:sz w:val="17"/>
              </w:rPr>
              <w:t>50.594</w:t>
            </w:r>
          </w:p>
        </w:tc>
      </w:tr>
      <w:tr w:rsidR="006B6965" w14:paraId="1FBE5F0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429E5E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6667EFA" w14:textId="77777777">
            <w:pPr>
              <w:pStyle w:val="p-table"/>
              <w:rPr>
                <w:sz w:val="17"/>
              </w:rPr>
            </w:pPr>
            <w:r>
              <w:rPr>
                <w:sz w:val="17"/>
              </w:rPr>
              <w:t xml:space="preserve">Bijdrage aan </w:t>
            </w:r>
            <w:proofErr w:type="spellStart"/>
            <w:r>
              <w:rPr>
                <w:sz w:val="17"/>
              </w:rPr>
              <w:t>SSO's</w:t>
            </w:r>
            <w:proofErr w:type="spellEnd"/>
          </w:p>
        </w:tc>
        <w:tc>
          <w:tcPr>
            <w:tcW w:w="1377" w:type="dxa"/>
            <w:tcBorders>
              <w:bottom w:val="single" w:color="009EE0" w:sz="2" w:space="0"/>
            </w:tcBorders>
            <w:tcMar>
              <w:top w:w="22" w:type="dxa"/>
              <w:left w:w="28" w:type="dxa"/>
              <w:bottom w:w="22" w:type="dxa"/>
              <w:right w:w="28" w:type="dxa"/>
            </w:tcMar>
          </w:tcPr>
          <w:p w:rsidR="006B6965" w:rsidRDefault="003A166B" w14:paraId="15221A69" w14:textId="77777777">
            <w:pPr>
              <w:pStyle w:val="p-table"/>
              <w:jc w:val="right"/>
              <w:rPr>
                <w:sz w:val="17"/>
              </w:rPr>
            </w:pPr>
            <w:r>
              <w:rPr>
                <w:sz w:val="17"/>
              </w:rPr>
              <w:t>65.137</w:t>
            </w:r>
          </w:p>
        </w:tc>
        <w:tc>
          <w:tcPr>
            <w:tcW w:w="1377" w:type="dxa"/>
            <w:tcBorders>
              <w:bottom w:val="single" w:color="009EE0" w:sz="2" w:space="0"/>
            </w:tcBorders>
            <w:tcMar>
              <w:top w:w="22" w:type="dxa"/>
              <w:left w:w="28" w:type="dxa"/>
              <w:bottom w:w="22" w:type="dxa"/>
              <w:right w:w="28" w:type="dxa"/>
            </w:tcMar>
          </w:tcPr>
          <w:p w:rsidR="006B6965" w:rsidRDefault="003A166B" w14:paraId="585BDC99" w14:textId="77777777">
            <w:pPr>
              <w:pStyle w:val="p-table"/>
              <w:jc w:val="right"/>
              <w:rPr>
                <w:sz w:val="17"/>
              </w:rPr>
            </w:pPr>
            <w:r>
              <w:rPr>
                <w:sz w:val="17"/>
              </w:rPr>
              <w:t>‒</w:t>
            </w:r>
            <w:r>
              <w:rPr>
                <w:sz w:val="17"/>
              </w:rPr>
              <w:t xml:space="preserve"> 55</w:t>
            </w:r>
          </w:p>
        </w:tc>
        <w:tc>
          <w:tcPr>
            <w:tcW w:w="1377" w:type="dxa"/>
            <w:tcBorders>
              <w:bottom w:val="single" w:color="009EE0" w:sz="2" w:space="0"/>
            </w:tcBorders>
            <w:tcMar>
              <w:top w:w="22" w:type="dxa"/>
              <w:left w:w="28" w:type="dxa"/>
              <w:bottom w:w="22" w:type="dxa"/>
              <w:right w:w="28" w:type="dxa"/>
            </w:tcMar>
          </w:tcPr>
          <w:p w:rsidR="006B6965" w:rsidRDefault="003A166B" w14:paraId="572ACB19" w14:textId="77777777">
            <w:pPr>
              <w:pStyle w:val="p-table"/>
              <w:jc w:val="right"/>
              <w:rPr>
                <w:sz w:val="17"/>
              </w:rPr>
            </w:pPr>
            <w:r>
              <w:rPr>
                <w:sz w:val="17"/>
              </w:rPr>
              <w:t>65.082</w:t>
            </w:r>
          </w:p>
        </w:tc>
      </w:tr>
      <w:tr w:rsidR="006B6965" w14:paraId="5728ACF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6550DE1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6A661CC8" w14:textId="77777777">
            <w:pPr>
              <w:pStyle w:val="p-table"/>
              <w:rPr>
                <w:sz w:val="17"/>
              </w:rPr>
            </w:pPr>
            <w:r>
              <w:rPr>
                <w:sz w:val="17"/>
              </w:rPr>
              <w:t>Overige materiële uitgaven</w:t>
            </w:r>
          </w:p>
        </w:tc>
        <w:tc>
          <w:tcPr>
            <w:tcW w:w="1377" w:type="dxa"/>
            <w:tcBorders>
              <w:bottom w:val="single" w:color="009EE0" w:sz="2" w:space="0"/>
            </w:tcBorders>
            <w:tcMar>
              <w:top w:w="22" w:type="dxa"/>
              <w:left w:w="28" w:type="dxa"/>
              <w:bottom w:w="22" w:type="dxa"/>
              <w:right w:w="28" w:type="dxa"/>
            </w:tcMar>
          </w:tcPr>
          <w:p w:rsidR="006B6965" w:rsidRDefault="003A166B" w14:paraId="6A6B1678" w14:textId="77777777">
            <w:pPr>
              <w:pStyle w:val="p-table"/>
              <w:jc w:val="right"/>
              <w:rPr>
                <w:sz w:val="17"/>
              </w:rPr>
            </w:pPr>
            <w:r>
              <w:rPr>
                <w:sz w:val="17"/>
              </w:rPr>
              <w:t>27.972</w:t>
            </w:r>
          </w:p>
        </w:tc>
        <w:tc>
          <w:tcPr>
            <w:tcW w:w="1377" w:type="dxa"/>
            <w:tcBorders>
              <w:bottom w:val="single" w:color="009EE0" w:sz="2" w:space="0"/>
            </w:tcBorders>
            <w:tcMar>
              <w:top w:w="22" w:type="dxa"/>
              <w:left w:w="28" w:type="dxa"/>
              <w:bottom w:w="22" w:type="dxa"/>
              <w:right w:w="28" w:type="dxa"/>
            </w:tcMar>
          </w:tcPr>
          <w:p w:rsidR="006B6965" w:rsidRDefault="003A166B" w14:paraId="2949F66D" w14:textId="77777777">
            <w:pPr>
              <w:pStyle w:val="p-table"/>
              <w:jc w:val="right"/>
              <w:rPr>
                <w:sz w:val="17"/>
              </w:rPr>
            </w:pPr>
            <w:r>
              <w:rPr>
                <w:sz w:val="17"/>
              </w:rPr>
              <w:t>‒</w:t>
            </w:r>
            <w:r>
              <w:rPr>
                <w:sz w:val="17"/>
              </w:rPr>
              <w:t xml:space="preserve"> 1.349</w:t>
            </w:r>
          </w:p>
        </w:tc>
        <w:tc>
          <w:tcPr>
            <w:tcW w:w="1377" w:type="dxa"/>
            <w:tcBorders>
              <w:bottom w:val="single" w:color="009EE0" w:sz="2" w:space="0"/>
            </w:tcBorders>
            <w:tcMar>
              <w:top w:w="22" w:type="dxa"/>
              <w:left w:w="28" w:type="dxa"/>
              <w:bottom w:w="22" w:type="dxa"/>
              <w:right w:w="28" w:type="dxa"/>
            </w:tcMar>
          </w:tcPr>
          <w:p w:rsidR="006B6965" w:rsidRDefault="003A166B" w14:paraId="157F7E9B" w14:textId="77777777">
            <w:pPr>
              <w:pStyle w:val="p-table"/>
              <w:jc w:val="right"/>
              <w:rPr>
                <w:sz w:val="17"/>
              </w:rPr>
            </w:pPr>
            <w:r>
              <w:rPr>
                <w:sz w:val="17"/>
              </w:rPr>
              <w:t>26.623</w:t>
            </w:r>
          </w:p>
        </w:tc>
      </w:tr>
      <w:tr w:rsidR="006B6965" w14:paraId="13EC98D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E806376"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2E7476A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4F8441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358663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1563999" w14:textId="77777777">
            <w:pPr>
              <w:pStyle w:val="p-table"/>
              <w:rPr>
                <w:sz w:val="17"/>
              </w:rPr>
            </w:pPr>
          </w:p>
        </w:tc>
      </w:tr>
      <w:tr w:rsidR="006B6965" w14:paraId="463C8F8D"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6AF7C0A"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45367DF9"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568B9A7D" w14:textId="77777777">
            <w:pPr>
              <w:pStyle w:val="p-table"/>
              <w:jc w:val="right"/>
              <w:rPr>
                <w:sz w:val="17"/>
              </w:rPr>
            </w:pPr>
            <w:r>
              <w:rPr>
                <w:b/>
                <w:sz w:val="17"/>
              </w:rPr>
              <w:t>4.530</w:t>
            </w:r>
          </w:p>
        </w:tc>
        <w:tc>
          <w:tcPr>
            <w:tcW w:w="1377" w:type="dxa"/>
            <w:tcBorders>
              <w:bottom w:val="single" w:color="009EE0" w:sz="2" w:space="0"/>
            </w:tcBorders>
            <w:tcMar>
              <w:top w:w="22" w:type="dxa"/>
              <w:left w:w="28" w:type="dxa"/>
              <w:bottom w:w="22" w:type="dxa"/>
              <w:right w:w="28" w:type="dxa"/>
            </w:tcMar>
          </w:tcPr>
          <w:p w:rsidR="006B6965" w:rsidRDefault="003A166B" w14:paraId="44B28FDE" w14:textId="77777777">
            <w:pPr>
              <w:pStyle w:val="p-table"/>
              <w:jc w:val="right"/>
              <w:rPr>
                <w:sz w:val="17"/>
              </w:rPr>
            </w:pPr>
            <w:r>
              <w:rPr>
                <w:b/>
                <w:sz w:val="17"/>
              </w:rPr>
              <w:t>862</w:t>
            </w:r>
          </w:p>
        </w:tc>
        <w:tc>
          <w:tcPr>
            <w:tcW w:w="1377" w:type="dxa"/>
            <w:tcBorders>
              <w:bottom w:val="single" w:color="009EE0" w:sz="2" w:space="0"/>
            </w:tcBorders>
            <w:tcMar>
              <w:top w:w="22" w:type="dxa"/>
              <w:left w:w="28" w:type="dxa"/>
              <w:bottom w:w="22" w:type="dxa"/>
              <w:right w:w="28" w:type="dxa"/>
            </w:tcMar>
          </w:tcPr>
          <w:p w:rsidR="006B6965" w:rsidRDefault="003A166B" w14:paraId="1146050D" w14:textId="77777777">
            <w:pPr>
              <w:pStyle w:val="p-table"/>
              <w:jc w:val="right"/>
              <w:rPr>
                <w:sz w:val="17"/>
              </w:rPr>
            </w:pPr>
            <w:r>
              <w:rPr>
                <w:b/>
                <w:sz w:val="17"/>
              </w:rPr>
              <w:t>5.392</w:t>
            </w:r>
          </w:p>
        </w:tc>
      </w:tr>
      <w:tr w:rsidR="006B6965" w14:paraId="7B6B0E7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1C5BE72C"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0CC0396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566397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DB88F4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C5CB3D0" w14:textId="77777777">
            <w:pPr>
              <w:pStyle w:val="p-table"/>
              <w:rPr>
                <w:sz w:val="17"/>
              </w:rPr>
            </w:pPr>
          </w:p>
        </w:tc>
      </w:tr>
    </w:tbl>
    <w:p w:rsidR="006B6965" w:rsidRDefault="006B6965" w14:paraId="55181978" w14:textId="77777777">
      <w:pPr>
        <w:pStyle w:val="p-marginbottom"/>
      </w:pPr>
    </w:p>
    <w:p w:rsidR="006B6965" w:rsidRDefault="003A166B" w14:paraId="1895E9D6" w14:textId="77777777">
      <w:pPr>
        <w:pStyle w:val="section-title-4"/>
      </w:pPr>
      <w:r>
        <w:t>Toelichting</w:t>
      </w:r>
    </w:p>
    <w:p w:rsidR="006B6965" w:rsidRDefault="003A166B" w14:paraId="4A387708" w14:textId="77777777">
      <w:pPr>
        <w:pStyle w:val="header-h1"/>
      </w:pPr>
      <w:r>
        <w:t>Verplichtingen</w:t>
      </w:r>
    </w:p>
    <w:p w:rsidR="006B6965" w:rsidRDefault="003A166B" w14:paraId="733B41E6" w14:textId="77777777">
      <w:pPr>
        <w:pStyle w:val="p"/>
      </w:pPr>
      <w:r>
        <w:t xml:space="preserve">Het </w:t>
      </w:r>
      <w:r>
        <w:t>verplichtingenbudget voor 2025 wordt met € 0,8 miljoen verhoogd. Dit wordt met name veroorzaakt door de hieronder toegelichte uitgavenmutaties.</w:t>
      </w:r>
    </w:p>
    <w:p w:rsidR="006B6965" w:rsidRDefault="003A166B" w14:paraId="435C0625" w14:textId="77777777">
      <w:pPr>
        <w:pStyle w:val="header-h1"/>
      </w:pPr>
      <w:r>
        <w:t>Uitgaven</w:t>
      </w:r>
    </w:p>
    <w:p w:rsidR="006B6965" w:rsidRDefault="003A166B" w14:paraId="3C64A15E" w14:textId="77777777">
      <w:pPr>
        <w:pStyle w:val="header-h1"/>
      </w:pPr>
      <w:r>
        <w:t>Artikel 98.01 Personele uitgaven</w:t>
      </w:r>
    </w:p>
    <w:p w:rsidR="006B6965" w:rsidRDefault="003A166B" w14:paraId="7B8F6A83" w14:textId="77777777">
      <w:pPr>
        <w:pStyle w:val="header-h2"/>
      </w:pPr>
      <w:r>
        <w:t>Eigen personeel</w:t>
      </w:r>
    </w:p>
    <w:p w:rsidR="006B6965" w:rsidRDefault="003A166B" w14:paraId="47F61BD9" w14:textId="77777777">
      <w:pPr>
        <w:pStyle w:val="p"/>
      </w:pPr>
      <w:r>
        <w:t>De verhoging van de personele uitgaven van € 2,6 miljoen wordt met name veroorzaakt door:</w:t>
      </w:r>
    </w:p>
    <w:p w:rsidR="006B6965" w:rsidRDefault="003A166B" w14:paraId="47974234" w14:textId="77777777">
      <w:r>
        <w:rPr>
          <w:rStyle w:val="span-u"/>
        </w:rPr>
        <w:t>Eigen personeel</w:t>
      </w:r>
      <w:r>
        <w:t>: De uitgaven op eigen personeel is met € 1,9 miljoen verlaagd en wordt met name verklaard door:</w:t>
      </w:r>
    </w:p>
    <w:p w:rsidR="006B6965" w:rsidRDefault="003A166B" w14:paraId="10D38DB9" w14:textId="77777777">
      <w:pPr>
        <w:pStyle w:val="ol-p-l1"/>
        <w:numPr>
          <w:ilvl w:val="0"/>
          <w:numId w:val="30"/>
        </w:numPr>
      </w:pPr>
      <w:r>
        <w:rPr>
          <w:rStyle w:val="ol-text"/>
        </w:rPr>
        <w:t xml:space="preserve">Bijdragen van LVVN en KGG voor respectievelijk de Basisfinanciering van het werkprogramma 2025 van PBL en voor adviesdiensten </w:t>
      </w:r>
      <w:proofErr w:type="spellStart"/>
      <w:r>
        <w:rPr>
          <w:rStyle w:val="ol-text"/>
        </w:rPr>
        <w:t>i.h.k.v</w:t>
      </w:r>
      <w:proofErr w:type="spellEnd"/>
      <w:r>
        <w:rPr>
          <w:rStyle w:val="ol-text"/>
        </w:rPr>
        <w:t>. de Stimuleringsregeling Duurzame Energieproductie en Klimaattransitie (SDE+++);</w:t>
      </w:r>
    </w:p>
    <w:p w:rsidR="006B6965" w:rsidRDefault="003A166B" w14:paraId="1EF0BAF7" w14:textId="77777777">
      <w:pPr>
        <w:pStyle w:val="ol-p-l1"/>
        <w:numPr>
          <w:ilvl w:val="0"/>
          <w:numId w:val="5"/>
        </w:numPr>
      </w:pPr>
      <w:r>
        <w:rPr>
          <w:rStyle w:val="ol-text"/>
        </w:rPr>
        <w:t>Een overboeking naar art 99, t.b.v. de terugboeking van ingehouden indexatie;</w:t>
      </w:r>
    </w:p>
    <w:p w:rsidR="006B6965" w:rsidRDefault="003A166B" w14:paraId="14415785" w14:textId="77777777">
      <w:pPr>
        <w:pStyle w:val="ol-p-l1"/>
        <w:numPr>
          <w:ilvl w:val="0"/>
          <w:numId w:val="5"/>
        </w:numPr>
      </w:pPr>
      <w:r>
        <w:rPr>
          <w:rStyle w:val="ol-text"/>
        </w:rPr>
        <w:t xml:space="preserve">Een overboeking vanuit het MF naar dit </w:t>
      </w:r>
      <w:proofErr w:type="spellStart"/>
      <w:r>
        <w:rPr>
          <w:rStyle w:val="ol-text"/>
        </w:rPr>
        <w:t>artiekel</w:t>
      </w:r>
      <w:proofErr w:type="spellEnd"/>
      <w:r>
        <w:rPr>
          <w:rStyle w:val="ol-text"/>
        </w:rPr>
        <w:t xml:space="preserve"> voor apparaatskosten t.b.v. het project Woningbouw Mobiliteitsprogramma (4% van het totaal beschikbaar budget)</w:t>
      </w:r>
    </w:p>
    <w:p w:rsidR="006B6965" w:rsidRDefault="003A166B" w14:paraId="29C74F3A" w14:textId="77777777">
      <w:pPr>
        <w:pStyle w:val="ol-p-l1"/>
        <w:numPr>
          <w:ilvl w:val="0"/>
          <w:numId w:val="5"/>
        </w:numPr>
      </w:pPr>
      <w:r>
        <w:rPr>
          <w:rStyle w:val="ol-text"/>
        </w:rPr>
        <w:t xml:space="preserve">kasschuiven naar latere jaren voor o.a. het NGF-salarisbudget van Mobiliteit en Gebieden en van Klimaatfondsgelden, Programma omgeving luchthaven Schiphol </w:t>
      </w:r>
      <w:r>
        <w:rPr>
          <w:rStyle w:val="ol-text"/>
        </w:rPr>
        <w:t xml:space="preserve">(POLS), het mitigeren van het ritme van de taakstelling en het natuurlijk verloop, het waarborgen van de continuering van de inzet voor Programma Bescherming Noordzee Infrastructuur (PBNI) en opzet trainee-programma </w:t>
      </w:r>
      <w:proofErr w:type="spellStart"/>
      <w:r>
        <w:rPr>
          <w:rStyle w:val="ol-text"/>
        </w:rPr>
        <w:t>a.g.v.</w:t>
      </w:r>
      <w:proofErr w:type="spellEnd"/>
      <w:r>
        <w:rPr>
          <w:rStyle w:val="ol-text"/>
        </w:rPr>
        <w:t xml:space="preserve"> het later invullen van vacatures.</w:t>
      </w:r>
    </w:p>
    <w:p w:rsidR="006B6965" w:rsidRDefault="006B6965" w14:paraId="5E37299A" w14:textId="77777777"/>
    <w:p w:rsidR="006B6965" w:rsidRDefault="003A166B" w14:paraId="0543E85E" w14:textId="77777777">
      <w:r>
        <w:rPr>
          <w:rStyle w:val="span-u"/>
        </w:rPr>
        <w:lastRenderedPageBreak/>
        <w:t>Inhuur externen:</w:t>
      </w:r>
      <w:r>
        <w:t xml:space="preserve"> De uitgaven op inhuur externen is met € 4,5 miljoen verhoogd en wordt met name verklaard door:</w:t>
      </w:r>
    </w:p>
    <w:p w:rsidR="006B6965" w:rsidRDefault="003A166B" w14:paraId="19361573" w14:textId="77777777">
      <w:pPr>
        <w:pStyle w:val="ol-p-l1"/>
        <w:numPr>
          <w:ilvl w:val="0"/>
          <w:numId w:val="31"/>
        </w:numPr>
      </w:pPr>
      <w:r>
        <w:rPr>
          <w:rStyle w:val="ol-text"/>
        </w:rPr>
        <w:t>De ontvangen gelden van het ministerie van Defensie t.b.v. opdrachten Luchtruimherziening;</w:t>
      </w:r>
    </w:p>
    <w:p w:rsidR="006B6965" w:rsidRDefault="003A166B" w14:paraId="4AE19233" w14:textId="77777777">
      <w:pPr>
        <w:pStyle w:val="ol-p-l1"/>
        <w:numPr>
          <w:ilvl w:val="0"/>
          <w:numId w:val="5"/>
        </w:numPr>
      </w:pPr>
      <w:r>
        <w:rPr>
          <w:rStyle w:val="ol-text"/>
        </w:rPr>
        <w:t>De toedeling van Eindejaarsmarge voor diverse overlopende verplichtingen die niet meer in 2024 tot betaling zijn gekomen;</w:t>
      </w:r>
    </w:p>
    <w:p w:rsidR="006B6965" w:rsidRDefault="003A166B" w14:paraId="4AB29BEC" w14:textId="77777777">
      <w:pPr>
        <w:pStyle w:val="ol-p-l1"/>
        <w:numPr>
          <w:ilvl w:val="0"/>
          <w:numId w:val="5"/>
        </w:numPr>
      </w:pPr>
      <w:r>
        <w:rPr>
          <w:rStyle w:val="ol-text"/>
        </w:rPr>
        <w:t xml:space="preserve">Een kasschuif voor apparaat Programma Omgeving Luchthaven Schiphol (POLS) om de middelen voor de jaren 2025 </w:t>
      </w:r>
      <w:proofErr w:type="spellStart"/>
      <w:r>
        <w:rPr>
          <w:rStyle w:val="ol-text"/>
        </w:rPr>
        <w:t>tm</w:t>
      </w:r>
      <w:proofErr w:type="spellEnd"/>
      <w:r>
        <w:rPr>
          <w:rStyle w:val="ol-text"/>
        </w:rPr>
        <w:t xml:space="preserve"> 2028 in het juiste ritme te zetten;</w:t>
      </w:r>
    </w:p>
    <w:p w:rsidR="006B6965" w:rsidRDefault="003A166B" w14:paraId="41148E11" w14:textId="77777777">
      <w:pPr>
        <w:pStyle w:val="ol-p-l1"/>
        <w:numPr>
          <w:ilvl w:val="0"/>
          <w:numId w:val="5"/>
        </w:numPr>
      </w:pPr>
      <w:r>
        <w:rPr>
          <w:rStyle w:val="ol-text"/>
        </w:rPr>
        <w:t>Een herschikkingen vanuit ICT met name voor de inzet van externe inhuur t.b.v. het project Horizon.</w:t>
      </w:r>
    </w:p>
    <w:p w:rsidR="006B6965" w:rsidRDefault="003A166B" w14:paraId="4C9AFA24" w14:textId="77777777">
      <w:pPr>
        <w:pStyle w:val="ol-p-l1"/>
        <w:numPr>
          <w:ilvl w:val="0"/>
          <w:numId w:val="5"/>
        </w:numPr>
      </w:pPr>
      <w:r>
        <w:rPr>
          <w:rStyle w:val="ol-text"/>
        </w:rPr>
        <w:t>Diverse kleine mutaties die het resterende verschil verklaren.</w:t>
      </w:r>
    </w:p>
    <w:p w:rsidR="006B6965" w:rsidRDefault="006B6965" w14:paraId="707B1A5B" w14:textId="77777777"/>
    <w:p w:rsidR="006B6965" w:rsidRDefault="003A166B" w14:paraId="3DAF08C0" w14:textId="77777777">
      <w:pPr>
        <w:pStyle w:val="header-h1"/>
      </w:pPr>
      <w:r>
        <w:t>Artikel 98.02 Materiële uitgaven</w:t>
      </w:r>
    </w:p>
    <w:p w:rsidR="006B6965" w:rsidRDefault="003A166B" w14:paraId="7EEF729B" w14:textId="77777777">
      <w:pPr>
        <w:pStyle w:val="header-h2"/>
      </w:pPr>
      <w:r>
        <w:t>Materiële uitgaven</w:t>
      </w:r>
    </w:p>
    <w:p w:rsidR="006B6965" w:rsidRDefault="003A166B" w14:paraId="430CA1BD" w14:textId="77777777">
      <w:pPr>
        <w:pStyle w:val="p"/>
      </w:pPr>
      <w:r>
        <w:t xml:space="preserve">De verlaging van de materiële uitgaven met € 3,3 miljoen wordt met name </w:t>
      </w:r>
      <w:r>
        <w:t>veroorzaakt door:</w:t>
      </w:r>
    </w:p>
    <w:p w:rsidR="006B6965" w:rsidRDefault="003A166B" w14:paraId="56A5AC32" w14:textId="77777777">
      <w:r>
        <w:rPr>
          <w:rStyle w:val="span-u"/>
        </w:rPr>
        <w:t>ICT:</w:t>
      </w:r>
      <w:r>
        <w:t xml:space="preserve"> De uitgaven op ICT is met € 1,9 miljoen verlaagd en wordt met name verklaard door:</w:t>
      </w:r>
    </w:p>
    <w:p w:rsidR="006B6965" w:rsidRDefault="003A166B" w14:paraId="2CCBE085" w14:textId="77777777">
      <w:pPr>
        <w:pStyle w:val="ol-p-l1"/>
        <w:numPr>
          <w:ilvl w:val="0"/>
          <w:numId w:val="32"/>
        </w:numPr>
      </w:pPr>
      <w:r>
        <w:rPr>
          <w:rStyle w:val="ol-text"/>
        </w:rPr>
        <w:t xml:space="preserve">Diverse interdepartementale overboekingen naar PBL, voornamelijk van LVVN en EZ t.b.v. de basisfinanciering van het werkprogramma 2025, de Stimuleringsregeling Duurzame Energieproductie en Klimaattransitie (SDE+++), alternatieve invulling Lerende Evaluatie Transitie Landelijk Gebied LETLG-projecten de Ondersteuning internationaal biodiversiteitsbeleid. Daarnaast betreft het een overboeking naar BZK voor </w:t>
      </w:r>
      <w:proofErr w:type="spellStart"/>
      <w:r>
        <w:rPr>
          <w:rStyle w:val="ol-text"/>
        </w:rPr>
        <w:t>Rijksbrede</w:t>
      </w:r>
      <w:proofErr w:type="spellEnd"/>
      <w:r>
        <w:rPr>
          <w:rStyle w:val="ol-text"/>
        </w:rPr>
        <w:t xml:space="preserve"> ICT-voorzieningen 2025;</w:t>
      </w:r>
    </w:p>
    <w:p w:rsidR="006B6965" w:rsidRDefault="003A166B" w14:paraId="24710671" w14:textId="77777777">
      <w:pPr>
        <w:pStyle w:val="ol-p-l1"/>
        <w:numPr>
          <w:ilvl w:val="0"/>
          <w:numId w:val="5"/>
        </w:numPr>
      </w:pPr>
      <w:r>
        <w:rPr>
          <w:rStyle w:val="ol-text"/>
        </w:rPr>
        <w:t>Een herschikking naar externe inhuur met name voor de inzet t.b.v. het project Horizon;</w:t>
      </w:r>
    </w:p>
    <w:p w:rsidR="006B6965" w:rsidRDefault="003A166B" w14:paraId="1F10D267" w14:textId="77777777">
      <w:pPr>
        <w:pStyle w:val="ol-p-l1"/>
        <w:numPr>
          <w:ilvl w:val="0"/>
          <w:numId w:val="5"/>
        </w:numPr>
      </w:pPr>
      <w:r>
        <w:rPr>
          <w:rStyle w:val="ol-text"/>
        </w:rPr>
        <w:t>Een overboeking vanuit art 21 t.b.v. de financiering van het onderzoeksprogramma Monitoring &amp; sturing CE dat door PBL wordt uitgevoerd;</w:t>
      </w:r>
    </w:p>
    <w:p w:rsidR="006B6965" w:rsidRDefault="003A166B" w14:paraId="6364797B" w14:textId="77777777">
      <w:pPr>
        <w:pStyle w:val="ol-p-l1"/>
        <w:numPr>
          <w:ilvl w:val="0"/>
          <w:numId w:val="5"/>
        </w:numPr>
      </w:pPr>
      <w:r>
        <w:rPr>
          <w:rStyle w:val="ol-text"/>
        </w:rPr>
        <w:t>De ontvangen gelden van BZ voor de ontvlechting van de dienstverlening SAP (desaldering);</w:t>
      </w:r>
    </w:p>
    <w:p w:rsidR="006B6965" w:rsidRDefault="003A166B" w14:paraId="20954924" w14:textId="77777777">
      <w:pPr>
        <w:pStyle w:val="ol-p-l1"/>
        <w:numPr>
          <w:ilvl w:val="0"/>
          <w:numId w:val="5"/>
        </w:numPr>
      </w:pPr>
      <w:r>
        <w:rPr>
          <w:rStyle w:val="ol-text"/>
        </w:rPr>
        <w:t>Toevoeging van Eindejaarsmarge voor overlopende werkzaamheden uit 2024;</w:t>
      </w:r>
    </w:p>
    <w:p w:rsidR="006B6965" w:rsidRDefault="003A166B" w14:paraId="1A239B4F" w14:textId="77777777">
      <w:pPr>
        <w:pStyle w:val="ol-p-l1"/>
        <w:numPr>
          <w:ilvl w:val="0"/>
          <w:numId w:val="5"/>
        </w:numPr>
      </w:pPr>
      <w:r>
        <w:rPr>
          <w:rStyle w:val="ol-text"/>
        </w:rPr>
        <w:t xml:space="preserve">Een kasschuif van 2025 naar 2030 t.b.v. Staatsgeheim (STG)-budget voor bouwkundige aanpassingen. Dit vanwege het later starten met de aanpassingen op Koningskade 4 of mogelijke verhuizing in 2030 naar zone 3 </w:t>
      </w:r>
      <w:proofErr w:type="spellStart"/>
      <w:r>
        <w:rPr>
          <w:rStyle w:val="ol-text"/>
        </w:rPr>
        <w:t>Rijksverzamelkantoor</w:t>
      </w:r>
      <w:proofErr w:type="spellEnd"/>
      <w:r>
        <w:rPr>
          <w:rStyle w:val="ol-text"/>
        </w:rPr>
        <w:t>. Daarnaast is er sprake van vertraging van Werk aan Uitvoering middelen t.b.v. de aanbesteding BOSON (Bouwen Samenwerken en Ontwikkelen).</w:t>
      </w:r>
    </w:p>
    <w:p w:rsidR="006B6965" w:rsidRDefault="006B6965" w14:paraId="6309E623" w14:textId="77777777"/>
    <w:p w:rsidR="006B6965" w:rsidRDefault="003A166B" w14:paraId="0DCEAEA6" w14:textId="77777777">
      <w:pPr>
        <w:pStyle w:val="p"/>
      </w:pPr>
      <w:r>
        <w:rPr>
          <w:rStyle w:val="span-u"/>
        </w:rPr>
        <w:t xml:space="preserve">Bijdrage aan </w:t>
      </w:r>
      <w:proofErr w:type="spellStart"/>
      <w:r>
        <w:rPr>
          <w:rStyle w:val="span-u"/>
        </w:rPr>
        <w:t>SSO's</w:t>
      </w:r>
      <w:proofErr w:type="spellEnd"/>
      <w:r>
        <w:rPr>
          <w:rStyle w:val="span-u"/>
        </w:rPr>
        <w:t>:</w:t>
      </w:r>
      <w:r>
        <w:t xml:space="preserve"> De bijdragen aan </w:t>
      </w:r>
      <w:proofErr w:type="spellStart"/>
      <w:r>
        <w:t>SSO's</w:t>
      </w:r>
      <w:proofErr w:type="spellEnd"/>
      <w:r>
        <w:t xml:space="preserve"> zijn met € 0,055 miljoen verlaagd. De mutaties zijn lager dan de voorgeschreven norm en worden daarom niet toegelicht (zie normering in de ).</w:t>
      </w:r>
    </w:p>
    <w:p w:rsidR="006B6965" w:rsidRDefault="003A166B" w14:paraId="4D0ED94A" w14:textId="77777777">
      <w:pPr>
        <w:pStyle w:val="p"/>
      </w:pPr>
      <w:r>
        <w:rPr>
          <w:rStyle w:val="span-u"/>
        </w:rPr>
        <w:t>Overige materiële uitgaven:</w:t>
      </w:r>
      <w:r>
        <w:t xml:space="preserve"> De uitgaven op overige materiële uitgaven is met € 1,3 miljoen verlaagd. Dit wordt met name veroorzaakt door de verrekening van een interdepartementale overboeking naar het ministerie van Sociale Zaken en Werkgelegenheid voor de bijdrage in het geleden besparingsverlies op de Banenafspraak.</w:t>
      </w:r>
    </w:p>
    <w:p w:rsidR="006B6965" w:rsidRDefault="003A166B" w14:paraId="4DB2D48F" w14:textId="77777777">
      <w:pPr>
        <w:pStyle w:val="header-h1"/>
      </w:pPr>
      <w:r>
        <w:t>Ontvangsten</w:t>
      </w:r>
    </w:p>
    <w:p w:rsidR="006B6965" w:rsidRDefault="003A166B" w14:paraId="60914245" w14:textId="77777777">
      <w:pPr>
        <w:pStyle w:val="p"/>
      </w:pPr>
      <w:r>
        <w:t>De ontvangstenmutaties zijn lager dan de voorgeschreven norm en worden daarom niet toegelicht (zie normering in de ).</w:t>
      </w:r>
    </w:p>
    <w:p w:rsidR="006B6965" w:rsidRDefault="006B6965" w14:paraId="3FA8467B" w14:textId="77777777">
      <w:pPr>
        <w:pStyle w:val="page-break"/>
      </w:pPr>
    </w:p>
    <w:p w:rsidR="006B6965" w:rsidRDefault="003A166B" w14:paraId="35A4A85D" w14:textId="77777777">
      <w:pPr>
        <w:pStyle w:val="section-title-3"/>
      </w:pPr>
      <w:r>
        <w:t>4.3 Artikel 99 Nog onverdeeld</w:t>
      </w:r>
    </w:p>
    <w:tbl>
      <w:tblPr>
        <w:tblW w:w="9694" w:type="dxa"/>
        <w:tblInd w:w="-3317" w:type="dxa"/>
        <w:tblCellMar>
          <w:left w:w="10" w:type="dxa"/>
          <w:right w:w="10" w:type="dxa"/>
        </w:tblCellMar>
        <w:tblLook w:val="04A0" w:firstRow="1" w:lastRow="0" w:firstColumn="1" w:lastColumn="0" w:noHBand="0" w:noVBand="1"/>
      </w:tblPr>
      <w:tblGrid>
        <w:gridCol w:w="490"/>
        <w:gridCol w:w="4845"/>
        <w:gridCol w:w="1453"/>
        <w:gridCol w:w="1453"/>
        <w:gridCol w:w="1453"/>
      </w:tblGrid>
      <w:tr w:rsidR="006B6965" w14:paraId="70E69CBF"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08DBBCCC" w14:textId="77777777">
            <w:pPr>
              <w:pStyle w:val="kio2-table-title"/>
            </w:pPr>
            <w:r>
              <w:t xml:space="preserve">Tabel 21 Budgettaire gevolgen van beleid artikel 99 Nog onverdeeld </w:t>
            </w:r>
            <w:r>
              <w:t>(bedragen x € 1.000)</w:t>
            </w:r>
          </w:p>
        </w:tc>
      </w:tr>
      <w:tr w:rsidR="006B6965" w14:paraId="39D0A20F"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6B6965" w:rsidRDefault="006B6965" w14:paraId="5A1845E5" w14:textId="77777777">
            <w:pPr>
              <w:pStyle w:val="p-table"/>
              <w:rPr>
                <w:color w:val="000000"/>
                <w:sz w:val="17"/>
              </w:rPr>
            </w:pPr>
          </w:p>
        </w:tc>
        <w:tc>
          <w:tcPr>
            <w:tcW w:w="4590" w:type="dxa"/>
            <w:tcBorders>
              <w:top w:val="single" w:color="000000" w:sz="2" w:space="0"/>
              <w:bottom w:val="single" w:color="009EE0" w:sz="2" w:space="0"/>
            </w:tcBorders>
            <w:tcMar>
              <w:top w:w="28" w:type="dxa"/>
              <w:left w:w="28" w:type="dxa"/>
              <w:bottom w:w="28" w:type="dxa"/>
              <w:right w:w="28" w:type="dxa"/>
            </w:tcMar>
          </w:tcPr>
          <w:p w:rsidR="006B6965" w:rsidRDefault="006B6965" w14:paraId="703E3B6E"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1E7AD19D"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68C8482D" w14:textId="77777777">
            <w:pPr>
              <w:pStyle w:val="p-table"/>
              <w:jc w:val="center"/>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6685E5E0" w14:textId="77777777">
            <w:pPr>
              <w:pStyle w:val="p-table"/>
              <w:jc w:val="center"/>
              <w:rPr>
                <w:color w:val="000000"/>
                <w:sz w:val="17"/>
              </w:rPr>
            </w:pPr>
            <w:r>
              <w:rPr>
                <w:color w:val="000000"/>
                <w:sz w:val="17"/>
              </w:rPr>
              <w:t>Stand suppletoire begroting september (3) = (1) + (2)</w:t>
            </w:r>
          </w:p>
        </w:tc>
      </w:tr>
      <w:tr w:rsidR="006B6965" w14:paraId="29915973"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13E5F191" w14:textId="77777777">
            <w:pPr>
              <w:pStyle w:val="p-table"/>
              <w:rPr>
                <w:sz w:val="17"/>
              </w:rPr>
            </w:pPr>
            <w:r>
              <w:rPr>
                <w:b/>
                <w:sz w:val="17"/>
              </w:rPr>
              <w:t>Art.</w:t>
            </w:r>
          </w:p>
        </w:tc>
        <w:tc>
          <w:tcPr>
            <w:tcW w:w="4590" w:type="dxa"/>
            <w:tcBorders>
              <w:bottom w:val="single" w:color="009EE0" w:sz="2" w:space="0"/>
            </w:tcBorders>
            <w:tcMar>
              <w:top w:w="22" w:type="dxa"/>
              <w:left w:w="28" w:type="dxa"/>
              <w:bottom w:w="22" w:type="dxa"/>
              <w:right w:w="28" w:type="dxa"/>
            </w:tcMar>
          </w:tcPr>
          <w:p w:rsidR="006B6965" w:rsidRDefault="003A166B" w14:paraId="77711287" w14:textId="77777777">
            <w:pPr>
              <w:pStyle w:val="p-table"/>
              <w:rPr>
                <w:sz w:val="17"/>
              </w:rPr>
            </w:pPr>
            <w:r>
              <w:rPr>
                <w:b/>
                <w:sz w:val="17"/>
              </w:rPr>
              <w:t>Verplichtingen</w:t>
            </w:r>
          </w:p>
        </w:tc>
        <w:tc>
          <w:tcPr>
            <w:tcW w:w="1377" w:type="dxa"/>
            <w:tcBorders>
              <w:bottom w:val="single" w:color="009EE0" w:sz="2" w:space="0"/>
            </w:tcBorders>
            <w:tcMar>
              <w:top w:w="22" w:type="dxa"/>
              <w:left w:w="28" w:type="dxa"/>
              <w:bottom w:w="22" w:type="dxa"/>
              <w:right w:w="28" w:type="dxa"/>
            </w:tcMar>
          </w:tcPr>
          <w:p w:rsidR="006B6965" w:rsidRDefault="003A166B" w14:paraId="47E0B07D" w14:textId="77777777">
            <w:pPr>
              <w:pStyle w:val="p-table"/>
              <w:jc w:val="right"/>
              <w:rPr>
                <w:sz w:val="17"/>
              </w:rPr>
            </w:pPr>
            <w:r>
              <w:rPr>
                <w:b/>
                <w:sz w:val="17"/>
              </w:rPr>
              <w:t>201.451</w:t>
            </w:r>
          </w:p>
        </w:tc>
        <w:tc>
          <w:tcPr>
            <w:tcW w:w="1377" w:type="dxa"/>
            <w:tcBorders>
              <w:bottom w:val="single" w:color="009EE0" w:sz="2" w:space="0"/>
            </w:tcBorders>
            <w:tcMar>
              <w:top w:w="22" w:type="dxa"/>
              <w:left w:w="28" w:type="dxa"/>
              <w:bottom w:w="22" w:type="dxa"/>
              <w:right w:w="28" w:type="dxa"/>
            </w:tcMar>
          </w:tcPr>
          <w:p w:rsidR="006B6965" w:rsidRDefault="003A166B" w14:paraId="11DF9789" w14:textId="77777777">
            <w:pPr>
              <w:pStyle w:val="p-table"/>
              <w:jc w:val="right"/>
              <w:rPr>
                <w:sz w:val="17"/>
              </w:rPr>
            </w:pPr>
            <w:r>
              <w:rPr>
                <w:b/>
                <w:sz w:val="17"/>
              </w:rPr>
              <w:t>‒</w:t>
            </w:r>
            <w:r>
              <w:rPr>
                <w:b/>
                <w:sz w:val="17"/>
              </w:rPr>
              <w:t xml:space="preserve"> 201.451</w:t>
            </w:r>
          </w:p>
        </w:tc>
        <w:tc>
          <w:tcPr>
            <w:tcW w:w="1377" w:type="dxa"/>
            <w:tcBorders>
              <w:bottom w:val="single" w:color="009EE0" w:sz="2" w:space="0"/>
            </w:tcBorders>
            <w:tcMar>
              <w:top w:w="22" w:type="dxa"/>
              <w:left w:w="28" w:type="dxa"/>
              <w:bottom w:w="22" w:type="dxa"/>
              <w:right w:w="28" w:type="dxa"/>
            </w:tcMar>
          </w:tcPr>
          <w:p w:rsidR="006B6965" w:rsidRDefault="003A166B" w14:paraId="49C51A5E" w14:textId="77777777">
            <w:pPr>
              <w:pStyle w:val="p-table"/>
              <w:jc w:val="right"/>
              <w:rPr>
                <w:sz w:val="17"/>
              </w:rPr>
            </w:pPr>
            <w:r>
              <w:rPr>
                <w:b/>
                <w:sz w:val="17"/>
              </w:rPr>
              <w:t>0</w:t>
            </w:r>
          </w:p>
        </w:tc>
      </w:tr>
      <w:tr w:rsidR="006B6965" w14:paraId="0FD6985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4821475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3FBA1DF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21D166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0F2313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3655ACE5" w14:textId="77777777">
            <w:pPr>
              <w:pStyle w:val="p-table"/>
              <w:rPr>
                <w:sz w:val="17"/>
              </w:rPr>
            </w:pPr>
          </w:p>
        </w:tc>
      </w:tr>
      <w:tr w:rsidR="006B6965" w14:paraId="0AC4B9E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69F48ED"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17BD8796" w14:textId="77777777">
            <w:pPr>
              <w:pStyle w:val="p-table"/>
              <w:rPr>
                <w:sz w:val="17"/>
              </w:rPr>
            </w:pPr>
            <w:r>
              <w:rPr>
                <w:b/>
                <w:sz w:val="17"/>
              </w:rPr>
              <w:t>Uitgaven</w:t>
            </w:r>
          </w:p>
        </w:tc>
        <w:tc>
          <w:tcPr>
            <w:tcW w:w="1377" w:type="dxa"/>
            <w:tcBorders>
              <w:bottom w:val="single" w:color="009EE0" w:sz="2" w:space="0"/>
            </w:tcBorders>
            <w:tcMar>
              <w:top w:w="22" w:type="dxa"/>
              <w:left w:w="28" w:type="dxa"/>
              <w:bottom w:w="22" w:type="dxa"/>
              <w:right w:w="28" w:type="dxa"/>
            </w:tcMar>
          </w:tcPr>
          <w:p w:rsidR="006B6965" w:rsidRDefault="003A166B" w14:paraId="5D075703" w14:textId="77777777">
            <w:pPr>
              <w:pStyle w:val="p-table"/>
              <w:jc w:val="right"/>
              <w:rPr>
                <w:sz w:val="17"/>
              </w:rPr>
            </w:pPr>
            <w:r>
              <w:rPr>
                <w:b/>
                <w:sz w:val="17"/>
              </w:rPr>
              <w:t>201.451</w:t>
            </w:r>
          </w:p>
        </w:tc>
        <w:tc>
          <w:tcPr>
            <w:tcW w:w="1377" w:type="dxa"/>
            <w:tcBorders>
              <w:bottom w:val="single" w:color="009EE0" w:sz="2" w:space="0"/>
            </w:tcBorders>
            <w:tcMar>
              <w:top w:w="22" w:type="dxa"/>
              <w:left w:w="28" w:type="dxa"/>
              <w:bottom w:w="22" w:type="dxa"/>
              <w:right w:w="28" w:type="dxa"/>
            </w:tcMar>
          </w:tcPr>
          <w:p w:rsidR="006B6965" w:rsidRDefault="003A166B" w14:paraId="7DA1FFE7" w14:textId="77777777">
            <w:pPr>
              <w:pStyle w:val="p-table"/>
              <w:jc w:val="right"/>
              <w:rPr>
                <w:sz w:val="17"/>
              </w:rPr>
            </w:pPr>
            <w:r>
              <w:rPr>
                <w:b/>
                <w:sz w:val="17"/>
              </w:rPr>
              <w:t>‒</w:t>
            </w:r>
            <w:r>
              <w:rPr>
                <w:b/>
                <w:sz w:val="17"/>
              </w:rPr>
              <w:t xml:space="preserve"> 201.451</w:t>
            </w:r>
          </w:p>
        </w:tc>
        <w:tc>
          <w:tcPr>
            <w:tcW w:w="1377" w:type="dxa"/>
            <w:tcBorders>
              <w:bottom w:val="single" w:color="009EE0" w:sz="2" w:space="0"/>
            </w:tcBorders>
            <w:tcMar>
              <w:top w:w="22" w:type="dxa"/>
              <w:left w:w="28" w:type="dxa"/>
              <w:bottom w:w="22" w:type="dxa"/>
              <w:right w:w="28" w:type="dxa"/>
            </w:tcMar>
          </w:tcPr>
          <w:p w:rsidR="006B6965" w:rsidRDefault="003A166B" w14:paraId="4AE33DC0" w14:textId="77777777">
            <w:pPr>
              <w:pStyle w:val="p-table"/>
              <w:jc w:val="right"/>
              <w:rPr>
                <w:sz w:val="17"/>
              </w:rPr>
            </w:pPr>
            <w:r>
              <w:rPr>
                <w:b/>
                <w:sz w:val="17"/>
              </w:rPr>
              <w:t>0</w:t>
            </w:r>
          </w:p>
        </w:tc>
      </w:tr>
      <w:tr w:rsidR="006B6965" w14:paraId="6A9530B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381CB3E0"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02D73D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2AC2B6C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AEBEEA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182F5323" w14:textId="77777777">
            <w:pPr>
              <w:pStyle w:val="p-table"/>
              <w:rPr>
                <w:sz w:val="17"/>
              </w:rPr>
            </w:pPr>
          </w:p>
        </w:tc>
      </w:tr>
      <w:tr w:rsidR="006B6965" w14:paraId="560F65B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3A166B" w14:paraId="787AD5DC" w14:textId="77777777">
            <w:pPr>
              <w:pStyle w:val="p-table"/>
              <w:rPr>
                <w:sz w:val="17"/>
              </w:rPr>
            </w:pPr>
            <w:r>
              <w:rPr>
                <w:b/>
                <w:sz w:val="17"/>
              </w:rPr>
              <w:t>99.1</w:t>
            </w:r>
          </w:p>
        </w:tc>
        <w:tc>
          <w:tcPr>
            <w:tcW w:w="4590" w:type="dxa"/>
            <w:tcBorders>
              <w:bottom w:val="single" w:color="009EE0" w:sz="2" w:space="0"/>
            </w:tcBorders>
            <w:tcMar>
              <w:top w:w="22" w:type="dxa"/>
              <w:left w:w="28" w:type="dxa"/>
              <w:bottom w:w="22" w:type="dxa"/>
              <w:right w:w="28" w:type="dxa"/>
            </w:tcMar>
          </w:tcPr>
          <w:p w:rsidR="006B6965" w:rsidRDefault="003A166B" w14:paraId="1B6B6304" w14:textId="77777777">
            <w:pPr>
              <w:pStyle w:val="p-table"/>
              <w:rPr>
                <w:sz w:val="17"/>
              </w:rPr>
            </w:pPr>
            <w:r>
              <w:rPr>
                <w:b/>
                <w:sz w:val="17"/>
              </w:rPr>
              <w:t>Nog Onverdeeld</w:t>
            </w:r>
          </w:p>
        </w:tc>
        <w:tc>
          <w:tcPr>
            <w:tcW w:w="1377" w:type="dxa"/>
            <w:tcBorders>
              <w:bottom w:val="single" w:color="009EE0" w:sz="2" w:space="0"/>
            </w:tcBorders>
            <w:tcMar>
              <w:top w:w="22" w:type="dxa"/>
              <w:left w:w="28" w:type="dxa"/>
              <w:bottom w:w="22" w:type="dxa"/>
              <w:right w:w="28" w:type="dxa"/>
            </w:tcMar>
          </w:tcPr>
          <w:p w:rsidR="006B6965" w:rsidRDefault="003A166B" w14:paraId="01C2614E" w14:textId="77777777">
            <w:pPr>
              <w:pStyle w:val="p-table"/>
              <w:jc w:val="right"/>
              <w:rPr>
                <w:sz w:val="17"/>
              </w:rPr>
            </w:pPr>
            <w:r>
              <w:rPr>
                <w:b/>
                <w:sz w:val="17"/>
              </w:rPr>
              <w:t>201.451</w:t>
            </w:r>
          </w:p>
        </w:tc>
        <w:tc>
          <w:tcPr>
            <w:tcW w:w="1377" w:type="dxa"/>
            <w:tcBorders>
              <w:bottom w:val="single" w:color="009EE0" w:sz="2" w:space="0"/>
            </w:tcBorders>
            <w:tcMar>
              <w:top w:w="22" w:type="dxa"/>
              <w:left w:w="28" w:type="dxa"/>
              <w:bottom w:w="22" w:type="dxa"/>
              <w:right w:w="28" w:type="dxa"/>
            </w:tcMar>
          </w:tcPr>
          <w:p w:rsidR="006B6965" w:rsidRDefault="003A166B" w14:paraId="191BA071" w14:textId="77777777">
            <w:pPr>
              <w:pStyle w:val="p-table"/>
              <w:jc w:val="right"/>
              <w:rPr>
                <w:sz w:val="17"/>
              </w:rPr>
            </w:pPr>
            <w:r>
              <w:rPr>
                <w:b/>
                <w:sz w:val="17"/>
              </w:rPr>
              <w:t>‒</w:t>
            </w:r>
            <w:r>
              <w:rPr>
                <w:b/>
                <w:sz w:val="17"/>
              </w:rPr>
              <w:t xml:space="preserve"> 201.451</w:t>
            </w:r>
          </w:p>
        </w:tc>
        <w:tc>
          <w:tcPr>
            <w:tcW w:w="1377" w:type="dxa"/>
            <w:tcBorders>
              <w:bottom w:val="single" w:color="009EE0" w:sz="2" w:space="0"/>
            </w:tcBorders>
            <w:tcMar>
              <w:top w:w="22" w:type="dxa"/>
              <w:left w:w="28" w:type="dxa"/>
              <w:bottom w:w="22" w:type="dxa"/>
              <w:right w:w="28" w:type="dxa"/>
            </w:tcMar>
          </w:tcPr>
          <w:p w:rsidR="006B6965" w:rsidRDefault="003A166B" w14:paraId="53E6BDE2" w14:textId="77777777">
            <w:pPr>
              <w:pStyle w:val="p-table"/>
              <w:jc w:val="right"/>
              <w:rPr>
                <w:sz w:val="17"/>
              </w:rPr>
            </w:pPr>
            <w:r>
              <w:rPr>
                <w:b/>
                <w:sz w:val="17"/>
              </w:rPr>
              <w:t>0</w:t>
            </w:r>
          </w:p>
        </w:tc>
      </w:tr>
      <w:tr w:rsidR="006B6965" w14:paraId="407C59AB"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27BEC6F3"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5CE31019" w14:textId="77777777">
            <w:pPr>
              <w:pStyle w:val="p-table"/>
              <w:rPr>
                <w:sz w:val="17"/>
              </w:rPr>
            </w:pPr>
            <w:r>
              <w:rPr>
                <w:i/>
                <w:sz w:val="17"/>
              </w:rPr>
              <w:t>Nog te verdelen</w:t>
            </w:r>
          </w:p>
        </w:tc>
        <w:tc>
          <w:tcPr>
            <w:tcW w:w="1377" w:type="dxa"/>
            <w:tcBorders>
              <w:bottom w:val="single" w:color="009EE0" w:sz="2" w:space="0"/>
            </w:tcBorders>
            <w:tcMar>
              <w:top w:w="22" w:type="dxa"/>
              <w:left w:w="28" w:type="dxa"/>
              <w:bottom w:w="22" w:type="dxa"/>
              <w:right w:w="28" w:type="dxa"/>
            </w:tcMar>
          </w:tcPr>
          <w:p w:rsidR="006B6965" w:rsidRDefault="003A166B" w14:paraId="0DED754A" w14:textId="77777777">
            <w:pPr>
              <w:pStyle w:val="p-table"/>
              <w:jc w:val="right"/>
              <w:rPr>
                <w:sz w:val="17"/>
              </w:rPr>
            </w:pPr>
            <w:r>
              <w:rPr>
                <w:i/>
                <w:sz w:val="17"/>
              </w:rPr>
              <w:t>201.451</w:t>
            </w:r>
          </w:p>
        </w:tc>
        <w:tc>
          <w:tcPr>
            <w:tcW w:w="1377" w:type="dxa"/>
            <w:tcBorders>
              <w:bottom w:val="single" w:color="009EE0" w:sz="2" w:space="0"/>
            </w:tcBorders>
            <w:tcMar>
              <w:top w:w="22" w:type="dxa"/>
              <w:left w:w="28" w:type="dxa"/>
              <w:bottom w:w="22" w:type="dxa"/>
              <w:right w:w="28" w:type="dxa"/>
            </w:tcMar>
          </w:tcPr>
          <w:p w:rsidR="006B6965" w:rsidRDefault="003A166B" w14:paraId="69B94211" w14:textId="77777777">
            <w:pPr>
              <w:pStyle w:val="p-table"/>
              <w:jc w:val="right"/>
              <w:rPr>
                <w:sz w:val="17"/>
              </w:rPr>
            </w:pPr>
            <w:r>
              <w:rPr>
                <w:i/>
                <w:sz w:val="17"/>
              </w:rPr>
              <w:t>‒</w:t>
            </w:r>
            <w:r>
              <w:rPr>
                <w:i/>
                <w:sz w:val="17"/>
              </w:rPr>
              <w:t xml:space="preserve"> 201.451</w:t>
            </w:r>
          </w:p>
        </w:tc>
        <w:tc>
          <w:tcPr>
            <w:tcW w:w="1377" w:type="dxa"/>
            <w:tcBorders>
              <w:bottom w:val="single" w:color="009EE0" w:sz="2" w:space="0"/>
            </w:tcBorders>
            <w:tcMar>
              <w:top w:w="22" w:type="dxa"/>
              <w:left w:w="28" w:type="dxa"/>
              <w:bottom w:w="22" w:type="dxa"/>
              <w:right w:w="28" w:type="dxa"/>
            </w:tcMar>
          </w:tcPr>
          <w:p w:rsidR="006B6965" w:rsidRDefault="003A166B" w14:paraId="03286A22" w14:textId="77777777">
            <w:pPr>
              <w:pStyle w:val="p-table"/>
              <w:jc w:val="right"/>
              <w:rPr>
                <w:sz w:val="17"/>
              </w:rPr>
            </w:pPr>
            <w:r>
              <w:rPr>
                <w:i/>
                <w:sz w:val="17"/>
              </w:rPr>
              <w:t>0</w:t>
            </w:r>
          </w:p>
        </w:tc>
      </w:tr>
      <w:tr w:rsidR="006B6965" w14:paraId="48582D41"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D88BB41"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01849E0F" w14:textId="77777777">
            <w:pPr>
              <w:pStyle w:val="p-table"/>
              <w:rPr>
                <w:sz w:val="17"/>
              </w:rPr>
            </w:pPr>
            <w:r>
              <w:rPr>
                <w:sz w:val="17"/>
              </w:rPr>
              <w:t>Nog te verdelen</w:t>
            </w:r>
          </w:p>
        </w:tc>
        <w:tc>
          <w:tcPr>
            <w:tcW w:w="1377" w:type="dxa"/>
            <w:tcBorders>
              <w:bottom w:val="single" w:color="009EE0" w:sz="2" w:space="0"/>
            </w:tcBorders>
            <w:tcMar>
              <w:top w:w="22" w:type="dxa"/>
              <w:left w:w="28" w:type="dxa"/>
              <w:bottom w:w="22" w:type="dxa"/>
              <w:right w:w="28" w:type="dxa"/>
            </w:tcMar>
          </w:tcPr>
          <w:p w:rsidR="006B6965" w:rsidRDefault="003A166B" w14:paraId="57B05939" w14:textId="77777777">
            <w:pPr>
              <w:pStyle w:val="p-table"/>
              <w:jc w:val="right"/>
              <w:rPr>
                <w:sz w:val="17"/>
              </w:rPr>
            </w:pPr>
            <w:r>
              <w:rPr>
                <w:sz w:val="17"/>
              </w:rPr>
              <w:t>201.451</w:t>
            </w:r>
          </w:p>
        </w:tc>
        <w:tc>
          <w:tcPr>
            <w:tcW w:w="1377" w:type="dxa"/>
            <w:tcBorders>
              <w:bottom w:val="single" w:color="009EE0" w:sz="2" w:space="0"/>
            </w:tcBorders>
            <w:tcMar>
              <w:top w:w="22" w:type="dxa"/>
              <w:left w:w="28" w:type="dxa"/>
              <w:bottom w:w="22" w:type="dxa"/>
              <w:right w:w="28" w:type="dxa"/>
            </w:tcMar>
          </w:tcPr>
          <w:p w:rsidR="006B6965" w:rsidRDefault="003A166B" w14:paraId="235BCD41" w14:textId="77777777">
            <w:pPr>
              <w:pStyle w:val="p-table"/>
              <w:jc w:val="right"/>
              <w:rPr>
                <w:sz w:val="17"/>
              </w:rPr>
            </w:pPr>
            <w:r>
              <w:rPr>
                <w:sz w:val="17"/>
              </w:rPr>
              <w:t>‒</w:t>
            </w:r>
            <w:r>
              <w:rPr>
                <w:sz w:val="17"/>
              </w:rPr>
              <w:t xml:space="preserve"> 201.451</w:t>
            </w:r>
          </w:p>
        </w:tc>
        <w:tc>
          <w:tcPr>
            <w:tcW w:w="1377" w:type="dxa"/>
            <w:tcBorders>
              <w:bottom w:val="single" w:color="009EE0" w:sz="2" w:space="0"/>
            </w:tcBorders>
            <w:tcMar>
              <w:top w:w="22" w:type="dxa"/>
              <w:left w:w="28" w:type="dxa"/>
              <w:bottom w:w="22" w:type="dxa"/>
              <w:right w:w="28" w:type="dxa"/>
            </w:tcMar>
          </w:tcPr>
          <w:p w:rsidR="006B6965" w:rsidRDefault="003A166B" w14:paraId="13DE0AFC" w14:textId="77777777">
            <w:pPr>
              <w:pStyle w:val="p-table"/>
              <w:jc w:val="right"/>
              <w:rPr>
                <w:sz w:val="17"/>
              </w:rPr>
            </w:pPr>
            <w:r>
              <w:rPr>
                <w:sz w:val="17"/>
              </w:rPr>
              <w:t>0</w:t>
            </w:r>
          </w:p>
        </w:tc>
      </w:tr>
      <w:tr w:rsidR="006B6965" w14:paraId="6C15137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9CCE9EE"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5374F1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75E0FF8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3B82C1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5B808256" w14:textId="77777777">
            <w:pPr>
              <w:pStyle w:val="p-table"/>
              <w:rPr>
                <w:sz w:val="17"/>
              </w:rPr>
            </w:pPr>
          </w:p>
        </w:tc>
      </w:tr>
      <w:tr w:rsidR="006B6965" w14:paraId="1E2EDB7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7F992148"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3A166B" w14:paraId="309ED200" w14:textId="77777777">
            <w:pPr>
              <w:pStyle w:val="p-table"/>
              <w:rPr>
                <w:sz w:val="17"/>
              </w:rPr>
            </w:pPr>
            <w:r>
              <w:rPr>
                <w:b/>
                <w:sz w:val="17"/>
              </w:rPr>
              <w:t>Ontvangsten</w:t>
            </w:r>
          </w:p>
        </w:tc>
        <w:tc>
          <w:tcPr>
            <w:tcW w:w="1377" w:type="dxa"/>
            <w:tcBorders>
              <w:bottom w:val="single" w:color="009EE0" w:sz="2" w:space="0"/>
            </w:tcBorders>
            <w:tcMar>
              <w:top w:w="22" w:type="dxa"/>
              <w:left w:w="28" w:type="dxa"/>
              <w:bottom w:w="22" w:type="dxa"/>
              <w:right w:w="28" w:type="dxa"/>
            </w:tcMar>
          </w:tcPr>
          <w:p w:rsidR="006B6965" w:rsidRDefault="003A166B" w14:paraId="57EB13CE"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70639C73"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B6965" w:rsidRDefault="003A166B" w14:paraId="3875E715" w14:textId="77777777">
            <w:pPr>
              <w:pStyle w:val="p-table"/>
              <w:jc w:val="right"/>
              <w:rPr>
                <w:sz w:val="17"/>
              </w:rPr>
            </w:pPr>
            <w:r>
              <w:rPr>
                <w:b/>
                <w:sz w:val="17"/>
              </w:rPr>
              <w:t>0</w:t>
            </w:r>
          </w:p>
        </w:tc>
      </w:tr>
      <w:tr w:rsidR="006B6965" w14:paraId="050B4F1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6B6965" w:rsidRDefault="006B6965" w14:paraId="06A6E922" w14:textId="77777777">
            <w:pPr>
              <w:pStyle w:val="p-table"/>
              <w:rPr>
                <w:sz w:val="17"/>
              </w:rPr>
            </w:pPr>
          </w:p>
        </w:tc>
        <w:tc>
          <w:tcPr>
            <w:tcW w:w="4590" w:type="dxa"/>
            <w:tcBorders>
              <w:bottom w:val="single" w:color="009EE0" w:sz="2" w:space="0"/>
            </w:tcBorders>
            <w:tcMar>
              <w:top w:w="22" w:type="dxa"/>
              <w:left w:w="28" w:type="dxa"/>
              <w:bottom w:w="22" w:type="dxa"/>
              <w:right w:w="28" w:type="dxa"/>
            </w:tcMar>
          </w:tcPr>
          <w:p w:rsidR="006B6965" w:rsidRDefault="006B6965" w14:paraId="4C4A82F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618EE76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424FC0D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B6965" w:rsidRDefault="006B6965" w14:paraId="08A6E0D0" w14:textId="77777777">
            <w:pPr>
              <w:pStyle w:val="p-table"/>
              <w:rPr>
                <w:sz w:val="17"/>
              </w:rPr>
            </w:pPr>
          </w:p>
        </w:tc>
      </w:tr>
    </w:tbl>
    <w:p w:rsidR="006B6965" w:rsidRDefault="006B6965" w14:paraId="1DE558A2" w14:textId="77777777">
      <w:pPr>
        <w:pStyle w:val="p-marginbottom"/>
      </w:pPr>
    </w:p>
    <w:p w:rsidR="006B6965" w:rsidRDefault="003A166B" w14:paraId="0285F255" w14:textId="77777777">
      <w:pPr>
        <w:pStyle w:val="section-title-4"/>
      </w:pPr>
      <w:r>
        <w:t>Toelichting</w:t>
      </w:r>
    </w:p>
    <w:p w:rsidR="006B6965" w:rsidRDefault="003A166B" w14:paraId="67AE522F" w14:textId="77777777">
      <w:pPr>
        <w:pStyle w:val="header-h1"/>
      </w:pPr>
      <w:r>
        <w:t>Verplichtingen</w:t>
      </w:r>
    </w:p>
    <w:p w:rsidR="006B6965" w:rsidRDefault="003A166B" w14:paraId="2593D4D5" w14:textId="77777777">
      <w:pPr>
        <w:pStyle w:val="p"/>
      </w:pPr>
      <w:r>
        <w:t xml:space="preserve">Het verplichtingenbudget wordt met </w:t>
      </w:r>
      <w:r>
        <w:t>€ 201,5 miljoen verlaagd. Dit wordt met name veroorzaakt door de hieronder toegelichte uitgavenmutaties. De resterende € 5,1 miljoen wordt met name verklaard door een ophoging van de verplichtingen voor de uitvoering van de NAVO Top op artikel 97, door hogere verwachte kosten voor de verkeersmaatregelen van € 2,8 miljoen.</w:t>
      </w:r>
    </w:p>
    <w:p w:rsidR="006B6965" w:rsidRDefault="003A166B" w14:paraId="3358AE3F" w14:textId="77777777">
      <w:pPr>
        <w:pStyle w:val="header-h1"/>
      </w:pPr>
      <w:r>
        <w:t>Uitgaven</w:t>
      </w:r>
    </w:p>
    <w:p w:rsidR="006B6965" w:rsidRDefault="003A166B" w14:paraId="6C216992" w14:textId="77777777">
      <w:pPr>
        <w:pStyle w:val="header-h1"/>
      </w:pPr>
      <w:r>
        <w:t>Nog Onverdeeld</w:t>
      </w:r>
    </w:p>
    <w:p w:rsidR="006B6965" w:rsidRDefault="003A166B" w14:paraId="58DBF934" w14:textId="77777777">
      <w:pPr>
        <w:pStyle w:val="header-h2"/>
      </w:pPr>
      <w:r>
        <w:t>Nog te verdelen</w:t>
      </w:r>
    </w:p>
    <w:p w:rsidR="006B6965" w:rsidRDefault="003A166B" w14:paraId="09F420C7" w14:textId="77777777">
      <w:pPr>
        <w:pStyle w:val="p"/>
      </w:pPr>
      <w:r>
        <w:t xml:space="preserve">Per saldo is het budget met € 201,5 miljoen verlaagd. Dit komt met name door de overboeking de overboeking van de loon- en </w:t>
      </w:r>
      <w:r>
        <w:t>prijsbijstelling van de fondsen van - € 192,4 miljoen en de verdeling van de eindejaarsmarge van € 11,4 miljoen.</w:t>
      </w:r>
    </w:p>
    <w:p w:rsidR="006B6965" w:rsidRDefault="003A166B" w14:paraId="759A2072" w14:textId="77777777">
      <w:pPr>
        <w:pStyle w:val="header-h5"/>
      </w:pPr>
      <w:r>
        <w:t>Loon- en Prijsbijstelling</w:t>
      </w:r>
    </w:p>
    <w:tbl>
      <w:tblPr>
        <w:tblW w:w="9694" w:type="dxa"/>
        <w:tblInd w:w="-3317" w:type="dxa"/>
        <w:tblCellMar>
          <w:left w:w="10" w:type="dxa"/>
          <w:right w:w="10" w:type="dxa"/>
        </w:tblCellMar>
        <w:tblLook w:val="04A0" w:firstRow="1" w:lastRow="0" w:firstColumn="1" w:lastColumn="0" w:noHBand="0" w:noVBand="1"/>
      </w:tblPr>
      <w:tblGrid>
        <w:gridCol w:w="1649"/>
        <w:gridCol w:w="5137"/>
        <w:gridCol w:w="1454"/>
        <w:gridCol w:w="1454"/>
      </w:tblGrid>
      <w:tr w:rsidR="006B6965" w14:paraId="6B324763" w14:textId="77777777">
        <w:tblPrEx>
          <w:tblCellMar>
            <w:top w:w="0" w:type="dxa"/>
            <w:bottom w:w="0" w:type="dxa"/>
          </w:tblCellMar>
        </w:tblPrEx>
        <w:trPr>
          <w:tblHeader/>
        </w:trPr>
        <w:tc>
          <w:tcPr>
            <w:tcW w:w="9180" w:type="dxa"/>
            <w:gridSpan w:val="4"/>
            <w:tcMar>
              <w:top w:w="22" w:type="dxa"/>
              <w:left w:w="113" w:type="dxa"/>
              <w:bottom w:w="22" w:type="dxa"/>
            </w:tcMar>
          </w:tcPr>
          <w:p w:rsidR="006B6965" w:rsidRDefault="003A166B" w14:paraId="34DBB16C" w14:textId="77777777">
            <w:pPr>
              <w:pStyle w:val="kio2-table-title"/>
            </w:pPr>
            <w:r>
              <w:t xml:space="preserve">Tabel 22 Tabel verdeling begrotingsposten loon- en </w:t>
            </w:r>
            <w:proofErr w:type="spellStart"/>
            <w:r>
              <w:t>prĳsbĳstelling</w:t>
            </w:r>
            <w:proofErr w:type="spellEnd"/>
            <w:r>
              <w:t xml:space="preserve"> (Tweede suppletoire begroting) (bedragen x € 1.000)</w:t>
            </w:r>
          </w:p>
        </w:tc>
      </w:tr>
      <w:tr w:rsidR="006B6965" w14:paraId="01D577A4" w14:textId="77777777">
        <w:tblPrEx>
          <w:tblCellMar>
            <w:top w:w="0" w:type="dxa"/>
            <w:bottom w:w="0" w:type="dxa"/>
          </w:tblCellMar>
        </w:tblPrEx>
        <w:trPr>
          <w:tblHeader/>
        </w:trPr>
        <w:tc>
          <w:tcPr>
            <w:tcW w:w="1561" w:type="dxa"/>
            <w:tcBorders>
              <w:top w:val="single" w:color="000000" w:sz="2" w:space="0"/>
              <w:bottom w:val="single" w:color="009EE0" w:sz="2" w:space="0"/>
            </w:tcBorders>
            <w:tcMar>
              <w:top w:w="28" w:type="dxa"/>
              <w:bottom w:w="28" w:type="dxa"/>
              <w:right w:w="28" w:type="dxa"/>
            </w:tcMar>
          </w:tcPr>
          <w:p w:rsidR="006B6965" w:rsidRDefault="003A166B" w14:paraId="02E981ED" w14:textId="77777777">
            <w:pPr>
              <w:pStyle w:val="p-table"/>
              <w:jc w:val="center"/>
              <w:rPr>
                <w:color w:val="000000"/>
                <w:sz w:val="17"/>
              </w:rPr>
            </w:pPr>
            <w:r>
              <w:rPr>
                <w:color w:val="000000"/>
                <w:sz w:val="17"/>
              </w:rPr>
              <w:t>Art.</w:t>
            </w:r>
          </w:p>
        </w:tc>
        <w:tc>
          <w:tcPr>
            <w:tcW w:w="4865" w:type="dxa"/>
            <w:tcBorders>
              <w:top w:val="single" w:color="000000" w:sz="2" w:space="0"/>
              <w:bottom w:val="single" w:color="009EE0" w:sz="2" w:space="0"/>
            </w:tcBorders>
            <w:tcMar>
              <w:top w:w="28" w:type="dxa"/>
              <w:left w:w="28" w:type="dxa"/>
              <w:bottom w:w="28" w:type="dxa"/>
              <w:right w:w="28" w:type="dxa"/>
            </w:tcMar>
          </w:tcPr>
          <w:p w:rsidR="006B6965" w:rsidRDefault="003A166B" w14:paraId="532A165F" w14:textId="77777777">
            <w:pPr>
              <w:pStyle w:val="p-table"/>
              <w:jc w:val="center"/>
              <w:rPr>
                <w:color w:val="000000"/>
                <w:sz w:val="17"/>
              </w:rPr>
            </w:pPr>
            <w:r>
              <w:rPr>
                <w:color w:val="000000"/>
                <w:sz w:val="17"/>
              </w:rPr>
              <w:t>Omschrijving</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10A919FA" w14:textId="77777777">
            <w:pPr>
              <w:pStyle w:val="p-table"/>
              <w:jc w:val="center"/>
              <w:rPr>
                <w:color w:val="000000"/>
                <w:sz w:val="17"/>
              </w:rPr>
            </w:pPr>
            <w:r>
              <w:rPr>
                <w:color w:val="000000"/>
                <w:sz w:val="17"/>
              </w:rPr>
              <w:t>Loonbijstelling</w:t>
            </w:r>
          </w:p>
        </w:tc>
        <w:tc>
          <w:tcPr>
            <w:tcW w:w="1377" w:type="dxa"/>
            <w:tcBorders>
              <w:top w:val="single" w:color="000000" w:sz="2" w:space="0"/>
              <w:bottom w:val="single" w:color="009EE0" w:sz="2" w:space="0"/>
            </w:tcBorders>
            <w:tcMar>
              <w:top w:w="28" w:type="dxa"/>
              <w:left w:w="28" w:type="dxa"/>
              <w:bottom w:w="28" w:type="dxa"/>
              <w:right w:w="28" w:type="dxa"/>
            </w:tcMar>
          </w:tcPr>
          <w:p w:rsidR="006B6965" w:rsidRDefault="003A166B" w14:paraId="42563FAC" w14:textId="77777777">
            <w:pPr>
              <w:pStyle w:val="p-table"/>
              <w:jc w:val="center"/>
              <w:rPr>
                <w:color w:val="000000"/>
                <w:sz w:val="17"/>
              </w:rPr>
            </w:pPr>
            <w:r>
              <w:rPr>
                <w:color w:val="000000"/>
                <w:sz w:val="17"/>
              </w:rPr>
              <w:t>Prijsbijstelling</w:t>
            </w:r>
          </w:p>
        </w:tc>
      </w:tr>
      <w:tr w:rsidR="006B6965" w14:paraId="5201B3DF" w14:textId="77777777">
        <w:tblPrEx>
          <w:tblCellMar>
            <w:top w:w="0" w:type="dxa"/>
            <w:bottom w:w="0" w:type="dxa"/>
          </w:tblCellMar>
        </w:tblPrEx>
        <w:tc>
          <w:tcPr>
            <w:tcW w:w="1561" w:type="dxa"/>
            <w:tcBorders>
              <w:bottom w:val="single" w:color="009EE0" w:sz="2" w:space="0"/>
            </w:tcBorders>
            <w:tcMar>
              <w:top w:w="22" w:type="dxa"/>
              <w:bottom w:w="22" w:type="dxa"/>
              <w:right w:w="28" w:type="dxa"/>
            </w:tcMar>
            <w:vAlign w:val="bottom"/>
          </w:tcPr>
          <w:p w:rsidR="006B6965" w:rsidRDefault="003A166B" w14:paraId="755B6CFF" w14:textId="77777777">
            <w:pPr>
              <w:pStyle w:val="p-table"/>
              <w:jc w:val="right"/>
              <w:rPr>
                <w:sz w:val="17"/>
              </w:rPr>
            </w:pPr>
            <w:r>
              <w:rPr>
                <w:sz w:val="17"/>
              </w:rPr>
              <w:t>26</w:t>
            </w:r>
          </w:p>
        </w:tc>
        <w:tc>
          <w:tcPr>
            <w:tcW w:w="4865" w:type="dxa"/>
            <w:tcBorders>
              <w:bottom w:val="single" w:color="009EE0" w:sz="2" w:space="0"/>
            </w:tcBorders>
            <w:tcMar>
              <w:top w:w="22" w:type="dxa"/>
              <w:left w:w="28" w:type="dxa"/>
              <w:bottom w:w="22" w:type="dxa"/>
              <w:right w:w="28" w:type="dxa"/>
            </w:tcMar>
            <w:vAlign w:val="bottom"/>
          </w:tcPr>
          <w:p w:rsidR="006B6965" w:rsidRDefault="003A166B" w14:paraId="4F71691A" w14:textId="77777777">
            <w:pPr>
              <w:pStyle w:val="p-table"/>
              <w:rPr>
                <w:sz w:val="17"/>
              </w:rPr>
            </w:pPr>
            <w:r>
              <w:rPr>
                <w:sz w:val="17"/>
              </w:rPr>
              <w:t>Overboeking naar het Mobiliteitsfonds</w:t>
            </w:r>
          </w:p>
        </w:tc>
        <w:tc>
          <w:tcPr>
            <w:tcW w:w="1377" w:type="dxa"/>
            <w:tcBorders>
              <w:bottom w:val="single" w:color="009EE0" w:sz="2" w:space="0"/>
            </w:tcBorders>
            <w:tcMar>
              <w:top w:w="22" w:type="dxa"/>
              <w:left w:w="28" w:type="dxa"/>
              <w:bottom w:w="22" w:type="dxa"/>
              <w:right w:w="28" w:type="dxa"/>
            </w:tcMar>
            <w:vAlign w:val="bottom"/>
          </w:tcPr>
          <w:p w:rsidR="006B6965" w:rsidRDefault="003A166B" w14:paraId="4CD9DB98" w14:textId="77777777">
            <w:pPr>
              <w:pStyle w:val="p-table"/>
              <w:jc w:val="right"/>
              <w:rPr>
                <w:sz w:val="17"/>
              </w:rPr>
            </w:pPr>
            <w:r>
              <w:rPr>
                <w:sz w:val="17"/>
              </w:rPr>
              <w:t>‒</w:t>
            </w:r>
            <w:r>
              <w:rPr>
                <w:sz w:val="17"/>
              </w:rPr>
              <w:t xml:space="preserve"> 38.838</w:t>
            </w:r>
          </w:p>
        </w:tc>
        <w:tc>
          <w:tcPr>
            <w:tcW w:w="1377" w:type="dxa"/>
            <w:tcBorders>
              <w:bottom w:val="single" w:color="009EE0" w:sz="2" w:space="0"/>
            </w:tcBorders>
            <w:tcMar>
              <w:top w:w="22" w:type="dxa"/>
              <w:left w:w="28" w:type="dxa"/>
              <w:bottom w:w="22" w:type="dxa"/>
              <w:right w:w="28" w:type="dxa"/>
            </w:tcMar>
            <w:vAlign w:val="bottom"/>
          </w:tcPr>
          <w:p w:rsidR="006B6965" w:rsidRDefault="003A166B" w14:paraId="5CCA2531" w14:textId="77777777">
            <w:pPr>
              <w:pStyle w:val="p-table"/>
              <w:jc w:val="right"/>
              <w:rPr>
                <w:sz w:val="17"/>
              </w:rPr>
            </w:pPr>
            <w:r>
              <w:rPr>
                <w:sz w:val="17"/>
              </w:rPr>
              <w:t>‒</w:t>
            </w:r>
            <w:r>
              <w:rPr>
                <w:sz w:val="17"/>
              </w:rPr>
              <w:t xml:space="preserve"> 123.787</w:t>
            </w:r>
          </w:p>
        </w:tc>
      </w:tr>
      <w:tr w:rsidR="006B6965" w14:paraId="37A81364" w14:textId="77777777">
        <w:tblPrEx>
          <w:tblCellMar>
            <w:top w:w="0" w:type="dxa"/>
            <w:bottom w:w="0" w:type="dxa"/>
          </w:tblCellMar>
        </w:tblPrEx>
        <w:tc>
          <w:tcPr>
            <w:tcW w:w="1561" w:type="dxa"/>
            <w:tcBorders>
              <w:bottom w:val="single" w:color="009EE0" w:sz="2" w:space="0"/>
            </w:tcBorders>
            <w:tcMar>
              <w:top w:w="22" w:type="dxa"/>
              <w:bottom w:w="22" w:type="dxa"/>
              <w:right w:w="28" w:type="dxa"/>
            </w:tcMar>
            <w:vAlign w:val="bottom"/>
          </w:tcPr>
          <w:p w:rsidR="006B6965" w:rsidRDefault="003A166B" w14:paraId="265E6182" w14:textId="77777777">
            <w:pPr>
              <w:pStyle w:val="p-table"/>
              <w:jc w:val="right"/>
              <w:rPr>
                <w:sz w:val="17"/>
              </w:rPr>
            </w:pPr>
            <w:r>
              <w:rPr>
                <w:sz w:val="17"/>
              </w:rPr>
              <w:t>26</w:t>
            </w:r>
          </w:p>
        </w:tc>
        <w:tc>
          <w:tcPr>
            <w:tcW w:w="4865" w:type="dxa"/>
            <w:tcBorders>
              <w:bottom w:val="single" w:color="009EE0" w:sz="2" w:space="0"/>
            </w:tcBorders>
            <w:tcMar>
              <w:top w:w="22" w:type="dxa"/>
              <w:left w:w="28" w:type="dxa"/>
              <w:bottom w:w="22" w:type="dxa"/>
              <w:right w:w="28" w:type="dxa"/>
            </w:tcMar>
            <w:vAlign w:val="bottom"/>
          </w:tcPr>
          <w:p w:rsidR="006B6965" w:rsidRDefault="003A166B" w14:paraId="0DCF767F" w14:textId="77777777">
            <w:pPr>
              <w:pStyle w:val="p-table"/>
              <w:rPr>
                <w:sz w:val="17"/>
              </w:rPr>
            </w:pPr>
            <w:r>
              <w:rPr>
                <w:sz w:val="17"/>
              </w:rPr>
              <w:t>Overboeking naar het Deltafonds</w:t>
            </w:r>
          </w:p>
        </w:tc>
        <w:tc>
          <w:tcPr>
            <w:tcW w:w="1377" w:type="dxa"/>
            <w:tcBorders>
              <w:bottom w:val="single" w:color="009EE0" w:sz="2" w:space="0"/>
            </w:tcBorders>
            <w:tcMar>
              <w:top w:w="22" w:type="dxa"/>
              <w:left w:w="28" w:type="dxa"/>
              <w:bottom w:w="22" w:type="dxa"/>
              <w:right w:w="28" w:type="dxa"/>
            </w:tcMar>
            <w:vAlign w:val="bottom"/>
          </w:tcPr>
          <w:p w:rsidR="006B6965" w:rsidRDefault="003A166B" w14:paraId="6B019770" w14:textId="77777777">
            <w:pPr>
              <w:pStyle w:val="p-table"/>
              <w:jc w:val="right"/>
              <w:rPr>
                <w:sz w:val="17"/>
              </w:rPr>
            </w:pPr>
            <w:r>
              <w:rPr>
                <w:sz w:val="17"/>
              </w:rPr>
              <w:t>‒</w:t>
            </w:r>
            <w:r>
              <w:rPr>
                <w:sz w:val="17"/>
              </w:rPr>
              <w:t xml:space="preserve"> 11.346</w:t>
            </w:r>
          </w:p>
        </w:tc>
        <w:tc>
          <w:tcPr>
            <w:tcW w:w="1377" w:type="dxa"/>
            <w:tcBorders>
              <w:bottom w:val="single" w:color="009EE0" w:sz="2" w:space="0"/>
            </w:tcBorders>
            <w:tcMar>
              <w:top w:w="22" w:type="dxa"/>
              <w:left w:w="28" w:type="dxa"/>
              <w:bottom w:w="22" w:type="dxa"/>
              <w:right w:w="28" w:type="dxa"/>
            </w:tcMar>
            <w:vAlign w:val="bottom"/>
          </w:tcPr>
          <w:p w:rsidR="006B6965" w:rsidRDefault="003A166B" w14:paraId="371B9175" w14:textId="77777777">
            <w:pPr>
              <w:pStyle w:val="p-table"/>
              <w:jc w:val="right"/>
              <w:rPr>
                <w:sz w:val="17"/>
              </w:rPr>
            </w:pPr>
            <w:r>
              <w:rPr>
                <w:sz w:val="17"/>
              </w:rPr>
              <w:t>‒</w:t>
            </w:r>
            <w:r>
              <w:rPr>
                <w:sz w:val="17"/>
              </w:rPr>
              <w:t xml:space="preserve"> 19.244</w:t>
            </w:r>
          </w:p>
        </w:tc>
      </w:tr>
      <w:tr w:rsidR="006B6965" w14:paraId="5A98E66B" w14:textId="77777777">
        <w:tblPrEx>
          <w:tblCellMar>
            <w:top w:w="0" w:type="dxa"/>
            <w:bottom w:w="0" w:type="dxa"/>
          </w:tblCellMar>
        </w:tblPrEx>
        <w:tc>
          <w:tcPr>
            <w:tcW w:w="1561" w:type="dxa"/>
            <w:tcBorders>
              <w:bottom w:val="single" w:color="009EE0" w:sz="2" w:space="0"/>
            </w:tcBorders>
            <w:tcMar>
              <w:top w:w="22" w:type="dxa"/>
              <w:bottom w:w="22" w:type="dxa"/>
              <w:right w:w="28" w:type="dxa"/>
            </w:tcMar>
            <w:vAlign w:val="bottom"/>
          </w:tcPr>
          <w:p w:rsidR="006B6965" w:rsidRDefault="003A166B" w14:paraId="45FCADA8" w14:textId="77777777">
            <w:pPr>
              <w:pStyle w:val="p-table"/>
              <w:rPr>
                <w:sz w:val="17"/>
              </w:rPr>
            </w:pPr>
            <w:r>
              <w:rPr>
                <w:i/>
                <w:sz w:val="17"/>
              </w:rPr>
              <w:t>Totaal van de verdeling</w:t>
            </w:r>
          </w:p>
        </w:tc>
        <w:tc>
          <w:tcPr>
            <w:tcW w:w="4865" w:type="dxa"/>
            <w:tcBorders>
              <w:bottom w:val="single" w:color="009EE0" w:sz="2" w:space="0"/>
            </w:tcBorders>
            <w:tcMar>
              <w:top w:w="22" w:type="dxa"/>
              <w:left w:w="28" w:type="dxa"/>
              <w:bottom w:w="22" w:type="dxa"/>
              <w:right w:w="28" w:type="dxa"/>
            </w:tcMar>
          </w:tcPr>
          <w:p w:rsidR="006B6965" w:rsidRDefault="006B6965" w14:paraId="099EE711"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B6965" w:rsidRDefault="003A166B" w14:paraId="30133345" w14:textId="77777777">
            <w:pPr>
              <w:pStyle w:val="p-table"/>
              <w:jc w:val="right"/>
              <w:rPr>
                <w:sz w:val="17"/>
              </w:rPr>
            </w:pPr>
            <w:r>
              <w:rPr>
                <w:i/>
                <w:sz w:val="17"/>
              </w:rPr>
              <w:t>‒</w:t>
            </w:r>
            <w:r>
              <w:rPr>
                <w:i/>
                <w:sz w:val="17"/>
              </w:rPr>
              <w:t xml:space="preserve"> 50.184</w:t>
            </w:r>
          </w:p>
        </w:tc>
        <w:tc>
          <w:tcPr>
            <w:tcW w:w="1377" w:type="dxa"/>
            <w:tcBorders>
              <w:bottom w:val="single" w:color="009EE0" w:sz="2" w:space="0"/>
            </w:tcBorders>
            <w:tcMar>
              <w:top w:w="22" w:type="dxa"/>
              <w:left w:w="28" w:type="dxa"/>
              <w:bottom w:w="22" w:type="dxa"/>
              <w:right w:w="28" w:type="dxa"/>
            </w:tcMar>
            <w:vAlign w:val="bottom"/>
          </w:tcPr>
          <w:p w:rsidR="006B6965" w:rsidRDefault="003A166B" w14:paraId="6BA2AB77" w14:textId="77777777">
            <w:pPr>
              <w:pStyle w:val="p-table"/>
              <w:jc w:val="right"/>
              <w:rPr>
                <w:sz w:val="17"/>
              </w:rPr>
            </w:pPr>
            <w:r>
              <w:rPr>
                <w:i/>
                <w:sz w:val="17"/>
              </w:rPr>
              <w:t>‒</w:t>
            </w:r>
            <w:r>
              <w:rPr>
                <w:i/>
                <w:sz w:val="17"/>
              </w:rPr>
              <w:t xml:space="preserve"> 143.031</w:t>
            </w:r>
          </w:p>
        </w:tc>
      </w:tr>
      <w:tr w:rsidR="006B6965" w14:paraId="0036E444" w14:textId="77777777">
        <w:tblPrEx>
          <w:tblCellMar>
            <w:top w:w="0" w:type="dxa"/>
            <w:bottom w:w="0" w:type="dxa"/>
          </w:tblCellMar>
        </w:tblPrEx>
        <w:tc>
          <w:tcPr>
            <w:tcW w:w="1561" w:type="dxa"/>
            <w:tcBorders>
              <w:bottom w:val="single" w:color="009EE0" w:sz="2" w:space="0"/>
            </w:tcBorders>
            <w:tcMar>
              <w:top w:w="22" w:type="dxa"/>
              <w:bottom w:w="22" w:type="dxa"/>
              <w:right w:w="28" w:type="dxa"/>
            </w:tcMar>
            <w:vAlign w:val="bottom"/>
          </w:tcPr>
          <w:p w:rsidR="006B6965" w:rsidRDefault="003A166B" w14:paraId="36CC902E" w14:textId="77777777">
            <w:pPr>
              <w:pStyle w:val="p-table"/>
              <w:rPr>
                <w:sz w:val="17"/>
              </w:rPr>
            </w:pPr>
            <w:r>
              <w:rPr>
                <w:i/>
                <w:sz w:val="17"/>
              </w:rPr>
              <w:t>Nog onverdeeld</w:t>
            </w:r>
          </w:p>
        </w:tc>
        <w:tc>
          <w:tcPr>
            <w:tcW w:w="4865" w:type="dxa"/>
            <w:tcBorders>
              <w:bottom w:val="single" w:color="009EE0" w:sz="2" w:space="0"/>
            </w:tcBorders>
            <w:tcMar>
              <w:top w:w="22" w:type="dxa"/>
              <w:left w:w="28" w:type="dxa"/>
              <w:bottom w:w="22" w:type="dxa"/>
              <w:right w:w="28" w:type="dxa"/>
            </w:tcMar>
          </w:tcPr>
          <w:p w:rsidR="006B6965" w:rsidRDefault="006B6965" w14:paraId="60C41178"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B6965" w:rsidRDefault="003A166B" w14:paraId="5CDF23D9" w14:textId="77777777">
            <w:pPr>
              <w:pStyle w:val="p-table"/>
              <w:jc w:val="right"/>
              <w:rPr>
                <w:sz w:val="17"/>
              </w:rPr>
            </w:pPr>
            <w:r>
              <w:rPr>
                <w:i/>
                <w:sz w:val="17"/>
              </w:rPr>
              <w:t>0</w:t>
            </w:r>
          </w:p>
        </w:tc>
        <w:tc>
          <w:tcPr>
            <w:tcW w:w="1377" w:type="dxa"/>
            <w:tcBorders>
              <w:bottom w:val="single" w:color="009EE0" w:sz="2" w:space="0"/>
            </w:tcBorders>
            <w:tcMar>
              <w:top w:w="22" w:type="dxa"/>
              <w:left w:w="28" w:type="dxa"/>
              <w:bottom w:w="22" w:type="dxa"/>
              <w:right w:w="28" w:type="dxa"/>
            </w:tcMar>
            <w:vAlign w:val="bottom"/>
          </w:tcPr>
          <w:p w:rsidR="006B6965" w:rsidRDefault="003A166B" w14:paraId="776F3450" w14:textId="77777777">
            <w:pPr>
              <w:pStyle w:val="p-table"/>
              <w:jc w:val="right"/>
              <w:rPr>
                <w:sz w:val="17"/>
              </w:rPr>
            </w:pPr>
            <w:r>
              <w:rPr>
                <w:i/>
                <w:sz w:val="17"/>
              </w:rPr>
              <w:t>0</w:t>
            </w:r>
          </w:p>
        </w:tc>
      </w:tr>
    </w:tbl>
    <w:p w:rsidR="006B6965" w:rsidRDefault="006B6965" w14:paraId="54DFBA47" w14:textId="77777777">
      <w:pPr>
        <w:pStyle w:val="p-marginbottom"/>
      </w:pPr>
    </w:p>
    <w:p w:rsidR="006B6965" w:rsidRDefault="003A166B" w14:paraId="25FA0AC4" w14:textId="77777777">
      <w:pPr>
        <w:pStyle w:val="p"/>
      </w:pPr>
      <w:r>
        <w:t xml:space="preserve">Het totaal van de </w:t>
      </w:r>
      <w:r>
        <w:t xml:space="preserve">loon- en </w:t>
      </w:r>
      <w:proofErr w:type="spellStart"/>
      <w:r>
        <w:t>prĳsbĳstelling</w:t>
      </w:r>
      <w:proofErr w:type="spellEnd"/>
      <w:r>
        <w:t xml:space="preserve"> in 2025 van € 308,4 miljoen is </w:t>
      </w:r>
      <w:proofErr w:type="spellStart"/>
      <w:r>
        <w:t>bĳ</w:t>
      </w:r>
      <w:proofErr w:type="spellEnd"/>
      <w:r>
        <w:t xml:space="preserve"> de Voorjaarsnota aan de begroting van HXII toegewezen. Een deel van de prijsbijstelling is ingezet voor de dekking van het aangenomen amendement van het lid Bontenbal C.S. Voor de terugdraaiing van de onderwijsbezuinigingen (Kamerstukken II, 2024–2025, </w:t>
      </w:r>
      <w:hyperlink w:history="1" r:id="rId9">
        <w:r>
          <w:rPr>
            <w:color w:val="548DD4"/>
            <w:u w:val="single"/>
          </w:rPr>
          <w:t>36 600-VIII, nr. 141</w:t>
        </w:r>
      </w:hyperlink>
      <w:r>
        <w:t>). De resterende toegevoegde loon- en prijsbijstelling van HXII zijn reeds bij de 1e suppletoire begroting over de diverse artikelen heen verdeeld. De resterende toegevoegde loon- en prijsbijstelling van de fondsen van € 193,2 miljoen zijn bij de ontwerpbegroting en de suppletoire begroting september toebedeeld aan de artikelen op het Mobiliteitsfonds en Deltafonds.</w:t>
      </w:r>
    </w:p>
    <w:p w:rsidR="006B6965" w:rsidRDefault="003A166B" w14:paraId="047BC252" w14:textId="77777777">
      <w:pPr>
        <w:pStyle w:val="header-h5"/>
      </w:pPr>
      <w:r>
        <w:lastRenderedPageBreak/>
        <w:t>Verdeling Eindejaarsmarge</w:t>
      </w:r>
    </w:p>
    <w:p w:rsidR="006B6965" w:rsidRDefault="003A166B" w14:paraId="1ADA7159" w14:textId="77777777">
      <w:pPr>
        <w:pStyle w:val="p"/>
      </w:pPr>
      <w:r>
        <w:t>Het totaal van de eindejaarsmarge 2024 van € 46,0 miljoen is bij de Voorjaarsnota aan de begroting van HXII toegewezen. De eindejaarsmarge op de middelen uit het Nationaal Groeifonds van € 34,5 miljoen zijn reeds bij de 1e suppletoire begroting over de diverse artikelen heen verdeeld. De resterende eindejaarsmarge op de zogenaamde reguliere middelen van € 11,4 miljoen zijn bij de ontwerpbegroting en de suppletoire begroting september toebedeeld aan de diverse artikelen op HXII.</w:t>
      </w:r>
    </w:p>
    <w:p w:rsidR="006B6965" w:rsidRDefault="003A166B" w14:paraId="493B2797" w14:textId="77777777">
      <w:pPr>
        <w:pStyle w:val="header-h1"/>
      </w:pPr>
      <w:r>
        <w:t>Ontvangsten</w:t>
      </w:r>
    </w:p>
    <w:p w:rsidR="006B6965" w:rsidRDefault="003A166B" w14:paraId="7D6AB7E6" w14:textId="77777777">
      <w:pPr>
        <w:pStyle w:val="p"/>
      </w:pPr>
      <w:r>
        <w:t>Op dit artikel worden geen ontvangsten geboekt.</w:t>
      </w:r>
    </w:p>
    <w:p w:rsidR="006B6965" w:rsidRDefault="006B6965" w14:paraId="021DEFEA" w14:textId="77777777">
      <w:pPr>
        <w:pStyle w:val="page-break"/>
      </w:pPr>
    </w:p>
    <w:p w:rsidR="006B6965" w:rsidRDefault="003A166B" w14:paraId="51899323" w14:textId="77777777">
      <w:pPr>
        <w:pStyle w:val="section-title-2"/>
      </w:pPr>
      <w:bookmarkStart w:name="97600467962287" w:id="6"/>
      <w:r>
        <w:t>5 Agentschappen</w:t>
      </w:r>
      <w:bookmarkEnd w:id="6"/>
    </w:p>
    <w:p w:rsidR="006B6965" w:rsidRDefault="003A166B" w14:paraId="25DE8939" w14:textId="77777777">
      <w:pPr>
        <w:pStyle w:val="section-title-3"/>
      </w:pPr>
      <w:r>
        <w:t xml:space="preserve">5.1 Agentschap </w:t>
      </w:r>
      <w:r>
        <w:t>Rijkswaterstaat</w:t>
      </w:r>
    </w:p>
    <w:tbl>
      <w:tblPr>
        <w:tblW w:w="9694" w:type="dxa"/>
        <w:tblInd w:w="-3317" w:type="dxa"/>
        <w:tblCellMar>
          <w:left w:w="10" w:type="dxa"/>
          <w:right w:w="10" w:type="dxa"/>
        </w:tblCellMar>
        <w:tblLook w:val="04A0" w:firstRow="1" w:lastRow="0" w:firstColumn="1" w:lastColumn="0" w:noHBand="0" w:noVBand="1"/>
      </w:tblPr>
      <w:tblGrid>
        <w:gridCol w:w="3877"/>
        <w:gridCol w:w="1939"/>
        <w:gridCol w:w="1939"/>
        <w:gridCol w:w="1939"/>
      </w:tblGrid>
      <w:tr w:rsidR="006B6965" w14:paraId="5B925D8F" w14:textId="77777777">
        <w:tblPrEx>
          <w:tblCellMar>
            <w:top w:w="0" w:type="dxa"/>
            <w:bottom w:w="0" w:type="dxa"/>
          </w:tblCellMar>
        </w:tblPrEx>
        <w:trPr>
          <w:tblHeader/>
        </w:trPr>
        <w:tc>
          <w:tcPr>
            <w:tcW w:w="9180" w:type="dxa"/>
            <w:gridSpan w:val="4"/>
            <w:tcMar>
              <w:top w:w="22" w:type="dxa"/>
              <w:left w:w="113" w:type="dxa"/>
              <w:bottom w:w="22" w:type="dxa"/>
            </w:tcMar>
          </w:tcPr>
          <w:p w:rsidR="006B6965" w:rsidRDefault="003A166B" w14:paraId="65432293" w14:textId="77777777">
            <w:pPr>
              <w:pStyle w:val="kio2-table-title"/>
            </w:pPr>
            <w:r>
              <w:t>Tabel 23 Exploitatieoverzicht agentschap Rijkswaterstaat Suppletoire begroting september 2025 (bedragen x € 1.000)</w:t>
            </w:r>
          </w:p>
        </w:tc>
      </w:tr>
      <w:tr w:rsidR="006B6965" w14:paraId="1056088F"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6B6965" w:rsidRDefault="006B6965" w14:paraId="191C0FF7"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649D487A" w14:textId="77777777">
            <w:pPr>
              <w:pStyle w:val="p-table"/>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00F250AF" w14:textId="77777777">
            <w:pPr>
              <w:pStyle w:val="p-table"/>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6B0DED50" w14:textId="77777777">
            <w:pPr>
              <w:pStyle w:val="p-table"/>
              <w:rPr>
                <w:color w:val="000000"/>
                <w:sz w:val="17"/>
              </w:rPr>
            </w:pPr>
            <w:r>
              <w:rPr>
                <w:color w:val="000000"/>
                <w:sz w:val="17"/>
              </w:rPr>
              <w:t>Stand suppletoire begroting september (3) = (1) + (2)</w:t>
            </w:r>
          </w:p>
        </w:tc>
      </w:tr>
      <w:tr w:rsidR="006B6965" w14:paraId="57483D0E"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4F930394" w14:textId="77777777">
            <w:pPr>
              <w:pStyle w:val="p-table"/>
              <w:rPr>
                <w:sz w:val="17"/>
              </w:rPr>
            </w:pPr>
            <w:r>
              <w:rPr>
                <w:b/>
                <w:sz w:val="17"/>
              </w:rPr>
              <w:t>Baten</w:t>
            </w:r>
          </w:p>
        </w:tc>
        <w:tc>
          <w:tcPr>
            <w:tcW w:w="1836" w:type="dxa"/>
            <w:tcBorders>
              <w:bottom w:val="single" w:color="009EE0" w:sz="2" w:space="0"/>
            </w:tcBorders>
            <w:tcMar>
              <w:top w:w="22" w:type="dxa"/>
              <w:left w:w="28" w:type="dxa"/>
              <w:bottom w:w="22" w:type="dxa"/>
              <w:right w:w="28" w:type="dxa"/>
            </w:tcMar>
          </w:tcPr>
          <w:p w:rsidR="006B6965" w:rsidRDefault="006B6965" w14:paraId="55FD365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6E1B28F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230022EA" w14:textId="77777777">
            <w:pPr>
              <w:pStyle w:val="p-table"/>
              <w:rPr>
                <w:sz w:val="17"/>
              </w:rPr>
            </w:pPr>
          </w:p>
        </w:tc>
      </w:tr>
      <w:tr w:rsidR="006B6965" w14:paraId="38C5DFA1"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095B17F5" w14:textId="77777777">
            <w:pPr>
              <w:pStyle w:val="p-table"/>
              <w:rPr>
                <w:sz w:val="17"/>
              </w:rPr>
            </w:pPr>
            <w:r>
              <w:rPr>
                <w:sz w:val="17"/>
              </w:rPr>
              <w:t>Omzet</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6B2CBA1" w14:textId="77777777">
            <w:pPr>
              <w:pStyle w:val="p-table"/>
              <w:jc w:val="right"/>
              <w:rPr>
                <w:sz w:val="17"/>
              </w:rPr>
            </w:pPr>
            <w:r>
              <w:rPr>
                <w:sz w:val="17"/>
              </w:rPr>
              <w:t>4.375.913</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43A86C1" w14:textId="77777777">
            <w:pPr>
              <w:pStyle w:val="p-table"/>
              <w:jc w:val="right"/>
              <w:rPr>
                <w:sz w:val="17"/>
              </w:rPr>
            </w:pPr>
            <w:r>
              <w:rPr>
                <w:sz w:val="17"/>
              </w:rPr>
              <w:t>265.558</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450547C" w14:textId="77777777">
            <w:pPr>
              <w:pStyle w:val="p-table"/>
              <w:jc w:val="right"/>
              <w:rPr>
                <w:sz w:val="17"/>
              </w:rPr>
            </w:pPr>
            <w:r>
              <w:rPr>
                <w:sz w:val="17"/>
              </w:rPr>
              <w:t>4.641.471</w:t>
            </w:r>
          </w:p>
        </w:tc>
      </w:tr>
      <w:tr w:rsidR="006B6965" w14:paraId="55A03A12"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1A210160" w14:textId="77777777">
            <w:pPr>
              <w:pStyle w:val="p-table"/>
              <w:rPr>
                <w:sz w:val="17"/>
              </w:rPr>
            </w:pPr>
            <w:r>
              <w:rPr>
                <w:i/>
                <w:sz w:val="17"/>
              </w:rPr>
              <w:t>waarvan omzet moederdepartement</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F3E8A33" w14:textId="77777777">
            <w:pPr>
              <w:pStyle w:val="p-table"/>
              <w:jc w:val="right"/>
              <w:rPr>
                <w:sz w:val="17"/>
              </w:rPr>
            </w:pPr>
            <w:r>
              <w:rPr>
                <w:i/>
                <w:sz w:val="17"/>
              </w:rPr>
              <w:t>3.752.495</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D48CDED" w14:textId="77777777">
            <w:pPr>
              <w:pStyle w:val="p-table"/>
              <w:jc w:val="right"/>
              <w:rPr>
                <w:sz w:val="17"/>
              </w:rPr>
            </w:pPr>
            <w:r>
              <w:rPr>
                <w:i/>
                <w:sz w:val="17"/>
              </w:rPr>
              <w:t>139.770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D10B945" w14:textId="77777777">
            <w:pPr>
              <w:pStyle w:val="p-table"/>
              <w:jc w:val="right"/>
              <w:rPr>
                <w:sz w:val="17"/>
              </w:rPr>
            </w:pPr>
            <w:r>
              <w:rPr>
                <w:i/>
                <w:sz w:val="17"/>
              </w:rPr>
              <w:t>3.892.265</w:t>
            </w:r>
          </w:p>
        </w:tc>
      </w:tr>
      <w:tr w:rsidR="006B6965" w14:paraId="27B1C885"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7EE0B29B" w14:textId="77777777">
            <w:pPr>
              <w:pStyle w:val="p-table"/>
              <w:rPr>
                <w:sz w:val="17"/>
              </w:rPr>
            </w:pPr>
            <w:r>
              <w:rPr>
                <w:i/>
                <w:sz w:val="17"/>
              </w:rPr>
              <w:t>waarvan omzet overige departementen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D30DDFF" w14:textId="77777777">
            <w:pPr>
              <w:pStyle w:val="p-table"/>
              <w:jc w:val="right"/>
              <w:rPr>
                <w:sz w:val="17"/>
              </w:rPr>
            </w:pPr>
            <w:r>
              <w:rPr>
                <w:i/>
                <w:sz w:val="17"/>
              </w:rPr>
              <w:t>112.191</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6C13284" w14:textId="77777777">
            <w:pPr>
              <w:pStyle w:val="p-table"/>
              <w:jc w:val="right"/>
              <w:rPr>
                <w:sz w:val="17"/>
              </w:rPr>
            </w:pPr>
            <w:r>
              <w:rPr>
                <w:i/>
                <w:sz w:val="17"/>
              </w:rPr>
              <w:t>‒</w:t>
            </w:r>
            <w:r>
              <w:rPr>
                <w:i/>
                <w:sz w:val="17"/>
              </w:rPr>
              <w:t xml:space="preserve"> 450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CBBB23D" w14:textId="77777777">
            <w:pPr>
              <w:pStyle w:val="p-table"/>
              <w:jc w:val="right"/>
              <w:rPr>
                <w:sz w:val="17"/>
              </w:rPr>
            </w:pPr>
            <w:r>
              <w:rPr>
                <w:i/>
                <w:sz w:val="17"/>
              </w:rPr>
              <w:t>111.741</w:t>
            </w:r>
          </w:p>
        </w:tc>
      </w:tr>
      <w:tr w:rsidR="006B6965" w14:paraId="0197AA38"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6A66618B" w14:textId="77777777">
            <w:pPr>
              <w:pStyle w:val="p-table"/>
              <w:rPr>
                <w:sz w:val="17"/>
              </w:rPr>
            </w:pPr>
            <w:r>
              <w:rPr>
                <w:i/>
                <w:sz w:val="17"/>
              </w:rPr>
              <w:t>waarvan omzet derden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4B8F96B" w14:textId="77777777">
            <w:pPr>
              <w:pStyle w:val="p-table"/>
              <w:jc w:val="right"/>
              <w:rPr>
                <w:sz w:val="17"/>
              </w:rPr>
            </w:pPr>
            <w:r>
              <w:rPr>
                <w:i/>
                <w:sz w:val="17"/>
              </w:rPr>
              <w:t>256.010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7457B99" w14:textId="77777777">
            <w:pPr>
              <w:pStyle w:val="p-table"/>
              <w:jc w:val="right"/>
              <w:rPr>
                <w:sz w:val="17"/>
              </w:rPr>
            </w:pPr>
            <w:r>
              <w:rPr>
                <w:i/>
                <w:sz w:val="17"/>
              </w:rPr>
              <w:t>‒</w:t>
            </w:r>
            <w:r>
              <w:rPr>
                <w:i/>
                <w:sz w:val="17"/>
              </w:rPr>
              <w:t xml:space="preserve"> 1.304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FA394FE" w14:textId="77777777">
            <w:pPr>
              <w:pStyle w:val="p-table"/>
              <w:jc w:val="right"/>
              <w:rPr>
                <w:sz w:val="17"/>
              </w:rPr>
            </w:pPr>
            <w:r>
              <w:rPr>
                <w:i/>
                <w:sz w:val="17"/>
              </w:rPr>
              <w:t>254.706</w:t>
            </w:r>
          </w:p>
        </w:tc>
      </w:tr>
      <w:tr w:rsidR="006B6965" w14:paraId="59CE58EF"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3269E6EF" w14:textId="77777777">
            <w:pPr>
              <w:pStyle w:val="p-table"/>
              <w:rPr>
                <w:sz w:val="17"/>
              </w:rPr>
            </w:pPr>
            <w:r>
              <w:rPr>
                <w:i/>
                <w:sz w:val="17"/>
              </w:rPr>
              <w:t>waarvan Saldo Op Ontvangen Bijdragen voor exploitatie en onderhoud</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3CD2855" w14:textId="77777777">
            <w:pPr>
              <w:pStyle w:val="p-table"/>
              <w:jc w:val="right"/>
              <w:rPr>
                <w:sz w:val="17"/>
              </w:rPr>
            </w:pPr>
            <w:r>
              <w:rPr>
                <w:i/>
                <w:sz w:val="17"/>
              </w:rPr>
              <w:t>129.824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0910B21" w14:textId="77777777">
            <w:pPr>
              <w:pStyle w:val="p-table"/>
              <w:jc w:val="right"/>
              <w:rPr>
                <w:sz w:val="17"/>
              </w:rPr>
            </w:pPr>
            <w:r>
              <w:rPr>
                <w:i/>
                <w:sz w:val="17"/>
              </w:rPr>
              <w:t>137.852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7649C56" w14:textId="77777777">
            <w:pPr>
              <w:pStyle w:val="p-table"/>
              <w:jc w:val="right"/>
              <w:rPr>
                <w:sz w:val="17"/>
              </w:rPr>
            </w:pPr>
            <w:r>
              <w:rPr>
                <w:i/>
                <w:sz w:val="17"/>
              </w:rPr>
              <w:t>267.676</w:t>
            </w:r>
          </w:p>
        </w:tc>
      </w:tr>
      <w:tr w:rsidR="006B6965" w14:paraId="27757F3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5C36A82B" w14:textId="77777777">
            <w:pPr>
              <w:pStyle w:val="p-table"/>
              <w:rPr>
                <w:sz w:val="17"/>
              </w:rPr>
            </w:pPr>
            <w:r>
              <w:rPr>
                <w:i/>
                <w:sz w:val="17"/>
              </w:rPr>
              <w:t>waarvan Saldo Op Ontvangen Bijdragen voor te verlenen diensten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7DE6BF6" w14:textId="77777777">
            <w:pPr>
              <w:pStyle w:val="p-table"/>
              <w:jc w:val="right"/>
              <w:rPr>
                <w:sz w:val="17"/>
              </w:rPr>
            </w:pPr>
            <w:r>
              <w:rPr>
                <w:i/>
                <w:sz w:val="17"/>
              </w:rPr>
              <w:t>125.393</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AE09D3F" w14:textId="77777777">
            <w:pPr>
              <w:pStyle w:val="p-table"/>
              <w:jc w:val="right"/>
              <w:rPr>
                <w:sz w:val="17"/>
              </w:rPr>
            </w:pPr>
            <w:r>
              <w:rPr>
                <w:i/>
                <w:sz w:val="17"/>
              </w:rPr>
              <w:t>‒</w:t>
            </w:r>
            <w:r>
              <w:rPr>
                <w:i/>
                <w:sz w:val="17"/>
              </w:rPr>
              <w:t xml:space="preserve"> 10.310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5FD74C5" w14:textId="77777777">
            <w:pPr>
              <w:pStyle w:val="p-table"/>
              <w:jc w:val="right"/>
              <w:rPr>
                <w:sz w:val="17"/>
              </w:rPr>
            </w:pPr>
            <w:r>
              <w:rPr>
                <w:i/>
                <w:sz w:val="17"/>
              </w:rPr>
              <w:t>115.083</w:t>
            </w:r>
          </w:p>
        </w:tc>
      </w:tr>
      <w:tr w:rsidR="006B6965" w14:paraId="13F85987"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619E05B2" w14:textId="77777777">
            <w:pPr>
              <w:pStyle w:val="p-table"/>
              <w:rPr>
                <w:sz w:val="17"/>
              </w:rPr>
            </w:pPr>
            <w:r>
              <w:rPr>
                <w:sz w:val="17"/>
              </w:rPr>
              <w:t>Rentebaten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64D57A8" w14:textId="77777777">
            <w:pPr>
              <w:pStyle w:val="p-table"/>
              <w:jc w:val="right"/>
              <w:rPr>
                <w:sz w:val="17"/>
              </w:rPr>
            </w:pPr>
            <w:r>
              <w:rPr>
                <w:sz w:val="17"/>
              </w:rPr>
              <w:t>42.658</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0288146" w14:textId="77777777">
            <w:pPr>
              <w:pStyle w:val="p-table"/>
              <w:jc w:val="right"/>
              <w:rPr>
                <w:sz w:val="17"/>
              </w:rPr>
            </w:pPr>
            <w:r>
              <w:rPr>
                <w:sz w:val="17"/>
              </w:rPr>
              <w:t>‒</w:t>
            </w:r>
            <w:r>
              <w:rPr>
                <w:sz w:val="17"/>
              </w:rPr>
              <w:t xml:space="preserve"> 9.791</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CF451F2" w14:textId="77777777">
            <w:pPr>
              <w:pStyle w:val="p-table"/>
              <w:jc w:val="right"/>
              <w:rPr>
                <w:sz w:val="17"/>
              </w:rPr>
            </w:pPr>
            <w:r>
              <w:rPr>
                <w:sz w:val="17"/>
              </w:rPr>
              <w:t>32.867</w:t>
            </w:r>
          </w:p>
        </w:tc>
      </w:tr>
      <w:tr w:rsidR="006B6965" w14:paraId="6216702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398F54C1" w14:textId="77777777">
            <w:pPr>
              <w:pStyle w:val="p-table"/>
              <w:rPr>
                <w:sz w:val="17"/>
              </w:rPr>
            </w:pPr>
            <w:r>
              <w:rPr>
                <w:sz w:val="17"/>
              </w:rPr>
              <w:t xml:space="preserve">Vrijval </w:t>
            </w:r>
            <w:r>
              <w:rPr>
                <w:sz w:val="17"/>
              </w:rPr>
              <w:t>voorzieningen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AB3393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8A7E42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BE883D6" w14:textId="77777777">
            <w:pPr>
              <w:pStyle w:val="p-table"/>
              <w:jc w:val="right"/>
              <w:rPr>
                <w:sz w:val="17"/>
              </w:rPr>
            </w:pPr>
            <w:r>
              <w:rPr>
                <w:sz w:val="17"/>
              </w:rPr>
              <w:t>0</w:t>
            </w:r>
          </w:p>
        </w:tc>
      </w:tr>
      <w:tr w:rsidR="006B6965" w14:paraId="3819F9F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11D93F9E" w14:textId="77777777">
            <w:pPr>
              <w:pStyle w:val="p-table"/>
              <w:rPr>
                <w:sz w:val="17"/>
              </w:rPr>
            </w:pPr>
            <w:r>
              <w:rPr>
                <w:sz w:val="17"/>
              </w:rPr>
              <w:t>Bijzondere baten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66A53C2" w14:textId="77777777">
            <w:pPr>
              <w:pStyle w:val="p-table"/>
              <w:jc w:val="right"/>
              <w:rPr>
                <w:sz w:val="17"/>
              </w:rPr>
            </w:pPr>
            <w:r>
              <w:rPr>
                <w:sz w:val="17"/>
              </w:rPr>
              <w:t>1.500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81C1EA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9CFE891" w14:textId="77777777">
            <w:pPr>
              <w:pStyle w:val="p-table"/>
              <w:jc w:val="right"/>
              <w:rPr>
                <w:sz w:val="17"/>
              </w:rPr>
            </w:pPr>
            <w:r>
              <w:rPr>
                <w:sz w:val="17"/>
              </w:rPr>
              <w:t>1.500</w:t>
            </w:r>
          </w:p>
        </w:tc>
      </w:tr>
      <w:tr w:rsidR="006B6965" w14:paraId="55F2C170"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579732CC" w14:textId="77777777">
            <w:pPr>
              <w:pStyle w:val="p-table"/>
              <w:rPr>
                <w:sz w:val="17"/>
              </w:rPr>
            </w:pPr>
            <w:r>
              <w:rPr>
                <w:b/>
                <w:sz w:val="17"/>
              </w:rPr>
              <w:t>Totaal baten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E84B38B" w14:textId="77777777">
            <w:pPr>
              <w:pStyle w:val="p-table"/>
              <w:jc w:val="right"/>
              <w:rPr>
                <w:sz w:val="17"/>
              </w:rPr>
            </w:pPr>
            <w:r>
              <w:rPr>
                <w:b/>
                <w:sz w:val="17"/>
              </w:rPr>
              <w:t>4.420.071</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3E8C9DE" w14:textId="77777777">
            <w:pPr>
              <w:pStyle w:val="p-table"/>
              <w:jc w:val="right"/>
              <w:rPr>
                <w:sz w:val="17"/>
              </w:rPr>
            </w:pPr>
            <w:r>
              <w:rPr>
                <w:b/>
                <w:sz w:val="17"/>
              </w:rPr>
              <w:t>255.767</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495127B" w14:textId="77777777">
            <w:pPr>
              <w:pStyle w:val="p-table"/>
              <w:jc w:val="right"/>
              <w:rPr>
                <w:sz w:val="17"/>
              </w:rPr>
            </w:pPr>
            <w:r>
              <w:rPr>
                <w:b/>
                <w:sz w:val="17"/>
              </w:rPr>
              <w:t>4.675.838</w:t>
            </w:r>
          </w:p>
        </w:tc>
      </w:tr>
      <w:tr w:rsidR="006B6965" w14:paraId="63C3AC6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6B6965" w14:paraId="5CF3CDD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102C770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14DE99F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3AC647F7" w14:textId="77777777">
            <w:pPr>
              <w:pStyle w:val="p-table"/>
              <w:rPr>
                <w:sz w:val="17"/>
              </w:rPr>
            </w:pPr>
          </w:p>
        </w:tc>
      </w:tr>
      <w:tr w:rsidR="006B6965" w14:paraId="7AE5906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64B9541D" w14:textId="77777777">
            <w:pPr>
              <w:pStyle w:val="p-table"/>
              <w:rPr>
                <w:sz w:val="17"/>
              </w:rPr>
            </w:pPr>
            <w:r>
              <w:rPr>
                <w:b/>
                <w:sz w:val="17"/>
              </w:rPr>
              <w:t>Lasten</w:t>
            </w:r>
          </w:p>
        </w:tc>
        <w:tc>
          <w:tcPr>
            <w:tcW w:w="1836" w:type="dxa"/>
            <w:tcBorders>
              <w:bottom w:val="single" w:color="009EE0" w:sz="2" w:space="0"/>
            </w:tcBorders>
            <w:tcMar>
              <w:top w:w="22" w:type="dxa"/>
              <w:left w:w="28" w:type="dxa"/>
              <w:bottom w:w="22" w:type="dxa"/>
              <w:right w:w="28" w:type="dxa"/>
            </w:tcMar>
          </w:tcPr>
          <w:p w:rsidR="006B6965" w:rsidRDefault="006B6965" w14:paraId="34DCC9E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153B90C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292E93B7" w14:textId="77777777">
            <w:pPr>
              <w:pStyle w:val="p-table"/>
              <w:rPr>
                <w:sz w:val="17"/>
              </w:rPr>
            </w:pPr>
          </w:p>
        </w:tc>
      </w:tr>
      <w:tr w:rsidR="006B6965" w14:paraId="44D0C00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3E16661" w14:textId="77777777">
            <w:pPr>
              <w:pStyle w:val="p-table"/>
              <w:rPr>
                <w:sz w:val="17"/>
              </w:rPr>
            </w:pPr>
            <w:r>
              <w:rPr>
                <w:sz w:val="17"/>
              </w:rPr>
              <w:t>Apparaatskosten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9218277" w14:textId="77777777">
            <w:pPr>
              <w:pStyle w:val="p-table"/>
              <w:jc w:val="right"/>
              <w:rPr>
                <w:sz w:val="17"/>
              </w:rPr>
            </w:pPr>
            <w:r>
              <w:rPr>
                <w:sz w:val="17"/>
              </w:rPr>
              <w:t>1.664.342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596BFEF" w14:textId="77777777">
            <w:pPr>
              <w:pStyle w:val="p-table"/>
              <w:jc w:val="right"/>
              <w:rPr>
                <w:sz w:val="17"/>
              </w:rPr>
            </w:pPr>
            <w:r>
              <w:rPr>
                <w:sz w:val="17"/>
              </w:rPr>
              <w:t>50.038</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34E1035" w14:textId="77777777">
            <w:pPr>
              <w:pStyle w:val="p-table"/>
              <w:jc w:val="right"/>
              <w:rPr>
                <w:sz w:val="17"/>
              </w:rPr>
            </w:pPr>
            <w:r>
              <w:rPr>
                <w:sz w:val="17"/>
              </w:rPr>
              <w:t>1.714.380</w:t>
            </w:r>
          </w:p>
        </w:tc>
      </w:tr>
      <w:tr w:rsidR="006B6965" w14:paraId="33A2E30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1763D9A3" w14:textId="77777777">
            <w:pPr>
              <w:pStyle w:val="p-table"/>
              <w:rPr>
                <w:sz w:val="17"/>
              </w:rPr>
            </w:pPr>
            <w:r>
              <w:rPr>
                <w:sz w:val="17"/>
              </w:rPr>
              <w:t>- Personele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CA0F6D0" w14:textId="77777777">
            <w:pPr>
              <w:pStyle w:val="p-table"/>
              <w:jc w:val="right"/>
              <w:rPr>
                <w:sz w:val="17"/>
              </w:rPr>
            </w:pPr>
            <w:r>
              <w:rPr>
                <w:sz w:val="17"/>
              </w:rPr>
              <w:t>1.364.987</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6297708" w14:textId="77777777">
            <w:pPr>
              <w:pStyle w:val="p-table"/>
              <w:jc w:val="right"/>
              <w:rPr>
                <w:sz w:val="17"/>
              </w:rPr>
            </w:pPr>
            <w:r>
              <w:rPr>
                <w:sz w:val="17"/>
              </w:rPr>
              <w:t>4.645</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FC85648" w14:textId="77777777">
            <w:pPr>
              <w:pStyle w:val="p-table"/>
              <w:jc w:val="right"/>
              <w:rPr>
                <w:sz w:val="17"/>
              </w:rPr>
            </w:pPr>
            <w:r>
              <w:rPr>
                <w:sz w:val="17"/>
              </w:rPr>
              <w:t>1.369.632</w:t>
            </w:r>
          </w:p>
        </w:tc>
      </w:tr>
      <w:tr w:rsidR="006B6965" w14:paraId="19081AC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0AED0380" w14:textId="77777777">
            <w:pPr>
              <w:pStyle w:val="p-table"/>
              <w:rPr>
                <w:sz w:val="17"/>
              </w:rPr>
            </w:pPr>
            <w:r>
              <w:rPr>
                <w:i/>
                <w:sz w:val="17"/>
              </w:rPr>
              <w:t>waarvan eigen personeel</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1AC0B8F" w14:textId="77777777">
            <w:pPr>
              <w:pStyle w:val="p-table"/>
              <w:jc w:val="right"/>
              <w:rPr>
                <w:sz w:val="17"/>
              </w:rPr>
            </w:pPr>
            <w:r>
              <w:rPr>
                <w:i/>
                <w:sz w:val="17"/>
              </w:rPr>
              <w:t>1.214.781</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044406C" w14:textId="77777777">
            <w:pPr>
              <w:pStyle w:val="p-table"/>
              <w:jc w:val="right"/>
              <w:rPr>
                <w:sz w:val="17"/>
              </w:rPr>
            </w:pPr>
            <w:r>
              <w:rPr>
                <w:i/>
                <w:sz w:val="17"/>
              </w:rPr>
              <w:t>4.435</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568300C" w14:textId="77777777">
            <w:pPr>
              <w:pStyle w:val="p-table"/>
              <w:jc w:val="right"/>
              <w:rPr>
                <w:sz w:val="17"/>
              </w:rPr>
            </w:pPr>
            <w:r>
              <w:rPr>
                <w:i/>
                <w:sz w:val="17"/>
              </w:rPr>
              <w:t>1.219.216</w:t>
            </w:r>
          </w:p>
        </w:tc>
      </w:tr>
      <w:tr w:rsidR="006B6965" w14:paraId="3CCF6E5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66F7DAB2" w14:textId="77777777">
            <w:pPr>
              <w:pStyle w:val="p-table"/>
              <w:rPr>
                <w:sz w:val="17"/>
              </w:rPr>
            </w:pPr>
            <w:r>
              <w:rPr>
                <w:i/>
                <w:sz w:val="17"/>
              </w:rPr>
              <w:t>waarvan inhuur externen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D8DC46B" w14:textId="77777777">
            <w:pPr>
              <w:pStyle w:val="p-table"/>
              <w:jc w:val="right"/>
              <w:rPr>
                <w:sz w:val="17"/>
              </w:rPr>
            </w:pPr>
            <w:r>
              <w:rPr>
                <w:i/>
                <w:sz w:val="17"/>
              </w:rPr>
              <w:t>94.206</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2B509F9"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64C6BC7" w14:textId="77777777">
            <w:pPr>
              <w:pStyle w:val="p-table"/>
              <w:jc w:val="right"/>
              <w:rPr>
                <w:sz w:val="17"/>
              </w:rPr>
            </w:pPr>
            <w:r>
              <w:rPr>
                <w:i/>
                <w:sz w:val="17"/>
              </w:rPr>
              <w:t>94.206</w:t>
            </w:r>
          </w:p>
        </w:tc>
      </w:tr>
      <w:tr w:rsidR="006B6965" w14:paraId="1BAAC94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7CC99AAE" w14:textId="77777777">
            <w:pPr>
              <w:pStyle w:val="p-table"/>
              <w:rPr>
                <w:sz w:val="17"/>
              </w:rPr>
            </w:pPr>
            <w:r>
              <w:rPr>
                <w:i/>
                <w:sz w:val="17"/>
              </w:rPr>
              <w:t>waarvan overige personele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D400E8E" w14:textId="77777777">
            <w:pPr>
              <w:pStyle w:val="p-table"/>
              <w:jc w:val="right"/>
              <w:rPr>
                <w:sz w:val="17"/>
              </w:rPr>
            </w:pPr>
            <w:r>
              <w:rPr>
                <w:i/>
                <w:sz w:val="17"/>
              </w:rPr>
              <w:t>56.000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D7B3579" w14:textId="77777777">
            <w:pPr>
              <w:pStyle w:val="p-table"/>
              <w:jc w:val="right"/>
              <w:rPr>
                <w:sz w:val="17"/>
              </w:rPr>
            </w:pPr>
            <w:r>
              <w:rPr>
                <w:i/>
                <w:sz w:val="17"/>
              </w:rPr>
              <w:t>210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ABF65A1" w14:textId="77777777">
            <w:pPr>
              <w:pStyle w:val="p-table"/>
              <w:jc w:val="right"/>
              <w:rPr>
                <w:sz w:val="17"/>
              </w:rPr>
            </w:pPr>
            <w:r>
              <w:rPr>
                <w:i/>
                <w:sz w:val="17"/>
              </w:rPr>
              <w:t>56.210</w:t>
            </w:r>
          </w:p>
        </w:tc>
      </w:tr>
      <w:tr w:rsidR="006B6965" w14:paraId="41221C1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01F95389" w14:textId="77777777">
            <w:pPr>
              <w:pStyle w:val="p-table"/>
              <w:rPr>
                <w:sz w:val="17"/>
              </w:rPr>
            </w:pPr>
            <w:r>
              <w:rPr>
                <w:sz w:val="17"/>
              </w:rPr>
              <w:t>- Materiele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50669F6" w14:textId="77777777">
            <w:pPr>
              <w:pStyle w:val="p-table"/>
              <w:jc w:val="right"/>
              <w:rPr>
                <w:sz w:val="17"/>
              </w:rPr>
            </w:pPr>
            <w:r>
              <w:rPr>
                <w:sz w:val="17"/>
              </w:rPr>
              <w:t>299.355</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21BEF3D" w14:textId="77777777">
            <w:pPr>
              <w:pStyle w:val="p-table"/>
              <w:jc w:val="right"/>
              <w:rPr>
                <w:sz w:val="17"/>
              </w:rPr>
            </w:pPr>
            <w:r>
              <w:rPr>
                <w:sz w:val="17"/>
              </w:rPr>
              <w:t>45.393</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4B5E515" w14:textId="77777777">
            <w:pPr>
              <w:pStyle w:val="p-table"/>
              <w:jc w:val="right"/>
              <w:rPr>
                <w:sz w:val="17"/>
              </w:rPr>
            </w:pPr>
            <w:r>
              <w:rPr>
                <w:sz w:val="17"/>
              </w:rPr>
              <w:t>344.748</w:t>
            </w:r>
          </w:p>
        </w:tc>
      </w:tr>
      <w:tr w:rsidR="006B6965" w14:paraId="4283DD8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49C6071" w14:textId="77777777">
            <w:pPr>
              <w:pStyle w:val="p-table"/>
              <w:rPr>
                <w:sz w:val="17"/>
              </w:rPr>
            </w:pPr>
            <w:r>
              <w:rPr>
                <w:i/>
                <w:sz w:val="17"/>
              </w:rPr>
              <w:t>waarvan apparaat ICT</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E2CB0D6" w14:textId="77777777">
            <w:pPr>
              <w:pStyle w:val="p-table"/>
              <w:jc w:val="right"/>
              <w:rPr>
                <w:sz w:val="17"/>
              </w:rPr>
            </w:pPr>
            <w:r>
              <w:rPr>
                <w:i/>
                <w:sz w:val="17"/>
              </w:rPr>
              <w:t>51.250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388B6CA" w14:textId="77777777">
            <w:pPr>
              <w:pStyle w:val="p-table"/>
              <w:jc w:val="right"/>
              <w:rPr>
                <w:sz w:val="17"/>
              </w:rPr>
            </w:pPr>
            <w:r>
              <w:rPr>
                <w:i/>
                <w:sz w:val="17"/>
              </w:rPr>
              <w:t>7.702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ED9544E" w14:textId="77777777">
            <w:pPr>
              <w:pStyle w:val="p-table"/>
              <w:jc w:val="right"/>
              <w:rPr>
                <w:sz w:val="17"/>
              </w:rPr>
            </w:pPr>
            <w:r>
              <w:rPr>
                <w:i/>
                <w:sz w:val="17"/>
              </w:rPr>
              <w:t>58.952</w:t>
            </w:r>
          </w:p>
        </w:tc>
      </w:tr>
      <w:tr w:rsidR="006B6965" w14:paraId="705F624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7D719F3" w14:textId="77777777">
            <w:pPr>
              <w:pStyle w:val="p-table"/>
              <w:rPr>
                <w:sz w:val="17"/>
              </w:rPr>
            </w:pPr>
            <w:r>
              <w:rPr>
                <w:i/>
                <w:sz w:val="17"/>
              </w:rPr>
              <w:t xml:space="preserve">waarvan bijdrage aan </w:t>
            </w:r>
            <w:proofErr w:type="spellStart"/>
            <w:r>
              <w:rPr>
                <w:i/>
                <w:sz w:val="17"/>
              </w:rPr>
              <w:t>SSO's</w:t>
            </w:r>
            <w:proofErr w:type="spellEnd"/>
          </w:p>
        </w:tc>
        <w:tc>
          <w:tcPr>
            <w:tcW w:w="1836" w:type="dxa"/>
            <w:tcBorders>
              <w:bottom w:val="single" w:color="009EE0" w:sz="2" w:space="0"/>
            </w:tcBorders>
            <w:tcMar>
              <w:top w:w="22" w:type="dxa"/>
              <w:left w:w="28" w:type="dxa"/>
              <w:bottom w:w="22" w:type="dxa"/>
              <w:right w:w="28" w:type="dxa"/>
            </w:tcMar>
            <w:vAlign w:val="bottom"/>
          </w:tcPr>
          <w:p w:rsidR="006B6965" w:rsidRDefault="003A166B" w14:paraId="720B742A" w14:textId="77777777">
            <w:pPr>
              <w:pStyle w:val="p-table"/>
              <w:jc w:val="right"/>
              <w:rPr>
                <w:sz w:val="17"/>
              </w:rPr>
            </w:pPr>
            <w:r>
              <w:rPr>
                <w:i/>
                <w:sz w:val="17"/>
              </w:rPr>
              <w:t>72.384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C7456E2" w14:textId="77777777">
            <w:pPr>
              <w:pStyle w:val="p-table"/>
              <w:jc w:val="right"/>
              <w:rPr>
                <w:sz w:val="17"/>
              </w:rPr>
            </w:pPr>
            <w:r>
              <w:rPr>
                <w:i/>
                <w:sz w:val="17"/>
              </w:rPr>
              <w:t>4.150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635FE08" w14:textId="77777777">
            <w:pPr>
              <w:pStyle w:val="p-table"/>
              <w:jc w:val="right"/>
              <w:rPr>
                <w:sz w:val="17"/>
              </w:rPr>
            </w:pPr>
            <w:r>
              <w:rPr>
                <w:i/>
                <w:sz w:val="17"/>
              </w:rPr>
              <w:t>76.534</w:t>
            </w:r>
          </w:p>
        </w:tc>
      </w:tr>
      <w:tr w:rsidR="006B6965" w14:paraId="312E3DA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1649404A" w14:textId="77777777">
            <w:pPr>
              <w:pStyle w:val="p-table"/>
              <w:rPr>
                <w:sz w:val="17"/>
              </w:rPr>
            </w:pPr>
            <w:r>
              <w:rPr>
                <w:i/>
                <w:sz w:val="17"/>
              </w:rPr>
              <w:t xml:space="preserve">waarvan </w:t>
            </w:r>
            <w:r>
              <w:rPr>
                <w:i/>
                <w:sz w:val="17"/>
              </w:rPr>
              <w:t>overige materiele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3342749" w14:textId="77777777">
            <w:pPr>
              <w:pStyle w:val="p-table"/>
              <w:jc w:val="right"/>
              <w:rPr>
                <w:sz w:val="17"/>
              </w:rPr>
            </w:pPr>
            <w:r>
              <w:rPr>
                <w:i/>
                <w:sz w:val="17"/>
              </w:rPr>
              <w:t>175.721</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2D3CB2C" w14:textId="77777777">
            <w:pPr>
              <w:pStyle w:val="p-table"/>
              <w:jc w:val="right"/>
              <w:rPr>
                <w:sz w:val="17"/>
              </w:rPr>
            </w:pPr>
            <w:r>
              <w:rPr>
                <w:i/>
                <w:sz w:val="17"/>
              </w:rPr>
              <w:t>33.541</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22644E8" w14:textId="77777777">
            <w:pPr>
              <w:pStyle w:val="p-table"/>
              <w:jc w:val="right"/>
              <w:rPr>
                <w:sz w:val="17"/>
              </w:rPr>
            </w:pPr>
            <w:r>
              <w:rPr>
                <w:i/>
                <w:sz w:val="17"/>
              </w:rPr>
              <w:t>209.262</w:t>
            </w:r>
          </w:p>
        </w:tc>
      </w:tr>
      <w:tr w:rsidR="006B6965" w14:paraId="6494461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600843D" w14:textId="77777777">
            <w:pPr>
              <w:pStyle w:val="p-table"/>
              <w:rPr>
                <w:sz w:val="17"/>
              </w:rPr>
            </w:pPr>
            <w:r>
              <w:rPr>
                <w:sz w:val="17"/>
              </w:rPr>
              <w:t>Kosten uitbesteed werk en andere externe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CDDFE0F" w14:textId="77777777">
            <w:pPr>
              <w:pStyle w:val="p-table"/>
              <w:jc w:val="right"/>
              <w:rPr>
                <w:sz w:val="17"/>
              </w:rPr>
            </w:pPr>
            <w:r>
              <w:rPr>
                <w:sz w:val="17"/>
              </w:rPr>
              <w:t>2.792.589</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B6886DA" w14:textId="77777777">
            <w:pPr>
              <w:pStyle w:val="p-table"/>
              <w:jc w:val="right"/>
              <w:rPr>
                <w:sz w:val="17"/>
              </w:rPr>
            </w:pPr>
            <w:r>
              <w:rPr>
                <w:sz w:val="17"/>
              </w:rPr>
              <w:t>195.374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40A2759" w14:textId="77777777">
            <w:pPr>
              <w:pStyle w:val="p-table"/>
              <w:jc w:val="right"/>
              <w:rPr>
                <w:sz w:val="17"/>
              </w:rPr>
            </w:pPr>
            <w:r>
              <w:rPr>
                <w:sz w:val="17"/>
              </w:rPr>
              <w:t>2.987.963</w:t>
            </w:r>
          </w:p>
        </w:tc>
      </w:tr>
      <w:tr w:rsidR="006B6965" w14:paraId="19513C0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2752BD00" w14:textId="77777777">
            <w:pPr>
              <w:pStyle w:val="p-table"/>
              <w:rPr>
                <w:sz w:val="17"/>
              </w:rPr>
            </w:pPr>
            <w:r>
              <w:rPr>
                <w:sz w:val="17"/>
              </w:rPr>
              <w:t>Rentelasten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C296325" w14:textId="77777777">
            <w:pPr>
              <w:pStyle w:val="p-table"/>
              <w:jc w:val="right"/>
              <w:rPr>
                <w:sz w:val="17"/>
              </w:rPr>
            </w:pPr>
            <w:r>
              <w:rPr>
                <w:sz w:val="17"/>
              </w:rPr>
              <w:t>2.549</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ACD5A7B" w14:textId="77777777">
            <w:pPr>
              <w:pStyle w:val="p-table"/>
              <w:jc w:val="right"/>
              <w:rPr>
                <w:sz w:val="17"/>
              </w:rPr>
            </w:pPr>
            <w:r>
              <w:rPr>
                <w:sz w:val="17"/>
              </w:rPr>
              <w:t>19</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3150AEF" w14:textId="77777777">
            <w:pPr>
              <w:pStyle w:val="p-table"/>
              <w:jc w:val="right"/>
              <w:rPr>
                <w:sz w:val="17"/>
              </w:rPr>
            </w:pPr>
            <w:r>
              <w:rPr>
                <w:sz w:val="17"/>
              </w:rPr>
              <w:t>2.568</w:t>
            </w:r>
          </w:p>
        </w:tc>
      </w:tr>
      <w:tr w:rsidR="006B6965" w14:paraId="7ECAC12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C78C423" w14:textId="77777777">
            <w:pPr>
              <w:pStyle w:val="p-table"/>
              <w:rPr>
                <w:sz w:val="17"/>
              </w:rPr>
            </w:pPr>
            <w:r>
              <w:rPr>
                <w:sz w:val="17"/>
              </w:rPr>
              <w:t>Afschrijvingskosten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0096CA0" w14:textId="77777777">
            <w:pPr>
              <w:pStyle w:val="p-table"/>
              <w:jc w:val="right"/>
              <w:rPr>
                <w:sz w:val="17"/>
              </w:rPr>
            </w:pPr>
            <w:r>
              <w:rPr>
                <w:sz w:val="17"/>
              </w:rPr>
              <w:t>18.994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498FDE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C518793" w14:textId="77777777">
            <w:pPr>
              <w:pStyle w:val="p-table"/>
              <w:jc w:val="right"/>
              <w:rPr>
                <w:sz w:val="17"/>
              </w:rPr>
            </w:pPr>
            <w:r>
              <w:rPr>
                <w:sz w:val="17"/>
              </w:rPr>
              <w:t>18.994</w:t>
            </w:r>
          </w:p>
        </w:tc>
      </w:tr>
      <w:tr w:rsidR="006B6965" w14:paraId="7A7BFB2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4361028F" w14:textId="77777777">
            <w:pPr>
              <w:pStyle w:val="p-table"/>
              <w:rPr>
                <w:sz w:val="17"/>
              </w:rPr>
            </w:pPr>
            <w:r>
              <w:rPr>
                <w:sz w:val="17"/>
              </w:rPr>
              <w:t>- Materieel</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BABF87E" w14:textId="77777777">
            <w:pPr>
              <w:pStyle w:val="p-table"/>
              <w:jc w:val="right"/>
              <w:rPr>
                <w:sz w:val="17"/>
              </w:rPr>
            </w:pPr>
            <w:r>
              <w:rPr>
                <w:sz w:val="17"/>
              </w:rPr>
              <w:t>18.962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F69041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ACECC2F" w14:textId="77777777">
            <w:pPr>
              <w:pStyle w:val="p-table"/>
              <w:jc w:val="right"/>
              <w:rPr>
                <w:sz w:val="17"/>
              </w:rPr>
            </w:pPr>
            <w:r>
              <w:rPr>
                <w:sz w:val="17"/>
              </w:rPr>
              <w:t>18.962</w:t>
            </w:r>
          </w:p>
        </w:tc>
      </w:tr>
      <w:tr w:rsidR="006B6965" w14:paraId="1A24123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015E8CA4" w14:textId="77777777">
            <w:pPr>
              <w:pStyle w:val="p-table"/>
              <w:rPr>
                <w:sz w:val="17"/>
              </w:rPr>
            </w:pPr>
            <w:r>
              <w:rPr>
                <w:i/>
                <w:sz w:val="17"/>
              </w:rPr>
              <w:t>waarvan apparaat ICT</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3462D19" w14:textId="77777777">
            <w:pPr>
              <w:pStyle w:val="p-table"/>
              <w:jc w:val="right"/>
              <w:rPr>
                <w:sz w:val="17"/>
              </w:rPr>
            </w:pPr>
            <w:r>
              <w:rPr>
                <w:i/>
                <w:sz w:val="17"/>
              </w:rPr>
              <w:t>4.774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63CD06E"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614E1B7" w14:textId="77777777">
            <w:pPr>
              <w:pStyle w:val="p-table"/>
              <w:jc w:val="right"/>
              <w:rPr>
                <w:sz w:val="17"/>
              </w:rPr>
            </w:pPr>
            <w:r>
              <w:rPr>
                <w:i/>
                <w:sz w:val="17"/>
              </w:rPr>
              <w:t>4.774</w:t>
            </w:r>
          </w:p>
        </w:tc>
      </w:tr>
      <w:tr w:rsidR="006B6965" w14:paraId="482BC4F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74DC38DF" w14:textId="77777777">
            <w:pPr>
              <w:pStyle w:val="p-table"/>
              <w:rPr>
                <w:sz w:val="17"/>
              </w:rPr>
            </w:pPr>
            <w:r>
              <w:rPr>
                <w:i/>
                <w:sz w:val="17"/>
              </w:rPr>
              <w:t>waarvan overige materiele afschrijvingskosten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F7EC23E" w14:textId="77777777">
            <w:pPr>
              <w:pStyle w:val="p-table"/>
              <w:jc w:val="right"/>
              <w:rPr>
                <w:sz w:val="17"/>
              </w:rPr>
            </w:pPr>
            <w:r>
              <w:rPr>
                <w:i/>
                <w:sz w:val="17"/>
              </w:rPr>
              <w:t>14.188</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CEE887B"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5F6CD38" w14:textId="77777777">
            <w:pPr>
              <w:pStyle w:val="p-table"/>
              <w:jc w:val="right"/>
              <w:rPr>
                <w:sz w:val="17"/>
              </w:rPr>
            </w:pPr>
            <w:r>
              <w:rPr>
                <w:i/>
                <w:sz w:val="17"/>
              </w:rPr>
              <w:t>14.188</w:t>
            </w:r>
          </w:p>
        </w:tc>
      </w:tr>
      <w:tr w:rsidR="006B6965" w14:paraId="42CD266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2303FF3" w14:textId="77777777">
            <w:pPr>
              <w:pStyle w:val="p-table"/>
              <w:rPr>
                <w:sz w:val="17"/>
              </w:rPr>
            </w:pPr>
            <w:r>
              <w:rPr>
                <w:sz w:val="17"/>
              </w:rPr>
              <w:t>- Immaterieel</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0122FA9" w14:textId="77777777">
            <w:pPr>
              <w:pStyle w:val="p-table"/>
              <w:jc w:val="right"/>
              <w:rPr>
                <w:sz w:val="17"/>
              </w:rPr>
            </w:pPr>
            <w:r>
              <w:rPr>
                <w:sz w:val="17"/>
              </w:rPr>
              <w:t>32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4BB2CD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BB390F7" w14:textId="77777777">
            <w:pPr>
              <w:pStyle w:val="p-table"/>
              <w:jc w:val="right"/>
              <w:rPr>
                <w:sz w:val="17"/>
              </w:rPr>
            </w:pPr>
            <w:r>
              <w:rPr>
                <w:sz w:val="17"/>
              </w:rPr>
              <w:t>32</w:t>
            </w:r>
          </w:p>
        </w:tc>
      </w:tr>
      <w:tr w:rsidR="006B6965" w14:paraId="47A9462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3461820" w14:textId="77777777">
            <w:pPr>
              <w:pStyle w:val="p-table"/>
              <w:rPr>
                <w:sz w:val="17"/>
              </w:rPr>
            </w:pPr>
            <w:r>
              <w:rPr>
                <w:sz w:val="17"/>
              </w:rPr>
              <w:t>Overige 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3186901" w14:textId="77777777">
            <w:pPr>
              <w:pStyle w:val="p-table"/>
              <w:jc w:val="right"/>
              <w:rPr>
                <w:sz w:val="17"/>
              </w:rPr>
            </w:pPr>
            <w:r>
              <w:rPr>
                <w:sz w:val="17"/>
              </w:rPr>
              <w:t>8.000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A811BF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61B7D78" w14:textId="77777777">
            <w:pPr>
              <w:pStyle w:val="p-table"/>
              <w:jc w:val="right"/>
              <w:rPr>
                <w:sz w:val="17"/>
              </w:rPr>
            </w:pPr>
            <w:r>
              <w:rPr>
                <w:sz w:val="17"/>
              </w:rPr>
              <w:t>8.000</w:t>
            </w:r>
          </w:p>
        </w:tc>
      </w:tr>
      <w:tr w:rsidR="006B6965" w14:paraId="3E7B314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43F50CAD" w14:textId="77777777">
            <w:pPr>
              <w:pStyle w:val="p-table"/>
              <w:rPr>
                <w:sz w:val="17"/>
              </w:rPr>
            </w:pPr>
            <w:r>
              <w:rPr>
                <w:i/>
                <w:sz w:val="17"/>
              </w:rPr>
              <w:t>waarvan dotaties voorzieningen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AF41FC4" w14:textId="77777777">
            <w:pPr>
              <w:pStyle w:val="p-table"/>
              <w:jc w:val="right"/>
              <w:rPr>
                <w:sz w:val="17"/>
              </w:rPr>
            </w:pPr>
            <w:r>
              <w:rPr>
                <w:i/>
                <w:sz w:val="17"/>
              </w:rPr>
              <w:t>8.000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27370A6"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1B59753" w14:textId="77777777">
            <w:pPr>
              <w:pStyle w:val="p-table"/>
              <w:jc w:val="right"/>
              <w:rPr>
                <w:sz w:val="17"/>
              </w:rPr>
            </w:pPr>
            <w:r>
              <w:rPr>
                <w:i/>
                <w:sz w:val="17"/>
              </w:rPr>
              <w:t>8.000</w:t>
            </w:r>
          </w:p>
        </w:tc>
      </w:tr>
      <w:tr w:rsidR="006B6965" w14:paraId="28AE98D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171E60BD" w14:textId="77777777">
            <w:pPr>
              <w:pStyle w:val="p-table"/>
              <w:rPr>
                <w:sz w:val="17"/>
              </w:rPr>
            </w:pPr>
            <w:r>
              <w:rPr>
                <w:i/>
                <w:sz w:val="17"/>
              </w:rPr>
              <w:t>waarvan bijzondere 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371F460"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5B8C5D1"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C89AC94" w14:textId="77777777">
            <w:pPr>
              <w:pStyle w:val="p-table"/>
              <w:jc w:val="right"/>
              <w:rPr>
                <w:sz w:val="17"/>
              </w:rPr>
            </w:pPr>
            <w:r>
              <w:rPr>
                <w:i/>
                <w:sz w:val="17"/>
              </w:rPr>
              <w:t>0</w:t>
            </w:r>
          </w:p>
        </w:tc>
      </w:tr>
      <w:tr w:rsidR="006B6965" w14:paraId="06F7960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4D291E61" w14:textId="77777777">
            <w:pPr>
              <w:pStyle w:val="p-table"/>
              <w:rPr>
                <w:sz w:val="17"/>
              </w:rPr>
            </w:pPr>
            <w:r>
              <w:rPr>
                <w:b/>
                <w:sz w:val="17"/>
              </w:rPr>
              <w:t>Totaal 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D7F5FA2" w14:textId="77777777">
            <w:pPr>
              <w:pStyle w:val="p-table"/>
              <w:jc w:val="right"/>
              <w:rPr>
                <w:sz w:val="17"/>
              </w:rPr>
            </w:pPr>
            <w:r>
              <w:rPr>
                <w:b/>
                <w:sz w:val="17"/>
              </w:rPr>
              <w:t>4.486.474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A848F02" w14:textId="77777777">
            <w:pPr>
              <w:pStyle w:val="p-table"/>
              <w:jc w:val="right"/>
              <w:rPr>
                <w:sz w:val="17"/>
              </w:rPr>
            </w:pPr>
            <w:r>
              <w:rPr>
                <w:b/>
                <w:sz w:val="17"/>
              </w:rPr>
              <w:t>245.431</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A6F32AB" w14:textId="77777777">
            <w:pPr>
              <w:pStyle w:val="p-table"/>
              <w:jc w:val="right"/>
              <w:rPr>
                <w:sz w:val="17"/>
              </w:rPr>
            </w:pPr>
            <w:r>
              <w:rPr>
                <w:b/>
                <w:sz w:val="17"/>
              </w:rPr>
              <w:t>4.731.905</w:t>
            </w:r>
          </w:p>
        </w:tc>
      </w:tr>
      <w:tr w:rsidR="006B6965" w14:paraId="79EECB2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63433E18" w14:textId="77777777">
            <w:pPr>
              <w:pStyle w:val="p-table"/>
              <w:rPr>
                <w:sz w:val="17"/>
              </w:rPr>
            </w:pPr>
            <w:r>
              <w:rPr>
                <w:b/>
                <w:sz w:val="17"/>
              </w:rPr>
              <w:t xml:space="preserve">Saldo </w:t>
            </w:r>
            <w:r>
              <w:rPr>
                <w:b/>
                <w:sz w:val="17"/>
              </w:rPr>
              <w:t>van baten en lasten gewone bedrijfsuitoefening</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5B1F75C" w14:textId="77777777">
            <w:pPr>
              <w:pStyle w:val="p-table"/>
              <w:jc w:val="right"/>
              <w:rPr>
                <w:sz w:val="17"/>
              </w:rPr>
            </w:pPr>
            <w:r>
              <w:rPr>
                <w:b/>
                <w:sz w:val="17"/>
              </w:rPr>
              <w:t>‒</w:t>
            </w:r>
            <w:r>
              <w:rPr>
                <w:b/>
                <w:sz w:val="17"/>
              </w:rPr>
              <w:t xml:space="preserve"> 66.403</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76B59B1" w14:textId="77777777">
            <w:pPr>
              <w:pStyle w:val="p-table"/>
              <w:jc w:val="right"/>
              <w:rPr>
                <w:sz w:val="17"/>
              </w:rPr>
            </w:pPr>
            <w:r>
              <w:rPr>
                <w:b/>
                <w:sz w:val="17"/>
              </w:rPr>
              <w:t>10.336</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C5CA9E7" w14:textId="77777777">
            <w:pPr>
              <w:pStyle w:val="p-table"/>
              <w:jc w:val="right"/>
              <w:rPr>
                <w:sz w:val="17"/>
              </w:rPr>
            </w:pPr>
            <w:r>
              <w:rPr>
                <w:b/>
                <w:sz w:val="17"/>
              </w:rPr>
              <w:t>‒</w:t>
            </w:r>
            <w:r>
              <w:rPr>
                <w:b/>
                <w:sz w:val="17"/>
              </w:rPr>
              <w:t xml:space="preserve"> 56.067</w:t>
            </w:r>
          </w:p>
        </w:tc>
      </w:tr>
      <w:tr w:rsidR="006B6965" w14:paraId="04E5B1C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8F44E8A" w14:textId="77777777">
            <w:pPr>
              <w:pStyle w:val="p-table"/>
              <w:rPr>
                <w:sz w:val="17"/>
              </w:rPr>
            </w:pPr>
            <w:r>
              <w:rPr>
                <w:sz w:val="17"/>
              </w:rPr>
              <w:t xml:space="preserve">Agentschapsdeel </w:t>
            </w:r>
            <w:proofErr w:type="spellStart"/>
            <w:r>
              <w:rPr>
                <w:sz w:val="17"/>
              </w:rPr>
              <w:t>Vpb</w:t>
            </w:r>
            <w:proofErr w:type="spellEnd"/>
            <w:r>
              <w:rPr>
                <w:sz w:val="17"/>
              </w:rPr>
              <w:t>-lasten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F75E6F7" w14:textId="77777777">
            <w:pPr>
              <w:pStyle w:val="p-table"/>
              <w:jc w:val="right"/>
              <w:rPr>
                <w:sz w:val="17"/>
              </w:rPr>
            </w:pPr>
            <w:r>
              <w:rPr>
                <w:sz w:val="17"/>
              </w:rPr>
              <w:t>1.300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92A5B9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9094D42" w14:textId="77777777">
            <w:pPr>
              <w:pStyle w:val="p-table"/>
              <w:jc w:val="right"/>
              <w:rPr>
                <w:sz w:val="17"/>
              </w:rPr>
            </w:pPr>
            <w:r>
              <w:rPr>
                <w:sz w:val="17"/>
              </w:rPr>
              <w:t>1.300</w:t>
            </w:r>
          </w:p>
        </w:tc>
      </w:tr>
      <w:tr w:rsidR="006B6965" w14:paraId="551F018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7AE2AA42" w14:textId="77777777">
            <w:pPr>
              <w:pStyle w:val="p-table"/>
              <w:rPr>
                <w:sz w:val="17"/>
              </w:rPr>
            </w:pPr>
            <w:r>
              <w:rPr>
                <w:b/>
                <w:sz w:val="17"/>
              </w:rPr>
              <w:t>Saldo van baten en 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4AAAD4C" w14:textId="77777777">
            <w:pPr>
              <w:pStyle w:val="p-table"/>
              <w:jc w:val="right"/>
              <w:rPr>
                <w:sz w:val="17"/>
              </w:rPr>
            </w:pPr>
            <w:r>
              <w:rPr>
                <w:b/>
                <w:sz w:val="17"/>
              </w:rPr>
              <w:t>‒</w:t>
            </w:r>
            <w:r>
              <w:rPr>
                <w:b/>
                <w:sz w:val="17"/>
              </w:rPr>
              <w:t xml:space="preserve"> 67.703</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2C71840" w14:textId="77777777">
            <w:pPr>
              <w:pStyle w:val="p-table"/>
              <w:jc w:val="right"/>
              <w:rPr>
                <w:sz w:val="17"/>
              </w:rPr>
            </w:pPr>
            <w:r>
              <w:rPr>
                <w:b/>
                <w:sz w:val="17"/>
              </w:rPr>
              <w:t>10.336</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AFA0859" w14:textId="77777777">
            <w:pPr>
              <w:pStyle w:val="p-table"/>
              <w:jc w:val="right"/>
              <w:rPr>
                <w:sz w:val="17"/>
              </w:rPr>
            </w:pPr>
            <w:r>
              <w:rPr>
                <w:b/>
                <w:sz w:val="17"/>
              </w:rPr>
              <w:t>‒</w:t>
            </w:r>
            <w:r>
              <w:rPr>
                <w:b/>
                <w:sz w:val="17"/>
              </w:rPr>
              <w:t xml:space="preserve"> 57.367</w:t>
            </w:r>
          </w:p>
        </w:tc>
      </w:tr>
      <w:tr w:rsidR="006B6965" w14:paraId="250FDE2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218B1FB8" w14:textId="77777777">
            <w:pPr>
              <w:pStyle w:val="p-table"/>
              <w:rPr>
                <w:sz w:val="17"/>
              </w:rPr>
            </w:pPr>
            <w:r>
              <w:rPr>
                <w:sz w:val="17"/>
              </w:rPr>
              <w:t>Dotatie/onttrekking aan reserve Rijksrederij</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14C90BC" w14:textId="77777777">
            <w:pPr>
              <w:pStyle w:val="p-table"/>
              <w:jc w:val="right"/>
              <w:rPr>
                <w:sz w:val="17"/>
              </w:rPr>
            </w:pPr>
            <w:r>
              <w:rPr>
                <w:sz w:val="17"/>
              </w:rPr>
              <w:t>2.435</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15973A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FB6DB81" w14:textId="77777777">
            <w:pPr>
              <w:pStyle w:val="p-table"/>
              <w:jc w:val="right"/>
              <w:rPr>
                <w:sz w:val="17"/>
              </w:rPr>
            </w:pPr>
            <w:r>
              <w:rPr>
                <w:sz w:val="17"/>
              </w:rPr>
              <w:t>2.435</w:t>
            </w:r>
          </w:p>
        </w:tc>
      </w:tr>
      <w:tr w:rsidR="006B6965" w14:paraId="321AC2E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6CCA1C10" w14:textId="77777777">
            <w:pPr>
              <w:pStyle w:val="p-table"/>
              <w:rPr>
                <w:sz w:val="17"/>
              </w:rPr>
            </w:pPr>
            <w:r>
              <w:rPr>
                <w:b/>
                <w:sz w:val="17"/>
              </w:rPr>
              <w:t xml:space="preserve">Te verdelen </w:t>
            </w:r>
            <w:r>
              <w:rPr>
                <w:b/>
                <w:sz w:val="17"/>
              </w:rPr>
              <w:t>resultaat</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0A37DDD" w14:textId="77777777">
            <w:pPr>
              <w:pStyle w:val="p-table"/>
              <w:jc w:val="right"/>
              <w:rPr>
                <w:sz w:val="17"/>
              </w:rPr>
            </w:pPr>
            <w:r>
              <w:rPr>
                <w:b/>
                <w:sz w:val="17"/>
              </w:rPr>
              <w:t>‒</w:t>
            </w:r>
            <w:r>
              <w:rPr>
                <w:b/>
                <w:sz w:val="17"/>
              </w:rPr>
              <w:t xml:space="preserve"> 70.138</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B203810" w14:textId="77777777">
            <w:pPr>
              <w:pStyle w:val="p-table"/>
              <w:jc w:val="right"/>
              <w:rPr>
                <w:sz w:val="17"/>
              </w:rPr>
            </w:pPr>
            <w:r>
              <w:rPr>
                <w:b/>
                <w:sz w:val="17"/>
              </w:rPr>
              <w:t>10.336</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E13A12A" w14:textId="77777777">
            <w:pPr>
              <w:pStyle w:val="p-table"/>
              <w:jc w:val="right"/>
              <w:rPr>
                <w:sz w:val="17"/>
              </w:rPr>
            </w:pPr>
            <w:r>
              <w:rPr>
                <w:b/>
                <w:sz w:val="17"/>
              </w:rPr>
              <w:t>‒</w:t>
            </w:r>
            <w:r>
              <w:rPr>
                <w:b/>
                <w:sz w:val="17"/>
              </w:rPr>
              <w:t xml:space="preserve"> 59.802</w:t>
            </w:r>
          </w:p>
        </w:tc>
      </w:tr>
    </w:tbl>
    <w:p w:rsidR="006B6965" w:rsidRDefault="006B6965" w14:paraId="47B4721C" w14:textId="77777777">
      <w:pPr>
        <w:pStyle w:val="p-marginbottom"/>
      </w:pPr>
    </w:p>
    <w:p w:rsidR="006B6965" w:rsidRDefault="003A166B" w14:paraId="708A739C" w14:textId="77777777">
      <w:pPr>
        <w:pStyle w:val="header-h1"/>
      </w:pPr>
      <w:r>
        <w:lastRenderedPageBreak/>
        <w:t>Toelichting</w:t>
      </w:r>
    </w:p>
    <w:p w:rsidR="006B6965" w:rsidRDefault="003A166B" w14:paraId="0A8226E7" w14:textId="77777777">
      <w:pPr>
        <w:pStyle w:val="header-h1"/>
      </w:pPr>
      <w:r>
        <w:t>Baten</w:t>
      </w:r>
    </w:p>
    <w:p w:rsidR="006B6965" w:rsidRDefault="003A166B" w14:paraId="3E1B2FE1" w14:textId="77777777">
      <w:pPr>
        <w:pStyle w:val="header-h1"/>
      </w:pPr>
      <w:r>
        <w:t>Omzet</w:t>
      </w:r>
    </w:p>
    <w:p w:rsidR="006B6965" w:rsidRDefault="003A166B" w14:paraId="34089AEA" w14:textId="77777777">
      <w:pPr>
        <w:pStyle w:val="header-h2"/>
      </w:pPr>
      <w:r>
        <w:t>Omzet moederdepartement</w:t>
      </w:r>
    </w:p>
    <w:p w:rsidR="006B6965" w:rsidRDefault="003A166B" w14:paraId="492BC41F" w14:textId="77777777">
      <w:r>
        <w:t>De hogere omzet moederdepartement ten opzichte van de 1</w:t>
      </w:r>
      <w:r>
        <w:rPr>
          <w:vertAlign w:val="superscript"/>
        </w:rPr>
        <w:t>e</w:t>
      </w:r>
      <w:r>
        <w:t xml:space="preserve"> suppletoire begroting 2025 ad. € 139,8 miljoen is met name veroorzaakt door:</w:t>
      </w:r>
    </w:p>
    <w:p w:rsidR="006B6965" w:rsidRDefault="003A166B" w14:paraId="2F0FAD2F" w14:textId="77777777">
      <w:pPr>
        <w:pStyle w:val="ol-p-l1"/>
        <w:numPr>
          <w:ilvl w:val="0"/>
          <w:numId w:val="33"/>
        </w:numPr>
      </w:pPr>
      <w:r>
        <w:rPr>
          <w:rStyle w:val="ol-text"/>
        </w:rPr>
        <w:t>Ontvangen Loon- en prijsbijstelling 2025 (€ 103,0 miljoen);</w:t>
      </w:r>
    </w:p>
    <w:p w:rsidR="006B6965" w:rsidRDefault="003A166B" w14:paraId="0773A856" w14:textId="77777777">
      <w:pPr>
        <w:pStyle w:val="ol-p-l1"/>
        <w:numPr>
          <w:ilvl w:val="0"/>
          <w:numId w:val="5"/>
        </w:numPr>
      </w:pPr>
      <w:r>
        <w:rPr>
          <w:rStyle w:val="ol-text"/>
        </w:rPr>
        <w:t xml:space="preserve">middelen voor Schoon en </w:t>
      </w:r>
      <w:proofErr w:type="spellStart"/>
      <w:r>
        <w:rPr>
          <w:rStyle w:val="ol-text"/>
        </w:rPr>
        <w:t>Emissieloos</w:t>
      </w:r>
      <w:proofErr w:type="spellEnd"/>
      <w:r>
        <w:rPr>
          <w:rStyle w:val="ol-text"/>
        </w:rPr>
        <w:t xml:space="preserve"> Bouwen (SEB) ten behoeve van laadinfra en batterijsystemen op de bouwplaats (€ 13,6 miljoen);</w:t>
      </w:r>
    </w:p>
    <w:p w:rsidR="006B6965" w:rsidRDefault="003A166B" w14:paraId="7B0DB0EC" w14:textId="77777777">
      <w:pPr>
        <w:pStyle w:val="ol-p-l1"/>
        <w:numPr>
          <w:ilvl w:val="0"/>
          <w:numId w:val="5"/>
        </w:numPr>
      </w:pPr>
      <w:r>
        <w:rPr>
          <w:rStyle w:val="ol-text"/>
        </w:rPr>
        <w:t>middelen voor het Draaiend houden ringen fase 1 (€ 11,7 miljoen)</w:t>
      </w:r>
    </w:p>
    <w:p w:rsidR="006B6965" w:rsidRDefault="003A166B" w14:paraId="57494B17" w14:textId="77777777">
      <w:pPr>
        <w:pStyle w:val="ol-p-l1"/>
        <w:numPr>
          <w:ilvl w:val="0"/>
          <w:numId w:val="5"/>
        </w:numPr>
      </w:pPr>
      <w:r>
        <w:rPr>
          <w:rStyle w:val="ol-text"/>
        </w:rPr>
        <w:t xml:space="preserve">middelen voor verkeersveiligheid N18, voortvloeiend uit het amendement </w:t>
      </w:r>
      <w:proofErr w:type="spellStart"/>
      <w:r>
        <w:rPr>
          <w:rStyle w:val="ol-text"/>
        </w:rPr>
        <w:t>Koerthuis</w:t>
      </w:r>
      <w:proofErr w:type="spellEnd"/>
      <w:r>
        <w:rPr>
          <w:rStyle w:val="ol-text"/>
        </w:rPr>
        <w:t xml:space="preserve"> en van der Graaf (€ 5,8 miljoen)</w:t>
      </w:r>
    </w:p>
    <w:p w:rsidR="006B6965" w:rsidRDefault="003A166B" w14:paraId="31D286DA" w14:textId="77777777">
      <w:pPr>
        <w:pStyle w:val="ol-p-l1"/>
        <w:numPr>
          <w:ilvl w:val="0"/>
          <w:numId w:val="5"/>
        </w:numPr>
      </w:pPr>
      <w:r>
        <w:rPr>
          <w:rStyle w:val="ol-text"/>
        </w:rPr>
        <w:t>het restant betreft verschillende mutaties kleiner dan € 5,0 miljoen (€ 5,7 miljoen).</w:t>
      </w:r>
    </w:p>
    <w:p w:rsidR="006B6965" w:rsidRDefault="006B6965" w14:paraId="748C1655" w14:textId="77777777"/>
    <w:p w:rsidR="006B6965" w:rsidRDefault="003A166B" w14:paraId="3D41C379" w14:textId="77777777">
      <w:pPr>
        <w:pStyle w:val="header-h2"/>
      </w:pPr>
      <w:r>
        <w:t>Saldo Op Ontvangen Bijdragen voor exploitatie en onderhoud</w:t>
      </w:r>
    </w:p>
    <w:p w:rsidR="006B6965" w:rsidRDefault="003A166B" w14:paraId="1EF4D7E5" w14:textId="77777777">
      <w:pPr>
        <w:pStyle w:val="p"/>
      </w:pPr>
      <w:r>
        <w:t>Onder dit saldo vallen de ontvangsten en uitgaven die samenhangen met afspraken over het Basis Kwaliteitsniveau (BKN). De huidige prognose geeft het beeld dat RWS meer opdrachten in de markt kan zetten dan het aan opbrengsten ontvangt. De geraamde afname bedraagt € 267,7 miljoen. Dit is een verdere afname van € 137,9 miljoen ten opzichte van de 1</w:t>
      </w:r>
      <w:r>
        <w:rPr>
          <w:vertAlign w:val="superscript"/>
        </w:rPr>
        <w:t>e</w:t>
      </w:r>
      <w:r>
        <w:t xml:space="preserve"> suppletoire begroting 2025. Bij begroting 2025 was het de verwachting dat het Saldo Op Ontvangen Bijdragen met € 155 miljoen zou toenemen.</w:t>
      </w:r>
    </w:p>
    <w:p w:rsidR="006B6965" w:rsidRDefault="003A166B" w14:paraId="320B24FD" w14:textId="77777777">
      <w:pPr>
        <w:pStyle w:val="header-h1"/>
      </w:pPr>
      <w:r>
        <w:t>Rentebaten</w:t>
      </w:r>
    </w:p>
    <w:p w:rsidR="006B6965" w:rsidRDefault="003A166B" w14:paraId="7096CB9C" w14:textId="77777777">
      <w:pPr>
        <w:pStyle w:val="p"/>
      </w:pPr>
      <w:r>
        <w:t>Voor 2025 zijn de verwachte rentebaten lager dan waarvan bij 1</w:t>
      </w:r>
      <w:r>
        <w:rPr>
          <w:vertAlign w:val="superscript"/>
        </w:rPr>
        <w:t>e</w:t>
      </w:r>
      <w:r>
        <w:t xml:space="preserve"> suppletoire begroting 2025 is uitgegaan (- € 9,8 miljoen). Dit is het gevolg van daling van de rentepercentages in combinatie met een lagere rekening-courant stand bij het ministerie van Financiën.</w:t>
      </w:r>
    </w:p>
    <w:p w:rsidR="006B6965" w:rsidRDefault="003A166B" w14:paraId="640E075F" w14:textId="77777777">
      <w:pPr>
        <w:pStyle w:val="header-h1"/>
      </w:pPr>
      <w:r>
        <w:t>Nieuwe Regeling Agentschappen</w:t>
      </w:r>
    </w:p>
    <w:p w:rsidR="006B6965" w:rsidRDefault="003A166B" w14:paraId="093DB057" w14:textId="77777777">
      <w:pPr>
        <w:pStyle w:val="p"/>
      </w:pPr>
      <w:r>
        <w:t>Per 1 januari 2025 is de nieuwe Regeling Agentschappen ingegaan. In 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w:t>
      </w:r>
    </w:p>
    <w:p w:rsidR="006B6965" w:rsidRDefault="003A166B" w14:paraId="1EA2B181" w14:textId="77777777">
      <w:pPr>
        <w:pStyle w:val="p"/>
      </w:pPr>
      <w:r>
        <w:t xml:space="preserve">De bekostiging van RWS vindt plaats door middel van input-bekostiging. Dit houdt in dat er afspraken zijn gemaakt tussen de eindverantwoordelijke binnen een agentschap, de continuïteitsverantwoordelijke en tenminste één beleidsverantwoordelijke over een bijdrage voor de ingezette middelen of arbeidskrachten. Hierbij bestaat een relatie tussen de bekostiging en de ingezette middelen, in plaats van de uiteindelijke realisatie van de diensten of producten. Deze bekostigingsvorm is dus gebaseerd op het leveren </w:t>
      </w:r>
      <w:r>
        <w:t>van een inspanning.</w:t>
      </w:r>
    </w:p>
    <w:tbl>
      <w:tblPr>
        <w:tblW w:w="9694" w:type="dxa"/>
        <w:tblInd w:w="-3317" w:type="dxa"/>
        <w:tblCellMar>
          <w:left w:w="10" w:type="dxa"/>
          <w:right w:w="10" w:type="dxa"/>
        </w:tblCellMar>
        <w:tblLook w:val="04A0" w:firstRow="1" w:lastRow="0" w:firstColumn="1" w:lastColumn="0" w:noHBand="0" w:noVBand="1"/>
      </w:tblPr>
      <w:tblGrid>
        <w:gridCol w:w="5914"/>
        <w:gridCol w:w="1260"/>
        <w:gridCol w:w="1260"/>
        <w:gridCol w:w="1260"/>
      </w:tblGrid>
      <w:tr w:rsidR="006B6965" w14:paraId="733C5AE9" w14:textId="77777777">
        <w:tblPrEx>
          <w:tblCellMar>
            <w:top w:w="0" w:type="dxa"/>
            <w:bottom w:w="0" w:type="dxa"/>
          </w:tblCellMar>
        </w:tblPrEx>
        <w:trPr>
          <w:tblHeader/>
        </w:trPr>
        <w:tc>
          <w:tcPr>
            <w:tcW w:w="9179" w:type="dxa"/>
            <w:gridSpan w:val="4"/>
            <w:tcMar>
              <w:top w:w="22" w:type="dxa"/>
              <w:left w:w="113" w:type="dxa"/>
              <w:bottom w:w="22" w:type="dxa"/>
            </w:tcMar>
          </w:tcPr>
          <w:p w:rsidR="006B6965" w:rsidRDefault="003A166B" w14:paraId="628068AB" w14:textId="77777777">
            <w:pPr>
              <w:pStyle w:val="kio2-table-title"/>
            </w:pPr>
            <w:r>
              <w:lastRenderedPageBreak/>
              <w:t>Tabel 24 Nieuwe categorieën van baten (bedragen x € 1.000)</w:t>
            </w:r>
          </w:p>
        </w:tc>
      </w:tr>
      <w:tr w:rsidR="006B6965" w14:paraId="36616FB0" w14:textId="77777777">
        <w:tblPrEx>
          <w:tblCellMar>
            <w:top w:w="0" w:type="dxa"/>
            <w:bottom w:w="0" w:type="dxa"/>
          </w:tblCellMar>
        </w:tblPrEx>
        <w:trPr>
          <w:tblHeader/>
        </w:trPr>
        <w:tc>
          <w:tcPr>
            <w:tcW w:w="5600" w:type="dxa"/>
            <w:tcBorders>
              <w:top w:val="single" w:color="000000" w:sz="2" w:space="0"/>
              <w:bottom w:val="single" w:color="009EE0" w:sz="2" w:space="0"/>
            </w:tcBorders>
            <w:tcMar>
              <w:top w:w="28" w:type="dxa"/>
              <w:bottom w:w="28" w:type="dxa"/>
              <w:right w:w="28" w:type="dxa"/>
            </w:tcMar>
          </w:tcPr>
          <w:p w:rsidR="006B6965" w:rsidRDefault="003A166B" w14:paraId="6D7880F9" w14:textId="77777777">
            <w:pPr>
              <w:pStyle w:val="p-table"/>
              <w:rPr>
                <w:color w:val="000000"/>
                <w:sz w:val="17"/>
              </w:rPr>
            </w:pPr>
            <w:r>
              <w:rPr>
                <w:color w:val="000000"/>
                <w:sz w:val="17"/>
              </w:rPr>
              <w:t>Omschrijving</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42F8B2B0" w14:textId="77777777">
            <w:pPr>
              <w:pStyle w:val="p-table"/>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59EBE8DF" w14:textId="77777777">
            <w:pPr>
              <w:pStyle w:val="p-table"/>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4A51922C" w14:textId="77777777">
            <w:pPr>
              <w:pStyle w:val="p-table"/>
              <w:rPr>
                <w:color w:val="000000"/>
                <w:sz w:val="17"/>
              </w:rPr>
            </w:pPr>
            <w:r>
              <w:rPr>
                <w:color w:val="000000"/>
                <w:sz w:val="17"/>
              </w:rPr>
              <w:t>Stand suppletoire begroting september (3) = (1) + (2)</w:t>
            </w:r>
          </w:p>
        </w:tc>
      </w:tr>
      <w:tr w:rsidR="006B6965" w14:paraId="383E3494"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6B6965" w14:paraId="5306744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B6965" w:rsidRDefault="006B6965" w14:paraId="39A78A4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B6965" w:rsidRDefault="006B6965" w14:paraId="6B6FBDD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B6965" w:rsidRDefault="006B6965" w14:paraId="38D4012F" w14:textId="77777777">
            <w:pPr>
              <w:pStyle w:val="p-table"/>
              <w:rPr>
                <w:sz w:val="17"/>
              </w:rPr>
            </w:pPr>
          </w:p>
        </w:tc>
      </w:tr>
      <w:tr w:rsidR="006B6965" w14:paraId="07584D4B"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4573D6B3" w14:textId="77777777">
            <w:pPr>
              <w:pStyle w:val="p-table"/>
              <w:rPr>
                <w:sz w:val="17"/>
              </w:rPr>
            </w:pPr>
            <w:r>
              <w:rPr>
                <w:sz w:val="17"/>
              </w:rPr>
              <w:t>Baten als tegenprestatie voor levering van input</w:t>
            </w:r>
          </w:p>
        </w:tc>
        <w:tc>
          <w:tcPr>
            <w:tcW w:w="1193" w:type="dxa"/>
            <w:tcBorders>
              <w:bottom w:val="single" w:color="009EE0" w:sz="2" w:space="0"/>
            </w:tcBorders>
            <w:tcMar>
              <w:top w:w="22" w:type="dxa"/>
              <w:left w:w="28" w:type="dxa"/>
              <w:bottom w:w="22" w:type="dxa"/>
              <w:right w:w="28" w:type="dxa"/>
            </w:tcMar>
          </w:tcPr>
          <w:p w:rsidR="006B6965" w:rsidRDefault="003A166B" w14:paraId="08006F11" w14:textId="77777777">
            <w:pPr>
              <w:pStyle w:val="p-table"/>
              <w:jc w:val="right"/>
              <w:rPr>
                <w:sz w:val="17"/>
              </w:rPr>
            </w:pPr>
            <w:r>
              <w:rPr>
                <w:sz w:val="17"/>
              </w:rPr>
              <w:t>4.120.696</w:t>
            </w:r>
          </w:p>
        </w:tc>
        <w:tc>
          <w:tcPr>
            <w:tcW w:w="1193" w:type="dxa"/>
            <w:tcBorders>
              <w:bottom w:val="single" w:color="009EE0" w:sz="2" w:space="0"/>
            </w:tcBorders>
            <w:tcMar>
              <w:top w:w="22" w:type="dxa"/>
              <w:left w:w="28" w:type="dxa"/>
              <w:bottom w:w="22" w:type="dxa"/>
              <w:right w:w="28" w:type="dxa"/>
            </w:tcMar>
          </w:tcPr>
          <w:p w:rsidR="006B6965" w:rsidRDefault="003A166B" w14:paraId="13B19115" w14:textId="77777777">
            <w:pPr>
              <w:pStyle w:val="p-table"/>
              <w:jc w:val="right"/>
              <w:rPr>
                <w:sz w:val="17"/>
              </w:rPr>
            </w:pPr>
            <w:r>
              <w:rPr>
                <w:sz w:val="17"/>
              </w:rPr>
              <w:t>138.016</w:t>
            </w:r>
          </w:p>
        </w:tc>
        <w:tc>
          <w:tcPr>
            <w:tcW w:w="1193" w:type="dxa"/>
            <w:tcBorders>
              <w:bottom w:val="single" w:color="009EE0" w:sz="2" w:space="0"/>
            </w:tcBorders>
            <w:tcMar>
              <w:top w:w="22" w:type="dxa"/>
              <w:left w:w="28" w:type="dxa"/>
              <w:bottom w:w="22" w:type="dxa"/>
              <w:right w:w="28" w:type="dxa"/>
            </w:tcMar>
          </w:tcPr>
          <w:p w:rsidR="006B6965" w:rsidRDefault="003A166B" w14:paraId="1E17850F" w14:textId="77777777">
            <w:pPr>
              <w:pStyle w:val="p-table"/>
              <w:jc w:val="right"/>
              <w:rPr>
                <w:sz w:val="17"/>
              </w:rPr>
            </w:pPr>
            <w:r>
              <w:rPr>
                <w:sz w:val="17"/>
              </w:rPr>
              <w:t>4.258.712</w:t>
            </w:r>
          </w:p>
        </w:tc>
      </w:tr>
      <w:tr w:rsidR="006B6965" w14:paraId="2DFC6E98"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6199FC9A" w14:textId="77777777">
            <w:pPr>
              <w:pStyle w:val="p-table"/>
              <w:rPr>
                <w:sz w:val="17"/>
              </w:rPr>
            </w:pPr>
            <w:r>
              <w:rPr>
                <w:i/>
                <w:sz w:val="17"/>
              </w:rPr>
              <w:t>waarvan bijdrage aan apparaat (interne kosten)</w:t>
            </w:r>
          </w:p>
        </w:tc>
        <w:tc>
          <w:tcPr>
            <w:tcW w:w="1193" w:type="dxa"/>
            <w:tcBorders>
              <w:bottom w:val="single" w:color="009EE0" w:sz="2" w:space="0"/>
            </w:tcBorders>
            <w:tcMar>
              <w:top w:w="22" w:type="dxa"/>
              <w:left w:w="28" w:type="dxa"/>
              <w:bottom w:w="22" w:type="dxa"/>
              <w:right w:w="28" w:type="dxa"/>
            </w:tcMar>
          </w:tcPr>
          <w:p w:rsidR="006B6965" w:rsidRDefault="003A166B" w14:paraId="6B7C8F49" w14:textId="77777777">
            <w:pPr>
              <w:pStyle w:val="p-table"/>
              <w:jc w:val="right"/>
              <w:rPr>
                <w:sz w:val="17"/>
              </w:rPr>
            </w:pPr>
            <w:r>
              <w:rPr>
                <w:i/>
                <w:sz w:val="17"/>
              </w:rPr>
              <w:t>1.616.693</w:t>
            </w:r>
          </w:p>
        </w:tc>
        <w:tc>
          <w:tcPr>
            <w:tcW w:w="1193" w:type="dxa"/>
            <w:tcBorders>
              <w:bottom w:val="single" w:color="009EE0" w:sz="2" w:space="0"/>
            </w:tcBorders>
            <w:tcMar>
              <w:top w:w="22" w:type="dxa"/>
              <w:left w:w="28" w:type="dxa"/>
              <w:bottom w:w="22" w:type="dxa"/>
              <w:right w:w="28" w:type="dxa"/>
            </w:tcMar>
          </w:tcPr>
          <w:p w:rsidR="006B6965" w:rsidRDefault="003A166B" w14:paraId="2491E094" w14:textId="77777777">
            <w:pPr>
              <w:pStyle w:val="p-table"/>
              <w:jc w:val="right"/>
              <w:rPr>
                <w:sz w:val="17"/>
              </w:rPr>
            </w:pPr>
            <w:r>
              <w:rPr>
                <w:i/>
                <w:sz w:val="17"/>
              </w:rPr>
              <w:t>62.525</w:t>
            </w:r>
          </w:p>
        </w:tc>
        <w:tc>
          <w:tcPr>
            <w:tcW w:w="1193" w:type="dxa"/>
            <w:tcBorders>
              <w:bottom w:val="single" w:color="009EE0" w:sz="2" w:space="0"/>
            </w:tcBorders>
            <w:tcMar>
              <w:top w:w="22" w:type="dxa"/>
              <w:left w:w="28" w:type="dxa"/>
              <w:bottom w:w="22" w:type="dxa"/>
              <w:right w:w="28" w:type="dxa"/>
            </w:tcMar>
          </w:tcPr>
          <w:p w:rsidR="006B6965" w:rsidRDefault="003A166B" w14:paraId="0B614764" w14:textId="77777777">
            <w:pPr>
              <w:pStyle w:val="p-table"/>
              <w:jc w:val="right"/>
              <w:rPr>
                <w:sz w:val="17"/>
              </w:rPr>
            </w:pPr>
            <w:r>
              <w:rPr>
                <w:sz w:val="17"/>
              </w:rPr>
              <w:t>1.679.218</w:t>
            </w:r>
          </w:p>
        </w:tc>
      </w:tr>
      <w:tr w:rsidR="006B6965" w14:paraId="073053F8"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482B7796" w14:textId="77777777">
            <w:pPr>
              <w:pStyle w:val="p-table"/>
              <w:rPr>
                <w:sz w:val="17"/>
              </w:rPr>
            </w:pPr>
            <w:r>
              <w:rPr>
                <w:i/>
                <w:sz w:val="17"/>
              </w:rPr>
              <w:t>waarvan bijdrage aan exploitatie en onderhoud</w:t>
            </w:r>
          </w:p>
        </w:tc>
        <w:tc>
          <w:tcPr>
            <w:tcW w:w="1193" w:type="dxa"/>
            <w:tcBorders>
              <w:bottom w:val="single" w:color="009EE0" w:sz="2" w:space="0"/>
            </w:tcBorders>
            <w:tcMar>
              <w:top w:w="22" w:type="dxa"/>
              <w:left w:w="28" w:type="dxa"/>
              <w:bottom w:w="22" w:type="dxa"/>
              <w:right w:w="28" w:type="dxa"/>
            </w:tcMar>
          </w:tcPr>
          <w:p w:rsidR="006B6965" w:rsidRDefault="003A166B" w14:paraId="4697A270" w14:textId="77777777">
            <w:pPr>
              <w:pStyle w:val="p-table"/>
              <w:jc w:val="right"/>
              <w:rPr>
                <w:sz w:val="17"/>
              </w:rPr>
            </w:pPr>
            <w:r>
              <w:rPr>
                <w:i/>
                <w:sz w:val="17"/>
              </w:rPr>
              <w:t>2.396.691</w:t>
            </w:r>
          </w:p>
        </w:tc>
        <w:tc>
          <w:tcPr>
            <w:tcW w:w="1193" w:type="dxa"/>
            <w:tcBorders>
              <w:bottom w:val="single" w:color="009EE0" w:sz="2" w:space="0"/>
            </w:tcBorders>
            <w:tcMar>
              <w:top w:w="22" w:type="dxa"/>
              <w:left w:w="28" w:type="dxa"/>
              <w:bottom w:w="22" w:type="dxa"/>
              <w:right w:w="28" w:type="dxa"/>
            </w:tcMar>
          </w:tcPr>
          <w:p w:rsidR="006B6965" w:rsidRDefault="003A166B" w14:paraId="423F8093" w14:textId="77777777">
            <w:pPr>
              <w:pStyle w:val="p-table"/>
              <w:jc w:val="right"/>
              <w:rPr>
                <w:sz w:val="17"/>
              </w:rPr>
            </w:pPr>
            <w:r>
              <w:rPr>
                <w:i/>
                <w:sz w:val="17"/>
              </w:rPr>
              <w:t>66.185</w:t>
            </w:r>
          </w:p>
        </w:tc>
        <w:tc>
          <w:tcPr>
            <w:tcW w:w="1193" w:type="dxa"/>
            <w:tcBorders>
              <w:bottom w:val="single" w:color="009EE0" w:sz="2" w:space="0"/>
            </w:tcBorders>
            <w:tcMar>
              <w:top w:w="22" w:type="dxa"/>
              <w:left w:w="28" w:type="dxa"/>
              <w:bottom w:w="22" w:type="dxa"/>
              <w:right w:w="28" w:type="dxa"/>
            </w:tcMar>
          </w:tcPr>
          <w:p w:rsidR="006B6965" w:rsidRDefault="003A166B" w14:paraId="193451BC" w14:textId="77777777">
            <w:pPr>
              <w:pStyle w:val="p-table"/>
              <w:jc w:val="right"/>
              <w:rPr>
                <w:sz w:val="17"/>
              </w:rPr>
            </w:pPr>
            <w:r>
              <w:rPr>
                <w:sz w:val="17"/>
              </w:rPr>
              <w:t>2.462.876</w:t>
            </w:r>
          </w:p>
        </w:tc>
      </w:tr>
      <w:tr w:rsidR="006B6965" w14:paraId="18618755"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64120D2F" w14:textId="77777777">
            <w:pPr>
              <w:pStyle w:val="p-table"/>
              <w:rPr>
                <w:sz w:val="17"/>
              </w:rPr>
            </w:pPr>
            <w:r>
              <w:rPr>
                <w:i/>
                <w:sz w:val="17"/>
              </w:rPr>
              <w:t>waarvan bijdrage aan te verlenen diensten</w:t>
            </w:r>
          </w:p>
        </w:tc>
        <w:tc>
          <w:tcPr>
            <w:tcW w:w="1193" w:type="dxa"/>
            <w:tcBorders>
              <w:bottom w:val="single" w:color="009EE0" w:sz="2" w:space="0"/>
            </w:tcBorders>
            <w:tcMar>
              <w:top w:w="22" w:type="dxa"/>
              <w:left w:w="28" w:type="dxa"/>
              <w:bottom w:w="22" w:type="dxa"/>
              <w:right w:w="28" w:type="dxa"/>
            </w:tcMar>
          </w:tcPr>
          <w:p w:rsidR="006B6965" w:rsidRDefault="003A166B" w14:paraId="2390B7D7" w14:textId="77777777">
            <w:pPr>
              <w:pStyle w:val="p-table"/>
              <w:jc w:val="right"/>
              <w:rPr>
                <w:sz w:val="17"/>
              </w:rPr>
            </w:pPr>
            <w:r>
              <w:rPr>
                <w:i/>
                <w:sz w:val="17"/>
              </w:rPr>
              <w:t>107.312</w:t>
            </w:r>
          </w:p>
        </w:tc>
        <w:tc>
          <w:tcPr>
            <w:tcW w:w="1193" w:type="dxa"/>
            <w:tcBorders>
              <w:bottom w:val="single" w:color="009EE0" w:sz="2" w:space="0"/>
            </w:tcBorders>
            <w:tcMar>
              <w:top w:w="22" w:type="dxa"/>
              <w:left w:w="28" w:type="dxa"/>
              <w:bottom w:w="22" w:type="dxa"/>
              <w:right w:w="28" w:type="dxa"/>
            </w:tcMar>
          </w:tcPr>
          <w:p w:rsidR="006B6965" w:rsidRDefault="003A166B" w14:paraId="01E97EF0" w14:textId="77777777">
            <w:pPr>
              <w:pStyle w:val="p-table"/>
              <w:jc w:val="right"/>
              <w:rPr>
                <w:sz w:val="17"/>
              </w:rPr>
            </w:pPr>
            <w:r>
              <w:rPr>
                <w:i/>
                <w:sz w:val="17"/>
              </w:rPr>
              <w:t>9.306</w:t>
            </w:r>
          </w:p>
        </w:tc>
        <w:tc>
          <w:tcPr>
            <w:tcW w:w="1193" w:type="dxa"/>
            <w:tcBorders>
              <w:bottom w:val="single" w:color="009EE0" w:sz="2" w:space="0"/>
            </w:tcBorders>
            <w:tcMar>
              <w:top w:w="22" w:type="dxa"/>
              <w:left w:w="28" w:type="dxa"/>
              <w:bottom w:w="22" w:type="dxa"/>
              <w:right w:w="28" w:type="dxa"/>
            </w:tcMar>
          </w:tcPr>
          <w:p w:rsidR="006B6965" w:rsidRDefault="003A166B" w14:paraId="75B769C4" w14:textId="77777777">
            <w:pPr>
              <w:pStyle w:val="p-table"/>
              <w:jc w:val="right"/>
              <w:rPr>
                <w:sz w:val="17"/>
              </w:rPr>
            </w:pPr>
            <w:r>
              <w:rPr>
                <w:sz w:val="17"/>
              </w:rPr>
              <w:t>116.618</w:t>
            </w:r>
          </w:p>
        </w:tc>
      </w:tr>
      <w:tr w:rsidR="006B6965" w14:paraId="74A73849"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70918D7C" w14:textId="77777777">
            <w:pPr>
              <w:pStyle w:val="p-table"/>
              <w:rPr>
                <w:sz w:val="17"/>
              </w:rPr>
            </w:pPr>
            <w:r>
              <w:rPr>
                <w:sz w:val="17"/>
              </w:rPr>
              <w:t xml:space="preserve">Baten uit reeds ontvangen </w:t>
            </w:r>
            <w:r>
              <w:rPr>
                <w:sz w:val="17"/>
              </w:rPr>
              <w:t>bijdragen voor levering van input</w:t>
            </w:r>
          </w:p>
        </w:tc>
        <w:tc>
          <w:tcPr>
            <w:tcW w:w="1193" w:type="dxa"/>
            <w:tcBorders>
              <w:bottom w:val="single" w:color="009EE0" w:sz="2" w:space="0"/>
            </w:tcBorders>
            <w:tcMar>
              <w:top w:w="22" w:type="dxa"/>
              <w:left w:w="28" w:type="dxa"/>
              <w:bottom w:w="22" w:type="dxa"/>
              <w:right w:w="28" w:type="dxa"/>
            </w:tcMar>
          </w:tcPr>
          <w:p w:rsidR="006B6965" w:rsidRDefault="003A166B" w14:paraId="1AEDC470" w14:textId="77777777">
            <w:pPr>
              <w:pStyle w:val="p-table"/>
              <w:jc w:val="right"/>
              <w:rPr>
                <w:sz w:val="17"/>
              </w:rPr>
            </w:pPr>
            <w:r>
              <w:rPr>
                <w:sz w:val="17"/>
              </w:rPr>
              <w:t>255.217</w:t>
            </w:r>
          </w:p>
        </w:tc>
        <w:tc>
          <w:tcPr>
            <w:tcW w:w="1193" w:type="dxa"/>
            <w:tcBorders>
              <w:bottom w:val="single" w:color="009EE0" w:sz="2" w:space="0"/>
            </w:tcBorders>
            <w:tcMar>
              <w:top w:w="22" w:type="dxa"/>
              <w:left w:w="28" w:type="dxa"/>
              <w:bottom w:w="22" w:type="dxa"/>
              <w:right w:w="28" w:type="dxa"/>
            </w:tcMar>
          </w:tcPr>
          <w:p w:rsidR="006B6965" w:rsidRDefault="003A166B" w14:paraId="2E95AFDD" w14:textId="77777777">
            <w:pPr>
              <w:pStyle w:val="p-table"/>
              <w:jc w:val="right"/>
              <w:rPr>
                <w:sz w:val="17"/>
              </w:rPr>
            </w:pPr>
            <w:r>
              <w:rPr>
                <w:sz w:val="17"/>
              </w:rPr>
              <w:t>127.542</w:t>
            </w:r>
          </w:p>
        </w:tc>
        <w:tc>
          <w:tcPr>
            <w:tcW w:w="1193" w:type="dxa"/>
            <w:tcBorders>
              <w:bottom w:val="single" w:color="009EE0" w:sz="2" w:space="0"/>
            </w:tcBorders>
            <w:tcMar>
              <w:top w:w="22" w:type="dxa"/>
              <w:left w:w="28" w:type="dxa"/>
              <w:bottom w:w="22" w:type="dxa"/>
              <w:right w:w="28" w:type="dxa"/>
            </w:tcMar>
          </w:tcPr>
          <w:p w:rsidR="006B6965" w:rsidRDefault="003A166B" w14:paraId="3F888D73" w14:textId="77777777">
            <w:pPr>
              <w:pStyle w:val="p-table"/>
              <w:jc w:val="right"/>
              <w:rPr>
                <w:sz w:val="17"/>
              </w:rPr>
            </w:pPr>
            <w:r>
              <w:rPr>
                <w:sz w:val="17"/>
              </w:rPr>
              <w:t>382.759</w:t>
            </w:r>
          </w:p>
        </w:tc>
      </w:tr>
      <w:tr w:rsidR="006B6965" w14:paraId="0055E32A"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4E273B9C" w14:textId="77777777">
            <w:pPr>
              <w:pStyle w:val="p-table"/>
              <w:rPr>
                <w:sz w:val="17"/>
              </w:rPr>
            </w:pPr>
            <w:r>
              <w:rPr>
                <w:i/>
                <w:sz w:val="17"/>
              </w:rPr>
              <w:t>waarvan Saldo Op Ontvangen Bijdragen voor exploitatie en onderhoud</w:t>
            </w:r>
          </w:p>
        </w:tc>
        <w:tc>
          <w:tcPr>
            <w:tcW w:w="1193" w:type="dxa"/>
            <w:tcBorders>
              <w:bottom w:val="single" w:color="009EE0" w:sz="2" w:space="0"/>
            </w:tcBorders>
            <w:tcMar>
              <w:top w:w="22" w:type="dxa"/>
              <w:left w:w="28" w:type="dxa"/>
              <w:bottom w:w="22" w:type="dxa"/>
              <w:right w:w="28" w:type="dxa"/>
            </w:tcMar>
          </w:tcPr>
          <w:p w:rsidR="006B6965" w:rsidRDefault="003A166B" w14:paraId="5226A983" w14:textId="77777777">
            <w:pPr>
              <w:pStyle w:val="p-table"/>
              <w:jc w:val="right"/>
              <w:rPr>
                <w:sz w:val="17"/>
              </w:rPr>
            </w:pPr>
            <w:r>
              <w:rPr>
                <w:i/>
                <w:sz w:val="17"/>
              </w:rPr>
              <w:t>129.824</w:t>
            </w:r>
          </w:p>
        </w:tc>
        <w:tc>
          <w:tcPr>
            <w:tcW w:w="1193" w:type="dxa"/>
            <w:tcBorders>
              <w:bottom w:val="single" w:color="009EE0" w:sz="2" w:space="0"/>
            </w:tcBorders>
            <w:tcMar>
              <w:top w:w="22" w:type="dxa"/>
              <w:left w:w="28" w:type="dxa"/>
              <w:bottom w:w="22" w:type="dxa"/>
              <w:right w:w="28" w:type="dxa"/>
            </w:tcMar>
          </w:tcPr>
          <w:p w:rsidR="006B6965" w:rsidRDefault="003A166B" w14:paraId="3041D843" w14:textId="77777777">
            <w:pPr>
              <w:pStyle w:val="p-table"/>
              <w:jc w:val="right"/>
              <w:rPr>
                <w:sz w:val="17"/>
              </w:rPr>
            </w:pPr>
            <w:r>
              <w:rPr>
                <w:i/>
                <w:sz w:val="17"/>
              </w:rPr>
              <w:t>137.852</w:t>
            </w:r>
          </w:p>
        </w:tc>
        <w:tc>
          <w:tcPr>
            <w:tcW w:w="1193" w:type="dxa"/>
            <w:tcBorders>
              <w:bottom w:val="single" w:color="009EE0" w:sz="2" w:space="0"/>
            </w:tcBorders>
            <w:tcMar>
              <w:top w:w="22" w:type="dxa"/>
              <w:left w:w="28" w:type="dxa"/>
              <w:bottom w:w="22" w:type="dxa"/>
              <w:right w:w="28" w:type="dxa"/>
            </w:tcMar>
          </w:tcPr>
          <w:p w:rsidR="006B6965" w:rsidRDefault="003A166B" w14:paraId="69125BBA" w14:textId="77777777">
            <w:pPr>
              <w:pStyle w:val="p-table"/>
              <w:jc w:val="right"/>
              <w:rPr>
                <w:sz w:val="17"/>
              </w:rPr>
            </w:pPr>
            <w:r>
              <w:rPr>
                <w:sz w:val="17"/>
              </w:rPr>
              <w:t>267.676</w:t>
            </w:r>
          </w:p>
        </w:tc>
      </w:tr>
      <w:tr w:rsidR="006B6965" w14:paraId="37BC52D2"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79F867A5" w14:textId="77777777">
            <w:pPr>
              <w:pStyle w:val="p-table"/>
              <w:rPr>
                <w:sz w:val="17"/>
              </w:rPr>
            </w:pPr>
            <w:r>
              <w:rPr>
                <w:i/>
                <w:sz w:val="17"/>
              </w:rPr>
              <w:t>waarvan Saldo Op Ontvangen Bijdragen voor te verlenen diensten</w:t>
            </w:r>
          </w:p>
        </w:tc>
        <w:tc>
          <w:tcPr>
            <w:tcW w:w="1193" w:type="dxa"/>
            <w:tcBorders>
              <w:bottom w:val="single" w:color="009EE0" w:sz="2" w:space="0"/>
            </w:tcBorders>
            <w:tcMar>
              <w:top w:w="22" w:type="dxa"/>
              <w:left w:w="28" w:type="dxa"/>
              <w:bottom w:w="22" w:type="dxa"/>
              <w:right w:w="28" w:type="dxa"/>
            </w:tcMar>
          </w:tcPr>
          <w:p w:rsidR="006B6965" w:rsidRDefault="003A166B" w14:paraId="49AD1748" w14:textId="77777777">
            <w:pPr>
              <w:pStyle w:val="p-table"/>
              <w:jc w:val="right"/>
              <w:rPr>
                <w:sz w:val="17"/>
              </w:rPr>
            </w:pPr>
            <w:r>
              <w:rPr>
                <w:i/>
                <w:sz w:val="17"/>
              </w:rPr>
              <w:t>125.393</w:t>
            </w:r>
          </w:p>
        </w:tc>
        <w:tc>
          <w:tcPr>
            <w:tcW w:w="1193" w:type="dxa"/>
            <w:tcBorders>
              <w:bottom w:val="single" w:color="009EE0" w:sz="2" w:space="0"/>
            </w:tcBorders>
            <w:tcMar>
              <w:top w:w="22" w:type="dxa"/>
              <w:left w:w="28" w:type="dxa"/>
              <w:bottom w:w="22" w:type="dxa"/>
              <w:right w:w="28" w:type="dxa"/>
            </w:tcMar>
          </w:tcPr>
          <w:p w:rsidR="006B6965" w:rsidRDefault="003A166B" w14:paraId="1063146E" w14:textId="77777777">
            <w:pPr>
              <w:pStyle w:val="p-table"/>
              <w:jc w:val="right"/>
              <w:rPr>
                <w:sz w:val="17"/>
              </w:rPr>
            </w:pPr>
            <w:r>
              <w:rPr>
                <w:i/>
                <w:sz w:val="17"/>
              </w:rPr>
              <w:t>‒</w:t>
            </w:r>
            <w:r>
              <w:rPr>
                <w:i/>
                <w:sz w:val="17"/>
              </w:rPr>
              <w:t xml:space="preserve"> 10.310</w:t>
            </w:r>
          </w:p>
        </w:tc>
        <w:tc>
          <w:tcPr>
            <w:tcW w:w="1193" w:type="dxa"/>
            <w:tcBorders>
              <w:bottom w:val="single" w:color="009EE0" w:sz="2" w:space="0"/>
            </w:tcBorders>
            <w:tcMar>
              <w:top w:w="22" w:type="dxa"/>
              <w:left w:w="28" w:type="dxa"/>
              <w:bottom w:w="22" w:type="dxa"/>
              <w:right w:w="28" w:type="dxa"/>
            </w:tcMar>
          </w:tcPr>
          <w:p w:rsidR="006B6965" w:rsidRDefault="003A166B" w14:paraId="44136952" w14:textId="77777777">
            <w:pPr>
              <w:pStyle w:val="p-table"/>
              <w:jc w:val="right"/>
              <w:rPr>
                <w:sz w:val="17"/>
              </w:rPr>
            </w:pPr>
            <w:r>
              <w:rPr>
                <w:sz w:val="17"/>
              </w:rPr>
              <w:t>115.083</w:t>
            </w:r>
          </w:p>
        </w:tc>
      </w:tr>
      <w:tr w:rsidR="006B6965" w14:paraId="70C2F954"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4EC20892" w14:textId="77777777">
            <w:pPr>
              <w:pStyle w:val="p-table"/>
              <w:rPr>
                <w:sz w:val="17"/>
              </w:rPr>
            </w:pPr>
            <w:r>
              <w:rPr>
                <w:sz w:val="17"/>
              </w:rPr>
              <w:t>Rentebaten</w:t>
            </w:r>
          </w:p>
        </w:tc>
        <w:tc>
          <w:tcPr>
            <w:tcW w:w="1193" w:type="dxa"/>
            <w:tcBorders>
              <w:bottom w:val="single" w:color="009EE0" w:sz="2" w:space="0"/>
            </w:tcBorders>
            <w:tcMar>
              <w:top w:w="22" w:type="dxa"/>
              <w:left w:w="28" w:type="dxa"/>
              <w:bottom w:w="22" w:type="dxa"/>
              <w:right w:w="28" w:type="dxa"/>
            </w:tcMar>
          </w:tcPr>
          <w:p w:rsidR="006B6965" w:rsidRDefault="003A166B" w14:paraId="04CFB16B" w14:textId="77777777">
            <w:pPr>
              <w:pStyle w:val="p-table"/>
              <w:jc w:val="right"/>
              <w:rPr>
                <w:sz w:val="17"/>
              </w:rPr>
            </w:pPr>
            <w:r>
              <w:rPr>
                <w:sz w:val="17"/>
              </w:rPr>
              <w:t>42.658</w:t>
            </w:r>
          </w:p>
        </w:tc>
        <w:tc>
          <w:tcPr>
            <w:tcW w:w="1193" w:type="dxa"/>
            <w:tcBorders>
              <w:bottom w:val="single" w:color="009EE0" w:sz="2" w:space="0"/>
            </w:tcBorders>
            <w:tcMar>
              <w:top w:w="22" w:type="dxa"/>
              <w:left w:w="28" w:type="dxa"/>
              <w:bottom w:w="22" w:type="dxa"/>
              <w:right w:w="28" w:type="dxa"/>
            </w:tcMar>
          </w:tcPr>
          <w:p w:rsidR="006B6965" w:rsidRDefault="003A166B" w14:paraId="2ED60A53" w14:textId="77777777">
            <w:pPr>
              <w:pStyle w:val="p-table"/>
              <w:jc w:val="right"/>
              <w:rPr>
                <w:sz w:val="17"/>
              </w:rPr>
            </w:pPr>
            <w:r>
              <w:rPr>
                <w:sz w:val="17"/>
              </w:rPr>
              <w:t>‒</w:t>
            </w:r>
            <w:r>
              <w:rPr>
                <w:sz w:val="17"/>
              </w:rPr>
              <w:t xml:space="preserve"> 9.791</w:t>
            </w:r>
          </w:p>
        </w:tc>
        <w:tc>
          <w:tcPr>
            <w:tcW w:w="1193" w:type="dxa"/>
            <w:tcBorders>
              <w:bottom w:val="single" w:color="009EE0" w:sz="2" w:space="0"/>
            </w:tcBorders>
            <w:tcMar>
              <w:top w:w="22" w:type="dxa"/>
              <w:left w:w="28" w:type="dxa"/>
              <w:bottom w:w="22" w:type="dxa"/>
              <w:right w:w="28" w:type="dxa"/>
            </w:tcMar>
          </w:tcPr>
          <w:p w:rsidR="006B6965" w:rsidRDefault="003A166B" w14:paraId="6456CB52" w14:textId="77777777">
            <w:pPr>
              <w:pStyle w:val="p-table"/>
              <w:jc w:val="right"/>
              <w:rPr>
                <w:sz w:val="17"/>
              </w:rPr>
            </w:pPr>
            <w:r>
              <w:rPr>
                <w:sz w:val="17"/>
              </w:rPr>
              <w:t>32.867</w:t>
            </w:r>
          </w:p>
        </w:tc>
      </w:tr>
      <w:tr w:rsidR="006B6965" w14:paraId="026BBFB9"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02E404FA" w14:textId="77777777">
            <w:pPr>
              <w:pStyle w:val="p-table"/>
              <w:rPr>
                <w:sz w:val="17"/>
              </w:rPr>
            </w:pPr>
            <w:r>
              <w:rPr>
                <w:sz w:val="17"/>
              </w:rPr>
              <w:t>Vrijval voorzieningen</w:t>
            </w:r>
          </w:p>
        </w:tc>
        <w:tc>
          <w:tcPr>
            <w:tcW w:w="1193" w:type="dxa"/>
            <w:tcBorders>
              <w:bottom w:val="single" w:color="009EE0" w:sz="2" w:space="0"/>
            </w:tcBorders>
            <w:tcMar>
              <w:top w:w="22" w:type="dxa"/>
              <w:left w:w="28" w:type="dxa"/>
              <w:bottom w:w="22" w:type="dxa"/>
              <w:right w:w="28" w:type="dxa"/>
            </w:tcMar>
          </w:tcPr>
          <w:p w:rsidR="006B6965" w:rsidRDefault="003A166B" w14:paraId="009FAF3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6B6965" w:rsidRDefault="003A166B" w14:paraId="09123E0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6B6965" w:rsidRDefault="003A166B" w14:paraId="1BE384D6" w14:textId="77777777">
            <w:pPr>
              <w:pStyle w:val="p-table"/>
              <w:jc w:val="right"/>
              <w:rPr>
                <w:sz w:val="17"/>
              </w:rPr>
            </w:pPr>
            <w:r>
              <w:rPr>
                <w:sz w:val="17"/>
              </w:rPr>
              <w:t>0</w:t>
            </w:r>
          </w:p>
        </w:tc>
      </w:tr>
      <w:tr w:rsidR="006B6965" w14:paraId="1BEECC35"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7AA6C7D0" w14:textId="77777777">
            <w:pPr>
              <w:pStyle w:val="p-table"/>
              <w:rPr>
                <w:sz w:val="17"/>
              </w:rPr>
            </w:pPr>
            <w:r>
              <w:rPr>
                <w:sz w:val="17"/>
              </w:rPr>
              <w:t>Bijzondere baten</w:t>
            </w:r>
          </w:p>
        </w:tc>
        <w:tc>
          <w:tcPr>
            <w:tcW w:w="1193" w:type="dxa"/>
            <w:tcBorders>
              <w:bottom w:val="single" w:color="009EE0" w:sz="2" w:space="0"/>
            </w:tcBorders>
            <w:tcMar>
              <w:top w:w="22" w:type="dxa"/>
              <w:left w:w="28" w:type="dxa"/>
              <w:bottom w:w="22" w:type="dxa"/>
              <w:right w:w="28" w:type="dxa"/>
            </w:tcMar>
          </w:tcPr>
          <w:p w:rsidR="006B6965" w:rsidRDefault="003A166B" w14:paraId="6B4C6BD3" w14:textId="77777777">
            <w:pPr>
              <w:pStyle w:val="p-table"/>
              <w:jc w:val="right"/>
              <w:rPr>
                <w:sz w:val="17"/>
              </w:rPr>
            </w:pPr>
            <w:r>
              <w:rPr>
                <w:sz w:val="17"/>
              </w:rPr>
              <w:t>1.500</w:t>
            </w:r>
          </w:p>
        </w:tc>
        <w:tc>
          <w:tcPr>
            <w:tcW w:w="1193" w:type="dxa"/>
            <w:tcBorders>
              <w:bottom w:val="single" w:color="009EE0" w:sz="2" w:space="0"/>
            </w:tcBorders>
            <w:tcMar>
              <w:top w:w="22" w:type="dxa"/>
              <w:left w:w="28" w:type="dxa"/>
              <w:bottom w:w="22" w:type="dxa"/>
              <w:right w:w="28" w:type="dxa"/>
            </w:tcMar>
          </w:tcPr>
          <w:p w:rsidR="006B6965" w:rsidRDefault="003A166B" w14:paraId="6DD178C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6B6965" w:rsidRDefault="003A166B" w14:paraId="1812951A" w14:textId="77777777">
            <w:pPr>
              <w:pStyle w:val="p-table"/>
              <w:jc w:val="right"/>
              <w:rPr>
                <w:sz w:val="17"/>
              </w:rPr>
            </w:pPr>
            <w:r>
              <w:rPr>
                <w:sz w:val="17"/>
              </w:rPr>
              <w:t>1.500</w:t>
            </w:r>
          </w:p>
        </w:tc>
      </w:tr>
      <w:tr w:rsidR="006B6965" w14:paraId="55C729A9"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6B6965" w:rsidRDefault="003A166B" w14:paraId="331CC4DA" w14:textId="77777777">
            <w:pPr>
              <w:pStyle w:val="p-table"/>
              <w:rPr>
                <w:sz w:val="17"/>
              </w:rPr>
            </w:pPr>
            <w:r>
              <w:rPr>
                <w:b/>
                <w:sz w:val="17"/>
              </w:rPr>
              <w:t>Totaal baten</w:t>
            </w:r>
          </w:p>
        </w:tc>
        <w:tc>
          <w:tcPr>
            <w:tcW w:w="1193" w:type="dxa"/>
            <w:tcBorders>
              <w:bottom w:val="single" w:color="009EE0" w:sz="2" w:space="0"/>
            </w:tcBorders>
            <w:tcMar>
              <w:top w:w="22" w:type="dxa"/>
              <w:left w:w="28" w:type="dxa"/>
              <w:bottom w:w="22" w:type="dxa"/>
              <w:right w:w="28" w:type="dxa"/>
            </w:tcMar>
          </w:tcPr>
          <w:p w:rsidR="006B6965" w:rsidRDefault="003A166B" w14:paraId="71B8B07D" w14:textId="77777777">
            <w:pPr>
              <w:pStyle w:val="p-table"/>
              <w:jc w:val="right"/>
              <w:rPr>
                <w:sz w:val="17"/>
              </w:rPr>
            </w:pPr>
            <w:r>
              <w:rPr>
                <w:b/>
                <w:sz w:val="17"/>
              </w:rPr>
              <w:t>4.420.071</w:t>
            </w:r>
          </w:p>
        </w:tc>
        <w:tc>
          <w:tcPr>
            <w:tcW w:w="1193" w:type="dxa"/>
            <w:tcBorders>
              <w:bottom w:val="single" w:color="009EE0" w:sz="2" w:space="0"/>
            </w:tcBorders>
            <w:tcMar>
              <w:top w:w="22" w:type="dxa"/>
              <w:left w:w="28" w:type="dxa"/>
              <w:bottom w:w="22" w:type="dxa"/>
              <w:right w:w="28" w:type="dxa"/>
            </w:tcMar>
          </w:tcPr>
          <w:p w:rsidR="006B6965" w:rsidRDefault="003A166B" w14:paraId="5557AEAF" w14:textId="77777777">
            <w:pPr>
              <w:pStyle w:val="p-table"/>
              <w:jc w:val="right"/>
              <w:rPr>
                <w:sz w:val="17"/>
              </w:rPr>
            </w:pPr>
            <w:r>
              <w:rPr>
                <w:b/>
                <w:sz w:val="17"/>
              </w:rPr>
              <w:t>255.767</w:t>
            </w:r>
          </w:p>
        </w:tc>
        <w:tc>
          <w:tcPr>
            <w:tcW w:w="1193" w:type="dxa"/>
            <w:tcBorders>
              <w:bottom w:val="single" w:color="009EE0" w:sz="2" w:space="0"/>
            </w:tcBorders>
            <w:tcMar>
              <w:top w:w="22" w:type="dxa"/>
              <w:left w:w="28" w:type="dxa"/>
              <w:bottom w:w="22" w:type="dxa"/>
              <w:right w:w="28" w:type="dxa"/>
            </w:tcMar>
          </w:tcPr>
          <w:p w:rsidR="006B6965" w:rsidRDefault="003A166B" w14:paraId="1FD55268" w14:textId="77777777">
            <w:pPr>
              <w:pStyle w:val="p-table"/>
              <w:jc w:val="right"/>
              <w:rPr>
                <w:sz w:val="17"/>
              </w:rPr>
            </w:pPr>
            <w:r>
              <w:rPr>
                <w:b/>
                <w:sz w:val="17"/>
              </w:rPr>
              <w:t>4.675.838</w:t>
            </w:r>
          </w:p>
        </w:tc>
      </w:tr>
    </w:tbl>
    <w:p w:rsidR="006B6965" w:rsidRDefault="006B6965" w14:paraId="549615FB" w14:textId="77777777">
      <w:pPr>
        <w:pStyle w:val="p-marginbottom"/>
      </w:pPr>
    </w:p>
    <w:p w:rsidR="006B6965" w:rsidRDefault="003A166B" w14:paraId="1CD61301" w14:textId="77777777">
      <w:pPr>
        <w:pStyle w:val="header-h1"/>
      </w:pPr>
      <w:r>
        <w:t>Toelichting</w:t>
      </w:r>
    </w:p>
    <w:p w:rsidR="006B6965" w:rsidRDefault="003A166B" w14:paraId="5BA3D884" w14:textId="77777777">
      <w:pPr>
        <w:pStyle w:val="header-h1"/>
      </w:pPr>
      <w:r>
        <w:t>Baten als tegenprestatie voor levering van input</w:t>
      </w:r>
    </w:p>
    <w:p w:rsidR="006B6965" w:rsidRDefault="003A166B" w14:paraId="37B620E9" w14:textId="77777777">
      <w:pPr>
        <w:pStyle w:val="header-h2"/>
      </w:pPr>
      <w:r>
        <w:t>Bijdrage aan apparaat</w:t>
      </w:r>
    </w:p>
    <w:p w:rsidR="006B6965" w:rsidRDefault="003A166B" w14:paraId="61196621" w14:textId="77777777">
      <w:pPr>
        <w:pStyle w:val="p"/>
      </w:pPr>
      <w:r>
        <w:t xml:space="preserve">De bijdrage aan apparaat dient </w:t>
      </w:r>
      <w:r>
        <w:t>ter dekking van de interne kosten van RWS (apparaatskosten inclusief rente- en afschrijvingskosten) die verband houden met exploitatie, onderhoud en vernieuwing, ontwikkeling en beleidsondersteuning en –advisering.</w:t>
      </w:r>
    </w:p>
    <w:p w:rsidR="006B6965" w:rsidRDefault="003A166B" w14:paraId="266FF7E0" w14:textId="77777777">
      <w:r>
        <w:t>De hogere bijdrage aan apparaat ten opzichte van de 1</w:t>
      </w:r>
      <w:r>
        <w:rPr>
          <w:vertAlign w:val="superscript"/>
        </w:rPr>
        <w:t>e</w:t>
      </w:r>
      <w:r>
        <w:t xml:space="preserve"> suppletoire begroting 2025 ad. € 62,5 miljoen is met name veroorzaakt door:</w:t>
      </w:r>
    </w:p>
    <w:p w:rsidR="006B6965" w:rsidRDefault="003A166B" w14:paraId="308517D4" w14:textId="77777777">
      <w:pPr>
        <w:pStyle w:val="ol-p-l1"/>
        <w:numPr>
          <w:ilvl w:val="0"/>
          <w:numId w:val="34"/>
        </w:numPr>
      </w:pPr>
      <w:r>
        <w:rPr>
          <w:rStyle w:val="ol-text"/>
        </w:rPr>
        <w:t>Ontvangen Loon- en prijsbijstelling 2025 (€ 56,2 miljoen);</w:t>
      </w:r>
    </w:p>
    <w:p w:rsidR="006B6965" w:rsidRDefault="003A166B" w14:paraId="7CEFF67B" w14:textId="77777777">
      <w:pPr>
        <w:pStyle w:val="ol-p-l1"/>
        <w:numPr>
          <w:ilvl w:val="0"/>
          <w:numId w:val="5"/>
        </w:numPr>
      </w:pPr>
      <w:r>
        <w:rPr>
          <w:rStyle w:val="ol-text"/>
        </w:rPr>
        <w:t>terugbetaling van middelen voor Net op Zee aan het ministerie van Klimaat en Groene Groei, door vertraging in de uitvoering (- € 2,8 miljoen);</w:t>
      </w:r>
    </w:p>
    <w:p w:rsidR="006B6965" w:rsidRDefault="003A166B" w14:paraId="1CCFBE0D" w14:textId="77777777">
      <w:pPr>
        <w:pStyle w:val="ol-p-l1"/>
        <w:numPr>
          <w:ilvl w:val="0"/>
          <w:numId w:val="5"/>
        </w:numPr>
      </w:pPr>
      <w:r>
        <w:rPr>
          <w:rStyle w:val="ol-text"/>
        </w:rPr>
        <w:t>capaciteit door verambtelijking (het omzetten van inhuur op programma (niet-kerntaken) in eigen personeel) als uitvoering van de apparaatstaakstelling uit het hoofdlijnenakkoord van het kabinet Schoof. Deze omzetting realiseert een besparing, doordat eigen personeel goedkoper is dan inhuur (€ 2,6 miljoen);</w:t>
      </w:r>
    </w:p>
    <w:p w:rsidR="006B6965" w:rsidRDefault="003A166B" w14:paraId="68BACBD1" w14:textId="77777777">
      <w:pPr>
        <w:pStyle w:val="ol-p-l1"/>
        <w:numPr>
          <w:ilvl w:val="0"/>
          <w:numId w:val="5"/>
        </w:numPr>
      </w:pPr>
      <w:r>
        <w:rPr>
          <w:rStyle w:val="ol-text"/>
        </w:rPr>
        <w:t>middelen voor capaciteit voor het programma Vrachtwagenheffing 2025 (€ 1,5 miljoen)</w:t>
      </w:r>
    </w:p>
    <w:p w:rsidR="006B6965" w:rsidRDefault="003A166B" w14:paraId="6129FB9F" w14:textId="77777777">
      <w:pPr>
        <w:pStyle w:val="ol-p-l1"/>
        <w:numPr>
          <w:ilvl w:val="0"/>
          <w:numId w:val="5"/>
        </w:numPr>
      </w:pPr>
      <w:r>
        <w:rPr>
          <w:rStyle w:val="ol-text"/>
        </w:rPr>
        <w:t>het saldo van mutaties &lt; € 2 miljoen (€ 5,0 miljoen).</w:t>
      </w:r>
    </w:p>
    <w:p w:rsidR="006B6965" w:rsidRDefault="006B6965" w14:paraId="22A6F5C7" w14:textId="77777777"/>
    <w:p w:rsidR="006B6965" w:rsidRDefault="003A166B" w14:paraId="7A2FA629" w14:textId="77777777">
      <w:pPr>
        <w:pStyle w:val="header-h2"/>
      </w:pPr>
      <w:r>
        <w:t>Bijdrage aan exploitatie en onderhoud</w:t>
      </w:r>
    </w:p>
    <w:p w:rsidR="006B6965" w:rsidRDefault="003A166B" w14:paraId="11066F0E" w14:textId="77777777">
      <w:pPr>
        <w:pStyle w:val="p"/>
      </w:pPr>
      <w:r>
        <w:t xml:space="preserve">De </w:t>
      </w:r>
      <w:proofErr w:type="spellStart"/>
      <w:r>
        <w:t>bĳdragen</w:t>
      </w:r>
      <w:proofErr w:type="spellEnd"/>
      <w:r>
        <w:t xml:space="preserve"> aan exploitatie en onderhoud dient ter dekking van de externe kosten die samenhangen met afspraken over het basiskwaliteitsniveau (BKN) voor exploitatie en onderhoud.</w:t>
      </w:r>
    </w:p>
    <w:p w:rsidR="006B6965" w:rsidRDefault="003A166B" w14:paraId="3EDF1ED0" w14:textId="77777777">
      <w:pPr>
        <w:pStyle w:val="p"/>
      </w:pPr>
      <w:r>
        <w:t xml:space="preserve">De hogere </w:t>
      </w:r>
      <w:proofErr w:type="spellStart"/>
      <w:r>
        <w:t>bĳdrage</w:t>
      </w:r>
      <w:proofErr w:type="spellEnd"/>
      <w:r>
        <w:t xml:space="preserve"> aan exploitatie en onderhoud ten opzichte van de </w:t>
      </w:r>
      <w:r>
        <w:t>1</w:t>
      </w:r>
      <w:r>
        <w:rPr>
          <w:vertAlign w:val="superscript"/>
        </w:rPr>
        <w:t>e</w:t>
      </w:r>
      <w:r>
        <w:t xml:space="preserve"> suppletoire begroting 2025 ad. € 66,2 miljoen is met name veroorzaakt door prijsbijstelling 2025 (€ 45,6 miljoen), middelen voor Schoon en </w:t>
      </w:r>
      <w:proofErr w:type="spellStart"/>
      <w:r>
        <w:t>Emissieloos</w:t>
      </w:r>
      <w:proofErr w:type="spellEnd"/>
      <w:r>
        <w:t xml:space="preserve"> Bouwen (SEB) ten behoeve van laadinfra en batterijsystemen op de bouwplaats (€ 13,4 miljoen), middelen voor Draaiend houden ringen fase 1 (€ 7,3 miljoen) en verambtelijking (het omzetten van inhuur op programma (niet-kerntaken) in eigen personeel) als uitvoering van de apparaatstaakstelling uit het hoofdlijnenakkoord van het kabinet Schoof. Deze omzetting </w:t>
      </w:r>
      <w:r>
        <w:t>realiseert een besparing, doordat eigen personeel goedkoper is dan inhuur (- € 2,6 miljoen). Het restant bestaat uit het saldo van mutaties &lt; € 2 miljoen (€ 2,5 miljoen).</w:t>
      </w:r>
    </w:p>
    <w:p w:rsidR="006B6965" w:rsidRDefault="003A166B" w14:paraId="10ADEA48" w14:textId="77777777">
      <w:pPr>
        <w:pStyle w:val="header-h2"/>
      </w:pPr>
      <w:r>
        <w:lastRenderedPageBreak/>
        <w:t>Bijdrage aan te verlenen diensten</w:t>
      </w:r>
    </w:p>
    <w:p w:rsidR="006B6965" w:rsidRDefault="003A166B" w14:paraId="7B018207" w14:textId="77777777">
      <w:pPr>
        <w:pStyle w:val="p"/>
      </w:pPr>
      <w:r>
        <w:t xml:space="preserve">De bijdragen aan te verlenen diensten dient ter </w:t>
      </w:r>
      <w:r>
        <w:t>dekking van de externe kosten in het kader van planning en studies, Caribisch Nederland, Werken voor en met Partners, aanvullende opdrachten van het moederdepartement die niet tot BKN behoren en overige opdrachten. </w:t>
      </w:r>
    </w:p>
    <w:p w:rsidR="006B6965" w:rsidRDefault="003A166B" w14:paraId="03E63764" w14:textId="77777777">
      <w:pPr>
        <w:pStyle w:val="p"/>
      </w:pPr>
      <w:r>
        <w:t>De hogere bijdrage aan te verlenen diensten ten opzichte van de 1</w:t>
      </w:r>
      <w:r>
        <w:rPr>
          <w:vertAlign w:val="superscript"/>
        </w:rPr>
        <w:t>e</w:t>
      </w:r>
      <w:r>
        <w:t xml:space="preserve"> suppletoire begroting 2025 (€ 9,3 miljoen) is met name het gevolg van het ontvangen van middelen voor verkeersveiligheid N18, voortvloeiend uit het amendement </w:t>
      </w:r>
      <w:proofErr w:type="spellStart"/>
      <w:r>
        <w:t>Koerthuis</w:t>
      </w:r>
      <w:proofErr w:type="spellEnd"/>
      <w:r>
        <w:t xml:space="preserve"> en van der Graaf (€ 5,8 miljoen), middelen voor Draaiend houden ringen fase 1 als onderdeel van File Aanpak (€ 3,2 miljoen)en het saldo van mutaties &lt; € 2 miljoen (€ 0,3 miljoen).</w:t>
      </w:r>
    </w:p>
    <w:p w:rsidR="006B6965" w:rsidRDefault="003A166B" w14:paraId="31E799B9" w14:textId="77777777">
      <w:pPr>
        <w:pStyle w:val="p"/>
      </w:pPr>
      <w:r>
        <w:t>In onderstaand overzicht is weergegeven hoe de huidige omzetcategorieën, stand Suppletoire begroting september, uiteenvallen in de nieuwe specificatie van baten.</w:t>
      </w:r>
    </w:p>
    <w:tbl>
      <w:tblPr>
        <w:tblW w:w="9694" w:type="dxa"/>
        <w:tblInd w:w="-3317" w:type="dxa"/>
        <w:tblCellMar>
          <w:left w:w="10" w:type="dxa"/>
          <w:right w:w="10" w:type="dxa"/>
        </w:tblCellMar>
        <w:tblLook w:val="04A0" w:firstRow="1" w:lastRow="0" w:firstColumn="1" w:lastColumn="0" w:noHBand="0" w:noVBand="1"/>
      </w:tblPr>
      <w:tblGrid>
        <w:gridCol w:w="4654"/>
        <w:gridCol w:w="1260"/>
        <w:gridCol w:w="1260"/>
        <w:gridCol w:w="1260"/>
        <w:gridCol w:w="1260"/>
      </w:tblGrid>
      <w:tr w:rsidR="006B6965" w14:paraId="4CCF6F8B" w14:textId="77777777">
        <w:tblPrEx>
          <w:tblCellMar>
            <w:top w:w="0" w:type="dxa"/>
            <w:bottom w:w="0" w:type="dxa"/>
          </w:tblCellMar>
        </w:tblPrEx>
        <w:trPr>
          <w:tblHeader/>
        </w:trPr>
        <w:tc>
          <w:tcPr>
            <w:tcW w:w="9178" w:type="dxa"/>
            <w:gridSpan w:val="5"/>
            <w:tcMar>
              <w:top w:w="22" w:type="dxa"/>
              <w:left w:w="113" w:type="dxa"/>
              <w:bottom w:w="22" w:type="dxa"/>
            </w:tcMar>
          </w:tcPr>
          <w:p w:rsidR="006B6965" w:rsidRDefault="003A166B" w14:paraId="1D010FFF" w14:textId="77777777">
            <w:pPr>
              <w:pStyle w:val="kio2-table-title"/>
            </w:pPr>
            <w:r>
              <w:t>Tabel 25 Vertaling van huidige omzetcategorieën naar nieuwe omzetcategorieën (bedragen x € 1.000)</w:t>
            </w:r>
          </w:p>
        </w:tc>
      </w:tr>
      <w:tr w:rsidR="006B6965" w14:paraId="69BC5612" w14:textId="77777777">
        <w:tblPrEx>
          <w:tblCellMar>
            <w:top w:w="0" w:type="dxa"/>
            <w:bottom w:w="0" w:type="dxa"/>
          </w:tblCellMar>
        </w:tblPrEx>
        <w:trPr>
          <w:tblHeader/>
        </w:trPr>
        <w:tc>
          <w:tcPr>
            <w:tcW w:w="4406" w:type="dxa"/>
            <w:tcBorders>
              <w:top w:val="single" w:color="000000" w:sz="2" w:space="0"/>
              <w:bottom w:val="single" w:color="009EE0" w:sz="2" w:space="0"/>
            </w:tcBorders>
            <w:tcMar>
              <w:top w:w="28" w:type="dxa"/>
              <w:bottom w:w="28" w:type="dxa"/>
              <w:right w:w="28" w:type="dxa"/>
            </w:tcMar>
            <w:vAlign w:val="bottom"/>
          </w:tcPr>
          <w:p w:rsidR="006B6965" w:rsidRDefault="003A166B" w14:paraId="4CF71364" w14:textId="77777777">
            <w:pPr>
              <w:pStyle w:val="p-table"/>
              <w:rPr>
                <w:color w:val="000000"/>
                <w:sz w:val="17"/>
              </w:rPr>
            </w:pPr>
            <w:r>
              <w:rPr>
                <w:color w:val="000000"/>
                <w:sz w:val="17"/>
              </w:rPr>
              <w:t>Omschrijving</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3DAFD2BF" w14:textId="77777777">
            <w:pPr>
              <w:pStyle w:val="p-table"/>
              <w:rPr>
                <w:color w:val="000000"/>
                <w:sz w:val="17"/>
              </w:rPr>
            </w:pPr>
            <w:r>
              <w:rPr>
                <w:color w:val="000000"/>
                <w:sz w:val="17"/>
              </w:rPr>
              <w:t>Bijdrage aan apparaat (interne kosten)</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1D34C70D" w14:textId="77777777">
            <w:pPr>
              <w:pStyle w:val="p-table"/>
              <w:rPr>
                <w:color w:val="000000"/>
                <w:sz w:val="17"/>
              </w:rPr>
            </w:pPr>
            <w:r>
              <w:rPr>
                <w:color w:val="000000"/>
                <w:sz w:val="17"/>
              </w:rPr>
              <w:t>Bijdrage aan exploitatie en onderhoud</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0CC4F326" w14:textId="77777777">
            <w:pPr>
              <w:pStyle w:val="p-table"/>
              <w:rPr>
                <w:color w:val="000000"/>
                <w:sz w:val="17"/>
              </w:rPr>
            </w:pPr>
            <w:r>
              <w:rPr>
                <w:color w:val="000000"/>
                <w:sz w:val="17"/>
              </w:rPr>
              <w:t>Bijdrage aan te verlenen diensten</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7AB0BFD5" w14:textId="77777777">
            <w:pPr>
              <w:pStyle w:val="p-table"/>
              <w:rPr>
                <w:color w:val="000000"/>
                <w:sz w:val="17"/>
              </w:rPr>
            </w:pPr>
            <w:r>
              <w:rPr>
                <w:color w:val="000000"/>
                <w:sz w:val="17"/>
              </w:rPr>
              <w:t>Totaal omzet</w:t>
            </w:r>
          </w:p>
        </w:tc>
      </w:tr>
      <w:tr w:rsidR="006B6965" w14:paraId="5FDC0150" w14:textId="77777777">
        <w:tblPrEx>
          <w:tblCellMar>
            <w:top w:w="0" w:type="dxa"/>
            <w:bottom w:w="0" w:type="dxa"/>
          </w:tblCellMar>
        </w:tblPrEx>
        <w:tc>
          <w:tcPr>
            <w:tcW w:w="4406" w:type="dxa"/>
            <w:tcBorders>
              <w:bottom w:val="single" w:color="009EE0" w:sz="2" w:space="0"/>
            </w:tcBorders>
            <w:tcMar>
              <w:top w:w="22" w:type="dxa"/>
              <w:bottom w:w="22" w:type="dxa"/>
              <w:right w:w="28" w:type="dxa"/>
            </w:tcMar>
            <w:vAlign w:val="bottom"/>
          </w:tcPr>
          <w:p w:rsidR="006B6965" w:rsidRDefault="003A166B" w14:paraId="793EEEF1" w14:textId="77777777">
            <w:pPr>
              <w:pStyle w:val="p-table"/>
              <w:rPr>
                <w:sz w:val="17"/>
              </w:rPr>
            </w:pPr>
            <w:r>
              <w:rPr>
                <w:sz w:val="17"/>
              </w:rPr>
              <w:t>Omzet moederdepartement</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7E617DCC" w14:textId="77777777">
            <w:pPr>
              <w:pStyle w:val="p-table"/>
              <w:jc w:val="right"/>
              <w:rPr>
                <w:sz w:val="17"/>
              </w:rPr>
            </w:pPr>
            <w:r>
              <w:rPr>
                <w:sz w:val="17"/>
              </w:rPr>
              <w:t>1.509.968</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7D23EAD3" w14:textId="77777777">
            <w:pPr>
              <w:pStyle w:val="p-table"/>
              <w:jc w:val="right"/>
              <w:rPr>
                <w:sz w:val="17"/>
              </w:rPr>
            </w:pPr>
            <w:r>
              <w:rPr>
                <w:sz w:val="17"/>
              </w:rPr>
              <w:t>2.291.176</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65F49A42" w14:textId="77777777">
            <w:pPr>
              <w:pStyle w:val="p-table"/>
              <w:jc w:val="right"/>
              <w:rPr>
                <w:sz w:val="17"/>
              </w:rPr>
            </w:pPr>
            <w:r>
              <w:rPr>
                <w:sz w:val="17"/>
              </w:rPr>
              <w:t>91.121</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73CECEAF" w14:textId="77777777">
            <w:pPr>
              <w:pStyle w:val="p-table"/>
              <w:jc w:val="right"/>
              <w:rPr>
                <w:sz w:val="17"/>
              </w:rPr>
            </w:pPr>
            <w:r>
              <w:rPr>
                <w:b/>
                <w:sz w:val="17"/>
              </w:rPr>
              <w:t>3.892.265</w:t>
            </w:r>
          </w:p>
        </w:tc>
      </w:tr>
      <w:tr w:rsidR="006B6965" w14:paraId="61ACEAC1" w14:textId="77777777">
        <w:tblPrEx>
          <w:tblCellMar>
            <w:top w:w="0" w:type="dxa"/>
            <w:bottom w:w="0" w:type="dxa"/>
          </w:tblCellMar>
        </w:tblPrEx>
        <w:tc>
          <w:tcPr>
            <w:tcW w:w="4406" w:type="dxa"/>
            <w:tcBorders>
              <w:bottom w:val="single" w:color="009EE0" w:sz="2" w:space="0"/>
            </w:tcBorders>
            <w:tcMar>
              <w:top w:w="22" w:type="dxa"/>
              <w:bottom w:w="22" w:type="dxa"/>
              <w:right w:w="28" w:type="dxa"/>
            </w:tcMar>
            <w:vAlign w:val="bottom"/>
          </w:tcPr>
          <w:p w:rsidR="006B6965" w:rsidRDefault="003A166B" w14:paraId="162B5014" w14:textId="77777777">
            <w:pPr>
              <w:pStyle w:val="p-table"/>
              <w:rPr>
                <w:sz w:val="17"/>
              </w:rPr>
            </w:pPr>
            <w:r>
              <w:rPr>
                <w:sz w:val="17"/>
              </w:rPr>
              <w:t>Omzet overige departementen</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16ABC5F7" w14:textId="77777777">
            <w:pPr>
              <w:pStyle w:val="p-table"/>
              <w:jc w:val="right"/>
              <w:rPr>
                <w:sz w:val="17"/>
              </w:rPr>
            </w:pPr>
            <w:r>
              <w:rPr>
                <w:sz w:val="17"/>
              </w:rPr>
              <w:t>92.597</w:t>
            </w:r>
          </w:p>
        </w:tc>
        <w:tc>
          <w:tcPr>
            <w:tcW w:w="1193" w:type="dxa"/>
            <w:tcBorders>
              <w:bottom w:val="single" w:color="009EE0" w:sz="2" w:space="0"/>
            </w:tcBorders>
            <w:tcMar>
              <w:top w:w="22" w:type="dxa"/>
              <w:left w:w="28" w:type="dxa"/>
              <w:bottom w:w="22" w:type="dxa"/>
              <w:right w:w="28" w:type="dxa"/>
            </w:tcMar>
          </w:tcPr>
          <w:p w:rsidR="006B6965" w:rsidRDefault="006B6965" w14:paraId="56D65F22"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6B6965" w:rsidRDefault="003A166B" w14:paraId="790C8359" w14:textId="77777777">
            <w:pPr>
              <w:pStyle w:val="p-table"/>
              <w:jc w:val="right"/>
              <w:rPr>
                <w:sz w:val="17"/>
              </w:rPr>
            </w:pPr>
            <w:r>
              <w:rPr>
                <w:sz w:val="17"/>
              </w:rPr>
              <w:t>19.144</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7017F207" w14:textId="77777777">
            <w:pPr>
              <w:pStyle w:val="p-table"/>
              <w:jc w:val="right"/>
              <w:rPr>
                <w:sz w:val="17"/>
              </w:rPr>
            </w:pPr>
            <w:r>
              <w:rPr>
                <w:b/>
                <w:sz w:val="17"/>
              </w:rPr>
              <w:t>111.741</w:t>
            </w:r>
          </w:p>
        </w:tc>
      </w:tr>
      <w:tr w:rsidR="006B6965" w14:paraId="7EDB7B2A" w14:textId="77777777">
        <w:tblPrEx>
          <w:tblCellMar>
            <w:top w:w="0" w:type="dxa"/>
            <w:bottom w:w="0" w:type="dxa"/>
          </w:tblCellMar>
        </w:tblPrEx>
        <w:tc>
          <w:tcPr>
            <w:tcW w:w="4406" w:type="dxa"/>
            <w:tcBorders>
              <w:bottom w:val="single" w:color="009EE0" w:sz="2" w:space="0"/>
            </w:tcBorders>
            <w:tcMar>
              <w:top w:w="22" w:type="dxa"/>
              <w:bottom w:w="22" w:type="dxa"/>
              <w:right w:w="28" w:type="dxa"/>
            </w:tcMar>
            <w:vAlign w:val="bottom"/>
          </w:tcPr>
          <w:p w:rsidR="006B6965" w:rsidRDefault="003A166B" w14:paraId="41B6E3D3" w14:textId="77777777">
            <w:pPr>
              <w:pStyle w:val="p-table"/>
              <w:rPr>
                <w:sz w:val="17"/>
              </w:rPr>
            </w:pPr>
            <w:r>
              <w:rPr>
                <w:sz w:val="17"/>
              </w:rPr>
              <w:t>Omzet derden</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204EFD35" w14:textId="77777777">
            <w:pPr>
              <w:pStyle w:val="p-table"/>
              <w:jc w:val="right"/>
              <w:rPr>
                <w:sz w:val="17"/>
              </w:rPr>
            </w:pPr>
            <w:r>
              <w:rPr>
                <w:sz w:val="17"/>
              </w:rPr>
              <w:t>76.653</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11548EC8" w14:textId="77777777">
            <w:pPr>
              <w:pStyle w:val="p-table"/>
              <w:jc w:val="right"/>
              <w:rPr>
                <w:sz w:val="17"/>
              </w:rPr>
            </w:pPr>
            <w:r>
              <w:rPr>
                <w:sz w:val="17"/>
              </w:rPr>
              <w:t>171.700</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73F64ECB" w14:textId="77777777">
            <w:pPr>
              <w:pStyle w:val="p-table"/>
              <w:jc w:val="right"/>
              <w:rPr>
                <w:sz w:val="17"/>
              </w:rPr>
            </w:pPr>
            <w:r>
              <w:rPr>
                <w:sz w:val="17"/>
              </w:rPr>
              <w:t>6.353</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4B39AE2B" w14:textId="77777777">
            <w:pPr>
              <w:pStyle w:val="p-table"/>
              <w:jc w:val="right"/>
              <w:rPr>
                <w:sz w:val="17"/>
              </w:rPr>
            </w:pPr>
            <w:r>
              <w:rPr>
                <w:b/>
                <w:sz w:val="17"/>
              </w:rPr>
              <w:t>254.706</w:t>
            </w:r>
          </w:p>
        </w:tc>
      </w:tr>
      <w:tr w:rsidR="006B6965" w14:paraId="5D360E67" w14:textId="77777777">
        <w:tblPrEx>
          <w:tblCellMar>
            <w:top w:w="0" w:type="dxa"/>
            <w:bottom w:w="0" w:type="dxa"/>
          </w:tblCellMar>
        </w:tblPrEx>
        <w:tc>
          <w:tcPr>
            <w:tcW w:w="4406" w:type="dxa"/>
            <w:tcBorders>
              <w:bottom w:val="single" w:color="009EE0" w:sz="2" w:space="0"/>
            </w:tcBorders>
            <w:tcMar>
              <w:top w:w="22" w:type="dxa"/>
              <w:bottom w:w="22" w:type="dxa"/>
              <w:right w:w="28" w:type="dxa"/>
            </w:tcMar>
            <w:vAlign w:val="bottom"/>
          </w:tcPr>
          <w:p w:rsidR="006B6965" w:rsidRDefault="003A166B" w14:paraId="4510E867" w14:textId="77777777">
            <w:pPr>
              <w:pStyle w:val="p-table"/>
              <w:rPr>
                <w:sz w:val="17"/>
              </w:rPr>
            </w:pPr>
            <w:r>
              <w:rPr>
                <w:b/>
                <w:sz w:val="17"/>
              </w:rPr>
              <w:t>Totaal baten als tegenpresentatie voor levering van input</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34B091DC" w14:textId="77777777">
            <w:pPr>
              <w:pStyle w:val="p-table"/>
              <w:jc w:val="right"/>
              <w:rPr>
                <w:sz w:val="17"/>
              </w:rPr>
            </w:pPr>
            <w:r>
              <w:rPr>
                <w:b/>
                <w:sz w:val="17"/>
              </w:rPr>
              <w:t>1.679.218</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74D8619C" w14:textId="77777777">
            <w:pPr>
              <w:pStyle w:val="p-table"/>
              <w:jc w:val="right"/>
              <w:rPr>
                <w:sz w:val="17"/>
              </w:rPr>
            </w:pPr>
            <w:r>
              <w:rPr>
                <w:b/>
                <w:sz w:val="17"/>
              </w:rPr>
              <w:t>2.462.876</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2C25A2D2" w14:textId="77777777">
            <w:pPr>
              <w:pStyle w:val="p-table"/>
              <w:jc w:val="right"/>
              <w:rPr>
                <w:sz w:val="17"/>
              </w:rPr>
            </w:pPr>
            <w:r>
              <w:rPr>
                <w:b/>
                <w:sz w:val="17"/>
              </w:rPr>
              <w:t>116.618</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3AE42396" w14:textId="77777777">
            <w:pPr>
              <w:pStyle w:val="p-table"/>
              <w:jc w:val="right"/>
              <w:rPr>
                <w:sz w:val="17"/>
              </w:rPr>
            </w:pPr>
            <w:r>
              <w:rPr>
                <w:b/>
                <w:sz w:val="17"/>
              </w:rPr>
              <w:t>4.258.712</w:t>
            </w:r>
          </w:p>
        </w:tc>
      </w:tr>
    </w:tbl>
    <w:p w:rsidR="006B6965" w:rsidRDefault="006B6965" w14:paraId="7DD3683F" w14:textId="77777777">
      <w:pPr>
        <w:pStyle w:val="p-marginbottom"/>
      </w:pPr>
    </w:p>
    <w:p w:rsidR="006B6965" w:rsidRDefault="003A166B" w14:paraId="32532921" w14:textId="77777777">
      <w:pPr>
        <w:pStyle w:val="header-h1"/>
      </w:pPr>
      <w:r>
        <w:t>Lasten</w:t>
      </w:r>
    </w:p>
    <w:p w:rsidR="006B6965" w:rsidRDefault="003A166B" w14:paraId="3B5DB4B9" w14:textId="77777777">
      <w:pPr>
        <w:pStyle w:val="header-h1"/>
      </w:pPr>
      <w:r>
        <w:t>Apparaatskosten</w:t>
      </w:r>
    </w:p>
    <w:p w:rsidR="006B6965" w:rsidRDefault="003A166B" w14:paraId="14EAFFF7" w14:textId="77777777">
      <w:pPr>
        <w:pStyle w:val="header-h2"/>
      </w:pPr>
      <w:r>
        <w:t>Personele kosten</w:t>
      </w:r>
    </w:p>
    <w:p w:rsidR="006B6965" w:rsidRDefault="003A166B" w14:paraId="166A69A5" w14:textId="77777777">
      <w:pPr>
        <w:pStyle w:val="p"/>
      </w:pPr>
      <w:r>
        <w:t>De personele kosten bestaan uit de kosten van het eigen personeel en de kosten van ingehuurde capaciteit voor de uitvoering van kerntaken. Ten opzichte van de 1</w:t>
      </w:r>
      <w:r>
        <w:rPr>
          <w:vertAlign w:val="superscript"/>
        </w:rPr>
        <w:t>e</w:t>
      </w:r>
      <w:r>
        <w:t xml:space="preserve"> suppletoire begroting zijn de personele kosten inclusief overige personele kosten toegenomen (€ 4,6 miljoen). Deze toename komt met name door verambtelijking (12 FTE), Vrachtwagen- en tijdelijke tolheffing 2025 (10,4 FTE), Programma Draaiend houden Ringen fase 1 (9,6 FTE), Power2Tow (9 FTE), Beoordelings- en Ontwerp Instrumentarium (6,6 FTE), stimulering hergebruik en recyclaat in bouwmaterialen in de Grond-, Weg- en Waterbouw (GWW) (4 FTE), diverse kleine mutaties (7,7 FTE) en het terugbetalen van middel</w:t>
      </w:r>
      <w:r>
        <w:t>en voor Net op Zee aan het ministerie van Klimaat en Groene Groei, door vertraging in de uitvoering (-20 FTE).</w:t>
      </w:r>
    </w:p>
    <w:p w:rsidR="006B6965" w:rsidRDefault="003A166B" w14:paraId="0B639A4A" w14:textId="77777777">
      <w:pPr>
        <w:pStyle w:val="header-h2"/>
      </w:pPr>
      <w:r>
        <w:t>Materiële kosten</w:t>
      </w:r>
    </w:p>
    <w:p w:rsidR="006B6965" w:rsidRDefault="003A166B" w14:paraId="0722B6F8" w14:textId="77777777">
      <w:pPr>
        <w:pStyle w:val="p"/>
      </w:pPr>
      <w:r>
        <w:t xml:space="preserve">De materiële kosten bestaan uit de kosten voor apparaat gebonden ICT-middelen, de bijdrage aan </w:t>
      </w:r>
      <w:proofErr w:type="spellStart"/>
      <w:r>
        <w:t>SSO’s</w:t>
      </w:r>
      <w:proofErr w:type="spellEnd"/>
      <w:r>
        <w:t xml:space="preserve"> die </w:t>
      </w:r>
      <w:proofErr w:type="spellStart"/>
      <w:r>
        <w:t>bedrijfvoeringsdiensten</w:t>
      </w:r>
      <w:proofErr w:type="spellEnd"/>
      <w:r>
        <w:t xml:space="preserve"> leveren en overige materiële kosten.</w:t>
      </w:r>
    </w:p>
    <w:p w:rsidR="006B6965" w:rsidRDefault="003A166B" w14:paraId="59D1F067" w14:textId="77777777">
      <w:pPr>
        <w:pStyle w:val="p"/>
      </w:pPr>
      <w:r>
        <w:t>De verwachte materiële kosten voor 2025 zijn hoger dan ingeschat bij 1</w:t>
      </w:r>
      <w:r>
        <w:rPr>
          <w:vertAlign w:val="superscript"/>
        </w:rPr>
        <w:t>e</w:t>
      </w:r>
      <w:r>
        <w:t xml:space="preserve"> suppletoire begroting 2025 (€ 45,4 miljoen), door verwachte toename van kosten voor apparaat gebonden ICT door gestegen kosten van licenties, uitbestede ICT dienstverlening en beheerkosten van de technische infrastructuur (€ 7,7 miljoen).</w:t>
      </w:r>
    </w:p>
    <w:p w:rsidR="006B6965" w:rsidRDefault="003A166B" w14:paraId="660094FA" w14:textId="77777777">
      <w:pPr>
        <w:pStyle w:val="p"/>
      </w:pPr>
      <w:r>
        <w:t xml:space="preserve">Daarnaast verwacht RWS een hogere realisatie van bijdrage aan </w:t>
      </w:r>
      <w:proofErr w:type="spellStart"/>
      <w:r>
        <w:t>SSO’s</w:t>
      </w:r>
      <w:proofErr w:type="spellEnd"/>
      <w:r>
        <w:t xml:space="preserve"> dan geprognosticeerd bij de 1</w:t>
      </w:r>
      <w:r>
        <w:rPr>
          <w:vertAlign w:val="superscript"/>
        </w:rPr>
        <w:t>e</w:t>
      </w:r>
      <w:r>
        <w:t xml:space="preserve"> suppletoire begroting (€ 4,1 miljoen). Deze kosten worden vanuit Shared Service Organisaties aan RWS doorbelast.</w:t>
      </w:r>
    </w:p>
    <w:p w:rsidR="006B6965" w:rsidRDefault="003A166B" w14:paraId="3F603ACC" w14:textId="77777777">
      <w:pPr>
        <w:pStyle w:val="p"/>
      </w:pPr>
      <w:r>
        <w:t>Tenslotte verwacht RWS een hogere realisatie van overige materiële kosten ten opzichte van de 1</w:t>
      </w:r>
      <w:r>
        <w:rPr>
          <w:vertAlign w:val="superscript"/>
        </w:rPr>
        <w:t>e</w:t>
      </w:r>
      <w:r>
        <w:t xml:space="preserve"> suppletoire begroting 2025 (€ 33,5 miljoen). Dit wordt met name veroorzaakt door een verwacht hogere realisatie op </w:t>
      </w:r>
      <w:r>
        <w:lastRenderedPageBreak/>
        <w:t>uitbesteding advieskosten, bureau, voorlichting en huisvesting, onderhoudskosten en huur/lease van inventaris, vaar- en voertuigen.</w:t>
      </w:r>
    </w:p>
    <w:p w:rsidR="006B6965" w:rsidRDefault="003A166B" w14:paraId="69BC873D" w14:textId="77777777">
      <w:pPr>
        <w:pStyle w:val="header-h1"/>
      </w:pPr>
      <w:r>
        <w:t>Kosten uitbesteed werk en andere externe kosten</w:t>
      </w:r>
    </w:p>
    <w:p w:rsidR="006B6965" w:rsidRDefault="003A166B" w14:paraId="009D14EB" w14:textId="77777777">
      <w:pPr>
        <w:pStyle w:val="p"/>
      </w:pPr>
      <w:r>
        <w:t>Voor 2025 verwacht RWS een verdere toename van de realisatie ten opzichte van de 1</w:t>
      </w:r>
      <w:r>
        <w:rPr>
          <w:vertAlign w:val="superscript"/>
        </w:rPr>
        <w:t>e</w:t>
      </w:r>
      <w:r>
        <w:t xml:space="preserve"> suppletoire begroting 2025 (€ 195,4 miljoen). Deze hogere verwachting is het gevolg van het op stoom komen van de productie opgave die RWS heeft. In 2025 gaat het voor het Hoofdwegennet voornamelijk om hogere verwachte productie op verhardingen (asfalt onderhoud) en kunstwerken. Voor het Hoofdvaarwegennet om de aanpak van kunstwerken, bodems en oevers en op het Hoofdwatersysteem om onderhoud aan de stormvloedkeringen, dijken, dammen en duinen en kunstwerken.</w:t>
      </w:r>
    </w:p>
    <w:p w:rsidR="006B6965" w:rsidRDefault="003A166B" w14:paraId="2538221C" w14:textId="77777777">
      <w:pPr>
        <w:pStyle w:val="header-h1"/>
      </w:pPr>
      <w:r>
        <w:t>Te verdelen resultaat</w:t>
      </w:r>
    </w:p>
    <w:p w:rsidR="006B6965" w:rsidRDefault="003A166B" w14:paraId="7581627D" w14:textId="77777777">
      <w:pPr>
        <w:pStyle w:val="p"/>
      </w:pPr>
      <w:r>
        <w:t>In vergelijking met de 1</w:t>
      </w:r>
      <w:r>
        <w:rPr>
          <w:vertAlign w:val="superscript"/>
        </w:rPr>
        <w:t>e</w:t>
      </w:r>
      <w:r>
        <w:t xml:space="preserve"> suppletoire begroting 2025 valt het resultaat minder negatief uit (€ 10,8 miljoen). Dit is het gevolg van exogene tegenvallers zoals een lagere loon- en prijsbijstelling (- € 7,5 miljoen) en lagere rentebaten (- € 2,1 miljoen). Daarnaast heeft RWS maatregelen genomen om het negatieve resultaat te beperken. Met deze maatregelen verwacht RWS € 20,4 miljoen te besparen.</w:t>
      </w:r>
    </w:p>
    <w:tbl>
      <w:tblPr>
        <w:tblW w:w="9694" w:type="dxa"/>
        <w:tblInd w:w="-3317" w:type="dxa"/>
        <w:tblCellMar>
          <w:left w:w="10" w:type="dxa"/>
          <w:right w:w="10" w:type="dxa"/>
        </w:tblCellMar>
        <w:tblLook w:val="04A0" w:firstRow="1" w:lastRow="0" w:firstColumn="1" w:lastColumn="0" w:noHBand="0" w:noVBand="1"/>
      </w:tblPr>
      <w:tblGrid>
        <w:gridCol w:w="231"/>
        <w:gridCol w:w="2888"/>
        <w:gridCol w:w="2185"/>
        <w:gridCol w:w="2195"/>
        <w:gridCol w:w="2195"/>
      </w:tblGrid>
      <w:tr w:rsidR="006B6965" w14:paraId="0EC6A7A2"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7FAC4457" w14:textId="77777777">
            <w:pPr>
              <w:pStyle w:val="kio2-table-title"/>
            </w:pPr>
            <w:r>
              <w:t>Tabel 26 Kasstroomoverzicht agentschap Rijkswaterstaat Suppletoire begroting september 2025 (bedragen x € 1.000)</w:t>
            </w:r>
          </w:p>
        </w:tc>
      </w:tr>
      <w:tr w:rsidR="006B6965" w14:paraId="26FF770E" w14:textId="77777777">
        <w:tblPrEx>
          <w:tblCellMar>
            <w:top w:w="0" w:type="dxa"/>
            <w:bottom w:w="0" w:type="dxa"/>
          </w:tblCellMar>
        </w:tblPrEx>
        <w:trPr>
          <w:tblHeader/>
        </w:trPr>
        <w:tc>
          <w:tcPr>
            <w:tcW w:w="156" w:type="dxa"/>
            <w:tcBorders>
              <w:top w:val="single" w:color="000000" w:sz="2" w:space="0"/>
              <w:bottom w:val="single" w:color="009EE0" w:sz="2" w:space="0"/>
            </w:tcBorders>
            <w:tcMar>
              <w:top w:w="28" w:type="dxa"/>
              <w:bottom w:w="28" w:type="dxa"/>
              <w:right w:w="28" w:type="dxa"/>
            </w:tcMar>
          </w:tcPr>
          <w:p w:rsidR="006B6965" w:rsidRDefault="006B6965" w14:paraId="7619A639"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tcPr>
          <w:p w:rsidR="006B6965" w:rsidRDefault="003A166B" w14:paraId="510AD7A3" w14:textId="77777777">
            <w:pPr>
              <w:pStyle w:val="p-table"/>
              <w:rPr>
                <w:color w:val="000000"/>
                <w:sz w:val="17"/>
              </w:rPr>
            </w:pPr>
            <w:r>
              <w:rPr>
                <w:color w:val="000000"/>
                <w:sz w:val="17"/>
              </w:rPr>
              <w:t>Omschrijving</w:t>
            </w:r>
          </w:p>
        </w:tc>
        <w:tc>
          <w:tcPr>
            <w:tcW w:w="2084"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27FF56AB" w14:textId="77777777">
            <w:pPr>
              <w:pStyle w:val="p-table"/>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093"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09AC986B" w14:textId="77777777">
            <w:pPr>
              <w:pStyle w:val="p-table"/>
              <w:rPr>
                <w:color w:val="000000"/>
                <w:sz w:val="17"/>
              </w:rPr>
            </w:pPr>
            <w:r>
              <w:rPr>
                <w:color w:val="000000"/>
                <w:sz w:val="17"/>
              </w:rPr>
              <w:t>Mutaties Suppletoire begroting september (2)</w:t>
            </w:r>
          </w:p>
        </w:tc>
        <w:tc>
          <w:tcPr>
            <w:tcW w:w="2093"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3D60007C" w14:textId="77777777">
            <w:pPr>
              <w:pStyle w:val="p-table"/>
              <w:rPr>
                <w:color w:val="000000"/>
                <w:sz w:val="17"/>
              </w:rPr>
            </w:pPr>
            <w:r>
              <w:rPr>
                <w:color w:val="000000"/>
                <w:sz w:val="17"/>
              </w:rPr>
              <w:t>Stand suppletoire begroting september (3) = (1) + (2)</w:t>
            </w:r>
          </w:p>
        </w:tc>
      </w:tr>
      <w:tr w:rsidR="006B6965" w14:paraId="6CA21D3F"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31871E0B" w14:textId="77777777">
            <w:pPr>
              <w:pStyle w:val="p-table"/>
              <w:rPr>
                <w:sz w:val="17"/>
              </w:rPr>
            </w:pPr>
            <w:r>
              <w:rPr>
                <w:b/>
                <w:sz w:val="17"/>
              </w:rPr>
              <w:t>1.</w:t>
            </w:r>
          </w:p>
        </w:tc>
        <w:tc>
          <w:tcPr>
            <w:tcW w:w="2754" w:type="dxa"/>
            <w:tcBorders>
              <w:bottom w:val="single" w:color="009EE0" w:sz="2" w:space="0"/>
            </w:tcBorders>
            <w:tcMar>
              <w:top w:w="22" w:type="dxa"/>
              <w:left w:w="28" w:type="dxa"/>
              <w:bottom w:w="22" w:type="dxa"/>
              <w:right w:w="28" w:type="dxa"/>
            </w:tcMar>
          </w:tcPr>
          <w:p w:rsidR="006B6965" w:rsidRDefault="003A166B" w14:paraId="27984A30" w14:textId="77777777">
            <w:pPr>
              <w:pStyle w:val="p-table"/>
              <w:rPr>
                <w:sz w:val="17"/>
              </w:rPr>
            </w:pPr>
            <w:r>
              <w:rPr>
                <w:b/>
                <w:sz w:val="17"/>
              </w:rPr>
              <w:t>Rekening courant RHB 1 januari 2025</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1862E423" w14:textId="77777777">
            <w:pPr>
              <w:pStyle w:val="p-table"/>
              <w:jc w:val="right"/>
              <w:rPr>
                <w:sz w:val="17"/>
              </w:rPr>
            </w:pPr>
            <w:r>
              <w:rPr>
                <w:b/>
                <w:sz w:val="17"/>
              </w:rPr>
              <w:t>1.433.699</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24D6DE3F" w14:textId="77777777">
            <w:pPr>
              <w:pStyle w:val="p-table"/>
              <w:jc w:val="right"/>
              <w:rPr>
                <w:sz w:val="17"/>
              </w:rPr>
            </w:pPr>
            <w:r>
              <w:rPr>
                <w:b/>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6218CDF5" w14:textId="77777777">
            <w:pPr>
              <w:pStyle w:val="p-table"/>
              <w:jc w:val="right"/>
              <w:rPr>
                <w:sz w:val="17"/>
              </w:rPr>
            </w:pPr>
            <w:r>
              <w:rPr>
                <w:b/>
                <w:sz w:val="17"/>
              </w:rPr>
              <w:t>1.433.699</w:t>
            </w:r>
          </w:p>
        </w:tc>
      </w:tr>
      <w:tr w:rsidR="006B6965" w14:paraId="397CBDB7"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2248F3A6"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63B7E139" w14:textId="77777777">
            <w:pPr>
              <w:pStyle w:val="p-table"/>
              <w:rPr>
                <w:sz w:val="17"/>
              </w:rPr>
            </w:pPr>
            <w:r>
              <w:rPr>
                <w:sz w:val="17"/>
              </w:rPr>
              <w:t>Totaal ontvangsten operationele kasstroom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20483135" w14:textId="77777777">
            <w:pPr>
              <w:pStyle w:val="p-table"/>
              <w:jc w:val="right"/>
              <w:rPr>
                <w:sz w:val="17"/>
              </w:rPr>
            </w:pPr>
            <w:r>
              <w:rPr>
                <w:sz w:val="17"/>
              </w:rPr>
              <w:t>4.165.954</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0C948E81" w14:textId="77777777">
            <w:pPr>
              <w:pStyle w:val="p-table"/>
              <w:jc w:val="right"/>
              <w:rPr>
                <w:sz w:val="17"/>
              </w:rPr>
            </w:pPr>
            <w:r>
              <w:rPr>
                <w:sz w:val="17"/>
              </w:rPr>
              <w:t>127.125</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A2BB2F2" w14:textId="77777777">
            <w:pPr>
              <w:pStyle w:val="p-table"/>
              <w:jc w:val="right"/>
              <w:rPr>
                <w:sz w:val="17"/>
              </w:rPr>
            </w:pPr>
            <w:r>
              <w:rPr>
                <w:sz w:val="17"/>
              </w:rPr>
              <w:t>4.293.079</w:t>
            </w:r>
          </w:p>
        </w:tc>
      </w:tr>
      <w:tr w:rsidR="006B6965" w14:paraId="70F1B38C"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0186DA1E"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2D6A7310" w14:textId="77777777">
            <w:pPr>
              <w:pStyle w:val="p-table"/>
              <w:rPr>
                <w:sz w:val="17"/>
              </w:rPr>
            </w:pPr>
            <w:r>
              <w:rPr>
                <w:sz w:val="17"/>
              </w:rPr>
              <w:t>Totaal uitgaven operationele kasstroom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67CCEF33" w14:textId="77777777">
            <w:pPr>
              <w:pStyle w:val="p-table"/>
              <w:jc w:val="right"/>
              <w:rPr>
                <w:sz w:val="17"/>
              </w:rPr>
            </w:pPr>
            <w:r>
              <w:rPr>
                <w:sz w:val="17"/>
              </w:rPr>
              <w:t>‒</w:t>
            </w:r>
            <w:r>
              <w:rPr>
                <w:sz w:val="17"/>
              </w:rPr>
              <w:t xml:space="preserve"> 4.461.880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C015A52" w14:textId="77777777">
            <w:pPr>
              <w:pStyle w:val="p-table"/>
              <w:jc w:val="right"/>
              <w:rPr>
                <w:sz w:val="17"/>
              </w:rPr>
            </w:pPr>
            <w:r>
              <w:rPr>
                <w:sz w:val="17"/>
              </w:rPr>
              <w:t>‒</w:t>
            </w:r>
            <w:r>
              <w:rPr>
                <w:sz w:val="17"/>
              </w:rPr>
              <w:t xml:space="preserve"> 244.331</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1AF2D568" w14:textId="77777777">
            <w:pPr>
              <w:pStyle w:val="p-table"/>
              <w:jc w:val="right"/>
              <w:rPr>
                <w:sz w:val="17"/>
              </w:rPr>
            </w:pPr>
            <w:r>
              <w:rPr>
                <w:sz w:val="17"/>
              </w:rPr>
              <w:t>‒</w:t>
            </w:r>
            <w:r>
              <w:rPr>
                <w:sz w:val="17"/>
              </w:rPr>
              <w:t xml:space="preserve"> 4.706.211</w:t>
            </w:r>
          </w:p>
        </w:tc>
      </w:tr>
      <w:tr w:rsidR="006B6965" w14:paraId="455B0A95"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0381E79E" w14:textId="77777777">
            <w:pPr>
              <w:pStyle w:val="p-table"/>
              <w:rPr>
                <w:sz w:val="17"/>
              </w:rPr>
            </w:pPr>
            <w:r>
              <w:rPr>
                <w:b/>
                <w:sz w:val="17"/>
              </w:rPr>
              <w:t>2.</w:t>
            </w:r>
          </w:p>
        </w:tc>
        <w:tc>
          <w:tcPr>
            <w:tcW w:w="2754" w:type="dxa"/>
            <w:tcBorders>
              <w:bottom w:val="single" w:color="009EE0" w:sz="2" w:space="0"/>
            </w:tcBorders>
            <w:tcMar>
              <w:top w:w="22" w:type="dxa"/>
              <w:left w:w="28" w:type="dxa"/>
              <w:bottom w:w="22" w:type="dxa"/>
              <w:right w:w="28" w:type="dxa"/>
            </w:tcMar>
            <w:vAlign w:val="center"/>
          </w:tcPr>
          <w:p w:rsidR="006B6965" w:rsidRDefault="003A166B" w14:paraId="299F3F4A" w14:textId="77777777">
            <w:pPr>
              <w:pStyle w:val="p-table"/>
              <w:rPr>
                <w:sz w:val="17"/>
              </w:rPr>
            </w:pPr>
            <w:r>
              <w:rPr>
                <w:b/>
                <w:sz w:val="17"/>
              </w:rPr>
              <w:t xml:space="preserve">Totaal </w:t>
            </w:r>
            <w:r>
              <w:rPr>
                <w:b/>
                <w:sz w:val="17"/>
              </w:rPr>
              <w:t>operationele kasstroom</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5D4BB7C6" w14:textId="77777777">
            <w:pPr>
              <w:pStyle w:val="p-table"/>
              <w:jc w:val="right"/>
              <w:rPr>
                <w:sz w:val="17"/>
              </w:rPr>
            </w:pPr>
            <w:r>
              <w:rPr>
                <w:b/>
                <w:sz w:val="17"/>
              </w:rPr>
              <w:t>‒</w:t>
            </w:r>
            <w:r>
              <w:rPr>
                <w:b/>
                <w:sz w:val="17"/>
              </w:rPr>
              <w:t xml:space="preserve"> 295.926</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CD6021E" w14:textId="77777777">
            <w:pPr>
              <w:pStyle w:val="p-table"/>
              <w:jc w:val="right"/>
              <w:rPr>
                <w:sz w:val="17"/>
              </w:rPr>
            </w:pPr>
            <w:r>
              <w:rPr>
                <w:b/>
                <w:sz w:val="17"/>
              </w:rPr>
              <w:t>‒</w:t>
            </w:r>
            <w:r>
              <w:rPr>
                <w:b/>
                <w:sz w:val="17"/>
              </w:rPr>
              <w:t xml:space="preserve"> 117.206</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791C14E8" w14:textId="77777777">
            <w:pPr>
              <w:pStyle w:val="p-table"/>
              <w:jc w:val="right"/>
              <w:rPr>
                <w:sz w:val="17"/>
              </w:rPr>
            </w:pPr>
            <w:r>
              <w:rPr>
                <w:b/>
                <w:sz w:val="17"/>
              </w:rPr>
              <w:t>‒</w:t>
            </w:r>
            <w:r>
              <w:rPr>
                <w:b/>
                <w:sz w:val="17"/>
              </w:rPr>
              <w:t xml:space="preserve"> 413.132</w:t>
            </w:r>
          </w:p>
        </w:tc>
      </w:tr>
      <w:tr w:rsidR="006B6965" w14:paraId="5FB2E396"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50B1CB2C"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4FCC370B" w14:textId="77777777">
            <w:pPr>
              <w:pStyle w:val="p-table"/>
              <w:rPr>
                <w:sz w:val="17"/>
              </w:rPr>
            </w:pPr>
            <w:r>
              <w:rPr>
                <w:sz w:val="17"/>
              </w:rPr>
              <w:t>Totaal investeringen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68687597" w14:textId="77777777">
            <w:pPr>
              <w:pStyle w:val="p-table"/>
              <w:jc w:val="right"/>
              <w:rPr>
                <w:sz w:val="17"/>
              </w:rPr>
            </w:pPr>
            <w:r>
              <w:rPr>
                <w:sz w:val="17"/>
              </w:rPr>
              <w:t>‒</w:t>
            </w:r>
            <w:r>
              <w:rPr>
                <w:sz w:val="17"/>
              </w:rPr>
              <w:t xml:space="preserve"> 57.498</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0A73FE78"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1EF6088E" w14:textId="77777777">
            <w:pPr>
              <w:pStyle w:val="p-table"/>
              <w:jc w:val="right"/>
              <w:rPr>
                <w:sz w:val="17"/>
              </w:rPr>
            </w:pPr>
            <w:r>
              <w:rPr>
                <w:sz w:val="17"/>
              </w:rPr>
              <w:t>‒</w:t>
            </w:r>
            <w:r>
              <w:rPr>
                <w:sz w:val="17"/>
              </w:rPr>
              <w:t xml:space="preserve"> 57.498</w:t>
            </w:r>
          </w:p>
        </w:tc>
      </w:tr>
      <w:tr w:rsidR="006B6965" w14:paraId="71AF35A1"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6CD1CD94"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47C889AC" w14:textId="77777777">
            <w:pPr>
              <w:pStyle w:val="p-table"/>
              <w:rPr>
                <w:sz w:val="17"/>
              </w:rPr>
            </w:pPr>
            <w:r>
              <w:rPr>
                <w:sz w:val="17"/>
              </w:rPr>
              <w:t>Totaal boekwaarde desinvesteringen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73565C54"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53210258"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463BF50" w14:textId="77777777">
            <w:pPr>
              <w:pStyle w:val="p-table"/>
              <w:jc w:val="right"/>
              <w:rPr>
                <w:sz w:val="17"/>
              </w:rPr>
            </w:pPr>
            <w:r>
              <w:rPr>
                <w:sz w:val="17"/>
              </w:rPr>
              <w:t>0</w:t>
            </w:r>
          </w:p>
        </w:tc>
      </w:tr>
      <w:tr w:rsidR="006B6965" w14:paraId="6D006E5E"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69A94BF6" w14:textId="77777777">
            <w:pPr>
              <w:pStyle w:val="p-table"/>
              <w:rPr>
                <w:sz w:val="17"/>
              </w:rPr>
            </w:pPr>
            <w:r>
              <w:rPr>
                <w:b/>
                <w:sz w:val="17"/>
              </w:rPr>
              <w:t>3.</w:t>
            </w:r>
          </w:p>
        </w:tc>
        <w:tc>
          <w:tcPr>
            <w:tcW w:w="2754" w:type="dxa"/>
            <w:tcBorders>
              <w:bottom w:val="single" w:color="009EE0" w:sz="2" w:space="0"/>
            </w:tcBorders>
            <w:tcMar>
              <w:top w:w="22" w:type="dxa"/>
              <w:left w:w="28" w:type="dxa"/>
              <w:bottom w:w="22" w:type="dxa"/>
              <w:right w:w="28" w:type="dxa"/>
            </w:tcMar>
            <w:vAlign w:val="center"/>
          </w:tcPr>
          <w:p w:rsidR="006B6965" w:rsidRDefault="003A166B" w14:paraId="1ED3FA8E" w14:textId="77777777">
            <w:pPr>
              <w:pStyle w:val="p-table"/>
              <w:rPr>
                <w:sz w:val="17"/>
              </w:rPr>
            </w:pPr>
            <w:r>
              <w:rPr>
                <w:b/>
                <w:sz w:val="17"/>
              </w:rPr>
              <w:t>Totaal investeringskasstroom</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453FD96D" w14:textId="77777777">
            <w:pPr>
              <w:pStyle w:val="p-table"/>
              <w:jc w:val="right"/>
              <w:rPr>
                <w:sz w:val="17"/>
              </w:rPr>
            </w:pPr>
            <w:r>
              <w:rPr>
                <w:b/>
                <w:sz w:val="17"/>
              </w:rPr>
              <w:t>‒</w:t>
            </w:r>
            <w:r>
              <w:rPr>
                <w:b/>
                <w:sz w:val="17"/>
              </w:rPr>
              <w:t xml:space="preserve"> 57.498</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D84FB25" w14:textId="77777777">
            <w:pPr>
              <w:pStyle w:val="p-table"/>
              <w:jc w:val="right"/>
              <w:rPr>
                <w:sz w:val="17"/>
              </w:rPr>
            </w:pPr>
            <w:r>
              <w:rPr>
                <w:b/>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1A39E66" w14:textId="77777777">
            <w:pPr>
              <w:pStyle w:val="p-table"/>
              <w:jc w:val="right"/>
              <w:rPr>
                <w:sz w:val="17"/>
              </w:rPr>
            </w:pPr>
            <w:r>
              <w:rPr>
                <w:b/>
                <w:sz w:val="17"/>
              </w:rPr>
              <w:t>‒</w:t>
            </w:r>
            <w:r>
              <w:rPr>
                <w:b/>
                <w:sz w:val="17"/>
              </w:rPr>
              <w:t xml:space="preserve"> 57.498</w:t>
            </w:r>
          </w:p>
        </w:tc>
      </w:tr>
      <w:tr w:rsidR="006B6965" w14:paraId="04EE93B7"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4496F8A5"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6ECDAC61" w14:textId="77777777">
            <w:pPr>
              <w:pStyle w:val="p-table"/>
              <w:rPr>
                <w:sz w:val="17"/>
              </w:rPr>
            </w:pPr>
            <w:r>
              <w:rPr>
                <w:sz w:val="17"/>
              </w:rPr>
              <w:t xml:space="preserve">Eenmalige uitkering aan </w:t>
            </w:r>
            <w:r>
              <w:rPr>
                <w:sz w:val="17"/>
              </w:rPr>
              <w:t>moederdepartement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635AE84B"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18E642E"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EA617DF" w14:textId="77777777">
            <w:pPr>
              <w:pStyle w:val="p-table"/>
              <w:jc w:val="right"/>
              <w:rPr>
                <w:sz w:val="17"/>
              </w:rPr>
            </w:pPr>
            <w:r>
              <w:rPr>
                <w:sz w:val="17"/>
              </w:rPr>
              <w:t>0</w:t>
            </w:r>
          </w:p>
        </w:tc>
      </w:tr>
      <w:tr w:rsidR="006B6965" w14:paraId="6A222B83"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4FA594D1"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1E4AFEC1" w14:textId="77777777">
            <w:pPr>
              <w:pStyle w:val="p-table"/>
              <w:rPr>
                <w:sz w:val="17"/>
              </w:rPr>
            </w:pPr>
            <w:r>
              <w:rPr>
                <w:sz w:val="17"/>
              </w:rPr>
              <w:t>Eenmalige storting door het moederdepartement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3E1BEA03"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4FED3BE5"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5B1FB2FB" w14:textId="77777777">
            <w:pPr>
              <w:pStyle w:val="p-table"/>
              <w:jc w:val="right"/>
              <w:rPr>
                <w:sz w:val="17"/>
              </w:rPr>
            </w:pPr>
            <w:r>
              <w:rPr>
                <w:sz w:val="17"/>
              </w:rPr>
              <w:t>0</w:t>
            </w:r>
          </w:p>
        </w:tc>
      </w:tr>
      <w:tr w:rsidR="006B6965" w14:paraId="03743776"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3BEC22BF"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6CFDD146" w14:textId="77777777">
            <w:pPr>
              <w:pStyle w:val="p-table"/>
              <w:rPr>
                <w:sz w:val="17"/>
              </w:rPr>
            </w:pPr>
            <w:r>
              <w:rPr>
                <w:sz w:val="17"/>
              </w:rPr>
              <w:t>Aflossingen op leningen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60526D1A" w14:textId="77777777">
            <w:pPr>
              <w:pStyle w:val="p-table"/>
              <w:jc w:val="right"/>
              <w:rPr>
                <w:sz w:val="17"/>
              </w:rPr>
            </w:pPr>
            <w:r>
              <w:rPr>
                <w:sz w:val="17"/>
              </w:rPr>
              <w:t>‒</w:t>
            </w:r>
            <w:r>
              <w:rPr>
                <w:sz w:val="17"/>
              </w:rPr>
              <w:t xml:space="preserve"> 15.887</w:t>
            </w:r>
          </w:p>
        </w:tc>
        <w:tc>
          <w:tcPr>
            <w:tcW w:w="2093" w:type="dxa"/>
            <w:tcBorders>
              <w:bottom w:val="single" w:color="009EE0" w:sz="2" w:space="0"/>
            </w:tcBorders>
            <w:tcMar>
              <w:top w:w="22" w:type="dxa"/>
              <w:left w:w="28" w:type="dxa"/>
              <w:bottom w:w="22" w:type="dxa"/>
              <w:right w:w="28" w:type="dxa"/>
            </w:tcMar>
            <w:vAlign w:val="center"/>
          </w:tcPr>
          <w:p w:rsidR="006B6965" w:rsidRDefault="003A166B" w14:paraId="55307641"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F358676" w14:textId="77777777">
            <w:pPr>
              <w:pStyle w:val="p-table"/>
              <w:jc w:val="right"/>
              <w:rPr>
                <w:sz w:val="17"/>
              </w:rPr>
            </w:pPr>
            <w:r>
              <w:rPr>
                <w:sz w:val="17"/>
              </w:rPr>
              <w:t>‒</w:t>
            </w:r>
            <w:r>
              <w:rPr>
                <w:sz w:val="17"/>
              </w:rPr>
              <w:t xml:space="preserve"> 15.887</w:t>
            </w:r>
          </w:p>
        </w:tc>
      </w:tr>
      <w:tr w:rsidR="006B6965" w14:paraId="672FBDAD"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1C804E23"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014244E6" w14:textId="77777777">
            <w:pPr>
              <w:pStyle w:val="p-table"/>
              <w:rPr>
                <w:sz w:val="17"/>
              </w:rPr>
            </w:pPr>
            <w:r>
              <w:rPr>
                <w:sz w:val="17"/>
              </w:rPr>
              <w:t>Beroep op leenfaciliteit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6659D729" w14:textId="77777777">
            <w:pPr>
              <w:pStyle w:val="p-table"/>
              <w:jc w:val="right"/>
              <w:rPr>
                <w:sz w:val="17"/>
              </w:rPr>
            </w:pPr>
            <w:r>
              <w:rPr>
                <w:sz w:val="17"/>
              </w:rPr>
              <w:t>54.623</w:t>
            </w:r>
          </w:p>
        </w:tc>
        <w:tc>
          <w:tcPr>
            <w:tcW w:w="2093" w:type="dxa"/>
            <w:tcBorders>
              <w:bottom w:val="single" w:color="009EE0" w:sz="2" w:space="0"/>
            </w:tcBorders>
            <w:tcMar>
              <w:top w:w="22" w:type="dxa"/>
              <w:left w:w="28" w:type="dxa"/>
              <w:bottom w:w="22" w:type="dxa"/>
              <w:right w:w="28" w:type="dxa"/>
            </w:tcMar>
            <w:vAlign w:val="center"/>
          </w:tcPr>
          <w:p w:rsidR="006B6965" w:rsidRDefault="003A166B" w14:paraId="1FA03529"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B6965" w:rsidRDefault="003A166B" w14:paraId="60242F19" w14:textId="77777777">
            <w:pPr>
              <w:pStyle w:val="p-table"/>
              <w:jc w:val="right"/>
              <w:rPr>
                <w:sz w:val="17"/>
              </w:rPr>
            </w:pPr>
            <w:r>
              <w:rPr>
                <w:sz w:val="17"/>
              </w:rPr>
              <w:t>54.623</w:t>
            </w:r>
          </w:p>
        </w:tc>
      </w:tr>
      <w:tr w:rsidR="006B6965" w14:paraId="4EFC76E6"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2D8C8FC2" w14:textId="77777777">
            <w:pPr>
              <w:pStyle w:val="p-table"/>
              <w:rPr>
                <w:sz w:val="17"/>
              </w:rPr>
            </w:pPr>
            <w:r>
              <w:rPr>
                <w:b/>
                <w:sz w:val="17"/>
              </w:rPr>
              <w:t>4.</w:t>
            </w:r>
          </w:p>
        </w:tc>
        <w:tc>
          <w:tcPr>
            <w:tcW w:w="2754" w:type="dxa"/>
            <w:tcBorders>
              <w:bottom w:val="single" w:color="009EE0" w:sz="2" w:space="0"/>
            </w:tcBorders>
            <w:tcMar>
              <w:top w:w="22" w:type="dxa"/>
              <w:left w:w="28" w:type="dxa"/>
              <w:bottom w:w="22" w:type="dxa"/>
              <w:right w:w="28" w:type="dxa"/>
            </w:tcMar>
            <w:vAlign w:val="center"/>
          </w:tcPr>
          <w:p w:rsidR="006B6965" w:rsidRDefault="003A166B" w14:paraId="0473CD43" w14:textId="77777777">
            <w:pPr>
              <w:pStyle w:val="p-table"/>
              <w:rPr>
                <w:sz w:val="17"/>
              </w:rPr>
            </w:pPr>
            <w:r>
              <w:rPr>
                <w:b/>
                <w:sz w:val="17"/>
              </w:rPr>
              <w:t>Totaal financieringskasstroom</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69963743" w14:textId="77777777">
            <w:pPr>
              <w:pStyle w:val="p-table"/>
              <w:jc w:val="right"/>
              <w:rPr>
                <w:sz w:val="17"/>
              </w:rPr>
            </w:pPr>
            <w:r>
              <w:rPr>
                <w:b/>
                <w:sz w:val="17"/>
              </w:rPr>
              <w:t>38.736</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42D300D2" w14:textId="77777777">
            <w:pPr>
              <w:pStyle w:val="p-table"/>
              <w:jc w:val="right"/>
              <w:rPr>
                <w:sz w:val="17"/>
              </w:rPr>
            </w:pPr>
            <w:r>
              <w:rPr>
                <w:b/>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3D35F51" w14:textId="77777777">
            <w:pPr>
              <w:pStyle w:val="p-table"/>
              <w:jc w:val="right"/>
              <w:rPr>
                <w:sz w:val="17"/>
              </w:rPr>
            </w:pPr>
            <w:r>
              <w:rPr>
                <w:b/>
                <w:sz w:val="17"/>
              </w:rPr>
              <w:t>38.736</w:t>
            </w:r>
          </w:p>
        </w:tc>
      </w:tr>
      <w:tr w:rsidR="006B6965" w14:paraId="332E4558"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466A328A" w14:textId="77777777">
            <w:pPr>
              <w:pStyle w:val="p-table"/>
              <w:rPr>
                <w:sz w:val="17"/>
              </w:rPr>
            </w:pPr>
            <w:r>
              <w:rPr>
                <w:b/>
                <w:sz w:val="17"/>
              </w:rPr>
              <w:t>5.</w:t>
            </w:r>
          </w:p>
        </w:tc>
        <w:tc>
          <w:tcPr>
            <w:tcW w:w="2754" w:type="dxa"/>
            <w:tcBorders>
              <w:bottom w:val="single" w:color="009EE0" w:sz="2" w:space="0"/>
            </w:tcBorders>
            <w:tcMar>
              <w:top w:w="22" w:type="dxa"/>
              <w:left w:w="28" w:type="dxa"/>
              <w:bottom w:w="22" w:type="dxa"/>
              <w:right w:w="28" w:type="dxa"/>
            </w:tcMar>
          </w:tcPr>
          <w:p w:rsidR="006B6965" w:rsidRDefault="003A166B" w14:paraId="7321C1EE" w14:textId="77777777">
            <w:pPr>
              <w:pStyle w:val="p-table"/>
              <w:rPr>
                <w:sz w:val="17"/>
              </w:rPr>
            </w:pPr>
            <w:r>
              <w:rPr>
                <w:b/>
                <w:sz w:val="17"/>
              </w:rPr>
              <w:t>Rekening courant RHB 31 december 2025 (=1+2+3+4)</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7119B394" w14:textId="77777777">
            <w:pPr>
              <w:pStyle w:val="p-table"/>
              <w:jc w:val="right"/>
              <w:rPr>
                <w:sz w:val="17"/>
              </w:rPr>
            </w:pPr>
            <w:r>
              <w:rPr>
                <w:b/>
                <w:sz w:val="17"/>
              </w:rPr>
              <w:t>1.119.011</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020B392B" w14:textId="77777777">
            <w:pPr>
              <w:pStyle w:val="p-table"/>
              <w:jc w:val="right"/>
              <w:rPr>
                <w:sz w:val="17"/>
              </w:rPr>
            </w:pPr>
            <w:r>
              <w:rPr>
                <w:b/>
                <w:sz w:val="17"/>
              </w:rPr>
              <w:t>‒</w:t>
            </w:r>
            <w:r>
              <w:rPr>
                <w:b/>
                <w:sz w:val="17"/>
              </w:rPr>
              <w:t xml:space="preserve"> 117.206</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039CD89A" w14:textId="77777777">
            <w:pPr>
              <w:pStyle w:val="p-table"/>
              <w:jc w:val="right"/>
              <w:rPr>
                <w:sz w:val="17"/>
              </w:rPr>
            </w:pPr>
            <w:r>
              <w:rPr>
                <w:b/>
                <w:sz w:val="17"/>
              </w:rPr>
              <w:t>1.001.805</w:t>
            </w:r>
          </w:p>
        </w:tc>
      </w:tr>
    </w:tbl>
    <w:p w:rsidR="006B6965" w:rsidRDefault="006B6965" w14:paraId="112710B0" w14:textId="77777777">
      <w:pPr>
        <w:pStyle w:val="p-marginbottom"/>
      </w:pPr>
    </w:p>
    <w:p w:rsidR="006B6965" w:rsidRDefault="003A166B" w14:paraId="22B7DE5C" w14:textId="77777777">
      <w:pPr>
        <w:pStyle w:val="header-h1"/>
      </w:pPr>
      <w:r>
        <w:t>Toelichting</w:t>
      </w:r>
    </w:p>
    <w:p w:rsidR="006B6965" w:rsidRDefault="003A166B" w14:paraId="02DA23EA" w14:textId="77777777">
      <w:pPr>
        <w:pStyle w:val="header-h1"/>
      </w:pPr>
      <w:r>
        <w:t>Operationele kasstroom</w:t>
      </w:r>
    </w:p>
    <w:p w:rsidR="006B6965" w:rsidRDefault="003A166B" w14:paraId="05A0717C" w14:textId="77777777">
      <w:pPr>
        <w:pStyle w:val="p"/>
      </w:pPr>
      <w:r>
        <w:t>Hieronder vallen de ontvangsten en uitgaven uit de reguliere bedrijfsvoering.</w:t>
      </w:r>
    </w:p>
    <w:p w:rsidR="006B6965" w:rsidRDefault="003A166B" w14:paraId="772E56FC" w14:textId="77777777">
      <w:pPr>
        <w:pStyle w:val="p"/>
      </w:pPr>
      <w:r>
        <w:t xml:space="preserve">De hogere ontvangsten operationele kasstroom ten </w:t>
      </w:r>
      <w:r>
        <w:t>opzichte van de 1</w:t>
      </w:r>
      <w:r>
        <w:rPr>
          <w:vertAlign w:val="superscript"/>
        </w:rPr>
        <w:t>e</w:t>
      </w:r>
      <w:r>
        <w:t xml:space="preserve"> suppletoire begroting 2025 (€ 127,1 miljoen) worden met name veroorzaakt door de hogere ontvangsten van het moederdepartement. Zie hiervoor ook de toelichting onder «Omzet moederdepartement».</w:t>
      </w:r>
    </w:p>
    <w:p w:rsidR="006B6965" w:rsidRDefault="003A166B" w14:paraId="47CBEBD3" w14:textId="77777777">
      <w:pPr>
        <w:pStyle w:val="p"/>
      </w:pPr>
      <w:r>
        <w:lastRenderedPageBreak/>
        <w:t>De hogere uitgaven operationele kasstroom ten opzichte van de 1</w:t>
      </w:r>
      <w:r>
        <w:rPr>
          <w:vertAlign w:val="superscript"/>
        </w:rPr>
        <w:t>e</w:t>
      </w:r>
      <w:r>
        <w:t xml:space="preserve"> suppletoire begroting 2025 (€ 244,3 miljoen) worden met name veroorzaakt door de hogere Apparaatskosten en Kosten uitbesteed werk en andere externe kosten. Zie hiervoor ook de toelichting onder «Apparaatskosten» en «Kosten uitbesteed werk en andere externe kosten».</w:t>
      </w:r>
    </w:p>
    <w:p w:rsidR="006B6965" w:rsidRDefault="003A166B" w14:paraId="7522CE59" w14:textId="77777777">
      <w:pPr>
        <w:pStyle w:val="section-title-3"/>
      </w:pPr>
      <w:r>
        <w:t>5.2 Agentschap Koninklijk Nederlands Meteorologisch Instituut</w:t>
      </w:r>
    </w:p>
    <w:tbl>
      <w:tblPr>
        <w:tblW w:w="9694" w:type="dxa"/>
        <w:tblInd w:w="-3317" w:type="dxa"/>
        <w:tblCellMar>
          <w:left w:w="10" w:type="dxa"/>
          <w:right w:w="10" w:type="dxa"/>
        </w:tblCellMar>
        <w:tblLook w:val="04A0" w:firstRow="1" w:lastRow="0" w:firstColumn="1" w:lastColumn="0" w:noHBand="0" w:noVBand="1"/>
      </w:tblPr>
      <w:tblGrid>
        <w:gridCol w:w="3877"/>
        <w:gridCol w:w="1939"/>
        <w:gridCol w:w="1939"/>
        <w:gridCol w:w="1939"/>
      </w:tblGrid>
      <w:tr w:rsidR="006B6965" w14:paraId="36BB4E25" w14:textId="77777777">
        <w:tblPrEx>
          <w:tblCellMar>
            <w:top w:w="0" w:type="dxa"/>
            <w:bottom w:w="0" w:type="dxa"/>
          </w:tblCellMar>
        </w:tblPrEx>
        <w:trPr>
          <w:tblHeader/>
        </w:trPr>
        <w:tc>
          <w:tcPr>
            <w:tcW w:w="9180" w:type="dxa"/>
            <w:gridSpan w:val="4"/>
            <w:tcMar>
              <w:top w:w="22" w:type="dxa"/>
              <w:left w:w="113" w:type="dxa"/>
              <w:bottom w:w="22" w:type="dxa"/>
            </w:tcMar>
          </w:tcPr>
          <w:p w:rsidR="006B6965" w:rsidRDefault="003A166B" w14:paraId="53531E39" w14:textId="77777777">
            <w:pPr>
              <w:pStyle w:val="kio2-table-title"/>
            </w:pPr>
            <w:r>
              <w:t>Tabel 27 Exploitatieoverzicht agentschap KNMI Suppletoire begroting september 2025 (bedragen x € 1.000)</w:t>
            </w:r>
          </w:p>
        </w:tc>
      </w:tr>
      <w:tr w:rsidR="006B6965" w14:paraId="5DD3541F"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6B6965" w:rsidRDefault="006B6965" w14:paraId="4AB1A853"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1C934B8D" w14:textId="77777777">
            <w:pPr>
              <w:pStyle w:val="p-table"/>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59C61A11" w14:textId="77777777">
            <w:pPr>
              <w:pStyle w:val="p-table"/>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1FE2E0B5" w14:textId="77777777">
            <w:pPr>
              <w:pStyle w:val="p-table"/>
              <w:rPr>
                <w:color w:val="000000"/>
                <w:sz w:val="17"/>
              </w:rPr>
            </w:pPr>
            <w:r>
              <w:rPr>
                <w:color w:val="000000"/>
                <w:sz w:val="17"/>
              </w:rPr>
              <w:t>Stand suppletoire begroting september (3) = (1) + (2)</w:t>
            </w:r>
          </w:p>
        </w:tc>
      </w:tr>
      <w:tr w:rsidR="006B6965" w14:paraId="47F8728E"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0F4F1756" w14:textId="77777777">
            <w:pPr>
              <w:pStyle w:val="p-table"/>
              <w:rPr>
                <w:sz w:val="17"/>
              </w:rPr>
            </w:pPr>
            <w:r>
              <w:rPr>
                <w:b/>
                <w:sz w:val="17"/>
              </w:rPr>
              <w:t>Baten</w:t>
            </w:r>
          </w:p>
        </w:tc>
        <w:tc>
          <w:tcPr>
            <w:tcW w:w="1836" w:type="dxa"/>
            <w:tcBorders>
              <w:bottom w:val="single" w:color="009EE0" w:sz="2" w:space="0"/>
            </w:tcBorders>
            <w:tcMar>
              <w:top w:w="22" w:type="dxa"/>
              <w:left w:w="28" w:type="dxa"/>
              <w:bottom w:w="22" w:type="dxa"/>
              <w:right w:w="28" w:type="dxa"/>
            </w:tcMar>
          </w:tcPr>
          <w:p w:rsidR="006B6965" w:rsidRDefault="006B6965" w14:paraId="683EEB3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50D1DCC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1E0F31DB" w14:textId="77777777">
            <w:pPr>
              <w:pStyle w:val="p-table"/>
              <w:rPr>
                <w:sz w:val="17"/>
              </w:rPr>
            </w:pPr>
          </w:p>
        </w:tc>
      </w:tr>
      <w:tr w:rsidR="006B6965" w14:paraId="22F9FC33"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214F7CD1" w14:textId="77777777">
            <w:pPr>
              <w:pStyle w:val="p-table"/>
              <w:rPr>
                <w:sz w:val="17"/>
              </w:rPr>
            </w:pPr>
            <w:r>
              <w:rPr>
                <w:sz w:val="17"/>
              </w:rPr>
              <w:t>Omzet</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1741F7E" w14:textId="77777777">
            <w:pPr>
              <w:pStyle w:val="p-table"/>
              <w:jc w:val="right"/>
              <w:rPr>
                <w:sz w:val="17"/>
              </w:rPr>
            </w:pPr>
            <w:r>
              <w:rPr>
                <w:sz w:val="17"/>
              </w:rPr>
              <w:t>121.583</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EE8D5C6" w14:textId="77777777">
            <w:pPr>
              <w:pStyle w:val="p-table"/>
              <w:jc w:val="right"/>
              <w:rPr>
                <w:sz w:val="17"/>
              </w:rPr>
            </w:pPr>
            <w:r>
              <w:rPr>
                <w:sz w:val="17"/>
              </w:rPr>
              <w:t>292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55E0531" w14:textId="77777777">
            <w:pPr>
              <w:pStyle w:val="p-table"/>
              <w:jc w:val="right"/>
              <w:rPr>
                <w:sz w:val="17"/>
              </w:rPr>
            </w:pPr>
            <w:r>
              <w:rPr>
                <w:sz w:val="17"/>
              </w:rPr>
              <w:t>121.875</w:t>
            </w:r>
          </w:p>
        </w:tc>
      </w:tr>
      <w:tr w:rsidR="006B6965" w14:paraId="6424D245"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6B4CEA5F" w14:textId="77777777">
            <w:pPr>
              <w:pStyle w:val="p-table"/>
              <w:rPr>
                <w:sz w:val="17"/>
              </w:rPr>
            </w:pPr>
            <w:r>
              <w:rPr>
                <w:i/>
                <w:sz w:val="17"/>
              </w:rPr>
              <w:t>waarvan omzet moederdepartement</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0C8210C" w14:textId="77777777">
            <w:pPr>
              <w:pStyle w:val="p-table"/>
              <w:jc w:val="right"/>
              <w:rPr>
                <w:sz w:val="17"/>
              </w:rPr>
            </w:pPr>
            <w:r>
              <w:rPr>
                <w:i/>
                <w:sz w:val="17"/>
              </w:rPr>
              <w:t>76.974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8A87771" w14:textId="77777777">
            <w:pPr>
              <w:pStyle w:val="p-table"/>
              <w:jc w:val="right"/>
              <w:rPr>
                <w:sz w:val="17"/>
              </w:rPr>
            </w:pPr>
            <w:r>
              <w:rPr>
                <w:i/>
                <w:sz w:val="17"/>
              </w:rPr>
              <w:t>292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1FAF8BB" w14:textId="77777777">
            <w:pPr>
              <w:pStyle w:val="p-table"/>
              <w:jc w:val="right"/>
              <w:rPr>
                <w:sz w:val="17"/>
              </w:rPr>
            </w:pPr>
            <w:r>
              <w:rPr>
                <w:sz w:val="17"/>
              </w:rPr>
              <w:t>77.266</w:t>
            </w:r>
          </w:p>
        </w:tc>
      </w:tr>
      <w:tr w:rsidR="006B6965" w14:paraId="1A8AC8B0"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73A38954" w14:textId="77777777">
            <w:pPr>
              <w:pStyle w:val="p-table"/>
              <w:rPr>
                <w:sz w:val="17"/>
              </w:rPr>
            </w:pPr>
            <w:r>
              <w:rPr>
                <w:i/>
                <w:sz w:val="17"/>
              </w:rPr>
              <w:t xml:space="preserve">waarvan omzet overige </w:t>
            </w:r>
            <w:r>
              <w:rPr>
                <w:i/>
                <w:sz w:val="17"/>
              </w:rPr>
              <w:t>departementen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3D83F05" w14:textId="77777777">
            <w:pPr>
              <w:pStyle w:val="p-table"/>
              <w:jc w:val="right"/>
              <w:rPr>
                <w:sz w:val="17"/>
              </w:rPr>
            </w:pPr>
            <w:r>
              <w:rPr>
                <w:i/>
                <w:sz w:val="17"/>
              </w:rPr>
              <w:t>5.756</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9F6850B"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15AFC39" w14:textId="77777777">
            <w:pPr>
              <w:pStyle w:val="p-table"/>
              <w:jc w:val="right"/>
              <w:rPr>
                <w:sz w:val="17"/>
              </w:rPr>
            </w:pPr>
            <w:r>
              <w:rPr>
                <w:sz w:val="17"/>
              </w:rPr>
              <w:t>5.756</w:t>
            </w:r>
          </w:p>
        </w:tc>
      </w:tr>
      <w:tr w:rsidR="006B6965" w14:paraId="00ADB87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5941C155" w14:textId="77777777">
            <w:pPr>
              <w:pStyle w:val="p-table"/>
              <w:rPr>
                <w:sz w:val="17"/>
              </w:rPr>
            </w:pPr>
            <w:r>
              <w:rPr>
                <w:i/>
                <w:sz w:val="17"/>
              </w:rPr>
              <w:t>waarvan omzet derden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AA2C477" w14:textId="77777777">
            <w:pPr>
              <w:pStyle w:val="p-table"/>
              <w:jc w:val="right"/>
              <w:rPr>
                <w:sz w:val="17"/>
              </w:rPr>
            </w:pPr>
            <w:r>
              <w:rPr>
                <w:i/>
                <w:sz w:val="17"/>
              </w:rPr>
              <w:t>38.853</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157DEA6"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30562D8" w14:textId="77777777">
            <w:pPr>
              <w:pStyle w:val="p-table"/>
              <w:jc w:val="right"/>
              <w:rPr>
                <w:sz w:val="17"/>
              </w:rPr>
            </w:pPr>
            <w:r>
              <w:rPr>
                <w:sz w:val="17"/>
              </w:rPr>
              <w:t>38.853</w:t>
            </w:r>
          </w:p>
        </w:tc>
      </w:tr>
      <w:tr w:rsidR="006B6965" w14:paraId="6C05388B"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238A3EFE" w14:textId="77777777">
            <w:pPr>
              <w:pStyle w:val="p-table"/>
              <w:rPr>
                <w:sz w:val="17"/>
              </w:rPr>
            </w:pPr>
            <w:r>
              <w:rPr>
                <w:sz w:val="17"/>
              </w:rPr>
              <w:t>Rentebaten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99F62A0" w14:textId="77777777">
            <w:pPr>
              <w:pStyle w:val="p-table"/>
              <w:jc w:val="right"/>
              <w:rPr>
                <w:sz w:val="17"/>
              </w:rPr>
            </w:pPr>
            <w:r>
              <w:rPr>
                <w:sz w:val="17"/>
              </w:rPr>
              <w:t>400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29737F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E4B5B95" w14:textId="77777777">
            <w:pPr>
              <w:pStyle w:val="p-table"/>
              <w:jc w:val="right"/>
              <w:rPr>
                <w:sz w:val="17"/>
              </w:rPr>
            </w:pPr>
            <w:r>
              <w:rPr>
                <w:sz w:val="17"/>
              </w:rPr>
              <w:t>400</w:t>
            </w:r>
          </w:p>
        </w:tc>
      </w:tr>
      <w:tr w:rsidR="006B6965" w14:paraId="734C2B0F"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1F572F66" w14:textId="77777777">
            <w:pPr>
              <w:pStyle w:val="p-table"/>
              <w:rPr>
                <w:sz w:val="17"/>
              </w:rPr>
            </w:pPr>
            <w:r>
              <w:rPr>
                <w:sz w:val="17"/>
              </w:rPr>
              <w:t>Vrijval voorzieningen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EC21C1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7BD905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E57A470" w14:textId="77777777">
            <w:pPr>
              <w:pStyle w:val="p-table"/>
              <w:jc w:val="right"/>
              <w:rPr>
                <w:sz w:val="17"/>
              </w:rPr>
            </w:pPr>
            <w:r>
              <w:rPr>
                <w:sz w:val="17"/>
              </w:rPr>
              <w:t>0</w:t>
            </w:r>
          </w:p>
        </w:tc>
      </w:tr>
      <w:tr w:rsidR="006B6965" w14:paraId="27E5E794"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4C1CDE80" w14:textId="77777777">
            <w:pPr>
              <w:pStyle w:val="p-table"/>
              <w:rPr>
                <w:sz w:val="17"/>
              </w:rPr>
            </w:pPr>
            <w:r>
              <w:rPr>
                <w:sz w:val="17"/>
              </w:rPr>
              <w:t>Bijzondere baten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A90BEA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DEFB51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002D659" w14:textId="77777777">
            <w:pPr>
              <w:pStyle w:val="p-table"/>
              <w:jc w:val="right"/>
              <w:rPr>
                <w:sz w:val="17"/>
              </w:rPr>
            </w:pPr>
            <w:r>
              <w:rPr>
                <w:sz w:val="17"/>
              </w:rPr>
              <w:t>0</w:t>
            </w:r>
          </w:p>
        </w:tc>
      </w:tr>
      <w:tr w:rsidR="006B6965" w14:paraId="52E2C40C"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6B6965" w:rsidRDefault="003A166B" w14:paraId="39F1EB0A" w14:textId="77777777">
            <w:pPr>
              <w:pStyle w:val="p-table"/>
              <w:rPr>
                <w:sz w:val="17"/>
              </w:rPr>
            </w:pPr>
            <w:r>
              <w:rPr>
                <w:b/>
                <w:sz w:val="17"/>
              </w:rPr>
              <w:t>Totaal baten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0D2A30C" w14:textId="77777777">
            <w:pPr>
              <w:pStyle w:val="p-table"/>
              <w:jc w:val="right"/>
              <w:rPr>
                <w:sz w:val="17"/>
              </w:rPr>
            </w:pPr>
            <w:r>
              <w:rPr>
                <w:b/>
                <w:sz w:val="17"/>
              </w:rPr>
              <w:t>121.983</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BC5B09D" w14:textId="77777777">
            <w:pPr>
              <w:pStyle w:val="p-table"/>
              <w:jc w:val="right"/>
              <w:rPr>
                <w:sz w:val="17"/>
              </w:rPr>
            </w:pPr>
            <w:r>
              <w:rPr>
                <w:b/>
                <w:sz w:val="17"/>
              </w:rPr>
              <w:t>292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A156C25" w14:textId="77777777">
            <w:pPr>
              <w:pStyle w:val="p-table"/>
              <w:jc w:val="right"/>
              <w:rPr>
                <w:sz w:val="17"/>
              </w:rPr>
            </w:pPr>
            <w:r>
              <w:rPr>
                <w:sz w:val="17"/>
              </w:rPr>
              <w:t>122.275</w:t>
            </w:r>
          </w:p>
        </w:tc>
      </w:tr>
      <w:tr w:rsidR="006B6965" w14:paraId="27E5694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6B6965" w14:paraId="6087DCD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572F43A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4B440017" w14:textId="77777777">
            <w:pPr>
              <w:pStyle w:val="p-table"/>
              <w:rPr>
                <w:sz w:val="17"/>
              </w:rPr>
            </w:pPr>
          </w:p>
        </w:tc>
        <w:tc>
          <w:tcPr>
            <w:tcW w:w="1836" w:type="dxa"/>
            <w:tcBorders>
              <w:bottom w:val="single" w:color="009EE0" w:sz="2" w:space="0"/>
            </w:tcBorders>
            <w:tcMar>
              <w:top w:w="22" w:type="dxa"/>
              <w:left w:w="28" w:type="dxa"/>
              <w:bottom w:w="22" w:type="dxa"/>
              <w:right w:w="28" w:type="dxa"/>
            </w:tcMar>
            <w:vAlign w:val="bottom"/>
          </w:tcPr>
          <w:p w:rsidR="006B6965" w:rsidRDefault="003A166B" w14:paraId="0AC44DB2" w14:textId="77777777">
            <w:pPr>
              <w:pStyle w:val="p-table"/>
              <w:jc w:val="right"/>
              <w:rPr>
                <w:sz w:val="17"/>
              </w:rPr>
            </w:pPr>
            <w:r>
              <w:rPr>
                <w:sz w:val="17"/>
              </w:rPr>
              <w:t>0</w:t>
            </w:r>
          </w:p>
        </w:tc>
      </w:tr>
      <w:tr w:rsidR="006B6965" w14:paraId="42801C3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27038FF2" w14:textId="77777777">
            <w:pPr>
              <w:pStyle w:val="p-table"/>
              <w:rPr>
                <w:sz w:val="17"/>
              </w:rPr>
            </w:pPr>
            <w:r>
              <w:rPr>
                <w:b/>
                <w:sz w:val="17"/>
              </w:rPr>
              <w:t>Lasten</w:t>
            </w:r>
          </w:p>
        </w:tc>
        <w:tc>
          <w:tcPr>
            <w:tcW w:w="1836" w:type="dxa"/>
            <w:tcBorders>
              <w:bottom w:val="single" w:color="009EE0" w:sz="2" w:space="0"/>
            </w:tcBorders>
            <w:tcMar>
              <w:top w:w="22" w:type="dxa"/>
              <w:left w:w="28" w:type="dxa"/>
              <w:bottom w:w="22" w:type="dxa"/>
              <w:right w:w="28" w:type="dxa"/>
            </w:tcMar>
          </w:tcPr>
          <w:p w:rsidR="006B6965" w:rsidRDefault="006B6965" w14:paraId="4EB60CA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B6965" w:rsidRDefault="006B6965" w14:paraId="390F74E6" w14:textId="77777777">
            <w:pPr>
              <w:pStyle w:val="p-table"/>
              <w:rPr>
                <w:sz w:val="17"/>
              </w:rPr>
            </w:pPr>
          </w:p>
        </w:tc>
        <w:tc>
          <w:tcPr>
            <w:tcW w:w="1836" w:type="dxa"/>
            <w:tcBorders>
              <w:bottom w:val="single" w:color="009EE0" w:sz="2" w:space="0"/>
            </w:tcBorders>
            <w:tcMar>
              <w:top w:w="22" w:type="dxa"/>
              <w:left w:w="28" w:type="dxa"/>
              <w:bottom w:w="22" w:type="dxa"/>
              <w:right w:w="28" w:type="dxa"/>
            </w:tcMar>
            <w:vAlign w:val="bottom"/>
          </w:tcPr>
          <w:p w:rsidR="006B6965" w:rsidRDefault="003A166B" w14:paraId="2104716D" w14:textId="77777777">
            <w:pPr>
              <w:pStyle w:val="p-table"/>
              <w:jc w:val="right"/>
              <w:rPr>
                <w:sz w:val="17"/>
              </w:rPr>
            </w:pPr>
            <w:r>
              <w:rPr>
                <w:sz w:val="17"/>
              </w:rPr>
              <w:t>0</w:t>
            </w:r>
          </w:p>
        </w:tc>
      </w:tr>
      <w:tr w:rsidR="006B6965" w14:paraId="02D1C6E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47C75DF8" w14:textId="77777777">
            <w:pPr>
              <w:pStyle w:val="p-table"/>
              <w:rPr>
                <w:sz w:val="17"/>
              </w:rPr>
            </w:pPr>
            <w:r>
              <w:rPr>
                <w:sz w:val="17"/>
              </w:rPr>
              <w:t>Apparaatskosten</w:t>
            </w:r>
          </w:p>
        </w:tc>
        <w:tc>
          <w:tcPr>
            <w:tcW w:w="1836" w:type="dxa"/>
            <w:tcBorders>
              <w:bottom w:val="single" w:color="009EE0" w:sz="2" w:space="0"/>
            </w:tcBorders>
            <w:tcMar>
              <w:top w:w="22" w:type="dxa"/>
              <w:left w:w="28" w:type="dxa"/>
              <w:bottom w:w="22" w:type="dxa"/>
              <w:right w:w="28" w:type="dxa"/>
            </w:tcMar>
            <w:vAlign w:val="center"/>
          </w:tcPr>
          <w:p w:rsidR="006B6965" w:rsidRDefault="003A166B" w14:paraId="466CD3D3" w14:textId="77777777">
            <w:pPr>
              <w:pStyle w:val="p-table"/>
              <w:jc w:val="right"/>
              <w:rPr>
                <w:sz w:val="17"/>
              </w:rPr>
            </w:pPr>
            <w:r>
              <w:rPr>
                <w:sz w:val="17"/>
              </w:rPr>
              <w:t>102989</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8073299" w14:textId="77777777">
            <w:pPr>
              <w:pStyle w:val="p-table"/>
              <w:jc w:val="right"/>
              <w:rPr>
                <w:sz w:val="17"/>
              </w:rPr>
            </w:pPr>
            <w:r>
              <w:rPr>
                <w:sz w:val="17"/>
              </w:rPr>
              <w:t>1.122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72CF578" w14:textId="77777777">
            <w:pPr>
              <w:pStyle w:val="p-table"/>
              <w:jc w:val="right"/>
              <w:rPr>
                <w:sz w:val="17"/>
              </w:rPr>
            </w:pPr>
            <w:r>
              <w:rPr>
                <w:sz w:val="17"/>
              </w:rPr>
              <w:t>104.111</w:t>
            </w:r>
          </w:p>
        </w:tc>
      </w:tr>
      <w:tr w:rsidR="006B6965" w14:paraId="354BE09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44C92CC4" w14:textId="77777777">
            <w:pPr>
              <w:pStyle w:val="p-table"/>
              <w:rPr>
                <w:sz w:val="17"/>
              </w:rPr>
            </w:pPr>
            <w:r>
              <w:rPr>
                <w:sz w:val="17"/>
              </w:rPr>
              <w:t>- Personele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4C73DA9" w14:textId="77777777">
            <w:pPr>
              <w:pStyle w:val="p-table"/>
              <w:jc w:val="right"/>
              <w:rPr>
                <w:sz w:val="17"/>
              </w:rPr>
            </w:pPr>
            <w:r>
              <w:rPr>
                <w:sz w:val="17"/>
              </w:rPr>
              <w:t>63.796</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A9560CD" w14:textId="77777777">
            <w:pPr>
              <w:pStyle w:val="p-table"/>
              <w:jc w:val="right"/>
              <w:rPr>
                <w:sz w:val="17"/>
              </w:rPr>
            </w:pPr>
            <w:r>
              <w:rPr>
                <w:sz w:val="17"/>
              </w:rPr>
              <w:t>830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FAF5B3B" w14:textId="77777777">
            <w:pPr>
              <w:pStyle w:val="p-table"/>
              <w:jc w:val="right"/>
              <w:rPr>
                <w:sz w:val="17"/>
              </w:rPr>
            </w:pPr>
            <w:r>
              <w:rPr>
                <w:sz w:val="17"/>
              </w:rPr>
              <w:t>64.626</w:t>
            </w:r>
          </w:p>
        </w:tc>
      </w:tr>
      <w:tr w:rsidR="006B6965" w14:paraId="3CB0B13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3AF2F783" w14:textId="77777777">
            <w:pPr>
              <w:pStyle w:val="p-table"/>
              <w:rPr>
                <w:sz w:val="17"/>
              </w:rPr>
            </w:pPr>
            <w:r>
              <w:rPr>
                <w:i/>
                <w:sz w:val="17"/>
              </w:rPr>
              <w:t>waarvan eigen personeel</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60E3874" w14:textId="77777777">
            <w:pPr>
              <w:pStyle w:val="p-table"/>
              <w:jc w:val="right"/>
              <w:rPr>
                <w:sz w:val="17"/>
              </w:rPr>
            </w:pPr>
            <w:r>
              <w:rPr>
                <w:sz w:val="17"/>
              </w:rPr>
              <w:t>58.998</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A988824" w14:textId="77777777">
            <w:pPr>
              <w:pStyle w:val="p-table"/>
              <w:jc w:val="right"/>
              <w:rPr>
                <w:sz w:val="17"/>
              </w:rPr>
            </w:pPr>
            <w:r>
              <w:rPr>
                <w:i/>
                <w:sz w:val="17"/>
              </w:rPr>
              <w:t>884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8ABAA4B" w14:textId="77777777">
            <w:pPr>
              <w:pStyle w:val="p-table"/>
              <w:jc w:val="right"/>
              <w:rPr>
                <w:sz w:val="17"/>
              </w:rPr>
            </w:pPr>
            <w:r>
              <w:rPr>
                <w:sz w:val="17"/>
              </w:rPr>
              <w:t>59.882</w:t>
            </w:r>
          </w:p>
        </w:tc>
      </w:tr>
      <w:tr w:rsidR="006B6965" w14:paraId="1AF20C2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618BB777" w14:textId="77777777">
            <w:pPr>
              <w:pStyle w:val="p-table"/>
              <w:rPr>
                <w:sz w:val="17"/>
              </w:rPr>
            </w:pPr>
            <w:r>
              <w:rPr>
                <w:i/>
                <w:sz w:val="17"/>
              </w:rPr>
              <w:t>waarvan inhuur externen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80A2F50" w14:textId="77777777">
            <w:pPr>
              <w:pStyle w:val="p-table"/>
              <w:jc w:val="right"/>
              <w:rPr>
                <w:sz w:val="17"/>
              </w:rPr>
            </w:pPr>
            <w:r>
              <w:rPr>
                <w:i/>
                <w:sz w:val="17"/>
              </w:rPr>
              <w:t>4.744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9C5FD28"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B8DD35A" w14:textId="77777777">
            <w:pPr>
              <w:pStyle w:val="p-table"/>
              <w:jc w:val="right"/>
              <w:rPr>
                <w:sz w:val="17"/>
              </w:rPr>
            </w:pPr>
            <w:r>
              <w:rPr>
                <w:sz w:val="17"/>
              </w:rPr>
              <w:t>4.744</w:t>
            </w:r>
          </w:p>
        </w:tc>
      </w:tr>
      <w:tr w:rsidR="006B6965" w14:paraId="479A1F7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2C8C939" w14:textId="77777777">
            <w:pPr>
              <w:pStyle w:val="p-table"/>
              <w:rPr>
                <w:sz w:val="17"/>
              </w:rPr>
            </w:pPr>
            <w:r>
              <w:rPr>
                <w:i/>
                <w:sz w:val="17"/>
              </w:rPr>
              <w:t>waarvan overige personele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BDC6B1E" w14:textId="77777777">
            <w:pPr>
              <w:pStyle w:val="p-table"/>
              <w:jc w:val="right"/>
              <w:rPr>
                <w:sz w:val="17"/>
              </w:rPr>
            </w:pPr>
            <w:r>
              <w:rPr>
                <w:i/>
                <w:sz w:val="17"/>
              </w:rPr>
              <w:t>54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2064ED1" w14:textId="77777777">
            <w:pPr>
              <w:pStyle w:val="p-table"/>
              <w:jc w:val="right"/>
              <w:rPr>
                <w:sz w:val="17"/>
              </w:rPr>
            </w:pPr>
            <w:r>
              <w:rPr>
                <w:i/>
                <w:sz w:val="17"/>
              </w:rPr>
              <w:t>‒</w:t>
            </w:r>
            <w:r>
              <w:rPr>
                <w:i/>
                <w:sz w:val="17"/>
              </w:rPr>
              <w:t xml:space="preserve"> 54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70A7793" w14:textId="77777777">
            <w:pPr>
              <w:pStyle w:val="p-table"/>
              <w:jc w:val="right"/>
              <w:rPr>
                <w:sz w:val="17"/>
              </w:rPr>
            </w:pPr>
            <w:r>
              <w:rPr>
                <w:sz w:val="17"/>
              </w:rPr>
              <w:t>0</w:t>
            </w:r>
          </w:p>
        </w:tc>
      </w:tr>
      <w:tr w:rsidR="006B6965" w14:paraId="6D16DF6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7EB5E2A1" w14:textId="77777777">
            <w:pPr>
              <w:pStyle w:val="p-table"/>
              <w:rPr>
                <w:sz w:val="17"/>
              </w:rPr>
            </w:pPr>
            <w:r>
              <w:rPr>
                <w:sz w:val="17"/>
              </w:rPr>
              <w:t>- Materiele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2C448DB" w14:textId="77777777">
            <w:pPr>
              <w:pStyle w:val="p-table"/>
              <w:jc w:val="right"/>
              <w:rPr>
                <w:sz w:val="17"/>
              </w:rPr>
            </w:pPr>
            <w:r>
              <w:rPr>
                <w:sz w:val="17"/>
              </w:rPr>
              <w:t>39.193</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F2BB187" w14:textId="77777777">
            <w:pPr>
              <w:pStyle w:val="p-table"/>
              <w:jc w:val="right"/>
              <w:rPr>
                <w:sz w:val="17"/>
              </w:rPr>
            </w:pPr>
            <w:r>
              <w:rPr>
                <w:sz w:val="17"/>
              </w:rPr>
              <w:t>292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A467C2F" w14:textId="77777777">
            <w:pPr>
              <w:pStyle w:val="p-table"/>
              <w:jc w:val="right"/>
              <w:rPr>
                <w:sz w:val="17"/>
              </w:rPr>
            </w:pPr>
            <w:r>
              <w:rPr>
                <w:sz w:val="17"/>
              </w:rPr>
              <w:t>39.485</w:t>
            </w:r>
          </w:p>
        </w:tc>
      </w:tr>
      <w:tr w:rsidR="006B6965" w14:paraId="301D6D4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218470F2" w14:textId="77777777">
            <w:pPr>
              <w:pStyle w:val="p-table"/>
              <w:rPr>
                <w:sz w:val="17"/>
              </w:rPr>
            </w:pPr>
            <w:r>
              <w:rPr>
                <w:i/>
                <w:sz w:val="17"/>
              </w:rPr>
              <w:t>waarvan apparaat ICT</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0EDAC2F" w14:textId="77777777">
            <w:pPr>
              <w:pStyle w:val="p-table"/>
              <w:jc w:val="right"/>
              <w:rPr>
                <w:sz w:val="17"/>
              </w:rPr>
            </w:pPr>
            <w:r>
              <w:rPr>
                <w:i/>
                <w:sz w:val="17"/>
              </w:rPr>
              <w:t>17.050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8F370B9"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E38478A" w14:textId="77777777">
            <w:pPr>
              <w:pStyle w:val="p-table"/>
              <w:jc w:val="right"/>
              <w:rPr>
                <w:sz w:val="17"/>
              </w:rPr>
            </w:pPr>
            <w:r>
              <w:rPr>
                <w:sz w:val="17"/>
              </w:rPr>
              <w:t>17.050</w:t>
            </w:r>
          </w:p>
        </w:tc>
      </w:tr>
      <w:tr w:rsidR="006B6965" w14:paraId="53E45DA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73F5DEBC" w14:textId="77777777">
            <w:pPr>
              <w:pStyle w:val="p-table"/>
              <w:rPr>
                <w:sz w:val="17"/>
              </w:rPr>
            </w:pPr>
            <w:r>
              <w:rPr>
                <w:i/>
                <w:sz w:val="17"/>
              </w:rPr>
              <w:t xml:space="preserve">waarvan bijdrage aan </w:t>
            </w:r>
            <w:proofErr w:type="spellStart"/>
            <w:r>
              <w:rPr>
                <w:i/>
                <w:sz w:val="17"/>
              </w:rPr>
              <w:t>SSO's</w:t>
            </w:r>
            <w:proofErr w:type="spellEnd"/>
          </w:p>
        </w:tc>
        <w:tc>
          <w:tcPr>
            <w:tcW w:w="1836" w:type="dxa"/>
            <w:tcBorders>
              <w:bottom w:val="single" w:color="009EE0" w:sz="2" w:space="0"/>
            </w:tcBorders>
            <w:tcMar>
              <w:top w:w="22" w:type="dxa"/>
              <w:left w:w="28" w:type="dxa"/>
              <w:bottom w:w="22" w:type="dxa"/>
              <w:right w:w="28" w:type="dxa"/>
            </w:tcMar>
            <w:vAlign w:val="bottom"/>
          </w:tcPr>
          <w:p w:rsidR="006B6965" w:rsidRDefault="003A166B" w14:paraId="3A6EB700" w14:textId="77777777">
            <w:pPr>
              <w:pStyle w:val="p-table"/>
              <w:jc w:val="right"/>
              <w:rPr>
                <w:sz w:val="17"/>
              </w:rPr>
            </w:pPr>
            <w:r>
              <w:rPr>
                <w:i/>
                <w:sz w:val="17"/>
              </w:rPr>
              <w:t>2.298</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46F59A2"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ECE857F" w14:textId="77777777">
            <w:pPr>
              <w:pStyle w:val="p-table"/>
              <w:jc w:val="right"/>
              <w:rPr>
                <w:sz w:val="17"/>
              </w:rPr>
            </w:pPr>
            <w:r>
              <w:rPr>
                <w:sz w:val="17"/>
              </w:rPr>
              <w:t>2.298</w:t>
            </w:r>
          </w:p>
        </w:tc>
      </w:tr>
      <w:tr w:rsidR="006B6965" w14:paraId="774C8E7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7AEAE8D9" w14:textId="77777777">
            <w:pPr>
              <w:pStyle w:val="p-table"/>
              <w:rPr>
                <w:sz w:val="17"/>
              </w:rPr>
            </w:pPr>
            <w:r>
              <w:rPr>
                <w:i/>
                <w:sz w:val="17"/>
              </w:rPr>
              <w:t>waarvan overige materiele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0F3CAB7" w14:textId="77777777">
            <w:pPr>
              <w:pStyle w:val="p-table"/>
              <w:jc w:val="right"/>
              <w:rPr>
                <w:sz w:val="17"/>
              </w:rPr>
            </w:pPr>
            <w:r>
              <w:rPr>
                <w:i/>
                <w:sz w:val="17"/>
              </w:rPr>
              <w:t>19.845</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3B487F3" w14:textId="77777777">
            <w:pPr>
              <w:pStyle w:val="p-table"/>
              <w:jc w:val="right"/>
              <w:rPr>
                <w:sz w:val="17"/>
              </w:rPr>
            </w:pPr>
            <w:r>
              <w:rPr>
                <w:i/>
                <w:sz w:val="17"/>
              </w:rPr>
              <w:t>292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FD05B53" w14:textId="77777777">
            <w:pPr>
              <w:pStyle w:val="p-table"/>
              <w:jc w:val="right"/>
              <w:rPr>
                <w:sz w:val="17"/>
              </w:rPr>
            </w:pPr>
            <w:r>
              <w:rPr>
                <w:sz w:val="17"/>
              </w:rPr>
              <w:t>20.137</w:t>
            </w:r>
          </w:p>
        </w:tc>
      </w:tr>
      <w:tr w:rsidR="006B6965" w14:paraId="522CA2E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4F033DAE" w14:textId="77777777">
            <w:pPr>
              <w:pStyle w:val="p-table"/>
              <w:rPr>
                <w:sz w:val="17"/>
              </w:rPr>
            </w:pPr>
            <w:r>
              <w:rPr>
                <w:sz w:val="17"/>
              </w:rPr>
              <w:t>Kosten uitbesteed werk en andere externe 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A62282F" w14:textId="77777777">
            <w:pPr>
              <w:pStyle w:val="p-table"/>
              <w:jc w:val="right"/>
              <w:rPr>
                <w:sz w:val="17"/>
              </w:rPr>
            </w:pPr>
            <w:r>
              <w:rPr>
                <w:sz w:val="17"/>
              </w:rPr>
              <w:t>22.045</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2AC631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A628FA0" w14:textId="77777777">
            <w:pPr>
              <w:pStyle w:val="p-table"/>
              <w:jc w:val="right"/>
              <w:rPr>
                <w:sz w:val="17"/>
              </w:rPr>
            </w:pPr>
            <w:r>
              <w:rPr>
                <w:sz w:val="17"/>
              </w:rPr>
              <w:t>22.045</w:t>
            </w:r>
          </w:p>
        </w:tc>
      </w:tr>
      <w:tr w:rsidR="006B6965" w14:paraId="3DAEB58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1573219C" w14:textId="77777777">
            <w:pPr>
              <w:pStyle w:val="p-table"/>
              <w:rPr>
                <w:sz w:val="17"/>
              </w:rPr>
            </w:pPr>
            <w:r>
              <w:rPr>
                <w:sz w:val="17"/>
              </w:rPr>
              <w:t>Rentelasten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CDD2A65" w14:textId="77777777">
            <w:pPr>
              <w:pStyle w:val="p-table"/>
              <w:jc w:val="right"/>
              <w:rPr>
                <w:sz w:val="17"/>
              </w:rPr>
            </w:pPr>
            <w:r>
              <w:rPr>
                <w:sz w:val="17"/>
              </w:rPr>
              <w:t>150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BB064E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91B76F0" w14:textId="77777777">
            <w:pPr>
              <w:pStyle w:val="p-table"/>
              <w:jc w:val="right"/>
              <w:rPr>
                <w:sz w:val="17"/>
              </w:rPr>
            </w:pPr>
            <w:r>
              <w:rPr>
                <w:sz w:val="17"/>
              </w:rPr>
              <w:t>150</w:t>
            </w:r>
          </w:p>
        </w:tc>
      </w:tr>
      <w:tr w:rsidR="006B6965" w14:paraId="1922BF3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727785F6" w14:textId="77777777">
            <w:pPr>
              <w:pStyle w:val="p-table"/>
              <w:rPr>
                <w:sz w:val="17"/>
              </w:rPr>
            </w:pPr>
            <w:r>
              <w:rPr>
                <w:sz w:val="17"/>
              </w:rPr>
              <w:t>Afschrijvingskosten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E5B20DB" w14:textId="77777777">
            <w:pPr>
              <w:pStyle w:val="p-table"/>
              <w:jc w:val="right"/>
              <w:rPr>
                <w:sz w:val="17"/>
              </w:rPr>
            </w:pPr>
            <w:r>
              <w:rPr>
                <w:sz w:val="17"/>
              </w:rPr>
              <w:t>1.858</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908606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1663598" w14:textId="77777777">
            <w:pPr>
              <w:pStyle w:val="p-table"/>
              <w:jc w:val="right"/>
              <w:rPr>
                <w:sz w:val="17"/>
              </w:rPr>
            </w:pPr>
            <w:r>
              <w:rPr>
                <w:sz w:val="17"/>
              </w:rPr>
              <w:t>1.858</w:t>
            </w:r>
          </w:p>
        </w:tc>
      </w:tr>
      <w:tr w:rsidR="006B6965" w14:paraId="341F994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650E8741" w14:textId="77777777">
            <w:pPr>
              <w:pStyle w:val="p-table"/>
              <w:rPr>
                <w:sz w:val="17"/>
              </w:rPr>
            </w:pPr>
            <w:r>
              <w:rPr>
                <w:sz w:val="17"/>
              </w:rPr>
              <w:t>- Materieel</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967C67D" w14:textId="77777777">
            <w:pPr>
              <w:pStyle w:val="p-table"/>
              <w:jc w:val="right"/>
              <w:rPr>
                <w:sz w:val="17"/>
              </w:rPr>
            </w:pPr>
            <w:r>
              <w:rPr>
                <w:sz w:val="17"/>
              </w:rPr>
              <w:t>1.740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D36AF9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5FBB36F" w14:textId="77777777">
            <w:pPr>
              <w:pStyle w:val="p-table"/>
              <w:jc w:val="right"/>
              <w:rPr>
                <w:sz w:val="17"/>
              </w:rPr>
            </w:pPr>
            <w:r>
              <w:rPr>
                <w:sz w:val="17"/>
              </w:rPr>
              <w:t>1.740</w:t>
            </w:r>
          </w:p>
        </w:tc>
      </w:tr>
      <w:tr w:rsidR="006B6965" w14:paraId="013E544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3B47ADC7" w14:textId="77777777">
            <w:pPr>
              <w:pStyle w:val="p-table"/>
              <w:rPr>
                <w:sz w:val="17"/>
              </w:rPr>
            </w:pPr>
            <w:r>
              <w:rPr>
                <w:i/>
                <w:sz w:val="17"/>
              </w:rPr>
              <w:t>waarvan apparaat ICT</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7E29099" w14:textId="77777777">
            <w:pPr>
              <w:pStyle w:val="p-table"/>
              <w:jc w:val="right"/>
              <w:rPr>
                <w:sz w:val="17"/>
              </w:rPr>
            </w:pPr>
            <w:r>
              <w:rPr>
                <w:i/>
                <w:sz w:val="17"/>
              </w:rPr>
              <w:t>40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9D2073C"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96C77D7" w14:textId="77777777">
            <w:pPr>
              <w:pStyle w:val="p-table"/>
              <w:jc w:val="right"/>
              <w:rPr>
                <w:sz w:val="17"/>
              </w:rPr>
            </w:pPr>
            <w:r>
              <w:rPr>
                <w:sz w:val="17"/>
              </w:rPr>
              <w:t>40</w:t>
            </w:r>
          </w:p>
        </w:tc>
      </w:tr>
      <w:tr w:rsidR="006B6965" w14:paraId="2241CF2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4F3464E9" w14:textId="77777777">
            <w:pPr>
              <w:pStyle w:val="p-table"/>
              <w:rPr>
                <w:sz w:val="17"/>
              </w:rPr>
            </w:pPr>
            <w:r>
              <w:rPr>
                <w:i/>
                <w:sz w:val="17"/>
              </w:rPr>
              <w:t>waarvan overige materiele afschrijvingskosten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8102A2B" w14:textId="77777777">
            <w:pPr>
              <w:pStyle w:val="p-table"/>
              <w:jc w:val="right"/>
              <w:rPr>
                <w:sz w:val="17"/>
              </w:rPr>
            </w:pPr>
            <w:r>
              <w:rPr>
                <w:i/>
                <w:sz w:val="17"/>
              </w:rPr>
              <w:t>1.699</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F2E8BAA"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07B0BCA6" w14:textId="77777777">
            <w:pPr>
              <w:pStyle w:val="p-table"/>
              <w:jc w:val="right"/>
              <w:rPr>
                <w:sz w:val="17"/>
              </w:rPr>
            </w:pPr>
            <w:r>
              <w:rPr>
                <w:sz w:val="17"/>
              </w:rPr>
              <w:t>1.699</w:t>
            </w:r>
          </w:p>
        </w:tc>
      </w:tr>
      <w:tr w:rsidR="006B6965" w14:paraId="0DF0FC0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1B4AA0A" w14:textId="77777777">
            <w:pPr>
              <w:pStyle w:val="p-table"/>
              <w:rPr>
                <w:sz w:val="17"/>
              </w:rPr>
            </w:pPr>
            <w:r>
              <w:rPr>
                <w:sz w:val="17"/>
              </w:rPr>
              <w:t>- Immaterieel</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AEC152E" w14:textId="77777777">
            <w:pPr>
              <w:pStyle w:val="p-table"/>
              <w:jc w:val="right"/>
              <w:rPr>
                <w:sz w:val="17"/>
              </w:rPr>
            </w:pPr>
            <w:r>
              <w:rPr>
                <w:sz w:val="17"/>
              </w:rPr>
              <w:t>118</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DF54D7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6AAB50F" w14:textId="77777777">
            <w:pPr>
              <w:pStyle w:val="p-table"/>
              <w:jc w:val="right"/>
              <w:rPr>
                <w:sz w:val="17"/>
              </w:rPr>
            </w:pPr>
            <w:r>
              <w:rPr>
                <w:sz w:val="17"/>
              </w:rPr>
              <w:t>118</w:t>
            </w:r>
          </w:p>
        </w:tc>
      </w:tr>
      <w:tr w:rsidR="006B6965" w14:paraId="1852D6C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7100A06E" w14:textId="77777777">
            <w:pPr>
              <w:pStyle w:val="p-table"/>
              <w:rPr>
                <w:sz w:val="17"/>
              </w:rPr>
            </w:pPr>
            <w:r>
              <w:rPr>
                <w:sz w:val="17"/>
              </w:rPr>
              <w:t>Overige 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401795A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3D4B42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2112F5C" w14:textId="77777777">
            <w:pPr>
              <w:pStyle w:val="p-table"/>
              <w:jc w:val="right"/>
              <w:rPr>
                <w:sz w:val="17"/>
              </w:rPr>
            </w:pPr>
            <w:r>
              <w:rPr>
                <w:sz w:val="17"/>
              </w:rPr>
              <w:t>0</w:t>
            </w:r>
          </w:p>
        </w:tc>
      </w:tr>
      <w:tr w:rsidR="006B6965" w14:paraId="485029C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3D0681F6" w14:textId="77777777">
            <w:pPr>
              <w:pStyle w:val="p-table"/>
              <w:rPr>
                <w:sz w:val="17"/>
              </w:rPr>
            </w:pPr>
            <w:r>
              <w:rPr>
                <w:i/>
                <w:sz w:val="17"/>
              </w:rPr>
              <w:t>waarvan dotaties voorzieningen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DB482E6"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10E84CD"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5097EBF" w14:textId="77777777">
            <w:pPr>
              <w:pStyle w:val="p-table"/>
              <w:jc w:val="right"/>
              <w:rPr>
                <w:sz w:val="17"/>
              </w:rPr>
            </w:pPr>
            <w:r>
              <w:rPr>
                <w:sz w:val="17"/>
              </w:rPr>
              <w:t>0</w:t>
            </w:r>
          </w:p>
        </w:tc>
      </w:tr>
      <w:tr w:rsidR="006B6965" w14:paraId="0F48163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46604ABB" w14:textId="77777777">
            <w:pPr>
              <w:pStyle w:val="p-table"/>
              <w:rPr>
                <w:sz w:val="17"/>
              </w:rPr>
            </w:pPr>
            <w:r>
              <w:rPr>
                <w:i/>
                <w:sz w:val="17"/>
              </w:rPr>
              <w:t>waarvan bijzondere 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71FB6AE"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6B02DBF"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FD7A7AA" w14:textId="77777777">
            <w:pPr>
              <w:pStyle w:val="p-table"/>
              <w:jc w:val="right"/>
              <w:rPr>
                <w:sz w:val="17"/>
              </w:rPr>
            </w:pPr>
            <w:r>
              <w:rPr>
                <w:sz w:val="17"/>
              </w:rPr>
              <w:t>0</w:t>
            </w:r>
          </w:p>
        </w:tc>
      </w:tr>
      <w:tr w:rsidR="006B6965" w14:paraId="6A0F06E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B887CAA" w14:textId="77777777">
            <w:pPr>
              <w:pStyle w:val="p-table"/>
              <w:rPr>
                <w:sz w:val="17"/>
              </w:rPr>
            </w:pPr>
            <w:r>
              <w:rPr>
                <w:b/>
                <w:sz w:val="17"/>
              </w:rPr>
              <w:t>Totaal 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E23734E" w14:textId="77777777">
            <w:pPr>
              <w:pStyle w:val="p-table"/>
              <w:jc w:val="right"/>
              <w:rPr>
                <w:sz w:val="17"/>
              </w:rPr>
            </w:pPr>
            <w:r>
              <w:rPr>
                <w:b/>
                <w:sz w:val="17"/>
              </w:rPr>
              <w:t>127.042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10B403E" w14:textId="77777777">
            <w:pPr>
              <w:pStyle w:val="p-table"/>
              <w:jc w:val="right"/>
              <w:rPr>
                <w:sz w:val="17"/>
              </w:rPr>
            </w:pPr>
            <w:r>
              <w:rPr>
                <w:b/>
                <w:sz w:val="17"/>
              </w:rPr>
              <w:t>1.122</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7AC5A3F" w14:textId="77777777">
            <w:pPr>
              <w:pStyle w:val="p-table"/>
              <w:jc w:val="right"/>
              <w:rPr>
                <w:sz w:val="17"/>
              </w:rPr>
            </w:pPr>
            <w:r>
              <w:rPr>
                <w:sz w:val="17"/>
              </w:rPr>
              <w:t>128.164</w:t>
            </w:r>
          </w:p>
        </w:tc>
      </w:tr>
      <w:tr w:rsidR="006B6965" w14:paraId="0594107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5D892BA7" w14:textId="77777777">
            <w:pPr>
              <w:pStyle w:val="p-table"/>
              <w:rPr>
                <w:sz w:val="17"/>
              </w:rPr>
            </w:pPr>
            <w:r>
              <w:rPr>
                <w:b/>
                <w:sz w:val="17"/>
              </w:rPr>
              <w:t xml:space="preserve">Saldo van baten en lasten gewone </w:t>
            </w:r>
            <w:r>
              <w:rPr>
                <w:b/>
                <w:sz w:val="17"/>
              </w:rPr>
              <w:t>bedrijfsuitoefening</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25C8E0A" w14:textId="77777777">
            <w:pPr>
              <w:pStyle w:val="p-table"/>
              <w:jc w:val="right"/>
              <w:rPr>
                <w:sz w:val="17"/>
              </w:rPr>
            </w:pPr>
            <w:r>
              <w:rPr>
                <w:b/>
                <w:sz w:val="17"/>
              </w:rPr>
              <w:t>‒</w:t>
            </w:r>
            <w:r>
              <w:rPr>
                <w:b/>
                <w:sz w:val="17"/>
              </w:rPr>
              <w:t xml:space="preserve"> 5.059</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3C216CF" w14:textId="77777777">
            <w:pPr>
              <w:pStyle w:val="p-table"/>
              <w:jc w:val="right"/>
              <w:rPr>
                <w:sz w:val="17"/>
              </w:rPr>
            </w:pPr>
            <w:r>
              <w:rPr>
                <w:b/>
                <w:sz w:val="17"/>
              </w:rPr>
              <w:t>‒</w:t>
            </w:r>
            <w:r>
              <w:rPr>
                <w:b/>
                <w:sz w:val="17"/>
              </w:rPr>
              <w:t xml:space="preserve"> 830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27F1E2BC" w14:textId="77777777">
            <w:pPr>
              <w:pStyle w:val="p-table"/>
              <w:jc w:val="right"/>
              <w:rPr>
                <w:sz w:val="17"/>
              </w:rPr>
            </w:pPr>
            <w:r>
              <w:rPr>
                <w:sz w:val="17"/>
              </w:rPr>
              <w:t>‒</w:t>
            </w:r>
            <w:r>
              <w:rPr>
                <w:sz w:val="17"/>
              </w:rPr>
              <w:t xml:space="preserve"> 5.889</w:t>
            </w:r>
          </w:p>
        </w:tc>
      </w:tr>
      <w:tr w:rsidR="006B6965" w14:paraId="6E64C9F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1C48EB6B" w14:textId="77777777">
            <w:pPr>
              <w:pStyle w:val="p-table"/>
              <w:rPr>
                <w:sz w:val="17"/>
              </w:rPr>
            </w:pPr>
            <w:r>
              <w:rPr>
                <w:sz w:val="17"/>
              </w:rPr>
              <w:t xml:space="preserve">Agentschapsdeel </w:t>
            </w:r>
            <w:proofErr w:type="spellStart"/>
            <w:r>
              <w:rPr>
                <w:sz w:val="17"/>
              </w:rPr>
              <w:t>Vpb</w:t>
            </w:r>
            <w:proofErr w:type="spellEnd"/>
            <w:r>
              <w:rPr>
                <w:sz w:val="17"/>
              </w:rPr>
              <w:t>-lasten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47C2C35" w14:textId="77777777">
            <w:pPr>
              <w:pStyle w:val="p-table"/>
              <w:jc w:val="right"/>
              <w:rPr>
                <w:sz w:val="17"/>
              </w:rPr>
            </w:pPr>
            <w:r>
              <w:rPr>
                <w:sz w:val="17"/>
              </w:rPr>
              <w:t>45</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1AB8B9E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3BC0CC27" w14:textId="77777777">
            <w:pPr>
              <w:pStyle w:val="p-table"/>
              <w:jc w:val="right"/>
              <w:rPr>
                <w:sz w:val="17"/>
              </w:rPr>
            </w:pPr>
            <w:r>
              <w:rPr>
                <w:sz w:val="17"/>
              </w:rPr>
              <w:t>45</w:t>
            </w:r>
          </w:p>
        </w:tc>
      </w:tr>
      <w:tr w:rsidR="006B6965" w14:paraId="59C207F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6B6965" w:rsidRDefault="003A166B" w14:paraId="2BA4BB62" w14:textId="77777777">
            <w:pPr>
              <w:pStyle w:val="p-table"/>
              <w:rPr>
                <w:sz w:val="17"/>
              </w:rPr>
            </w:pPr>
            <w:r>
              <w:rPr>
                <w:b/>
                <w:sz w:val="17"/>
              </w:rPr>
              <w:t>Saldo van baten en lasten</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69B57059" w14:textId="77777777">
            <w:pPr>
              <w:pStyle w:val="p-table"/>
              <w:jc w:val="right"/>
              <w:rPr>
                <w:sz w:val="17"/>
              </w:rPr>
            </w:pPr>
            <w:r>
              <w:rPr>
                <w:b/>
                <w:sz w:val="17"/>
              </w:rPr>
              <w:t>‒</w:t>
            </w:r>
            <w:r>
              <w:rPr>
                <w:b/>
                <w:sz w:val="17"/>
              </w:rPr>
              <w:t xml:space="preserve"> 5.104</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70A3E6B0" w14:textId="77777777">
            <w:pPr>
              <w:pStyle w:val="p-table"/>
              <w:jc w:val="right"/>
              <w:rPr>
                <w:sz w:val="17"/>
              </w:rPr>
            </w:pPr>
            <w:r>
              <w:rPr>
                <w:b/>
                <w:sz w:val="17"/>
              </w:rPr>
              <w:t>‒</w:t>
            </w:r>
            <w:r>
              <w:rPr>
                <w:b/>
                <w:sz w:val="17"/>
              </w:rPr>
              <w:t xml:space="preserve"> 830</w:t>
            </w:r>
          </w:p>
        </w:tc>
        <w:tc>
          <w:tcPr>
            <w:tcW w:w="1836" w:type="dxa"/>
            <w:tcBorders>
              <w:bottom w:val="single" w:color="009EE0" w:sz="2" w:space="0"/>
            </w:tcBorders>
            <w:tcMar>
              <w:top w:w="22" w:type="dxa"/>
              <w:left w:w="28" w:type="dxa"/>
              <w:bottom w:w="22" w:type="dxa"/>
              <w:right w:w="28" w:type="dxa"/>
            </w:tcMar>
            <w:vAlign w:val="bottom"/>
          </w:tcPr>
          <w:p w:rsidR="006B6965" w:rsidRDefault="003A166B" w14:paraId="5AD5DE67" w14:textId="77777777">
            <w:pPr>
              <w:pStyle w:val="p-table"/>
              <w:jc w:val="right"/>
              <w:rPr>
                <w:sz w:val="17"/>
              </w:rPr>
            </w:pPr>
            <w:r>
              <w:rPr>
                <w:sz w:val="17"/>
              </w:rPr>
              <w:t>‒</w:t>
            </w:r>
            <w:r>
              <w:rPr>
                <w:sz w:val="17"/>
              </w:rPr>
              <w:t xml:space="preserve"> 5.934</w:t>
            </w:r>
          </w:p>
        </w:tc>
      </w:tr>
    </w:tbl>
    <w:p w:rsidR="006B6965" w:rsidRDefault="006B6965" w14:paraId="03B91DFA" w14:textId="77777777">
      <w:pPr>
        <w:pStyle w:val="p-marginbottom"/>
      </w:pPr>
    </w:p>
    <w:p w:rsidR="006B6965" w:rsidRDefault="003A166B" w14:paraId="6FBFA19C" w14:textId="77777777">
      <w:pPr>
        <w:pStyle w:val="header-h1"/>
      </w:pPr>
      <w:r>
        <w:t>Toelichting</w:t>
      </w:r>
    </w:p>
    <w:p w:rsidR="006B6965" w:rsidRDefault="003A166B" w14:paraId="25A7DACE" w14:textId="77777777">
      <w:pPr>
        <w:pStyle w:val="header-h1"/>
      </w:pPr>
      <w:r>
        <w:t>Baten</w:t>
      </w:r>
    </w:p>
    <w:p w:rsidR="006B6965" w:rsidRDefault="003A166B" w14:paraId="3381D180" w14:textId="77777777">
      <w:pPr>
        <w:pStyle w:val="header-h2"/>
      </w:pPr>
      <w:r>
        <w:t>Omzet moederdepartement</w:t>
      </w:r>
    </w:p>
    <w:p w:rsidR="006B6965" w:rsidRDefault="003A166B" w14:paraId="164EEBFA" w14:textId="77777777">
      <w:pPr>
        <w:pStyle w:val="p"/>
      </w:pPr>
      <w:r>
        <w:t>Geen bijzonderheden</w:t>
      </w:r>
    </w:p>
    <w:p w:rsidR="006B6965" w:rsidRDefault="003A166B" w14:paraId="6CBF8C71" w14:textId="77777777">
      <w:pPr>
        <w:pStyle w:val="header-h2"/>
      </w:pPr>
      <w:r>
        <w:lastRenderedPageBreak/>
        <w:t>Omzet overige departementen</w:t>
      </w:r>
    </w:p>
    <w:p w:rsidR="006B6965" w:rsidRDefault="003A166B" w14:paraId="0B7BB4DA" w14:textId="77777777">
      <w:pPr>
        <w:pStyle w:val="p"/>
      </w:pPr>
      <w:r>
        <w:t>Geen bijzonderheden</w:t>
      </w:r>
    </w:p>
    <w:p w:rsidR="006B6965" w:rsidRDefault="003A166B" w14:paraId="23D5D4F5" w14:textId="77777777">
      <w:pPr>
        <w:pStyle w:val="header-h2"/>
      </w:pPr>
      <w:r>
        <w:t xml:space="preserve">Omzet </w:t>
      </w:r>
      <w:r>
        <w:t>derden</w:t>
      </w:r>
    </w:p>
    <w:p w:rsidR="006B6965" w:rsidRDefault="003A166B" w14:paraId="5D577299" w14:textId="77777777">
      <w:pPr>
        <w:pStyle w:val="p"/>
      </w:pPr>
      <w:r>
        <w:t>Geen bijzonderheden</w:t>
      </w:r>
    </w:p>
    <w:p w:rsidR="006B6965" w:rsidRDefault="003A166B" w14:paraId="7ED44F3D" w14:textId="77777777">
      <w:pPr>
        <w:pStyle w:val="header-h2"/>
      </w:pPr>
      <w:r>
        <w:t>Rentebaten</w:t>
      </w:r>
    </w:p>
    <w:p w:rsidR="006B6965" w:rsidRDefault="003A166B" w14:paraId="31F0DA70" w14:textId="77777777">
      <w:pPr>
        <w:pStyle w:val="p"/>
      </w:pPr>
      <w:r>
        <w:t>Geen bijzonderheden.</w:t>
      </w:r>
    </w:p>
    <w:p w:rsidR="006B6965" w:rsidRDefault="003A166B" w14:paraId="7FF8B727" w14:textId="77777777">
      <w:pPr>
        <w:pStyle w:val="header-h1"/>
      </w:pPr>
      <w:r>
        <w:t>Lasten</w:t>
      </w:r>
    </w:p>
    <w:p w:rsidR="006B6965" w:rsidRDefault="003A166B" w14:paraId="0397436A" w14:textId="77777777">
      <w:pPr>
        <w:pStyle w:val="header-h2"/>
      </w:pPr>
      <w:r>
        <w:t>Personele kosten</w:t>
      </w:r>
    </w:p>
    <w:p w:rsidR="006B6965" w:rsidRDefault="003A166B" w14:paraId="5D01F0E1" w14:textId="77777777">
      <w:pPr>
        <w:pStyle w:val="p"/>
      </w:pPr>
      <w:r>
        <w:t>Stijging door gestegen loonkosten als gevolg van de aanpassing verlofsaldo (€ 0,9 miljoen) in 2025.</w:t>
      </w:r>
    </w:p>
    <w:p w:rsidR="006B6965" w:rsidRDefault="003A166B" w14:paraId="2E82CA7F" w14:textId="77777777">
      <w:pPr>
        <w:pStyle w:val="header-h2"/>
      </w:pPr>
      <w:r>
        <w:t>Materiële kosten</w:t>
      </w:r>
    </w:p>
    <w:p w:rsidR="006B6965" w:rsidRDefault="003A166B" w14:paraId="6A9F2D0C" w14:textId="77777777">
      <w:pPr>
        <w:pStyle w:val="p"/>
      </w:pPr>
      <w:r>
        <w:t>Geen bijzonderheden.</w:t>
      </w:r>
    </w:p>
    <w:p w:rsidR="006B6965" w:rsidRDefault="003A166B" w14:paraId="77900710" w14:textId="77777777">
      <w:pPr>
        <w:pStyle w:val="header-h2"/>
      </w:pPr>
      <w:r>
        <w:t>Afschrijvingskosten</w:t>
      </w:r>
    </w:p>
    <w:p w:rsidR="006B6965" w:rsidRDefault="003A166B" w14:paraId="6B6BEB9E" w14:textId="77777777">
      <w:pPr>
        <w:pStyle w:val="p"/>
      </w:pPr>
      <w:r>
        <w:t>Geen bijzonderheden.</w:t>
      </w:r>
    </w:p>
    <w:p w:rsidR="006B6965" w:rsidRDefault="003A166B" w14:paraId="263B0183" w14:textId="77777777">
      <w:pPr>
        <w:pStyle w:val="header-h2"/>
      </w:pPr>
      <w:r>
        <w:t>Overige lasten     </w:t>
      </w:r>
    </w:p>
    <w:p w:rsidR="006B6965" w:rsidRDefault="003A166B" w14:paraId="40B5D4D5" w14:textId="77777777">
      <w:pPr>
        <w:pStyle w:val="p"/>
      </w:pPr>
      <w:r>
        <w:t>Geen bijzonderheden.</w:t>
      </w:r>
    </w:p>
    <w:p w:rsidR="006B6965" w:rsidRDefault="003A166B" w14:paraId="1AB2CBD8" w14:textId="77777777">
      <w:pPr>
        <w:pStyle w:val="header-h2"/>
      </w:pPr>
      <w:r>
        <w:t>Resultaat</w:t>
      </w:r>
    </w:p>
    <w:p w:rsidR="006B6965" w:rsidRDefault="003A166B" w14:paraId="5842D67D" w14:textId="77777777">
      <w:pPr>
        <w:pStyle w:val="p"/>
      </w:pPr>
      <w:r>
        <w:t>Het begrote negatieve resultaat is gedaald van € 5,1 miljoen naar € 5,9 miljoen in 2025.</w:t>
      </w:r>
    </w:p>
    <w:tbl>
      <w:tblPr>
        <w:tblW w:w="9694" w:type="dxa"/>
        <w:tblInd w:w="-3317" w:type="dxa"/>
        <w:tblCellMar>
          <w:left w:w="10" w:type="dxa"/>
          <w:right w:w="10" w:type="dxa"/>
        </w:tblCellMar>
        <w:tblLook w:val="04A0" w:firstRow="1" w:lastRow="0" w:firstColumn="1" w:lastColumn="0" w:noHBand="0" w:noVBand="1"/>
      </w:tblPr>
      <w:tblGrid>
        <w:gridCol w:w="4750"/>
        <w:gridCol w:w="1648"/>
        <w:gridCol w:w="1648"/>
        <w:gridCol w:w="1648"/>
      </w:tblGrid>
      <w:tr w:rsidR="006B6965" w14:paraId="7575E0CA" w14:textId="77777777">
        <w:tblPrEx>
          <w:tblCellMar>
            <w:top w:w="0" w:type="dxa"/>
            <w:bottom w:w="0" w:type="dxa"/>
          </w:tblCellMar>
        </w:tblPrEx>
        <w:trPr>
          <w:tblHeader/>
        </w:trPr>
        <w:tc>
          <w:tcPr>
            <w:tcW w:w="9181" w:type="dxa"/>
            <w:gridSpan w:val="4"/>
            <w:tcMar>
              <w:top w:w="22" w:type="dxa"/>
              <w:left w:w="113" w:type="dxa"/>
              <w:bottom w:w="22" w:type="dxa"/>
            </w:tcMar>
          </w:tcPr>
          <w:p w:rsidR="006B6965" w:rsidRDefault="003A166B" w14:paraId="172B5C05" w14:textId="77777777">
            <w:pPr>
              <w:pStyle w:val="kio2-table-title"/>
            </w:pPr>
            <w:r>
              <w:t>Tabel 28 Nieuwe categorieën van baten (bedragen x € 1.000)</w:t>
            </w:r>
          </w:p>
        </w:tc>
      </w:tr>
      <w:tr w:rsidR="006B6965" w14:paraId="2A069BF9" w14:textId="77777777">
        <w:tblPrEx>
          <w:tblCellMar>
            <w:top w:w="0" w:type="dxa"/>
            <w:bottom w:w="0" w:type="dxa"/>
          </w:tblCellMar>
        </w:tblPrEx>
        <w:trPr>
          <w:tblHeader/>
        </w:trPr>
        <w:tc>
          <w:tcPr>
            <w:tcW w:w="4498" w:type="dxa"/>
            <w:tcBorders>
              <w:top w:val="single" w:color="000000" w:sz="2" w:space="0"/>
              <w:bottom w:val="single" w:color="009EE0" w:sz="2" w:space="0"/>
            </w:tcBorders>
            <w:tcMar>
              <w:top w:w="28" w:type="dxa"/>
              <w:bottom w:w="28" w:type="dxa"/>
              <w:right w:w="28" w:type="dxa"/>
            </w:tcMar>
          </w:tcPr>
          <w:p w:rsidR="006B6965" w:rsidRDefault="003A166B" w14:paraId="463D8F55" w14:textId="77777777">
            <w:pPr>
              <w:pStyle w:val="p-table"/>
              <w:rPr>
                <w:color w:val="000000"/>
                <w:sz w:val="17"/>
              </w:rPr>
            </w:pPr>
            <w:r>
              <w:rPr>
                <w:color w:val="000000"/>
                <w:sz w:val="17"/>
              </w:rPr>
              <w:t>Omschrijving</w:t>
            </w:r>
          </w:p>
        </w:tc>
        <w:tc>
          <w:tcPr>
            <w:tcW w:w="1561"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42B083B9" w14:textId="77777777">
            <w:pPr>
              <w:pStyle w:val="p-table"/>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561"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08BA33DE" w14:textId="77777777">
            <w:pPr>
              <w:pStyle w:val="p-table"/>
              <w:rPr>
                <w:color w:val="000000"/>
                <w:sz w:val="17"/>
              </w:rPr>
            </w:pPr>
            <w:r>
              <w:rPr>
                <w:color w:val="000000"/>
                <w:sz w:val="17"/>
              </w:rPr>
              <w:t>Mutaties Suppletoire begroting september (2)</w:t>
            </w:r>
          </w:p>
        </w:tc>
        <w:tc>
          <w:tcPr>
            <w:tcW w:w="1561"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6A646F16" w14:textId="77777777">
            <w:pPr>
              <w:pStyle w:val="p-table"/>
              <w:rPr>
                <w:color w:val="000000"/>
                <w:sz w:val="17"/>
              </w:rPr>
            </w:pPr>
            <w:r>
              <w:rPr>
                <w:color w:val="000000"/>
                <w:sz w:val="17"/>
              </w:rPr>
              <w:t>Stand suppletoire begroting september (3) = (1) + (2)</w:t>
            </w:r>
          </w:p>
        </w:tc>
      </w:tr>
      <w:tr w:rsidR="006B6965" w14:paraId="5F37B130" w14:textId="77777777">
        <w:tblPrEx>
          <w:tblCellMar>
            <w:top w:w="0" w:type="dxa"/>
            <w:bottom w:w="0" w:type="dxa"/>
          </w:tblCellMar>
        </w:tblPrEx>
        <w:tc>
          <w:tcPr>
            <w:tcW w:w="4498" w:type="dxa"/>
            <w:tcBorders>
              <w:bottom w:val="single" w:color="009EE0" w:sz="2" w:space="0"/>
            </w:tcBorders>
            <w:tcMar>
              <w:top w:w="22" w:type="dxa"/>
              <w:bottom w:w="22" w:type="dxa"/>
              <w:right w:w="28" w:type="dxa"/>
            </w:tcMar>
          </w:tcPr>
          <w:p w:rsidR="006B6965" w:rsidRDefault="006B6965" w14:paraId="5A9A7865"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7309ABD5"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5511EEDB"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2C0537BA" w14:textId="77777777">
            <w:pPr>
              <w:pStyle w:val="p-table"/>
              <w:rPr>
                <w:sz w:val="17"/>
              </w:rPr>
            </w:pPr>
          </w:p>
        </w:tc>
      </w:tr>
      <w:tr w:rsidR="006B6965" w14:paraId="6828AD04" w14:textId="77777777">
        <w:tblPrEx>
          <w:tblCellMar>
            <w:top w:w="0" w:type="dxa"/>
            <w:bottom w:w="0" w:type="dxa"/>
          </w:tblCellMar>
        </w:tblPrEx>
        <w:tc>
          <w:tcPr>
            <w:tcW w:w="4498" w:type="dxa"/>
            <w:tcBorders>
              <w:bottom w:val="single" w:color="009EE0" w:sz="2" w:space="0"/>
            </w:tcBorders>
            <w:tcMar>
              <w:top w:w="22" w:type="dxa"/>
              <w:bottom w:w="22" w:type="dxa"/>
              <w:right w:w="28" w:type="dxa"/>
            </w:tcMar>
          </w:tcPr>
          <w:p w:rsidR="006B6965" w:rsidRDefault="003A166B" w14:paraId="76955760" w14:textId="77777777">
            <w:pPr>
              <w:pStyle w:val="p-table"/>
              <w:rPr>
                <w:sz w:val="17"/>
              </w:rPr>
            </w:pPr>
            <w:r>
              <w:rPr>
                <w:sz w:val="17"/>
              </w:rPr>
              <w:t>Baten als tegenprestatie voor levering van input</w:t>
            </w:r>
          </w:p>
        </w:tc>
        <w:tc>
          <w:tcPr>
            <w:tcW w:w="1561" w:type="dxa"/>
            <w:tcBorders>
              <w:bottom w:val="single" w:color="009EE0" w:sz="2" w:space="0"/>
            </w:tcBorders>
            <w:tcMar>
              <w:top w:w="22" w:type="dxa"/>
              <w:left w:w="28" w:type="dxa"/>
              <w:bottom w:w="22" w:type="dxa"/>
              <w:right w:w="28" w:type="dxa"/>
            </w:tcMar>
          </w:tcPr>
          <w:p w:rsidR="006B6965" w:rsidRDefault="003A166B" w14:paraId="5A45EF04" w14:textId="77777777">
            <w:pPr>
              <w:pStyle w:val="p-table"/>
              <w:jc w:val="right"/>
              <w:rPr>
                <w:sz w:val="17"/>
              </w:rPr>
            </w:pPr>
            <w:r>
              <w:rPr>
                <w:sz w:val="17"/>
              </w:rPr>
              <w:t>121.583</w:t>
            </w:r>
          </w:p>
        </w:tc>
        <w:tc>
          <w:tcPr>
            <w:tcW w:w="1561" w:type="dxa"/>
            <w:tcBorders>
              <w:bottom w:val="single" w:color="009EE0" w:sz="2" w:space="0"/>
            </w:tcBorders>
            <w:tcMar>
              <w:top w:w="22" w:type="dxa"/>
              <w:left w:w="28" w:type="dxa"/>
              <w:bottom w:w="22" w:type="dxa"/>
              <w:right w:w="28" w:type="dxa"/>
            </w:tcMar>
          </w:tcPr>
          <w:p w:rsidR="006B6965" w:rsidRDefault="003A166B" w14:paraId="47EF5115" w14:textId="77777777">
            <w:pPr>
              <w:pStyle w:val="p-table"/>
              <w:jc w:val="right"/>
              <w:rPr>
                <w:sz w:val="17"/>
              </w:rPr>
            </w:pPr>
            <w:r>
              <w:rPr>
                <w:sz w:val="17"/>
              </w:rPr>
              <w:t>292</w:t>
            </w:r>
          </w:p>
        </w:tc>
        <w:tc>
          <w:tcPr>
            <w:tcW w:w="1561" w:type="dxa"/>
            <w:tcBorders>
              <w:bottom w:val="single" w:color="009EE0" w:sz="2" w:space="0"/>
            </w:tcBorders>
            <w:tcMar>
              <w:top w:w="22" w:type="dxa"/>
              <w:left w:w="28" w:type="dxa"/>
              <w:bottom w:w="22" w:type="dxa"/>
              <w:right w:w="28" w:type="dxa"/>
            </w:tcMar>
          </w:tcPr>
          <w:p w:rsidR="006B6965" w:rsidRDefault="003A166B" w14:paraId="43066A4C" w14:textId="77777777">
            <w:pPr>
              <w:pStyle w:val="p-table"/>
              <w:jc w:val="right"/>
              <w:rPr>
                <w:sz w:val="17"/>
              </w:rPr>
            </w:pPr>
            <w:r>
              <w:rPr>
                <w:sz w:val="17"/>
              </w:rPr>
              <w:t>121.875</w:t>
            </w:r>
          </w:p>
        </w:tc>
      </w:tr>
      <w:tr w:rsidR="006B6965" w14:paraId="66D9C560" w14:textId="77777777">
        <w:tblPrEx>
          <w:tblCellMar>
            <w:top w:w="0" w:type="dxa"/>
            <w:bottom w:w="0" w:type="dxa"/>
          </w:tblCellMar>
        </w:tblPrEx>
        <w:tc>
          <w:tcPr>
            <w:tcW w:w="4498" w:type="dxa"/>
            <w:tcBorders>
              <w:bottom w:val="single" w:color="009EE0" w:sz="2" w:space="0"/>
            </w:tcBorders>
            <w:tcMar>
              <w:top w:w="22" w:type="dxa"/>
              <w:bottom w:w="22" w:type="dxa"/>
              <w:right w:w="28" w:type="dxa"/>
            </w:tcMar>
          </w:tcPr>
          <w:p w:rsidR="006B6965" w:rsidRDefault="003A166B" w14:paraId="7B825043" w14:textId="77777777">
            <w:pPr>
              <w:pStyle w:val="p-table"/>
              <w:rPr>
                <w:sz w:val="17"/>
              </w:rPr>
            </w:pPr>
            <w:r>
              <w:rPr>
                <w:i/>
                <w:sz w:val="17"/>
              </w:rPr>
              <w:t xml:space="preserve">waarvan </w:t>
            </w:r>
            <w:r>
              <w:rPr>
                <w:i/>
                <w:sz w:val="17"/>
              </w:rPr>
              <w:t>bijdrage aan basisfinanciering</w:t>
            </w:r>
          </w:p>
        </w:tc>
        <w:tc>
          <w:tcPr>
            <w:tcW w:w="1561" w:type="dxa"/>
            <w:tcBorders>
              <w:bottom w:val="single" w:color="009EE0" w:sz="2" w:space="0"/>
            </w:tcBorders>
            <w:tcMar>
              <w:top w:w="22" w:type="dxa"/>
              <w:left w:w="28" w:type="dxa"/>
              <w:bottom w:w="22" w:type="dxa"/>
              <w:right w:w="28" w:type="dxa"/>
            </w:tcMar>
          </w:tcPr>
          <w:p w:rsidR="006B6965" w:rsidRDefault="006B6965" w14:paraId="514E0410"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38FEBF0B"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3A166B" w14:paraId="1FF3CBAF" w14:textId="77777777">
            <w:pPr>
              <w:pStyle w:val="p-table"/>
              <w:jc w:val="right"/>
              <w:rPr>
                <w:sz w:val="17"/>
              </w:rPr>
            </w:pPr>
            <w:r>
              <w:rPr>
                <w:sz w:val="17"/>
              </w:rPr>
              <w:t>72.274</w:t>
            </w:r>
          </w:p>
        </w:tc>
      </w:tr>
      <w:tr w:rsidR="006B6965" w14:paraId="4414366B" w14:textId="77777777">
        <w:tblPrEx>
          <w:tblCellMar>
            <w:top w:w="0" w:type="dxa"/>
            <w:bottom w:w="0" w:type="dxa"/>
          </w:tblCellMar>
        </w:tblPrEx>
        <w:tc>
          <w:tcPr>
            <w:tcW w:w="4498" w:type="dxa"/>
            <w:tcBorders>
              <w:bottom w:val="single" w:color="009EE0" w:sz="2" w:space="0"/>
            </w:tcBorders>
            <w:tcMar>
              <w:top w:w="22" w:type="dxa"/>
              <w:bottom w:w="22" w:type="dxa"/>
              <w:right w:w="28" w:type="dxa"/>
            </w:tcMar>
          </w:tcPr>
          <w:p w:rsidR="006B6965" w:rsidRDefault="003A166B" w14:paraId="4B75D4AF" w14:textId="77777777">
            <w:pPr>
              <w:pStyle w:val="p-table"/>
              <w:rPr>
                <w:sz w:val="17"/>
              </w:rPr>
            </w:pPr>
            <w:r>
              <w:rPr>
                <w:i/>
                <w:sz w:val="17"/>
              </w:rPr>
              <w:t>waarvan bijdrage aan maatwerk</w:t>
            </w:r>
          </w:p>
        </w:tc>
        <w:tc>
          <w:tcPr>
            <w:tcW w:w="1561" w:type="dxa"/>
            <w:tcBorders>
              <w:bottom w:val="single" w:color="009EE0" w:sz="2" w:space="0"/>
            </w:tcBorders>
            <w:tcMar>
              <w:top w:w="22" w:type="dxa"/>
              <w:left w:w="28" w:type="dxa"/>
              <w:bottom w:w="22" w:type="dxa"/>
              <w:right w:w="28" w:type="dxa"/>
            </w:tcMar>
          </w:tcPr>
          <w:p w:rsidR="006B6965" w:rsidRDefault="006B6965" w14:paraId="026D0B21"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2C50A464"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3A166B" w14:paraId="2CBF5B09" w14:textId="77777777">
            <w:pPr>
              <w:pStyle w:val="p-table"/>
              <w:jc w:val="right"/>
              <w:rPr>
                <w:sz w:val="17"/>
              </w:rPr>
            </w:pPr>
            <w:r>
              <w:rPr>
                <w:sz w:val="17"/>
              </w:rPr>
              <w:t>32.078</w:t>
            </w:r>
          </w:p>
        </w:tc>
      </w:tr>
      <w:tr w:rsidR="006B6965" w14:paraId="3160F386" w14:textId="77777777">
        <w:tblPrEx>
          <w:tblCellMar>
            <w:top w:w="0" w:type="dxa"/>
            <w:bottom w:w="0" w:type="dxa"/>
          </w:tblCellMar>
        </w:tblPrEx>
        <w:tc>
          <w:tcPr>
            <w:tcW w:w="4498" w:type="dxa"/>
            <w:tcBorders>
              <w:bottom w:val="single" w:color="009EE0" w:sz="2" w:space="0"/>
            </w:tcBorders>
            <w:tcMar>
              <w:top w:w="22" w:type="dxa"/>
              <w:bottom w:w="22" w:type="dxa"/>
              <w:right w:w="28" w:type="dxa"/>
            </w:tcMar>
          </w:tcPr>
          <w:p w:rsidR="006B6965" w:rsidRDefault="003A166B" w14:paraId="56789204" w14:textId="77777777">
            <w:pPr>
              <w:pStyle w:val="p-table"/>
              <w:rPr>
                <w:sz w:val="17"/>
              </w:rPr>
            </w:pPr>
            <w:r>
              <w:rPr>
                <w:i/>
                <w:sz w:val="17"/>
              </w:rPr>
              <w:t>waarvan bijdrage aan subsidieprojecten</w:t>
            </w:r>
          </w:p>
        </w:tc>
        <w:tc>
          <w:tcPr>
            <w:tcW w:w="1561" w:type="dxa"/>
            <w:tcBorders>
              <w:bottom w:val="single" w:color="009EE0" w:sz="2" w:space="0"/>
            </w:tcBorders>
            <w:tcMar>
              <w:top w:w="22" w:type="dxa"/>
              <w:left w:w="28" w:type="dxa"/>
              <w:bottom w:w="22" w:type="dxa"/>
              <w:right w:w="28" w:type="dxa"/>
            </w:tcMar>
          </w:tcPr>
          <w:p w:rsidR="006B6965" w:rsidRDefault="006B6965" w14:paraId="6A8699EA"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48CB8684"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3A166B" w14:paraId="42F44DFE" w14:textId="77777777">
            <w:pPr>
              <w:pStyle w:val="p-table"/>
              <w:jc w:val="right"/>
              <w:rPr>
                <w:sz w:val="17"/>
              </w:rPr>
            </w:pPr>
            <w:r>
              <w:rPr>
                <w:sz w:val="17"/>
              </w:rPr>
              <w:t>17.523</w:t>
            </w:r>
          </w:p>
        </w:tc>
      </w:tr>
      <w:tr w:rsidR="006B6965" w14:paraId="650B9F3B" w14:textId="77777777">
        <w:tblPrEx>
          <w:tblCellMar>
            <w:top w:w="0" w:type="dxa"/>
            <w:bottom w:w="0" w:type="dxa"/>
          </w:tblCellMar>
        </w:tblPrEx>
        <w:tc>
          <w:tcPr>
            <w:tcW w:w="4498" w:type="dxa"/>
            <w:tcBorders>
              <w:bottom w:val="single" w:color="009EE0" w:sz="2" w:space="0"/>
            </w:tcBorders>
            <w:tcMar>
              <w:top w:w="22" w:type="dxa"/>
              <w:bottom w:w="22" w:type="dxa"/>
              <w:right w:w="28" w:type="dxa"/>
            </w:tcMar>
          </w:tcPr>
          <w:p w:rsidR="006B6965" w:rsidRDefault="003A166B" w14:paraId="6F6B24E2" w14:textId="77777777">
            <w:pPr>
              <w:pStyle w:val="p-table"/>
              <w:rPr>
                <w:sz w:val="17"/>
              </w:rPr>
            </w:pPr>
            <w:r>
              <w:rPr>
                <w:sz w:val="17"/>
              </w:rPr>
              <w:t>Rentebaten</w:t>
            </w:r>
          </w:p>
        </w:tc>
        <w:tc>
          <w:tcPr>
            <w:tcW w:w="1561" w:type="dxa"/>
            <w:tcBorders>
              <w:bottom w:val="single" w:color="009EE0" w:sz="2" w:space="0"/>
            </w:tcBorders>
            <w:tcMar>
              <w:top w:w="22" w:type="dxa"/>
              <w:left w:w="28" w:type="dxa"/>
              <w:bottom w:w="22" w:type="dxa"/>
              <w:right w:w="28" w:type="dxa"/>
            </w:tcMar>
          </w:tcPr>
          <w:p w:rsidR="006B6965" w:rsidRDefault="003A166B" w14:paraId="7C72DDB2" w14:textId="77777777">
            <w:pPr>
              <w:pStyle w:val="p-table"/>
              <w:jc w:val="right"/>
              <w:rPr>
                <w:sz w:val="17"/>
              </w:rPr>
            </w:pPr>
            <w:r>
              <w:rPr>
                <w:sz w:val="17"/>
              </w:rPr>
              <w:t>400</w:t>
            </w:r>
          </w:p>
        </w:tc>
        <w:tc>
          <w:tcPr>
            <w:tcW w:w="1561" w:type="dxa"/>
            <w:tcBorders>
              <w:bottom w:val="single" w:color="009EE0" w:sz="2" w:space="0"/>
            </w:tcBorders>
            <w:tcMar>
              <w:top w:w="22" w:type="dxa"/>
              <w:left w:w="28" w:type="dxa"/>
              <w:bottom w:w="22" w:type="dxa"/>
              <w:right w:w="28" w:type="dxa"/>
            </w:tcMar>
          </w:tcPr>
          <w:p w:rsidR="006B6965" w:rsidRDefault="006B6965" w14:paraId="5DAFEF92"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3A166B" w14:paraId="4186A242" w14:textId="77777777">
            <w:pPr>
              <w:pStyle w:val="p-table"/>
              <w:jc w:val="right"/>
              <w:rPr>
                <w:sz w:val="17"/>
              </w:rPr>
            </w:pPr>
            <w:r>
              <w:rPr>
                <w:sz w:val="17"/>
              </w:rPr>
              <w:t>400</w:t>
            </w:r>
          </w:p>
        </w:tc>
      </w:tr>
      <w:tr w:rsidR="006B6965" w14:paraId="2D2EDD3B" w14:textId="77777777">
        <w:tblPrEx>
          <w:tblCellMar>
            <w:top w:w="0" w:type="dxa"/>
            <w:bottom w:w="0" w:type="dxa"/>
          </w:tblCellMar>
        </w:tblPrEx>
        <w:tc>
          <w:tcPr>
            <w:tcW w:w="4498" w:type="dxa"/>
            <w:tcBorders>
              <w:bottom w:val="single" w:color="009EE0" w:sz="2" w:space="0"/>
            </w:tcBorders>
            <w:tcMar>
              <w:top w:w="22" w:type="dxa"/>
              <w:bottom w:w="22" w:type="dxa"/>
              <w:right w:w="28" w:type="dxa"/>
            </w:tcMar>
          </w:tcPr>
          <w:p w:rsidR="006B6965" w:rsidRDefault="003A166B" w14:paraId="09E891CC" w14:textId="77777777">
            <w:pPr>
              <w:pStyle w:val="p-table"/>
              <w:rPr>
                <w:sz w:val="17"/>
              </w:rPr>
            </w:pPr>
            <w:r>
              <w:rPr>
                <w:sz w:val="17"/>
              </w:rPr>
              <w:t>Vrijval voorzieningen</w:t>
            </w:r>
          </w:p>
        </w:tc>
        <w:tc>
          <w:tcPr>
            <w:tcW w:w="1561" w:type="dxa"/>
            <w:tcBorders>
              <w:bottom w:val="single" w:color="009EE0" w:sz="2" w:space="0"/>
            </w:tcBorders>
            <w:tcMar>
              <w:top w:w="22" w:type="dxa"/>
              <w:left w:w="28" w:type="dxa"/>
              <w:bottom w:w="22" w:type="dxa"/>
              <w:right w:w="28" w:type="dxa"/>
            </w:tcMar>
          </w:tcPr>
          <w:p w:rsidR="006B6965" w:rsidRDefault="006B6965" w14:paraId="3A2E0026"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11C87EC2"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53B3A0DB" w14:textId="77777777">
            <w:pPr>
              <w:pStyle w:val="p-table"/>
              <w:rPr>
                <w:sz w:val="17"/>
              </w:rPr>
            </w:pPr>
          </w:p>
        </w:tc>
      </w:tr>
      <w:tr w:rsidR="006B6965" w14:paraId="71B9C80E" w14:textId="77777777">
        <w:tblPrEx>
          <w:tblCellMar>
            <w:top w:w="0" w:type="dxa"/>
            <w:bottom w:w="0" w:type="dxa"/>
          </w:tblCellMar>
        </w:tblPrEx>
        <w:tc>
          <w:tcPr>
            <w:tcW w:w="4498" w:type="dxa"/>
            <w:tcBorders>
              <w:bottom w:val="single" w:color="009EE0" w:sz="2" w:space="0"/>
            </w:tcBorders>
            <w:tcMar>
              <w:top w:w="22" w:type="dxa"/>
              <w:bottom w:w="22" w:type="dxa"/>
              <w:right w:w="28" w:type="dxa"/>
            </w:tcMar>
          </w:tcPr>
          <w:p w:rsidR="006B6965" w:rsidRDefault="003A166B" w14:paraId="79E9FAF2" w14:textId="77777777">
            <w:pPr>
              <w:pStyle w:val="p-table"/>
              <w:rPr>
                <w:sz w:val="17"/>
              </w:rPr>
            </w:pPr>
            <w:r>
              <w:rPr>
                <w:sz w:val="17"/>
              </w:rPr>
              <w:t>Bijzondere baten</w:t>
            </w:r>
          </w:p>
        </w:tc>
        <w:tc>
          <w:tcPr>
            <w:tcW w:w="1561" w:type="dxa"/>
            <w:tcBorders>
              <w:bottom w:val="single" w:color="009EE0" w:sz="2" w:space="0"/>
            </w:tcBorders>
            <w:tcMar>
              <w:top w:w="22" w:type="dxa"/>
              <w:left w:w="28" w:type="dxa"/>
              <w:bottom w:w="22" w:type="dxa"/>
              <w:right w:w="28" w:type="dxa"/>
            </w:tcMar>
          </w:tcPr>
          <w:p w:rsidR="006B6965" w:rsidRDefault="006B6965" w14:paraId="204CFFF1"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450374ED" w14:textId="77777777">
            <w:pPr>
              <w:pStyle w:val="p-table"/>
              <w:rPr>
                <w:sz w:val="17"/>
              </w:rPr>
            </w:pPr>
          </w:p>
        </w:tc>
        <w:tc>
          <w:tcPr>
            <w:tcW w:w="1561" w:type="dxa"/>
            <w:tcBorders>
              <w:bottom w:val="single" w:color="009EE0" w:sz="2" w:space="0"/>
            </w:tcBorders>
            <w:tcMar>
              <w:top w:w="22" w:type="dxa"/>
              <w:left w:w="28" w:type="dxa"/>
              <w:bottom w:w="22" w:type="dxa"/>
              <w:right w:w="28" w:type="dxa"/>
            </w:tcMar>
          </w:tcPr>
          <w:p w:rsidR="006B6965" w:rsidRDefault="006B6965" w14:paraId="30A980AA" w14:textId="77777777">
            <w:pPr>
              <w:pStyle w:val="p-table"/>
              <w:rPr>
                <w:sz w:val="17"/>
              </w:rPr>
            </w:pPr>
          </w:p>
        </w:tc>
      </w:tr>
      <w:tr w:rsidR="006B6965" w14:paraId="29895FF3" w14:textId="77777777">
        <w:tblPrEx>
          <w:tblCellMar>
            <w:top w:w="0" w:type="dxa"/>
            <w:bottom w:w="0" w:type="dxa"/>
          </w:tblCellMar>
        </w:tblPrEx>
        <w:tc>
          <w:tcPr>
            <w:tcW w:w="4498" w:type="dxa"/>
            <w:tcBorders>
              <w:bottom w:val="single" w:color="009EE0" w:sz="2" w:space="0"/>
            </w:tcBorders>
            <w:tcMar>
              <w:top w:w="22" w:type="dxa"/>
              <w:bottom w:w="22" w:type="dxa"/>
              <w:right w:w="28" w:type="dxa"/>
            </w:tcMar>
          </w:tcPr>
          <w:p w:rsidR="006B6965" w:rsidRDefault="003A166B" w14:paraId="7F3CBA2B" w14:textId="77777777">
            <w:pPr>
              <w:pStyle w:val="p-table"/>
              <w:rPr>
                <w:sz w:val="17"/>
              </w:rPr>
            </w:pPr>
            <w:r>
              <w:rPr>
                <w:b/>
                <w:sz w:val="17"/>
              </w:rPr>
              <w:t>Totaal baten</w:t>
            </w:r>
          </w:p>
        </w:tc>
        <w:tc>
          <w:tcPr>
            <w:tcW w:w="1561" w:type="dxa"/>
            <w:tcBorders>
              <w:bottom w:val="single" w:color="009EE0" w:sz="2" w:space="0"/>
            </w:tcBorders>
            <w:tcMar>
              <w:top w:w="22" w:type="dxa"/>
              <w:left w:w="28" w:type="dxa"/>
              <w:bottom w:w="22" w:type="dxa"/>
              <w:right w:w="28" w:type="dxa"/>
            </w:tcMar>
          </w:tcPr>
          <w:p w:rsidR="006B6965" w:rsidRDefault="003A166B" w14:paraId="57BEF1D7" w14:textId="77777777">
            <w:pPr>
              <w:pStyle w:val="p-table"/>
              <w:jc w:val="right"/>
              <w:rPr>
                <w:sz w:val="17"/>
              </w:rPr>
            </w:pPr>
            <w:r>
              <w:rPr>
                <w:b/>
                <w:sz w:val="17"/>
              </w:rPr>
              <w:t>121.983</w:t>
            </w:r>
          </w:p>
        </w:tc>
        <w:tc>
          <w:tcPr>
            <w:tcW w:w="1561" w:type="dxa"/>
            <w:tcBorders>
              <w:bottom w:val="single" w:color="009EE0" w:sz="2" w:space="0"/>
            </w:tcBorders>
            <w:tcMar>
              <w:top w:w="22" w:type="dxa"/>
              <w:left w:w="28" w:type="dxa"/>
              <w:bottom w:w="22" w:type="dxa"/>
              <w:right w:w="28" w:type="dxa"/>
            </w:tcMar>
          </w:tcPr>
          <w:p w:rsidR="006B6965" w:rsidRDefault="003A166B" w14:paraId="5350A670" w14:textId="77777777">
            <w:pPr>
              <w:pStyle w:val="p-table"/>
              <w:jc w:val="right"/>
              <w:rPr>
                <w:sz w:val="17"/>
              </w:rPr>
            </w:pPr>
            <w:r>
              <w:rPr>
                <w:b/>
                <w:sz w:val="17"/>
              </w:rPr>
              <w:t>292</w:t>
            </w:r>
          </w:p>
        </w:tc>
        <w:tc>
          <w:tcPr>
            <w:tcW w:w="1561" w:type="dxa"/>
            <w:tcBorders>
              <w:bottom w:val="single" w:color="009EE0" w:sz="2" w:space="0"/>
            </w:tcBorders>
            <w:tcMar>
              <w:top w:w="22" w:type="dxa"/>
              <w:left w:w="28" w:type="dxa"/>
              <w:bottom w:w="22" w:type="dxa"/>
              <w:right w:w="28" w:type="dxa"/>
            </w:tcMar>
          </w:tcPr>
          <w:p w:rsidR="006B6965" w:rsidRDefault="003A166B" w14:paraId="580DEEA7" w14:textId="77777777">
            <w:pPr>
              <w:pStyle w:val="p-table"/>
              <w:jc w:val="right"/>
              <w:rPr>
                <w:sz w:val="17"/>
              </w:rPr>
            </w:pPr>
            <w:r>
              <w:rPr>
                <w:b/>
                <w:sz w:val="17"/>
              </w:rPr>
              <w:t>122.275</w:t>
            </w:r>
          </w:p>
        </w:tc>
      </w:tr>
    </w:tbl>
    <w:p w:rsidR="006B6965" w:rsidRDefault="006B6965" w14:paraId="1632BA9B" w14:textId="77777777">
      <w:pPr>
        <w:pStyle w:val="p-marginbottom"/>
      </w:pPr>
    </w:p>
    <w:p w:rsidR="006B6965" w:rsidRDefault="003A166B" w14:paraId="332D912B" w14:textId="77777777">
      <w:pPr>
        <w:pStyle w:val="p"/>
      </w:pPr>
      <w:r>
        <w:t xml:space="preserve">Per 1 januari 2025 is </w:t>
      </w:r>
      <w:r>
        <w:t>de nieuwe Regeling Agentschappen ingegaan. In 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w:t>
      </w:r>
    </w:p>
    <w:tbl>
      <w:tblPr>
        <w:tblW w:w="9694" w:type="dxa"/>
        <w:tblInd w:w="-3317" w:type="dxa"/>
        <w:tblCellMar>
          <w:left w:w="10" w:type="dxa"/>
          <w:right w:w="10" w:type="dxa"/>
        </w:tblCellMar>
        <w:tblLook w:val="04A0" w:firstRow="1" w:lastRow="0" w:firstColumn="1" w:lastColumn="0" w:noHBand="0" w:noVBand="1"/>
      </w:tblPr>
      <w:tblGrid>
        <w:gridCol w:w="7174"/>
        <w:gridCol w:w="1260"/>
        <w:gridCol w:w="1260"/>
      </w:tblGrid>
      <w:tr w:rsidR="006B6965" w14:paraId="4FAC3D53" w14:textId="77777777">
        <w:tblPrEx>
          <w:tblCellMar>
            <w:top w:w="0" w:type="dxa"/>
            <w:bottom w:w="0" w:type="dxa"/>
          </w:tblCellMar>
        </w:tblPrEx>
        <w:trPr>
          <w:tblHeader/>
        </w:trPr>
        <w:tc>
          <w:tcPr>
            <w:tcW w:w="9179" w:type="dxa"/>
            <w:gridSpan w:val="3"/>
            <w:tcMar>
              <w:top w:w="22" w:type="dxa"/>
              <w:left w:w="113" w:type="dxa"/>
              <w:bottom w:w="22" w:type="dxa"/>
            </w:tcMar>
          </w:tcPr>
          <w:p w:rsidR="006B6965" w:rsidRDefault="003A166B" w14:paraId="7626F5AF" w14:textId="77777777">
            <w:pPr>
              <w:pStyle w:val="kio2-table-title"/>
            </w:pPr>
            <w:r>
              <w:lastRenderedPageBreak/>
              <w:t>Tabel 29 Vertaling van huidige omzetcategorieën naar nieuwe omzetcategorieën (bedragen x € 1.000)</w:t>
            </w:r>
          </w:p>
        </w:tc>
      </w:tr>
      <w:tr w:rsidR="006B6965" w14:paraId="409F46FD" w14:textId="77777777">
        <w:tblPrEx>
          <w:tblCellMar>
            <w:top w:w="0" w:type="dxa"/>
            <w:bottom w:w="0" w:type="dxa"/>
          </w:tblCellMar>
        </w:tblPrEx>
        <w:trPr>
          <w:tblHeader/>
        </w:trPr>
        <w:tc>
          <w:tcPr>
            <w:tcW w:w="6793" w:type="dxa"/>
            <w:tcBorders>
              <w:top w:val="single" w:color="000000" w:sz="2" w:space="0"/>
              <w:bottom w:val="single" w:color="009EE0" w:sz="2" w:space="0"/>
            </w:tcBorders>
            <w:tcMar>
              <w:top w:w="28" w:type="dxa"/>
              <w:bottom w:w="28" w:type="dxa"/>
              <w:right w:w="28" w:type="dxa"/>
            </w:tcMar>
            <w:vAlign w:val="bottom"/>
          </w:tcPr>
          <w:p w:rsidR="006B6965" w:rsidRDefault="003A166B" w14:paraId="1DB971A5" w14:textId="77777777">
            <w:pPr>
              <w:pStyle w:val="p-table"/>
              <w:rPr>
                <w:color w:val="000000"/>
                <w:sz w:val="17"/>
              </w:rPr>
            </w:pPr>
            <w:r>
              <w:rPr>
                <w:color w:val="000000"/>
                <w:sz w:val="17"/>
              </w:rPr>
              <w:t>Omschrijving</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6E498E45" w14:textId="77777777">
            <w:pPr>
              <w:pStyle w:val="p-table"/>
              <w:rPr>
                <w:color w:val="000000"/>
                <w:sz w:val="17"/>
              </w:rPr>
            </w:pPr>
            <w:r>
              <w:rPr>
                <w:color w:val="000000"/>
                <w:sz w:val="17"/>
              </w:rPr>
              <w:t>Baten als tegenprestatie voor levering van input</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6B6965" w:rsidRDefault="003A166B" w14:paraId="16E3EA46" w14:textId="77777777">
            <w:pPr>
              <w:pStyle w:val="p-table"/>
              <w:rPr>
                <w:color w:val="000000"/>
                <w:sz w:val="17"/>
              </w:rPr>
            </w:pPr>
            <w:r>
              <w:rPr>
                <w:color w:val="000000"/>
                <w:sz w:val="17"/>
              </w:rPr>
              <w:t>Totaal omzet</w:t>
            </w:r>
          </w:p>
        </w:tc>
      </w:tr>
      <w:tr w:rsidR="006B6965" w14:paraId="7129ACFE"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6B6965" w:rsidRDefault="003A166B" w14:paraId="39731D4B" w14:textId="77777777">
            <w:pPr>
              <w:pStyle w:val="p-table"/>
              <w:rPr>
                <w:sz w:val="17"/>
              </w:rPr>
            </w:pPr>
            <w:r>
              <w:rPr>
                <w:sz w:val="17"/>
              </w:rPr>
              <w:t>Omzet moederdepartement</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1037A7BB" w14:textId="77777777">
            <w:pPr>
              <w:pStyle w:val="p-table"/>
              <w:jc w:val="right"/>
              <w:rPr>
                <w:sz w:val="17"/>
              </w:rPr>
            </w:pPr>
            <w:r>
              <w:rPr>
                <w:sz w:val="17"/>
              </w:rPr>
              <w:t>77.266</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422A7079" w14:textId="77777777">
            <w:pPr>
              <w:pStyle w:val="p-table"/>
              <w:jc w:val="right"/>
              <w:rPr>
                <w:sz w:val="17"/>
              </w:rPr>
            </w:pPr>
            <w:r>
              <w:rPr>
                <w:b/>
                <w:sz w:val="17"/>
              </w:rPr>
              <w:t>77.266</w:t>
            </w:r>
          </w:p>
        </w:tc>
      </w:tr>
      <w:tr w:rsidR="006B6965" w14:paraId="0D92EDEF"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6B6965" w:rsidRDefault="003A166B" w14:paraId="66DE80B6" w14:textId="77777777">
            <w:pPr>
              <w:pStyle w:val="p-table"/>
              <w:rPr>
                <w:sz w:val="17"/>
              </w:rPr>
            </w:pPr>
            <w:r>
              <w:rPr>
                <w:sz w:val="17"/>
              </w:rPr>
              <w:t>Omzet overige departementen</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00FCAA73" w14:textId="77777777">
            <w:pPr>
              <w:pStyle w:val="p-table"/>
              <w:jc w:val="right"/>
              <w:rPr>
                <w:sz w:val="17"/>
              </w:rPr>
            </w:pPr>
            <w:r>
              <w:rPr>
                <w:sz w:val="17"/>
              </w:rPr>
              <w:t>5.756</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7823B991" w14:textId="77777777">
            <w:pPr>
              <w:pStyle w:val="p-table"/>
              <w:jc w:val="right"/>
              <w:rPr>
                <w:sz w:val="17"/>
              </w:rPr>
            </w:pPr>
            <w:r>
              <w:rPr>
                <w:b/>
                <w:sz w:val="17"/>
              </w:rPr>
              <w:t>5.756</w:t>
            </w:r>
          </w:p>
        </w:tc>
      </w:tr>
      <w:tr w:rsidR="006B6965" w14:paraId="2B4C5C3A"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6B6965" w:rsidRDefault="003A166B" w14:paraId="58BEAB63" w14:textId="77777777">
            <w:pPr>
              <w:pStyle w:val="p-table"/>
              <w:rPr>
                <w:sz w:val="17"/>
              </w:rPr>
            </w:pPr>
            <w:r>
              <w:rPr>
                <w:sz w:val="17"/>
              </w:rPr>
              <w:t>Omzet derden</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25C1CC55" w14:textId="77777777">
            <w:pPr>
              <w:pStyle w:val="p-table"/>
              <w:jc w:val="right"/>
              <w:rPr>
                <w:sz w:val="17"/>
              </w:rPr>
            </w:pPr>
            <w:r>
              <w:rPr>
                <w:sz w:val="17"/>
              </w:rPr>
              <w:t>38.853</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16C8AAC7" w14:textId="77777777">
            <w:pPr>
              <w:pStyle w:val="p-table"/>
              <w:jc w:val="right"/>
              <w:rPr>
                <w:sz w:val="17"/>
              </w:rPr>
            </w:pPr>
            <w:r>
              <w:rPr>
                <w:b/>
                <w:sz w:val="17"/>
              </w:rPr>
              <w:t>38.853</w:t>
            </w:r>
          </w:p>
        </w:tc>
      </w:tr>
      <w:tr w:rsidR="006B6965" w14:paraId="0F20D545"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6B6965" w:rsidRDefault="003A166B" w14:paraId="2B7ADEEF" w14:textId="77777777">
            <w:pPr>
              <w:pStyle w:val="p-table"/>
              <w:rPr>
                <w:sz w:val="17"/>
              </w:rPr>
            </w:pPr>
            <w:r>
              <w:rPr>
                <w:b/>
                <w:sz w:val="17"/>
              </w:rPr>
              <w:t>Totaal baten als tegenpresentatie voor levering van input</w:t>
            </w:r>
          </w:p>
        </w:tc>
        <w:tc>
          <w:tcPr>
            <w:tcW w:w="1193" w:type="dxa"/>
            <w:tcBorders>
              <w:bottom w:val="single" w:color="009EE0" w:sz="2" w:space="0"/>
            </w:tcBorders>
            <w:tcMar>
              <w:top w:w="22" w:type="dxa"/>
              <w:left w:w="28" w:type="dxa"/>
              <w:bottom w:w="22" w:type="dxa"/>
              <w:right w:w="28" w:type="dxa"/>
            </w:tcMar>
            <w:vAlign w:val="bottom"/>
          </w:tcPr>
          <w:p w:rsidR="006B6965" w:rsidRDefault="003A166B" w14:paraId="23C743B4" w14:textId="77777777">
            <w:pPr>
              <w:pStyle w:val="p-table"/>
              <w:jc w:val="right"/>
              <w:rPr>
                <w:sz w:val="17"/>
              </w:rPr>
            </w:pPr>
            <w:r>
              <w:rPr>
                <w:b/>
                <w:sz w:val="17"/>
              </w:rPr>
              <w:t>122.275</w:t>
            </w:r>
          </w:p>
        </w:tc>
        <w:tc>
          <w:tcPr>
            <w:tcW w:w="1193" w:type="dxa"/>
            <w:tcBorders>
              <w:bottom w:val="single" w:color="009EE0" w:sz="2" w:space="0"/>
            </w:tcBorders>
            <w:tcMar>
              <w:top w:w="22" w:type="dxa"/>
              <w:left w:w="28" w:type="dxa"/>
              <w:bottom w:w="22" w:type="dxa"/>
              <w:right w:w="28" w:type="dxa"/>
            </w:tcMar>
          </w:tcPr>
          <w:p w:rsidR="006B6965" w:rsidRDefault="006B6965" w14:paraId="2E7D11CE" w14:textId="77777777">
            <w:pPr>
              <w:pStyle w:val="p-table"/>
              <w:rPr>
                <w:sz w:val="17"/>
              </w:rPr>
            </w:pPr>
          </w:p>
        </w:tc>
      </w:tr>
    </w:tbl>
    <w:p w:rsidR="006B6965" w:rsidRDefault="006B6965" w14:paraId="79A26BD7"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31"/>
        <w:gridCol w:w="2888"/>
        <w:gridCol w:w="2185"/>
        <w:gridCol w:w="2195"/>
        <w:gridCol w:w="2195"/>
      </w:tblGrid>
      <w:tr w:rsidR="006B6965" w14:paraId="6C8F43B8" w14:textId="77777777">
        <w:tblPrEx>
          <w:tblCellMar>
            <w:top w:w="0" w:type="dxa"/>
            <w:bottom w:w="0" w:type="dxa"/>
          </w:tblCellMar>
        </w:tblPrEx>
        <w:trPr>
          <w:tblHeader/>
        </w:trPr>
        <w:tc>
          <w:tcPr>
            <w:tcW w:w="9180" w:type="dxa"/>
            <w:gridSpan w:val="5"/>
            <w:tcMar>
              <w:top w:w="22" w:type="dxa"/>
              <w:left w:w="113" w:type="dxa"/>
              <w:bottom w:w="22" w:type="dxa"/>
            </w:tcMar>
          </w:tcPr>
          <w:p w:rsidR="006B6965" w:rsidRDefault="003A166B" w14:paraId="671004A6" w14:textId="77777777">
            <w:pPr>
              <w:pStyle w:val="kio2-table-title"/>
            </w:pPr>
            <w:r>
              <w:t>Tabel 30 Kasstroomoverzicht agentschap KNMI Suppletoire begroting september 2025 (bedragen x € 1.000)</w:t>
            </w:r>
          </w:p>
        </w:tc>
      </w:tr>
      <w:tr w:rsidR="006B6965" w14:paraId="71AC4902" w14:textId="77777777">
        <w:tblPrEx>
          <w:tblCellMar>
            <w:top w:w="0" w:type="dxa"/>
            <w:bottom w:w="0" w:type="dxa"/>
          </w:tblCellMar>
        </w:tblPrEx>
        <w:trPr>
          <w:tblHeader/>
        </w:trPr>
        <w:tc>
          <w:tcPr>
            <w:tcW w:w="156" w:type="dxa"/>
            <w:tcBorders>
              <w:top w:val="single" w:color="000000" w:sz="2" w:space="0"/>
              <w:bottom w:val="single" w:color="009EE0" w:sz="2" w:space="0"/>
            </w:tcBorders>
            <w:tcMar>
              <w:top w:w="28" w:type="dxa"/>
              <w:bottom w:w="28" w:type="dxa"/>
              <w:right w:w="28" w:type="dxa"/>
            </w:tcMar>
          </w:tcPr>
          <w:p w:rsidR="006B6965" w:rsidRDefault="006B6965" w14:paraId="4F25EDDE"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tcPr>
          <w:p w:rsidR="006B6965" w:rsidRDefault="003A166B" w14:paraId="7D233995" w14:textId="77777777">
            <w:pPr>
              <w:pStyle w:val="p-table"/>
              <w:rPr>
                <w:color w:val="000000"/>
                <w:sz w:val="17"/>
              </w:rPr>
            </w:pPr>
            <w:r>
              <w:rPr>
                <w:color w:val="000000"/>
                <w:sz w:val="17"/>
              </w:rPr>
              <w:t>Omschrijving</w:t>
            </w:r>
          </w:p>
        </w:tc>
        <w:tc>
          <w:tcPr>
            <w:tcW w:w="2084"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4B650476" w14:textId="77777777">
            <w:pPr>
              <w:pStyle w:val="p-table"/>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093"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7D68FC1A" w14:textId="77777777">
            <w:pPr>
              <w:pStyle w:val="p-table"/>
              <w:rPr>
                <w:color w:val="000000"/>
                <w:sz w:val="17"/>
              </w:rPr>
            </w:pPr>
            <w:r>
              <w:rPr>
                <w:color w:val="000000"/>
                <w:sz w:val="17"/>
              </w:rPr>
              <w:t>Mutaties Suppletoire begroting september (2)</w:t>
            </w:r>
          </w:p>
        </w:tc>
        <w:tc>
          <w:tcPr>
            <w:tcW w:w="2093" w:type="dxa"/>
            <w:tcBorders>
              <w:top w:val="single" w:color="000000" w:sz="2" w:space="0"/>
              <w:bottom w:val="single" w:color="009EE0" w:sz="2" w:space="0"/>
            </w:tcBorders>
            <w:tcMar>
              <w:top w:w="28" w:type="dxa"/>
              <w:left w:w="28" w:type="dxa"/>
              <w:bottom w:w="28" w:type="dxa"/>
              <w:right w:w="28" w:type="dxa"/>
            </w:tcMar>
            <w:vAlign w:val="center"/>
          </w:tcPr>
          <w:p w:rsidR="006B6965" w:rsidRDefault="003A166B" w14:paraId="3F9C7E76" w14:textId="77777777">
            <w:pPr>
              <w:pStyle w:val="p-table"/>
              <w:rPr>
                <w:color w:val="000000"/>
                <w:sz w:val="17"/>
              </w:rPr>
            </w:pPr>
            <w:r>
              <w:rPr>
                <w:color w:val="000000"/>
                <w:sz w:val="17"/>
              </w:rPr>
              <w:t xml:space="preserve">Stand </w:t>
            </w:r>
            <w:r>
              <w:rPr>
                <w:color w:val="000000"/>
                <w:sz w:val="17"/>
              </w:rPr>
              <w:t>suppletoire begroting september (3) = (1) + (2)</w:t>
            </w:r>
          </w:p>
        </w:tc>
      </w:tr>
      <w:tr w:rsidR="006B6965" w14:paraId="6C07BB1F"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7979D140" w14:textId="77777777">
            <w:pPr>
              <w:pStyle w:val="p-table"/>
              <w:rPr>
                <w:sz w:val="17"/>
              </w:rPr>
            </w:pPr>
            <w:r>
              <w:rPr>
                <w:b/>
                <w:sz w:val="17"/>
              </w:rPr>
              <w:t>1.</w:t>
            </w:r>
          </w:p>
        </w:tc>
        <w:tc>
          <w:tcPr>
            <w:tcW w:w="2754" w:type="dxa"/>
            <w:tcBorders>
              <w:bottom w:val="single" w:color="009EE0" w:sz="2" w:space="0"/>
            </w:tcBorders>
            <w:tcMar>
              <w:top w:w="22" w:type="dxa"/>
              <w:left w:w="28" w:type="dxa"/>
              <w:bottom w:w="22" w:type="dxa"/>
              <w:right w:w="28" w:type="dxa"/>
            </w:tcMar>
          </w:tcPr>
          <w:p w:rsidR="006B6965" w:rsidRDefault="003A166B" w14:paraId="515D8A72" w14:textId="77777777">
            <w:pPr>
              <w:pStyle w:val="p-table"/>
              <w:rPr>
                <w:sz w:val="17"/>
              </w:rPr>
            </w:pPr>
            <w:r>
              <w:rPr>
                <w:b/>
                <w:sz w:val="17"/>
              </w:rPr>
              <w:t>Rekening courant RHB 1 januari 2025</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0C951D8B" w14:textId="77777777">
            <w:pPr>
              <w:pStyle w:val="p-table"/>
              <w:jc w:val="right"/>
              <w:rPr>
                <w:sz w:val="17"/>
              </w:rPr>
            </w:pPr>
            <w:r>
              <w:rPr>
                <w:b/>
                <w:sz w:val="17"/>
              </w:rPr>
              <w:t>14.413</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4F9B2713" w14:textId="77777777">
            <w:pPr>
              <w:pStyle w:val="p-table"/>
              <w:jc w:val="right"/>
              <w:rPr>
                <w:sz w:val="17"/>
              </w:rPr>
            </w:pPr>
            <w:r>
              <w:rPr>
                <w:b/>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0E36EBFB" w14:textId="77777777">
            <w:pPr>
              <w:pStyle w:val="p-table"/>
              <w:jc w:val="right"/>
              <w:rPr>
                <w:sz w:val="17"/>
              </w:rPr>
            </w:pPr>
            <w:r>
              <w:rPr>
                <w:b/>
                <w:sz w:val="17"/>
              </w:rPr>
              <w:t>14.413</w:t>
            </w:r>
          </w:p>
        </w:tc>
      </w:tr>
      <w:tr w:rsidR="006B6965" w14:paraId="7F6D7F06"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7FA28447"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18B986EA" w14:textId="77777777">
            <w:pPr>
              <w:pStyle w:val="p-table"/>
              <w:rPr>
                <w:sz w:val="17"/>
              </w:rPr>
            </w:pPr>
            <w:r>
              <w:rPr>
                <w:sz w:val="17"/>
              </w:rPr>
              <w:t>Totaal ontvangsten operationele kasstroom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207980DF" w14:textId="77777777">
            <w:pPr>
              <w:pStyle w:val="p-table"/>
              <w:jc w:val="right"/>
              <w:rPr>
                <w:sz w:val="17"/>
              </w:rPr>
            </w:pPr>
            <w:r>
              <w:rPr>
                <w:sz w:val="17"/>
              </w:rPr>
              <w:t>5.023</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7051B7E3" w14:textId="77777777">
            <w:pPr>
              <w:pStyle w:val="p-table"/>
              <w:jc w:val="right"/>
              <w:rPr>
                <w:sz w:val="17"/>
              </w:rPr>
            </w:pPr>
            <w:r>
              <w:rPr>
                <w:sz w:val="17"/>
              </w:rPr>
              <w:t>2.967</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0A08673F" w14:textId="77777777">
            <w:pPr>
              <w:pStyle w:val="p-table"/>
              <w:jc w:val="right"/>
              <w:rPr>
                <w:sz w:val="17"/>
              </w:rPr>
            </w:pPr>
            <w:r>
              <w:rPr>
                <w:sz w:val="17"/>
              </w:rPr>
              <w:t>7.990</w:t>
            </w:r>
          </w:p>
        </w:tc>
      </w:tr>
      <w:tr w:rsidR="006B6965" w14:paraId="69A6F6A7"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26AF10A7"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251E99BB" w14:textId="77777777">
            <w:pPr>
              <w:pStyle w:val="p-table"/>
              <w:rPr>
                <w:sz w:val="17"/>
              </w:rPr>
            </w:pPr>
            <w:r>
              <w:rPr>
                <w:sz w:val="17"/>
              </w:rPr>
              <w:t>Totaal uitgaven operationele kasstroom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21FC6437" w14:textId="77777777">
            <w:pPr>
              <w:pStyle w:val="p-table"/>
              <w:jc w:val="right"/>
              <w:rPr>
                <w:sz w:val="17"/>
              </w:rPr>
            </w:pPr>
            <w:r>
              <w:rPr>
                <w:sz w:val="17"/>
              </w:rPr>
              <w:t>‒</w:t>
            </w:r>
            <w:r>
              <w:rPr>
                <w:sz w:val="17"/>
              </w:rPr>
              <w:t xml:space="preserve"> 7.386</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6A9D5E2E" w14:textId="77777777">
            <w:pPr>
              <w:pStyle w:val="p-table"/>
              <w:jc w:val="right"/>
              <w:rPr>
                <w:sz w:val="17"/>
              </w:rPr>
            </w:pPr>
            <w:r>
              <w:rPr>
                <w:sz w:val="17"/>
              </w:rPr>
              <w:t>‒</w:t>
            </w:r>
            <w:r>
              <w:rPr>
                <w:sz w:val="17"/>
              </w:rPr>
              <w:t xml:space="preserve"> 608</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2330080" w14:textId="77777777">
            <w:pPr>
              <w:pStyle w:val="p-table"/>
              <w:jc w:val="right"/>
              <w:rPr>
                <w:sz w:val="17"/>
              </w:rPr>
            </w:pPr>
            <w:r>
              <w:rPr>
                <w:sz w:val="17"/>
              </w:rPr>
              <w:t>‒</w:t>
            </w:r>
            <w:r>
              <w:rPr>
                <w:sz w:val="17"/>
              </w:rPr>
              <w:t xml:space="preserve"> 7.994</w:t>
            </w:r>
          </w:p>
        </w:tc>
      </w:tr>
      <w:tr w:rsidR="006B6965" w14:paraId="65FB644A"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455161CC" w14:textId="77777777">
            <w:pPr>
              <w:pStyle w:val="p-table"/>
              <w:rPr>
                <w:sz w:val="17"/>
              </w:rPr>
            </w:pPr>
            <w:r>
              <w:rPr>
                <w:b/>
                <w:sz w:val="17"/>
              </w:rPr>
              <w:t>2.</w:t>
            </w:r>
          </w:p>
        </w:tc>
        <w:tc>
          <w:tcPr>
            <w:tcW w:w="2754" w:type="dxa"/>
            <w:tcBorders>
              <w:bottom w:val="single" w:color="009EE0" w:sz="2" w:space="0"/>
            </w:tcBorders>
            <w:tcMar>
              <w:top w:w="22" w:type="dxa"/>
              <w:left w:w="28" w:type="dxa"/>
              <w:bottom w:w="22" w:type="dxa"/>
              <w:right w:w="28" w:type="dxa"/>
            </w:tcMar>
            <w:vAlign w:val="center"/>
          </w:tcPr>
          <w:p w:rsidR="006B6965" w:rsidRDefault="003A166B" w14:paraId="5E21B5FC" w14:textId="77777777">
            <w:pPr>
              <w:pStyle w:val="p-table"/>
              <w:rPr>
                <w:sz w:val="17"/>
              </w:rPr>
            </w:pPr>
            <w:r>
              <w:rPr>
                <w:b/>
                <w:sz w:val="17"/>
              </w:rPr>
              <w:t xml:space="preserve">Totaal </w:t>
            </w:r>
            <w:r>
              <w:rPr>
                <w:b/>
                <w:sz w:val="17"/>
              </w:rPr>
              <w:t>operationele kasstroom</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4E4F6D72" w14:textId="77777777">
            <w:pPr>
              <w:pStyle w:val="p-table"/>
              <w:jc w:val="right"/>
              <w:rPr>
                <w:sz w:val="17"/>
              </w:rPr>
            </w:pPr>
            <w:r>
              <w:rPr>
                <w:b/>
                <w:sz w:val="17"/>
              </w:rPr>
              <w:t>‒</w:t>
            </w:r>
            <w:r>
              <w:rPr>
                <w:b/>
                <w:sz w:val="17"/>
              </w:rPr>
              <w:t xml:space="preserve"> 2.363</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582693A4" w14:textId="77777777">
            <w:pPr>
              <w:pStyle w:val="p-table"/>
              <w:jc w:val="right"/>
              <w:rPr>
                <w:sz w:val="17"/>
              </w:rPr>
            </w:pPr>
            <w:r>
              <w:rPr>
                <w:b/>
                <w:sz w:val="17"/>
              </w:rPr>
              <w:t>2.359</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5AFAE3A0" w14:textId="77777777">
            <w:pPr>
              <w:pStyle w:val="p-table"/>
              <w:jc w:val="right"/>
              <w:rPr>
                <w:sz w:val="17"/>
              </w:rPr>
            </w:pPr>
            <w:r>
              <w:rPr>
                <w:b/>
                <w:sz w:val="17"/>
              </w:rPr>
              <w:t>‒</w:t>
            </w:r>
            <w:r>
              <w:rPr>
                <w:b/>
                <w:sz w:val="17"/>
              </w:rPr>
              <w:t xml:space="preserve"> 4</w:t>
            </w:r>
          </w:p>
        </w:tc>
      </w:tr>
      <w:tr w:rsidR="006B6965" w14:paraId="194B0EC7"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78434BB0"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48BB92DA" w14:textId="77777777">
            <w:pPr>
              <w:pStyle w:val="p-table"/>
              <w:rPr>
                <w:sz w:val="17"/>
              </w:rPr>
            </w:pPr>
            <w:r>
              <w:rPr>
                <w:sz w:val="17"/>
              </w:rPr>
              <w:t>Totaal investeringen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5EFD8F08" w14:textId="77777777">
            <w:pPr>
              <w:pStyle w:val="p-table"/>
              <w:jc w:val="right"/>
              <w:rPr>
                <w:sz w:val="17"/>
              </w:rPr>
            </w:pPr>
            <w:r>
              <w:rPr>
                <w:sz w:val="17"/>
              </w:rPr>
              <w:t>‒</w:t>
            </w:r>
            <w:r>
              <w:rPr>
                <w:sz w:val="17"/>
              </w:rPr>
              <w:t xml:space="preserve"> 6.600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40651DF1" w14:textId="77777777">
            <w:pPr>
              <w:pStyle w:val="p-table"/>
              <w:jc w:val="right"/>
              <w:rPr>
                <w:sz w:val="17"/>
              </w:rPr>
            </w:pPr>
            <w:r>
              <w:rPr>
                <w:sz w:val="17"/>
              </w:rPr>
              <w:t>‒</w:t>
            </w:r>
            <w:r>
              <w:rPr>
                <w:sz w:val="17"/>
              </w:rPr>
              <w:t xml:space="preserve"> 32</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023A7FF2" w14:textId="77777777">
            <w:pPr>
              <w:pStyle w:val="p-table"/>
              <w:jc w:val="right"/>
              <w:rPr>
                <w:sz w:val="17"/>
              </w:rPr>
            </w:pPr>
            <w:r>
              <w:rPr>
                <w:sz w:val="17"/>
              </w:rPr>
              <w:t>‒</w:t>
            </w:r>
            <w:r>
              <w:rPr>
                <w:sz w:val="17"/>
              </w:rPr>
              <w:t xml:space="preserve"> 6.632</w:t>
            </w:r>
          </w:p>
        </w:tc>
      </w:tr>
      <w:tr w:rsidR="006B6965" w14:paraId="002C1A8F"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6F82B40C"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04421358" w14:textId="77777777">
            <w:pPr>
              <w:pStyle w:val="p-table"/>
              <w:rPr>
                <w:sz w:val="17"/>
              </w:rPr>
            </w:pPr>
            <w:r>
              <w:rPr>
                <w:sz w:val="17"/>
              </w:rPr>
              <w:t>Totaal boekwaarde desinvesteringen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75ECC87E"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17D48C73"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501CE939" w14:textId="77777777">
            <w:pPr>
              <w:pStyle w:val="p-table"/>
              <w:jc w:val="right"/>
              <w:rPr>
                <w:sz w:val="17"/>
              </w:rPr>
            </w:pPr>
            <w:r>
              <w:rPr>
                <w:sz w:val="17"/>
              </w:rPr>
              <w:t>0</w:t>
            </w:r>
          </w:p>
        </w:tc>
      </w:tr>
      <w:tr w:rsidR="006B6965" w14:paraId="1A4040FD"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3703942D" w14:textId="77777777">
            <w:pPr>
              <w:pStyle w:val="p-table"/>
              <w:rPr>
                <w:sz w:val="17"/>
              </w:rPr>
            </w:pPr>
            <w:r>
              <w:rPr>
                <w:b/>
                <w:sz w:val="17"/>
              </w:rPr>
              <w:t>3.</w:t>
            </w:r>
          </w:p>
        </w:tc>
        <w:tc>
          <w:tcPr>
            <w:tcW w:w="2754" w:type="dxa"/>
            <w:tcBorders>
              <w:bottom w:val="single" w:color="009EE0" w:sz="2" w:space="0"/>
            </w:tcBorders>
            <w:tcMar>
              <w:top w:w="22" w:type="dxa"/>
              <w:left w:w="28" w:type="dxa"/>
              <w:bottom w:w="22" w:type="dxa"/>
              <w:right w:w="28" w:type="dxa"/>
            </w:tcMar>
            <w:vAlign w:val="center"/>
          </w:tcPr>
          <w:p w:rsidR="006B6965" w:rsidRDefault="003A166B" w14:paraId="1F584CFB" w14:textId="77777777">
            <w:pPr>
              <w:pStyle w:val="p-table"/>
              <w:rPr>
                <w:sz w:val="17"/>
              </w:rPr>
            </w:pPr>
            <w:r>
              <w:rPr>
                <w:b/>
                <w:sz w:val="17"/>
              </w:rPr>
              <w:t>Totaal investeringskasstroom</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198DF7C0" w14:textId="77777777">
            <w:pPr>
              <w:pStyle w:val="p-table"/>
              <w:jc w:val="right"/>
              <w:rPr>
                <w:sz w:val="17"/>
              </w:rPr>
            </w:pPr>
            <w:r>
              <w:rPr>
                <w:b/>
                <w:sz w:val="17"/>
              </w:rPr>
              <w:t>‒</w:t>
            </w:r>
            <w:r>
              <w:rPr>
                <w:b/>
                <w:sz w:val="17"/>
              </w:rPr>
              <w:t xml:space="preserve"> 6.600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76664DEC" w14:textId="77777777">
            <w:pPr>
              <w:pStyle w:val="p-table"/>
              <w:jc w:val="right"/>
              <w:rPr>
                <w:sz w:val="17"/>
              </w:rPr>
            </w:pPr>
            <w:r>
              <w:rPr>
                <w:b/>
                <w:sz w:val="17"/>
              </w:rPr>
              <w:t>‒</w:t>
            </w:r>
            <w:r>
              <w:rPr>
                <w:b/>
                <w:sz w:val="17"/>
              </w:rPr>
              <w:t xml:space="preserve"> 32</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4DC85A62" w14:textId="77777777">
            <w:pPr>
              <w:pStyle w:val="p-table"/>
              <w:jc w:val="right"/>
              <w:rPr>
                <w:sz w:val="17"/>
              </w:rPr>
            </w:pPr>
            <w:r>
              <w:rPr>
                <w:b/>
                <w:sz w:val="17"/>
              </w:rPr>
              <w:t>‒</w:t>
            </w:r>
            <w:r>
              <w:rPr>
                <w:b/>
                <w:sz w:val="17"/>
              </w:rPr>
              <w:t xml:space="preserve"> 6.632</w:t>
            </w:r>
          </w:p>
        </w:tc>
      </w:tr>
      <w:tr w:rsidR="006B6965" w14:paraId="6E1931B5"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2E09E627"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4CCF4181" w14:textId="77777777">
            <w:pPr>
              <w:pStyle w:val="p-table"/>
              <w:rPr>
                <w:sz w:val="17"/>
              </w:rPr>
            </w:pPr>
            <w:r>
              <w:rPr>
                <w:sz w:val="17"/>
              </w:rPr>
              <w:t>Eenmalige uitkering aan moederdepartement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4610DBD0"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0FCD8E43"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5BD74FB1" w14:textId="77777777">
            <w:pPr>
              <w:pStyle w:val="p-table"/>
              <w:jc w:val="right"/>
              <w:rPr>
                <w:sz w:val="17"/>
              </w:rPr>
            </w:pPr>
            <w:r>
              <w:rPr>
                <w:sz w:val="17"/>
              </w:rPr>
              <w:t>0</w:t>
            </w:r>
          </w:p>
        </w:tc>
      </w:tr>
      <w:tr w:rsidR="006B6965" w14:paraId="23DB1485"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5794E8FC"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06BAEBAF" w14:textId="77777777">
            <w:pPr>
              <w:pStyle w:val="p-table"/>
              <w:rPr>
                <w:sz w:val="17"/>
              </w:rPr>
            </w:pPr>
            <w:r>
              <w:rPr>
                <w:sz w:val="17"/>
              </w:rPr>
              <w:t>Eenmalige storting door het moederdepartement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4BF04DC6"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5CE47D6B"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44AC5F91" w14:textId="77777777">
            <w:pPr>
              <w:pStyle w:val="p-table"/>
              <w:jc w:val="right"/>
              <w:rPr>
                <w:sz w:val="17"/>
              </w:rPr>
            </w:pPr>
            <w:r>
              <w:rPr>
                <w:sz w:val="17"/>
              </w:rPr>
              <w:t>0</w:t>
            </w:r>
          </w:p>
        </w:tc>
      </w:tr>
      <w:tr w:rsidR="006B6965" w14:paraId="5BA98DF5"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26AEF9CD"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21B1EBE4" w14:textId="77777777">
            <w:pPr>
              <w:pStyle w:val="p-table"/>
              <w:rPr>
                <w:sz w:val="17"/>
              </w:rPr>
            </w:pPr>
            <w:r>
              <w:rPr>
                <w:sz w:val="17"/>
              </w:rPr>
              <w:t>Aflossingen op leningen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41B34911" w14:textId="77777777">
            <w:pPr>
              <w:pStyle w:val="p-table"/>
              <w:jc w:val="right"/>
              <w:rPr>
                <w:sz w:val="17"/>
              </w:rPr>
            </w:pPr>
            <w:r>
              <w:rPr>
                <w:sz w:val="17"/>
              </w:rPr>
              <w:t>‒</w:t>
            </w:r>
            <w:r>
              <w:rPr>
                <w:sz w:val="17"/>
              </w:rPr>
              <w:t xml:space="preserve"> 1.611</w:t>
            </w:r>
          </w:p>
        </w:tc>
        <w:tc>
          <w:tcPr>
            <w:tcW w:w="2093" w:type="dxa"/>
            <w:tcBorders>
              <w:bottom w:val="single" w:color="009EE0" w:sz="2" w:space="0"/>
            </w:tcBorders>
            <w:tcMar>
              <w:top w:w="22" w:type="dxa"/>
              <w:left w:w="28" w:type="dxa"/>
              <w:bottom w:w="22" w:type="dxa"/>
              <w:right w:w="28" w:type="dxa"/>
            </w:tcMar>
            <w:vAlign w:val="center"/>
          </w:tcPr>
          <w:p w:rsidR="006B6965" w:rsidRDefault="003A166B" w14:paraId="1606F6B5" w14:textId="77777777">
            <w:pPr>
              <w:pStyle w:val="p-table"/>
              <w:jc w:val="right"/>
              <w:rPr>
                <w:sz w:val="17"/>
              </w:rPr>
            </w:pPr>
            <w:r>
              <w:rPr>
                <w:sz w:val="17"/>
              </w:rPr>
              <w:t>18</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243335F4" w14:textId="77777777">
            <w:pPr>
              <w:pStyle w:val="p-table"/>
              <w:jc w:val="right"/>
              <w:rPr>
                <w:sz w:val="17"/>
              </w:rPr>
            </w:pPr>
            <w:r>
              <w:rPr>
                <w:sz w:val="17"/>
              </w:rPr>
              <w:t>‒</w:t>
            </w:r>
            <w:r>
              <w:rPr>
                <w:sz w:val="17"/>
              </w:rPr>
              <w:t xml:space="preserve"> 1.629</w:t>
            </w:r>
          </w:p>
        </w:tc>
      </w:tr>
      <w:tr w:rsidR="006B6965" w14:paraId="27AFFA67"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6B6965" w14:paraId="12B7D250" w14:textId="77777777">
            <w:pPr>
              <w:pStyle w:val="p-table"/>
              <w:rPr>
                <w:sz w:val="17"/>
              </w:rPr>
            </w:pPr>
          </w:p>
        </w:tc>
        <w:tc>
          <w:tcPr>
            <w:tcW w:w="2754" w:type="dxa"/>
            <w:tcBorders>
              <w:bottom w:val="single" w:color="009EE0" w:sz="2" w:space="0"/>
            </w:tcBorders>
            <w:tcMar>
              <w:top w:w="22" w:type="dxa"/>
              <w:left w:w="28" w:type="dxa"/>
              <w:bottom w:w="22" w:type="dxa"/>
              <w:right w:w="28" w:type="dxa"/>
            </w:tcMar>
            <w:vAlign w:val="center"/>
          </w:tcPr>
          <w:p w:rsidR="006B6965" w:rsidRDefault="003A166B" w14:paraId="310C0687" w14:textId="77777777">
            <w:pPr>
              <w:pStyle w:val="p-table"/>
              <w:rPr>
                <w:sz w:val="17"/>
              </w:rPr>
            </w:pPr>
            <w:r>
              <w:rPr>
                <w:sz w:val="17"/>
              </w:rPr>
              <w:t>Beroep op leenfaciliteit (+)</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35633D1D" w14:textId="77777777">
            <w:pPr>
              <w:pStyle w:val="p-table"/>
              <w:jc w:val="right"/>
              <w:rPr>
                <w:sz w:val="17"/>
              </w:rPr>
            </w:pPr>
            <w:r>
              <w:rPr>
                <w:sz w:val="17"/>
              </w:rPr>
              <w:t>4.250</w:t>
            </w:r>
          </w:p>
        </w:tc>
        <w:tc>
          <w:tcPr>
            <w:tcW w:w="2093" w:type="dxa"/>
            <w:tcBorders>
              <w:bottom w:val="single" w:color="009EE0" w:sz="2" w:space="0"/>
            </w:tcBorders>
            <w:tcMar>
              <w:top w:w="22" w:type="dxa"/>
              <w:left w:w="28" w:type="dxa"/>
              <w:bottom w:w="22" w:type="dxa"/>
              <w:right w:w="28" w:type="dxa"/>
            </w:tcMar>
            <w:vAlign w:val="center"/>
          </w:tcPr>
          <w:p w:rsidR="006B6965" w:rsidRDefault="003A166B" w14:paraId="3B2C53BB" w14:textId="77777777">
            <w:pPr>
              <w:pStyle w:val="p-table"/>
              <w:jc w:val="right"/>
              <w:rPr>
                <w:sz w:val="17"/>
              </w:rPr>
            </w:pPr>
            <w:r>
              <w:rPr>
                <w:sz w:val="17"/>
              </w:rPr>
              <w:t>2.382</w:t>
            </w:r>
          </w:p>
        </w:tc>
        <w:tc>
          <w:tcPr>
            <w:tcW w:w="2093" w:type="dxa"/>
            <w:tcBorders>
              <w:bottom w:val="single" w:color="009EE0" w:sz="2" w:space="0"/>
            </w:tcBorders>
            <w:tcMar>
              <w:top w:w="22" w:type="dxa"/>
              <w:left w:w="28" w:type="dxa"/>
              <w:bottom w:w="22" w:type="dxa"/>
              <w:right w:w="28" w:type="dxa"/>
            </w:tcMar>
            <w:vAlign w:val="center"/>
          </w:tcPr>
          <w:p w:rsidR="006B6965" w:rsidRDefault="003A166B" w14:paraId="2E9510BD" w14:textId="77777777">
            <w:pPr>
              <w:pStyle w:val="p-table"/>
              <w:jc w:val="right"/>
              <w:rPr>
                <w:sz w:val="17"/>
              </w:rPr>
            </w:pPr>
            <w:r>
              <w:rPr>
                <w:sz w:val="17"/>
              </w:rPr>
              <w:t>6.632</w:t>
            </w:r>
          </w:p>
        </w:tc>
      </w:tr>
      <w:tr w:rsidR="006B6965" w14:paraId="4165AC92"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25260FCC" w14:textId="77777777">
            <w:pPr>
              <w:pStyle w:val="p-table"/>
              <w:rPr>
                <w:sz w:val="17"/>
              </w:rPr>
            </w:pPr>
            <w:r>
              <w:rPr>
                <w:b/>
                <w:sz w:val="17"/>
              </w:rPr>
              <w:t>4.</w:t>
            </w:r>
          </w:p>
        </w:tc>
        <w:tc>
          <w:tcPr>
            <w:tcW w:w="2754" w:type="dxa"/>
            <w:tcBorders>
              <w:bottom w:val="single" w:color="009EE0" w:sz="2" w:space="0"/>
            </w:tcBorders>
            <w:tcMar>
              <w:top w:w="22" w:type="dxa"/>
              <w:left w:w="28" w:type="dxa"/>
              <w:bottom w:w="22" w:type="dxa"/>
              <w:right w:w="28" w:type="dxa"/>
            </w:tcMar>
            <w:vAlign w:val="center"/>
          </w:tcPr>
          <w:p w:rsidR="006B6965" w:rsidRDefault="003A166B" w14:paraId="4038B870" w14:textId="77777777">
            <w:pPr>
              <w:pStyle w:val="p-table"/>
              <w:rPr>
                <w:sz w:val="17"/>
              </w:rPr>
            </w:pPr>
            <w:r>
              <w:rPr>
                <w:b/>
                <w:sz w:val="17"/>
              </w:rPr>
              <w:t>Totaal financieringskasstroom</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5B08646C" w14:textId="77777777">
            <w:pPr>
              <w:pStyle w:val="p-table"/>
              <w:jc w:val="right"/>
              <w:rPr>
                <w:sz w:val="17"/>
              </w:rPr>
            </w:pPr>
            <w:r>
              <w:rPr>
                <w:b/>
                <w:sz w:val="17"/>
              </w:rPr>
              <w:t>2.639</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6C0164DD" w14:textId="77777777">
            <w:pPr>
              <w:pStyle w:val="p-table"/>
              <w:jc w:val="right"/>
              <w:rPr>
                <w:sz w:val="17"/>
              </w:rPr>
            </w:pPr>
            <w:r>
              <w:rPr>
                <w:b/>
                <w:sz w:val="17"/>
              </w:rPr>
              <w:t>2.364</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0C876621" w14:textId="77777777">
            <w:pPr>
              <w:pStyle w:val="p-table"/>
              <w:jc w:val="right"/>
              <w:rPr>
                <w:sz w:val="17"/>
              </w:rPr>
            </w:pPr>
            <w:r>
              <w:rPr>
                <w:b/>
                <w:sz w:val="17"/>
              </w:rPr>
              <w:t>5.003</w:t>
            </w:r>
          </w:p>
        </w:tc>
      </w:tr>
      <w:tr w:rsidR="006B6965" w14:paraId="093C80DD" w14:textId="77777777">
        <w:tblPrEx>
          <w:tblCellMar>
            <w:top w:w="0" w:type="dxa"/>
            <w:bottom w:w="0" w:type="dxa"/>
          </w:tblCellMar>
        </w:tblPrEx>
        <w:tc>
          <w:tcPr>
            <w:tcW w:w="156" w:type="dxa"/>
            <w:tcBorders>
              <w:bottom w:val="single" w:color="009EE0" w:sz="2" w:space="0"/>
            </w:tcBorders>
            <w:tcMar>
              <w:top w:w="22" w:type="dxa"/>
              <w:bottom w:w="22" w:type="dxa"/>
              <w:right w:w="28" w:type="dxa"/>
            </w:tcMar>
          </w:tcPr>
          <w:p w:rsidR="006B6965" w:rsidRDefault="003A166B" w14:paraId="749A39CC" w14:textId="77777777">
            <w:pPr>
              <w:pStyle w:val="p-table"/>
              <w:rPr>
                <w:sz w:val="17"/>
              </w:rPr>
            </w:pPr>
            <w:r>
              <w:rPr>
                <w:b/>
                <w:sz w:val="17"/>
              </w:rPr>
              <w:t>5.</w:t>
            </w:r>
          </w:p>
        </w:tc>
        <w:tc>
          <w:tcPr>
            <w:tcW w:w="2754" w:type="dxa"/>
            <w:tcBorders>
              <w:bottom w:val="single" w:color="009EE0" w:sz="2" w:space="0"/>
            </w:tcBorders>
            <w:tcMar>
              <w:top w:w="22" w:type="dxa"/>
              <w:left w:w="28" w:type="dxa"/>
              <w:bottom w:w="22" w:type="dxa"/>
              <w:right w:w="28" w:type="dxa"/>
            </w:tcMar>
          </w:tcPr>
          <w:p w:rsidR="006B6965" w:rsidRDefault="003A166B" w14:paraId="5BA8425D" w14:textId="77777777">
            <w:pPr>
              <w:pStyle w:val="p-table"/>
              <w:rPr>
                <w:sz w:val="17"/>
              </w:rPr>
            </w:pPr>
            <w:r>
              <w:rPr>
                <w:b/>
                <w:sz w:val="17"/>
              </w:rPr>
              <w:t xml:space="preserve">Rekening courant RHB 31 december 2025 </w:t>
            </w:r>
            <w:r>
              <w:rPr>
                <w:b/>
                <w:sz w:val="17"/>
              </w:rPr>
              <w:t>(=1+2+3+4)</w:t>
            </w:r>
          </w:p>
        </w:tc>
        <w:tc>
          <w:tcPr>
            <w:tcW w:w="2084" w:type="dxa"/>
            <w:tcBorders>
              <w:bottom w:val="single" w:color="009EE0" w:sz="2" w:space="0"/>
            </w:tcBorders>
            <w:tcMar>
              <w:top w:w="22" w:type="dxa"/>
              <w:left w:w="28" w:type="dxa"/>
              <w:bottom w:w="22" w:type="dxa"/>
              <w:right w:w="28" w:type="dxa"/>
            </w:tcMar>
            <w:vAlign w:val="bottom"/>
          </w:tcPr>
          <w:p w:rsidR="006B6965" w:rsidRDefault="003A166B" w14:paraId="6106E258" w14:textId="77777777">
            <w:pPr>
              <w:pStyle w:val="p-table"/>
              <w:jc w:val="right"/>
              <w:rPr>
                <w:sz w:val="17"/>
              </w:rPr>
            </w:pPr>
            <w:r>
              <w:rPr>
                <w:b/>
                <w:sz w:val="17"/>
              </w:rPr>
              <w:t>8.089</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60262DC6" w14:textId="77777777">
            <w:pPr>
              <w:pStyle w:val="p-table"/>
              <w:jc w:val="right"/>
              <w:rPr>
                <w:sz w:val="17"/>
              </w:rPr>
            </w:pPr>
            <w:r>
              <w:rPr>
                <w:b/>
                <w:sz w:val="17"/>
              </w:rPr>
              <w:t>4.691</w:t>
            </w:r>
          </w:p>
        </w:tc>
        <w:tc>
          <w:tcPr>
            <w:tcW w:w="2093" w:type="dxa"/>
            <w:tcBorders>
              <w:bottom w:val="single" w:color="009EE0" w:sz="2" w:space="0"/>
            </w:tcBorders>
            <w:tcMar>
              <w:top w:w="22" w:type="dxa"/>
              <w:left w:w="28" w:type="dxa"/>
              <w:bottom w:w="22" w:type="dxa"/>
              <w:right w:w="28" w:type="dxa"/>
            </w:tcMar>
            <w:vAlign w:val="bottom"/>
          </w:tcPr>
          <w:p w:rsidR="006B6965" w:rsidRDefault="003A166B" w14:paraId="33B6DCAC" w14:textId="77777777">
            <w:pPr>
              <w:pStyle w:val="p-table"/>
              <w:jc w:val="right"/>
              <w:rPr>
                <w:sz w:val="17"/>
              </w:rPr>
            </w:pPr>
            <w:r>
              <w:rPr>
                <w:b/>
                <w:sz w:val="17"/>
              </w:rPr>
              <w:t>12.780</w:t>
            </w:r>
          </w:p>
        </w:tc>
      </w:tr>
    </w:tbl>
    <w:p w:rsidR="006B6965" w:rsidRDefault="006B6965" w14:paraId="7128519C" w14:textId="77777777">
      <w:pPr>
        <w:pStyle w:val="p-marginbottom"/>
      </w:pPr>
    </w:p>
    <w:p w:rsidR="006B6965" w:rsidRDefault="003A166B" w14:paraId="32CFB7C5" w14:textId="77777777">
      <w:pPr>
        <w:pStyle w:val="header-h1"/>
      </w:pPr>
      <w:r>
        <w:t>Toelichting</w:t>
      </w:r>
    </w:p>
    <w:p w:rsidR="006B6965" w:rsidRDefault="003A166B" w14:paraId="65C9E232" w14:textId="77777777">
      <w:pPr>
        <w:pStyle w:val="header-h1"/>
      </w:pPr>
      <w:r>
        <w:t>Rekening-courant RHB 1 januari 2025</w:t>
      </w:r>
    </w:p>
    <w:p w:rsidR="006B6965" w:rsidRDefault="003A166B" w14:paraId="0CF78C02" w14:textId="77777777">
      <w:pPr>
        <w:pStyle w:val="p"/>
      </w:pPr>
      <w:r>
        <w:t>Geen bijzonderheden.</w:t>
      </w:r>
    </w:p>
    <w:p w:rsidR="006B6965" w:rsidRDefault="003A166B" w14:paraId="0FC2D52A" w14:textId="77777777">
      <w:pPr>
        <w:pStyle w:val="header-h1"/>
      </w:pPr>
      <w:r>
        <w:t>Operationele kasstroom</w:t>
      </w:r>
    </w:p>
    <w:p w:rsidR="006B6965" w:rsidRDefault="003A166B" w14:paraId="407854B8" w14:textId="77777777">
      <w:pPr>
        <w:pStyle w:val="p"/>
      </w:pPr>
      <w:r>
        <w:t xml:space="preserve">Hieronder vallen de ontvangsten en uitgaven uit de reguliere </w:t>
      </w:r>
      <w:r>
        <w:t>bedrijfsvoering.                                                </w:t>
      </w:r>
    </w:p>
    <w:p w:rsidR="006B6965" w:rsidRDefault="003A166B" w14:paraId="6356F3FA" w14:textId="77777777">
      <w:pPr>
        <w:pStyle w:val="p"/>
      </w:pPr>
      <w:r>
        <w:t xml:space="preserve">De ontvangsten operationele kasstroom stijgen vooral vanwege het opnemen van een verlofreservering (€ 1,9 miljoen) en mutaties in de </w:t>
      </w:r>
      <w:proofErr w:type="spellStart"/>
      <w:r>
        <w:t>vooruitontvangen</w:t>
      </w:r>
      <w:proofErr w:type="spellEnd"/>
      <w:r>
        <w:t xml:space="preserve"> bedragen van diverse projecten (per saldo € 1,1 miljoen).</w:t>
      </w:r>
    </w:p>
    <w:p w:rsidR="006B6965" w:rsidRDefault="003A166B" w14:paraId="19DAB58F" w14:textId="77777777">
      <w:pPr>
        <w:pStyle w:val="p"/>
      </w:pPr>
      <w:r>
        <w:t xml:space="preserve">De uitgaven operationele kasstoom dalen vanwege het hogere negatieve resultaat (- € 0,8 miljoen) en mutaties in de </w:t>
      </w:r>
      <w:proofErr w:type="spellStart"/>
      <w:r>
        <w:t>vooruitontvangen</w:t>
      </w:r>
      <w:proofErr w:type="spellEnd"/>
      <w:r>
        <w:t xml:space="preserve"> bedragen van diverse projecten (per saldo € 0,2 miljoen).               </w:t>
      </w:r>
    </w:p>
    <w:p w:rsidR="006B6965" w:rsidRDefault="003A166B" w14:paraId="7673EC76" w14:textId="77777777">
      <w:pPr>
        <w:pStyle w:val="header-h1"/>
      </w:pPr>
      <w:r>
        <w:t>Investeringskasstroom</w:t>
      </w:r>
    </w:p>
    <w:p w:rsidR="006B6965" w:rsidRDefault="003A166B" w14:paraId="58436FF0" w14:textId="77777777">
      <w:pPr>
        <w:pStyle w:val="p"/>
      </w:pPr>
      <w:r>
        <w:t>Door minimale versnelling bij de uitvoering van projecten zijn de verwachten investeringsuitgaven hoger dan begroot.                                                       </w:t>
      </w:r>
    </w:p>
    <w:p w:rsidR="006B6965" w:rsidRDefault="003A166B" w14:paraId="2E2A3ACE" w14:textId="77777777">
      <w:pPr>
        <w:pStyle w:val="header-h1"/>
      </w:pPr>
      <w:r>
        <w:lastRenderedPageBreak/>
        <w:t>Financieringskasstroom</w:t>
      </w:r>
    </w:p>
    <w:p w:rsidR="006B6965" w:rsidRDefault="003A166B" w14:paraId="251ECAE7" w14:textId="77777777">
      <w:pPr>
        <w:pStyle w:val="p"/>
      </w:pPr>
      <w:r>
        <w:t>Door de versnelling bij de uitvoering van projecten zijn de verwachten investeringsuitgaven en daardoor ook het beroep op de leenfaciliteit hoger dan begroot.</w:t>
      </w:r>
    </w:p>
    <w:sectPr w:rsidR="006B6965">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A39A" w14:textId="77777777" w:rsidR="003A166B" w:rsidRDefault="003A166B">
      <w:r>
        <w:separator/>
      </w:r>
    </w:p>
  </w:endnote>
  <w:endnote w:type="continuationSeparator" w:id="0">
    <w:p w14:paraId="73A5E49E" w14:textId="77777777" w:rsidR="003A166B" w:rsidRDefault="003A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A561" w14:textId="77777777" w:rsidR="003A166B" w:rsidRDefault="003A166B">
      <w:r>
        <w:rPr>
          <w:color w:val="000000"/>
        </w:rPr>
        <w:separator/>
      </w:r>
    </w:p>
  </w:footnote>
  <w:footnote w:type="continuationSeparator" w:id="0">
    <w:p w14:paraId="4A05E70B" w14:textId="77777777" w:rsidR="003A166B" w:rsidRDefault="003A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161"/>
    <w:multiLevelType w:val="multilevel"/>
    <w:tmpl w:val="1710283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14E65EDC"/>
    <w:multiLevelType w:val="multilevel"/>
    <w:tmpl w:val="CE425A2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9CA3629"/>
    <w:multiLevelType w:val="multilevel"/>
    <w:tmpl w:val="E5B26CA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BB30215"/>
    <w:multiLevelType w:val="multilevel"/>
    <w:tmpl w:val="34F653C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3C5E267E"/>
    <w:multiLevelType w:val="multilevel"/>
    <w:tmpl w:val="F1D41B3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E822EFF"/>
    <w:multiLevelType w:val="multilevel"/>
    <w:tmpl w:val="31BAFE9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214079077">
    <w:abstractNumId w:val="2"/>
  </w:num>
  <w:num w:numId="2" w16cid:durableId="207495553">
    <w:abstractNumId w:val="4"/>
  </w:num>
  <w:num w:numId="3" w16cid:durableId="127482386">
    <w:abstractNumId w:val="1"/>
  </w:num>
  <w:num w:numId="4" w16cid:durableId="666831650">
    <w:abstractNumId w:val="0"/>
  </w:num>
  <w:num w:numId="5" w16cid:durableId="1818689725">
    <w:abstractNumId w:val="3"/>
  </w:num>
  <w:num w:numId="6" w16cid:durableId="1929194879">
    <w:abstractNumId w:val="5"/>
  </w:num>
  <w:num w:numId="9" w16cid:durableId="1887062820">
    <w:abstractNumId w:val="3"/>
    <w:lvlOverride w:ilvl="0"/>
  </w:num>
  <w:num w:numId="10" w16cid:durableId="842429681">
    <w:abstractNumId w:val="3"/>
    <w:lvlOverride w:ilvl="0"/>
  </w:num>
  <w:num w:numId="11" w16cid:durableId="125202301">
    <w:abstractNumId w:val="3"/>
    <w:lvlOverride w:ilvl="0"/>
  </w:num>
  <w:num w:numId="12" w16cid:durableId="1672752977">
    <w:abstractNumId w:val="3"/>
    <w:lvlOverride w:ilvl="0"/>
  </w:num>
  <w:num w:numId="13" w16cid:durableId="167065491">
    <w:abstractNumId w:val="3"/>
    <w:lvlOverride w:ilvl="0"/>
  </w:num>
  <w:num w:numId="14" w16cid:durableId="2118140326">
    <w:abstractNumId w:val="3"/>
    <w:lvlOverride w:ilvl="0"/>
  </w:num>
  <w:num w:numId="15" w16cid:durableId="1973514337">
    <w:abstractNumId w:val="3"/>
    <w:lvlOverride w:ilvl="0"/>
  </w:num>
  <w:num w:numId="16" w16cid:durableId="730735541">
    <w:abstractNumId w:val="3"/>
    <w:lvlOverride w:ilvl="0"/>
  </w:num>
  <w:num w:numId="17" w16cid:durableId="1143280548">
    <w:abstractNumId w:val="3"/>
    <w:lvlOverride w:ilvl="0"/>
  </w:num>
  <w:num w:numId="18" w16cid:durableId="791676769">
    <w:abstractNumId w:val="3"/>
    <w:lvlOverride w:ilvl="0"/>
  </w:num>
  <w:num w:numId="19" w16cid:durableId="1171144095">
    <w:abstractNumId w:val="3"/>
    <w:lvlOverride w:ilvl="0"/>
  </w:num>
  <w:num w:numId="20" w16cid:durableId="174341781">
    <w:abstractNumId w:val="3"/>
    <w:lvlOverride w:ilvl="0"/>
  </w:num>
  <w:num w:numId="21" w16cid:durableId="1249002079">
    <w:abstractNumId w:val="3"/>
    <w:lvlOverride w:ilvl="0"/>
  </w:num>
  <w:num w:numId="22" w16cid:durableId="2107186414">
    <w:abstractNumId w:val="3"/>
    <w:lvlOverride w:ilvl="0"/>
  </w:num>
  <w:num w:numId="23" w16cid:durableId="1732071176">
    <w:abstractNumId w:val="3"/>
    <w:lvlOverride w:ilvl="0"/>
  </w:num>
  <w:num w:numId="24" w16cid:durableId="1477070357">
    <w:abstractNumId w:val="3"/>
    <w:lvlOverride w:ilvl="0"/>
  </w:num>
  <w:num w:numId="25" w16cid:durableId="1083913428">
    <w:abstractNumId w:val="3"/>
    <w:lvlOverride w:ilvl="0"/>
  </w:num>
  <w:num w:numId="26" w16cid:durableId="941037903">
    <w:abstractNumId w:val="3"/>
    <w:lvlOverride w:ilvl="0"/>
  </w:num>
  <w:num w:numId="27" w16cid:durableId="1610158523">
    <w:abstractNumId w:val="3"/>
    <w:lvlOverride w:ilvl="0"/>
  </w:num>
  <w:num w:numId="28" w16cid:durableId="1210799686">
    <w:abstractNumId w:val="3"/>
    <w:lvlOverride w:ilvl="0"/>
  </w:num>
  <w:num w:numId="29" w16cid:durableId="1099914386">
    <w:abstractNumId w:val="3"/>
    <w:lvlOverride w:ilvl="0"/>
  </w:num>
  <w:num w:numId="30" w16cid:durableId="1187595655">
    <w:abstractNumId w:val="3"/>
    <w:lvlOverride w:ilvl="0"/>
  </w:num>
  <w:num w:numId="31" w16cid:durableId="985550287">
    <w:abstractNumId w:val="3"/>
    <w:lvlOverride w:ilvl="0"/>
  </w:num>
  <w:num w:numId="32" w16cid:durableId="1776055028">
    <w:abstractNumId w:val="3"/>
    <w:lvlOverride w:ilvl="0"/>
  </w:num>
  <w:num w:numId="33" w16cid:durableId="1936089931">
    <w:abstractNumId w:val="3"/>
    <w:lvlOverride w:ilvl="0"/>
  </w:num>
  <w:num w:numId="34" w16cid:durableId="1006907107">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B6965"/>
    <w:rsid w:val="003A166B"/>
    <w:rsid w:val="006B6965"/>
    <w:rsid w:val="00886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A78E0"/>
  <w15:docId w15:val="{3B3A3CF4-03E7-4807-941E-2204F5A4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1865-66.html"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ek.officielebekendmakingen.nl/kst-36600-VIII-14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13717</ap:Words>
  <ap:Characters>75444</ap:Characters>
  <ap:DocSecurity>0</ap:DocSecurity>
  <ap:Lines>628</ap:Lines>
  <ap:Paragraphs>177</ap:Paragraphs>
  <ap:ScaleCrop>false</ap:ScaleCrop>
  <ap:LinksUpToDate>false</ap:LinksUpToDate>
  <ap:CharactersWithSpaces>88984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2025-09-30T10:42:00.0000000Z</lastPrinted>
  <dcterms:created xsi:type="dcterms:W3CDTF">2025-09-30T10:42:00.0000000Z</dcterms:created>
  <dcterms:modified xsi:type="dcterms:W3CDTF">2025-09-30T10:42:00.0000000Z</dcterms:modified>
  <dc:description>------------------------</dc:description>
  <dc:subject/>
  <dc:title/>
  <keywords/>
  <version/>
  <category/>
</coreProperties>
</file>