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D9A" w:rsidP="00400D9A" w:rsidRDefault="00400D9A" w14:paraId="38E54EE1" w14:textId="249E75A0">
      <w:pPr>
        <w:rPr>
          <w:b/>
          <w:bCs/>
        </w:rPr>
      </w:pPr>
      <w:r>
        <w:rPr>
          <w:b/>
          <w:bCs/>
        </w:rPr>
        <w:t>AH 6</w:t>
      </w:r>
    </w:p>
    <w:p w:rsidR="00400D9A" w:rsidP="00400D9A" w:rsidRDefault="00400D9A" w14:paraId="72A8D7C3" w14:textId="066C0EC1">
      <w:pPr>
        <w:rPr>
          <w:b/>
          <w:bCs/>
        </w:rPr>
      </w:pPr>
      <w:r>
        <w:rPr>
          <w:b/>
          <w:bCs/>
        </w:rPr>
        <w:t>2025Z15406</w:t>
      </w:r>
    </w:p>
    <w:p w:rsidR="00400D9A" w:rsidP="00400D9A" w:rsidRDefault="00400D9A" w14:paraId="6BBE1FDE" w14:textId="219C2399">
      <w:pPr>
        <w:rPr>
          <w:b/>
          <w:bCs/>
        </w:rPr>
      </w:pPr>
      <w:r w:rsidRPr="00400D9A">
        <w:rPr>
          <w:b/>
          <w:bCs/>
          <w:sz w:val="24"/>
        </w:rPr>
        <w:t xml:space="preserve">Antwoord van staatssecretaris </w:t>
      </w:r>
      <w:r>
        <w:rPr>
          <w:b/>
          <w:bCs/>
          <w:sz w:val="24"/>
        </w:rPr>
        <w:t>Heijnen</w:t>
      </w:r>
      <w:r w:rsidRPr="00400D9A">
        <w:rPr>
          <w:b/>
          <w:bCs/>
          <w:sz w:val="24"/>
        </w:rPr>
        <w:t xml:space="preserve"> (Financiën) (ontvangen</w:t>
      </w:r>
      <w:r>
        <w:rPr>
          <w:b/>
          <w:bCs/>
          <w:sz w:val="24"/>
        </w:rPr>
        <w:t xml:space="preserve"> 17 september 2025)</w:t>
      </w:r>
    </w:p>
    <w:p w:rsidR="00400D9A" w:rsidP="00400D9A" w:rsidRDefault="00400D9A" w14:paraId="0D8A2690" w14:textId="77777777">
      <w:pPr>
        <w:rPr>
          <w:b/>
          <w:bCs/>
        </w:rPr>
      </w:pPr>
    </w:p>
    <w:p w:rsidR="00400D9A" w:rsidP="00400D9A" w:rsidRDefault="00400D9A" w14:paraId="0555C794" w14:textId="77777777">
      <w:pPr>
        <w:rPr>
          <w:b/>
          <w:bCs/>
        </w:rPr>
      </w:pPr>
    </w:p>
    <w:p w:rsidRPr="00875060" w:rsidR="00400D9A" w:rsidP="00400D9A" w:rsidRDefault="00400D9A" w14:paraId="467C0EBE" w14:textId="01803E35">
      <w:pPr>
        <w:rPr>
          <w:b/>
          <w:bCs/>
        </w:rPr>
      </w:pPr>
      <w:r>
        <w:rPr>
          <w:b/>
          <w:bCs/>
        </w:rPr>
        <w:t>Vraag 1</w:t>
      </w:r>
    </w:p>
    <w:p w:rsidRPr="00343AF7" w:rsidR="00400D9A" w:rsidP="00400D9A" w:rsidRDefault="00400D9A" w14:paraId="204E56E2" w14:textId="77777777">
      <w:r w:rsidRPr="00343AF7">
        <w:t xml:space="preserve">Bent u bekend met het artikel "Belastingdrama treft 60.000 Nederlanders: kwaad bloed door dubbele heffing en uitblijvende rechtspraak" van De Stentor van 18 augustus 2025? 1) </w:t>
      </w:r>
    </w:p>
    <w:p w:rsidRPr="000A4607" w:rsidR="00400D9A" w:rsidP="00400D9A" w:rsidRDefault="00400D9A" w14:paraId="7867D6FE" w14:textId="77777777">
      <w:pPr>
        <w:rPr>
          <w:b/>
          <w:bCs/>
        </w:rPr>
      </w:pPr>
      <w:r w:rsidRPr="000A4607">
        <w:rPr>
          <w:b/>
          <w:bCs/>
        </w:rPr>
        <w:t>Antwoord 1</w:t>
      </w:r>
    </w:p>
    <w:p w:rsidRPr="00875060" w:rsidR="00400D9A" w:rsidP="00400D9A" w:rsidRDefault="00400D9A" w14:paraId="42AFC5A2" w14:textId="77777777">
      <w:r w:rsidRPr="00875060">
        <w:t>Ja.</w:t>
      </w:r>
    </w:p>
    <w:p w:rsidRPr="00875060" w:rsidR="00400D9A" w:rsidP="00400D9A" w:rsidRDefault="00400D9A" w14:paraId="6C3DBF53" w14:textId="77777777">
      <w:pPr>
        <w:rPr>
          <w:b/>
          <w:bCs/>
        </w:rPr>
      </w:pPr>
      <w:r>
        <w:rPr>
          <w:b/>
          <w:bCs/>
        </w:rPr>
        <w:t>Vraag 2</w:t>
      </w:r>
    </w:p>
    <w:p w:rsidRPr="00343AF7" w:rsidR="00400D9A" w:rsidP="00400D9A" w:rsidRDefault="00400D9A" w14:paraId="17E1CD70" w14:textId="77777777">
      <w:r w:rsidRPr="00343AF7">
        <w:t xml:space="preserve">Klopt het dat Nederlanders die in het verleden in Duitsland hebben gewerkt en daar een klein pensioen hebben opgebouwd, sinds 2016 in Nederland belasting moeten betalen over de bijbehorende pensioenuitkeringen? </w:t>
      </w:r>
    </w:p>
    <w:p w:rsidRPr="000A4607" w:rsidR="00400D9A" w:rsidP="00400D9A" w:rsidRDefault="00400D9A" w14:paraId="4C9305F2" w14:textId="77777777">
      <w:pPr>
        <w:rPr>
          <w:b/>
          <w:bCs/>
        </w:rPr>
      </w:pPr>
      <w:r w:rsidRPr="000A4607">
        <w:rPr>
          <w:b/>
          <w:bCs/>
        </w:rPr>
        <w:t>Antwoord 2</w:t>
      </w:r>
    </w:p>
    <w:p w:rsidRPr="00875060" w:rsidR="00400D9A" w:rsidP="00400D9A" w:rsidRDefault="00400D9A" w14:paraId="3F5800F6" w14:textId="77777777">
      <w:r w:rsidRPr="00875060">
        <w:t>Dat klopt, in het belastingverdrag tussen Nederland en Duitsland dat sinds 2016 in werking is, is opgenomen dat als een inwoner van Nederland of Duitsland pensioen- of lijfrente-uitkeringen of socialezekerheidspensioenen uit het andere land ontvangt die in een kalenderjaar bij elkaar € 15.000 of minder bedragen, het woonland deze uitkeringen mag belasten. Op verzoek van Nederland gold een algemene overgangsregeling gedurende een tijdvak van één jaar die mede diende om de inkomensgevolgen van deze nieuwe heffingsrechtverdeling te beperken. Belastingplichtigen met de genoemde uitkeringen konden op basis van die overgangsregeling voor het belastingjaar 2016 ervoor kiezen om het oude belastingverdrag toe te passen zodat voor hen de nieuwe verdeling van heffingsrechten pas vanaf 2017 toepassing vindt.</w:t>
      </w:r>
    </w:p>
    <w:p w:rsidRPr="00875060" w:rsidR="00400D9A" w:rsidP="00400D9A" w:rsidRDefault="00400D9A" w14:paraId="2E29B45C" w14:textId="77777777">
      <w:pPr>
        <w:rPr>
          <w:b/>
          <w:bCs/>
        </w:rPr>
      </w:pPr>
      <w:r w:rsidRPr="00875060">
        <w:rPr>
          <w:b/>
          <w:bCs/>
        </w:rPr>
        <w:t>Vraag 3</w:t>
      </w:r>
    </w:p>
    <w:p w:rsidRPr="00343AF7" w:rsidR="00400D9A" w:rsidP="00400D9A" w:rsidRDefault="00400D9A" w14:paraId="10F902D8" w14:textId="77777777">
      <w:r w:rsidRPr="00343AF7">
        <w:t xml:space="preserve">Klopt het dat deze groep in Duitsland, in ieder geval voor het opgebouwde pensioen van vóór 2005, netto premies heeft betaald en er daardoor in deze gevallen sprake is van dubbele belastingheffing, namelijk over zowel de premies als over de uitkeringen? </w:t>
      </w:r>
    </w:p>
    <w:p w:rsidRPr="000A4607" w:rsidR="00400D9A" w:rsidP="00400D9A" w:rsidRDefault="00400D9A" w14:paraId="3BEECEA4" w14:textId="77777777">
      <w:pPr>
        <w:rPr>
          <w:b/>
          <w:bCs/>
        </w:rPr>
      </w:pPr>
      <w:r w:rsidRPr="000A4607">
        <w:rPr>
          <w:b/>
          <w:bCs/>
        </w:rPr>
        <w:t>Antwoord 3</w:t>
      </w:r>
    </w:p>
    <w:p w:rsidRPr="00875060" w:rsidR="00400D9A" w:rsidP="00400D9A" w:rsidRDefault="00400D9A" w14:paraId="537A4FEE" w14:textId="77777777">
      <w:r w:rsidRPr="00875060">
        <w:t>Dat kan het geval zijn. Als het heffingsrecht op grond van het belastingverdrag aan Nederland wordt toegewezen, betrekt Nederland dit Duitse inkomen in de belastingheffing ook als in Duitsland netto premies zijn betaald. In de praktijk is onduidelijkheid ontstaan over de wijze waarop dit Duitse inkomen in Nederland in de heffing mag worden betrokken. Bij de rechter ligt namelijk de vraag voor of inkomstenbelasting (box 1) kan worden geheven over het deel van het Duitse socialezekerheidspensioen (Duitse Rente) waarvoor in Duitsland geen recht op aftrek bestond. De Hoge Raad heeft nog geen arrest gewezen. Zie hierover nader het antwoord op de vragen 8 en 9.</w:t>
      </w:r>
    </w:p>
    <w:p w:rsidRPr="00875060" w:rsidR="00400D9A" w:rsidP="00400D9A" w:rsidRDefault="00400D9A" w14:paraId="16593BF3" w14:textId="77777777">
      <w:pPr>
        <w:rPr>
          <w:b/>
          <w:bCs/>
        </w:rPr>
      </w:pPr>
      <w:r w:rsidRPr="00875060">
        <w:rPr>
          <w:b/>
          <w:bCs/>
        </w:rPr>
        <w:t>Vraag 4</w:t>
      </w:r>
    </w:p>
    <w:p w:rsidRPr="00343AF7" w:rsidR="00400D9A" w:rsidP="00400D9A" w:rsidRDefault="00400D9A" w14:paraId="785D8EA0" w14:textId="77777777">
      <w:r w:rsidRPr="00343AF7">
        <w:lastRenderedPageBreak/>
        <w:t xml:space="preserve">Om hoeveel mensen gaat dit naar schatting en hoeveel belastinginkomsten heeft de Nederlandse staat hiermee sinds 2016 gerealiseerd?  </w:t>
      </w:r>
    </w:p>
    <w:p w:rsidR="00400D9A" w:rsidP="00400D9A" w:rsidRDefault="00400D9A" w14:paraId="3835768E" w14:textId="77777777">
      <w:pPr>
        <w:rPr>
          <w:b/>
          <w:bCs/>
        </w:rPr>
      </w:pPr>
    </w:p>
    <w:p w:rsidR="00400D9A" w:rsidP="00400D9A" w:rsidRDefault="00400D9A" w14:paraId="7611E4BF" w14:textId="77777777">
      <w:pPr>
        <w:rPr>
          <w:b/>
          <w:bCs/>
        </w:rPr>
      </w:pPr>
    </w:p>
    <w:p w:rsidRPr="000A4607" w:rsidR="00400D9A" w:rsidP="00400D9A" w:rsidRDefault="00400D9A" w14:paraId="27817850" w14:textId="77777777">
      <w:pPr>
        <w:rPr>
          <w:b/>
          <w:bCs/>
        </w:rPr>
      </w:pPr>
      <w:r w:rsidRPr="000A4607">
        <w:rPr>
          <w:b/>
          <w:bCs/>
        </w:rPr>
        <w:t>Antwoord 4</w:t>
      </w:r>
    </w:p>
    <w:p w:rsidRPr="00875060" w:rsidR="00400D9A" w:rsidP="00400D9A" w:rsidRDefault="00400D9A" w14:paraId="2CF15188" w14:textId="77777777">
      <w:r w:rsidRPr="00875060">
        <w:t>Voor het jaar 2020 ging het om ongeveer 57.500 mensen met een pensioenuitkering uit Duitsland tot € 15.000 die in Nederland belasting moeten betalen over de pensioenuitkering.</w:t>
      </w:r>
      <w:r w:rsidRPr="00875060">
        <w:rPr>
          <w:rStyle w:val="Voetnootmarkering"/>
        </w:rPr>
        <w:footnoteReference w:id="1"/>
      </w:r>
      <w:r w:rsidRPr="00875060">
        <w:t xml:space="preserve"> Gemiddeld ging het in die gevallen om een bedrag van € 2.862 aan Duitse Rente. Het gemiddelde overige inkomen bedroeg € 20.778. Er is toen berekend dat bij dit gemiddelde bedrag de belastingopbrengst per geval voor Nederland onder het nieuwe verdrag € 271 meer bedroeg dan onder het oude verdrag zou zijn geweest. Op basis hiervan bedroegen de extra belastinginkomsten bij deze groep circa € 16 miljoen per jaar. Deze berekening is gemaakt op basis van de beschikbare informatie en uitgangspunten zoals beschikbaar bij het schriftelijke overleg in 2022. Er is geen reden te veronderstellen dat de situatie wezenlijk veranderd is sinds destijds. Bij deze budgettaire inschatting dient overigens rekening gehouden te worden met het feit dat Nederland naast deze opbrengst ook een derving heeft door het verlies van heffingsrecht over de kleine pensioenen die vanuit Nederland betaald worden aan inwoners van Duitsland.</w:t>
      </w:r>
    </w:p>
    <w:p w:rsidRPr="00875060" w:rsidR="00400D9A" w:rsidP="00400D9A" w:rsidRDefault="00400D9A" w14:paraId="40D19849" w14:textId="77777777">
      <w:pPr>
        <w:rPr>
          <w:b/>
          <w:bCs/>
        </w:rPr>
      </w:pPr>
      <w:r>
        <w:rPr>
          <w:b/>
          <w:bCs/>
        </w:rPr>
        <w:t>Vraag 5</w:t>
      </w:r>
    </w:p>
    <w:p w:rsidRPr="00343AF7" w:rsidR="00400D9A" w:rsidP="00400D9A" w:rsidRDefault="00400D9A" w14:paraId="43CC061B" w14:textId="77777777">
      <w:r w:rsidRPr="00343AF7">
        <w:t xml:space="preserve">Waarom is in het verdrag gekozen voor een grens van 15.000 euro per jaar? Kunt u een voorbeeldberekening maken van een in Nederland wonende gepensioneerden met een pensioen van 36.000 euro, waarvan een Duitse pensioen van 14.999 euro, respectievelijk 15.001 euro per jaar? </w:t>
      </w:r>
    </w:p>
    <w:p w:rsidRPr="000A4607" w:rsidR="00400D9A" w:rsidP="00400D9A" w:rsidRDefault="00400D9A" w14:paraId="05130EA2" w14:textId="77777777">
      <w:pPr>
        <w:rPr>
          <w:b/>
          <w:bCs/>
        </w:rPr>
      </w:pPr>
      <w:r w:rsidRPr="000A4607">
        <w:rPr>
          <w:b/>
          <w:bCs/>
        </w:rPr>
        <w:t>Antwoord 5</w:t>
      </w:r>
    </w:p>
    <w:p w:rsidRPr="00875060" w:rsidR="00400D9A" w:rsidP="00400D9A" w:rsidRDefault="00400D9A" w14:paraId="472501A4" w14:textId="77777777">
      <w:r w:rsidRPr="00875060">
        <w:t>Wat de hoogte van het bedrag betreft (€ 15.000) kan worden opgemerkt dat deze grens het resultaat van een bilaterale onderhandeling is geweest. De rechtvaardiging voor deze € 15.000-grens in het belastingverdrag tussen Nederland en Duitsland is gelegen in het streven administratieve lasten te beperken. Hiermee wordt namelijk voorkomen dat inwoners van Nederland met “kleine” pensioenen, lijfrenten en socialezekerheidspensioenen in Duitsland aangifte moeten doen. Ook in de Tweede Kamer is eerder aandacht gevraagd voor de problemen die belastingheffing in Duitsland in dergelijke gevallen meebrengt.</w:t>
      </w:r>
      <w:r w:rsidRPr="00875060">
        <w:rPr>
          <w:rStyle w:val="Voetnootmarkering"/>
        </w:rPr>
        <w:footnoteReference w:id="2"/>
      </w:r>
      <w:r w:rsidRPr="00875060">
        <w:t xml:space="preserve"> Dergelijke administratieve lasten zijn voor inwoners van Nederland met een Duits pensioen (bijvoorbeeld een Rente) van € 15.000 of minder onder het huidige belastingverdrag niet meer aan de orde. </w:t>
      </w:r>
    </w:p>
    <w:p w:rsidRPr="00875060" w:rsidR="00400D9A" w:rsidP="00400D9A" w:rsidRDefault="00400D9A" w14:paraId="71BCD188" w14:textId="77777777">
      <w:r w:rsidRPr="00875060">
        <w:t xml:space="preserve">U vraagt om een voorbeeldberekening. Daarbij neem ik het volgende in acht. De belastingdruk tussen Nederland en Duitsland kan uiteraard verschillen. Nederland en Duitsland hebben immers separate belastingstelsels met eigen grondslagen en tarieven. De precieze omvang van het verschil in belastingdruk voor een pensioen net onder of op de grens (woonstaatheffing) en een pensioen net boven de grens (bronstaatheffing) is sterk afhankelijk van de feiten en omstandigheden van het individuele geval, zoals de hoogte van het overige inkomen dat in een land belast kan worden op grond van het belastingverdrag. In Duitsland is verder voor pensioenen bijvoorbeeld het moment van pensionering relevant. Afhankelijk van het jaar waarin voor het eerst recht bestaat op deze </w:t>
      </w:r>
      <w:r w:rsidRPr="00875060">
        <w:lastRenderedPageBreak/>
        <w:t>pensioenen geldt een vrijstelling voor een deel van de grondslag.</w:t>
      </w:r>
      <w:r w:rsidRPr="00875060">
        <w:rPr>
          <w:rStyle w:val="Voetnootmarkering"/>
        </w:rPr>
        <w:footnoteReference w:id="3"/>
      </w:r>
      <w:r w:rsidRPr="00875060">
        <w:t>In Nederland is de belastingdruk afhankelijk van de hoogte van eventueel ander inkomen dat de belastingplichtige geniet en dient het progressie-effect in de vergelijking te worden meegenomen. In de situatie dat er in het betreffende kalenderjaar geen inkomen is naast een Duits pensioen van € 15.000 of minder zal er in Nederland in beginsel geen belasting verschuldigd zijn. Dit komt door de werking van de heffingskortingen (de algemene heffingskorting, maar ook de ouderenkorting en mogelijk de alleenstaande ouderenkorting). Afhankelijk van het overige inkomen loopt het belastingtarief (tarieven 2025) op van 8,17%, naar 37,48% tot een tarief van 49,5% bij een overig inkomen van € 76.817 of meer.</w:t>
      </w:r>
      <w:r w:rsidRPr="00875060">
        <w:rPr>
          <w:rStyle w:val="Voetnootmarkering"/>
        </w:rPr>
        <w:footnoteReference w:id="4"/>
      </w:r>
    </w:p>
    <w:p w:rsidRPr="00875060" w:rsidR="00400D9A" w:rsidP="00400D9A" w:rsidRDefault="00400D9A" w14:paraId="73BF5041" w14:textId="77777777">
      <w:r w:rsidRPr="00875060">
        <w:t>Het voorgaande in acht nemend is de gevraagde voorbeeldberekening gemaakt; zie daarvoor de onderstaande tabel. Hierbij is uitgegaan van een alleenstaande die in 2020 met pensioen is gegaan waardoor in Duitsland een vrijstelling geldt van 20% van de pensioengrondslag. Een pensioen van € 15.001 geeft daardoor een belastbaar inkomen dat lager ligt dan het Grundfreibetrag van € 12.096 waardoor de inkomstenbelasting in Duitsland uitkomt op nihil. Er is uitgegaan van verzekeringsplicht in Nederland waardoor er geen verschil is in verschuldigde premies volksverzekeringen en zorgverzekering. De bedragen betreffen uitsluitend de inkomstenbelasting. </w:t>
      </w:r>
    </w:p>
    <w:p w:rsidR="00400D9A" w:rsidP="00400D9A" w:rsidRDefault="00400D9A" w14:paraId="0D76C594" w14:textId="77777777">
      <w:pPr>
        <w:keepNext/>
        <w:spacing w:before="240" w:after="0"/>
        <w:rPr>
          <w:i/>
          <w:iCs/>
        </w:rPr>
      </w:pPr>
      <w:r>
        <w:rPr>
          <w:i/>
          <w:iCs/>
        </w:rPr>
        <w:t>Tabel: Voorbeeldberekening (bedragen 2025, euro)</w:t>
      </w:r>
    </w:p>
    <w:tbl>
      <w:tblPr>
        <w:tblW w:w="5420" w:type="dxa"/>
        <w:tblCellMar>
          <w:left w:w="70" w:type="dxa"/>
          <w:right w:w="70" w:type="dxa"/>
        </w:tblCellMar>
        <w:tblLook w:val="04A0" w:firstRow="1" w:lastRow="0" w:firstColumn="1" w:lastColumn="0" w:noHBand="0" w:noVBand="1"/>
      </w:tblPr>
      <w:tblGrid>
        <w:gridCol w:w="3020"/>
        <w:gridCol w:w="1200"/>
        <w:gridCol w:w="1200"/>
      </w:tblGrid>
      <w:tr w:rsidRPr="00322FEE" w:rsidR="00400D9A" w:rsidTr="000E5AB1" w14:paraId="4FF132F0" w14:textId="77777777">
        <w:trPr>
          <w:trHeight w:val="300"/>
        </w:trPr>
        <w:tc>
          <w:tcPr>
            <w:tcW w:w="3020" w:type="dxa"/>
            <w:tcBorders>
              <w:top w:val="single" w:color="auto" w:sz="4" w:space="0"/>
              <w:left w:val="nil"/>
              <w:bottom w:val="single" w:color="auto" w:sz="4" w:space="0"/>
              <w:right w:val="nil"/>
            </w:tcBorders>
            <w:noWrap/>
            <w:vAlign w:val="bottom"/>
            <w:hideMark/>
          </w:tcPr>
          <w:p w:rsidRPr="00322FEE" w:rsidR="00400D9A" w:rsidP="000E5AB1" w:rsidRDefault="00400D9A" w14:paraId="20866AE7"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 </w:t>
            </w:r>
          </w:p>
        </w:tc>
        <w:tc>
          <w:tcPr>
            <w:tcW w:w="1200" w:type="dxa"/>
            <w:tcBorders>
              <w:top w:val="single" w:color="auto" w:sz="4" w:space="0"/>
              <w:left w:val="nil"/>
              <w:bottom w:val="single" w:color="auto" w:sz="4" w:space="0"/>
              <w:right w:val="nil"/>
            </w:tcBorders>
            <w:noWrap/>
            <w:vAlign w:val="bottom"/>
            <w:hideMark/>
          </w:tcPr>
          <w:p w:rsidRPr="00322FEE" w:rsidR="00400D9A" w:rsidP="000E5AB1" w:rsidRDefault="00400D9A" w14:paraId="5FBFD2DE"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Voorbeeld 1</w:t>
            </w:r>
          </w:p>
        </w:tc>
        <w:tc>
          <w:tcPr>
            <w:tcW w:w="1200" w:type="dxa"/>
            <w:tcBorders>
              <w:top w:val="single" w:color="auto" w:sz="4" w:space="0"/>
              <w:left w:val="nil"/>
              <w:bottom w:val="single" w:color="auto" w:sz="4" w:space="0"/>
              <w:right w:val="nil"/>
            </w:tcBorders>
            <w:noWrap/>
            <w:vAlign w:val="bottom"/>
            <w:hideMark/>
          </w:tcPr>
          <w:p w:rsidRPr="00322FEE" w:rsidR="00400D9A" w:rsidP="000E5AB1" w:rsidRDefault="00400D9A" w14:paraId="5D097C44"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Voorbeeld 2</w:t>
            </w:r>
          </w:p>
        </w:tc>
      </w:tr>
      <w:tr w:rsidRPr="00322FEE" w:rsidR="00400D9A" w:rsidTr="000E5AB1" w14:paraId="53387C07" w14:textId="77777777">
        <w:trPr>
          <w:trHeight w:val="300"/>
        </w:trPr>
        <w:tc>
          <w:tcPr>
            <w:tcW w:w="3020" w:type="dxa"/>
            <w:tcBorders>
              <w:top w:val="nil"/>
              <w:left w:val="nil"/>
              <w:bottom w:val="nil"/>
              <w:right w:val="nil"/>
            </w:tcBorders>
            <w:noWrap/>
            <w:vAlign w:val="bottom"/>
            <w:hideMark/>
          </w:tcPr>
          <w:p w:rsidRPr="00322FEE" w:rsidR="00400D9A" w:rsidP="000E5AB1" w:rsidRDefault="00400D9A" w14:paraId="733C1327"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Inkomen uit Nederland</w:t>
            </w:r>
          </w:p>
        </w:tc>
        <w:tc>
          <w:tcPr>
            <w:tcW w:w="1200" w:type="dxa"/>
            <w:tcBorders>
              <w:top w:val="nil"/>
              <w:left w:val="nil"/>
              <w:bottom w:val="nil"/>
              <w:right w:val="nil"/>
            </w:tcBorders>
            <w:noWrap/>
            <w:vAlign w:val="bottom"/>
            <w:hideMark/>
          </w:tcPr>
          <w:p w:rsidRPr="00322FEE" w:rsidR="00400D9A" w:rsidP="000E5AB1" w:rsidRDefault="00400D9A" w14:paraId="62B7A392"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21.001</w:t>
            </w:r>
          </w:p>
        </w:tc>
        <w:tc>
          <w:tcPr>
            <w:tcW w:w="1200" w:type="dxa"/>
            <w:tcBorders>
              <w:top w:val="nil"/>
              <w:left w:val="nil"/>
              <w:bottom w:val="nil"/>
              <w:right w:val="nil"/>
            </w:tcBorders>
            <w:noWrap/>
            <w:vAlign w:val="bottom"/>
            <w:hideMark/>
          </w:tcPr>
          <w:p w:rsidRPr="00322FEE" w:rsidR="00400D9A" w:rsidP="000E5AB1" w:rsidRDefault="00400D9A" w14:paraId="3A0B012A"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20.999</w:t>
            </w:r>
          </w:p>
        </w:tc>
      </w:tr>
      <w:tr w:rsidRPr="00322FEE" w:rsidR="00400D9A" w:rsidTr="000E5AB1" w14:paraId="5C8A6F38" w14:textId="77777777">
        <w:trPr>
          <w:trHeight w:val="300"/>
        </w:trPr>
        <w:tc>
          <w:tcPr>
            <w:tcW w:w="3020" w:type="dxa"/>
            <w:tcBorders>
              <w:top w:val="nil"/>
              <w:left w:val="nil"/>
              <w:bottom w:val="nil"/>
              <w:right w:val="nil"/>
            </w:tcBorders>
            <w:noWrap/>
            <w:vAlign w:val="bottom"/>
            <w:hideMark/>
          </w:tcPr>
          <w:p w:rsidRPr="00322FEE" w:rsidR="00400D9A" w:rsidP="000E5AB1" w:rsidRDefault="00400D9A" w14:paraId="38FAF53B"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Pensioen uit Duitsland</w:t>
            </w:r>
          </w:p>
        </w:tc>
        <w:tc>
          <w:tcPr>
            <w:tcW w:w="1200" w:type="dxa"/>
            <w:tcBorders>
              <w:top w:val="nil"/>
              <w:left w:val="nil"/>
              <w:bottom w:val="nil"/>
              <w:right w:val="nil"/>
            </w:tcBorders>
            <w:noWrap/>
            <w:vAlign w:val="bottom"/>
            <w:hideMark/>
          </w:tcPr>
          <w:p w:rsidRPr="00322FEE" w:rsidR="00400D9A" w:rsidP="000E5AB1" w:rsidRDefault="00400D9A" w14:paraId="0E9EA65D"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14.999</w:t>
            </w:r>
          </w:p>
        </w:tc>
        <w:tc>
          <w:tcPr>
            <w:tcW w:w="1200" w:type="dxa"/>
            <w:tcBorders>
              <w:top w:val="nil"/>
              <w:left w:val="nil"/>
              <w:bottom w:val="nil"/>
              <w:right w:val="nil"/>
            </w:tcBorders>
            <w:noWrap/>
            <w:vAlign w:val="bottom"/>
            <w:hideMark/>
          </w:tcPr>
          <w:p w:rsidRPr="00322FEE" w:rsidR="00400D9A" w:rsidP="000E5AB1" w:rsidRDefault="00400D9A" w14:paraId="7760EDA9"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15.001</w:t>
            </w:r>
          </w:p>
        </w:tc>
      </w:tr>
      <w:tr w:rsidRPr="00322FEE" w:rsidR="00400D9A" w:rsidTr="000E5AB1" w14:paraId="053E98EF" w14:textId="77777777">
        <w:trPr>
          <w:trHeight w:val="300"/>
        </w:trPr>
        <w:tc>
          <w:tcPr>
            <w:tcW w:w="3020" w:type="dxa"/>
            <w:tcBorders>
              <w:top w:val="nil"/>
              <w:left w:val="nil"/>
              <w:bottom w:val="nil"/>
              <w:right w:val="nil"/>
            </w:tcBorders>
            <w:noWrap/>
            <w:vAlign w:val="bottom"/>
            <w:hideMark/>
          </w:tcPr>
          <w:p w:rsidRPr="00322FEE" w:rsidR="00400D9A" w:rsidP="000E5AB1" w:rsidRDefault="00400D9A" w14:paraId="45D996E1"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Totale inkomen</w:t>
            </w:r>
          </w:p>
        </w:tc>
        <w:tc>
          <w:tcPr>
            <w:tcW w:w="1200" w:type="dxa"/>
            <w:tcBorders>
              <w:top w:val="nil"/>
              <w:left w:val="nil"/>
              <w:bottom w:val="nil"/>
              <w:right w:val="nil"/>
            </w:tcBorders>
            <w:noWrap/>
            <w:vAlign w:val="bottom"/>
            <w:hideMark/>
          </w:tcPr>
          <w:p w:rsidRPr="00322FEE" w:rsidR="00400D9A" w:rsidP="000E5AB1" w:rsidRDefault="00400D9A" w14:paraId="477DFFEB"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36.000</w:t>
            </w:r>
          </w:p>
        </w:tc>
        <w:tc>
          <w:tcPr>
            <w:tcW w:w="1200" w:type="dxa"/>
            <w:tcBorders>
              <w:top w:val="nil"/>
              <w:left w:val="nil"/>
              <w:bottom w:val="nil"/>
              <w:right w:val="nil"/>
            </w:tcBorders>
            <w:noWrap/>
            <w:vAlign w:val="bottom"/>
            <w:hideMark/>
          </w:tcPr>
          <w:p w:rsidRPr="00322FEE" w:rsidR="00400D9A" w:rsidP="000E5AB1" w:rsidRDefault="00400D9A" w14:paraId="47CFAD77"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36.000</w:t>
            </w:r>
          </w:p>
        </w:tc>
      </w:tr>
      <w:tr w:rsidRPr="00322FEE" w:rsidR="00400D9A" w:rsidTr="000E5AB1" w14:paraId="1FBDED6B" w14:textId="77777777">
        <w:trPr>
          <w:trHeight w:val="300"/>
        </w:trPr>
        <w:tc>
          <w:tcPr>
            <w:tcW w:w="3020" w:type="dxa"/>
            <w:tcBorders>
              <w:top w:val="nil"/>
              <w:left w:val="nil"/>
              <w:bottom w:val="nil"/>
              <w:right w:val="nil"/>
            </w:tcBorders>
            <w:noWrap/>
            <w:vAlign w:val="bottom"/>
            <w:hideMark/>
          </w:tcPr>
          <w:p w:rsidRPr="00322FEE" w:rsidR="00400D9A" w:rsidP="000E5AB1" w:rsidRDefault="00400D9A" w14:paraId="4D7DAF1D"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Inkomstenbelasting Nederland</w:t>
            </w:r>
          </w:p>
        </w:tc>
        <w:tc>
          <w:tcPr>
            <w:tcW w:w="1200" w:type="dxa"/>
            <w:tcBorders>
              <w:top w:val="nil"/>
              <w:left w:val="nil"/>
              <w:bottom w:val="nil"/>
              <w:right w:val="nil"/>
            </w:tcBorders>
            <w:noWrap/>
            <w:vAlign w:val="bottom"/>
            <w:hideMark/>
          </w:tcPr>
          <w:p w:rsidRPr="00322FEE" w:rsidR="00400D9A" w:rsidP="000E5AB1" w:rsidRDefault="00400D9A" w14:paraId="69B3BE67"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1.181</w:t>
            </w:r>
          </w:p>
        </w:tc>
        <w:tc>
          <w:tcPr>
            <w:tcW w:w="1200" w:type="dxa"/>
            <w:tcBorders>
              <w:top w:val="nil"/>
              <w:left w:val="nil"/>
              <w:bottom w:val="nil"/>
              <w:right w:val="nil"/>
            </w:tcBorders>
            <w:noWrap/>
            <w:vAlign w:val="bottom"/>
            <w:hideMark/>
          </w:tcPr>
          <w:p w:rsidRPr="00322FEE" w:rsidR="00400D9A" w:rsidP="000E5AB1" w:rsidRDefault="00400D9A" w14:paraId="2F9C7193"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689</w:t>
            </w:r>
          </w:p>
        </w:tc>
      </w:tr>
      <w:tr w:rsidRPr="00322FEE" w:rsidR="00400D9A" w:rsidTr="000E5AB1" w14:paraId="63158041" w14:textId="77777777">
        <w:trPr>
          <w:trHeight w:val="300"/>
        </w:trPr>
        <w:tc>
          <w:tcPr>
            <w:tcW w:w="3020" w:type="dxa"/>
            <w:tcBorders>
              <w:top w:val="nil"/>
              <w:left w:val="nil"/>
              <w:bottom w:val="nil"/>
              <w:right w:val="nil"/>
            </w:tcBorders>
            <w:noWrap/>
            <w:vAlign w:val="bottom"/>
            <w:hideMark/>
          </w:tcPr>
          <w:p w:rsidRPr="00322FEE" w:rsidR="00400D9A" w:rsidP="000E5AB1" w:rsidRDefault="00400D9A" w14:paraId="5449F39E"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Inkomstenbelasting Duitsland</w:t>
            </w:r>
          </w:p>
        </w:tc>
        <w:tc>
          <w:tcPr>
            <w:tcW w:w="1200" w:type="dxa"/>
            <w:tcBorders>
              <w:top w:val="nil"/>
              <w:left w:val="nil"/>
              <w:bottom w:val="nil"/>
              <w:right w:val="nil"/>
            </w:tcBorders>
            <w:noWrap/>
            <w:vAlign w:val="bottom"/>
            <w:hideMark/>
          </w:tcPr>
          <w:p w:rsidRPr="00322FEE" w:rsidR="00400D9A" w:rsidP="000E5AB1" w:rsidRDefault="00400D9A" w14:paraId="3413D4C2"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0</w:t>
            </w:r>
          </w:p>
        </w:tc>
        <w:tc>
          <w:tcPr>
            <w:tcW w:w="1200" w:type="dxa"/>
            <w:tcBorders>
              <w:top w:val="nil"/>
              <w:left w:val="nil"/>
              <w:bottom w:val="nil"/>
              <w:right w:val="nil"/>
            </w:tcBorders>
            <w:noWrap/>
            <w:vAlign w:val="bottom"/>
            <w:hideMark/>
          </w:tcPr>
          <w:p w:rsidRPr="00322FEE" w:rsidR="00400D9A" w:rsidP="000E5AB1" w:rsidRDefault="00400D9A" w14:paraId="77D5E094"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0</w:t>
            </w:r>
          </w:p>
        </w:tc>
      </w:tr>
      <w:tr w:rsidRPr="00322FEE" w:rsidR="00400D9A" w:rsidTr="000E5AB1" w14:paraId="6F1209B6" w14:textId="77777777">
        <w:trPr>
          <w:trHeight w:val="300"/>
        </w:trPr>
        <w:tc>
          <w:tcPr>
            <w:tcW w:w="3020" w:type="dxa"/>
            <w:tcBorders>
              <w:top w:val="nil"/>
              <w:left w:val="nil"/>
              <w:bottom w:val="nil"/>
              <w:right w:val="nil"/>
            </w:tcBorders>
            <w:noWrap/>
            <w:vAlign w:val="bottom"/>
            <w:hideMark/>
          </w:tcPr>
          <w:p w:rsidRPr="00322FEE" w:rsidR="00400D9A" w:rsidP="000E5AB1" w:rsidRDefault="00400D9A" w14:paraId="4AE62C6F"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Totale inkomstenbelasting</w:t>
            </w:r>
          </w:p>
        </w:tc>
        <w:tc>
          <w:tcPr>
            <w:tcW w:w="1200" w:type="dxa"/>
            <w:tcBorders>
              <w:top w:val="nil"/>
              <w:left w:val="nil"/>
              <w:bottom w:val="nil"/>
              <w:right w:val="nil"/>
            </w:tcBorders>
            <w:noWrap/>
            <w:vAlign w:val="bottom"/>
            <w:hideMark/>
          </w:tcPr>
          <w:p w:rsidRPr="00322FEE" w:rsidR="00400D9A" w:rsidP="000E5AB1" w:rsidRDefault="00400D9A" w14:paraId="7B436A99"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1.181</w:t>
            </w:r>
          </w:p>
        </w:tc>
        <w:tc>
          <w:tcPr>
            <w:tcW w:w="1200" w:type="dxa"/>
            <w:tcBorders>
              <w:top w:val="nil"/>
              <w:left w:val="nil"/>
              <w:bottom w:val="nil"/>
              <w:right w:val="nil"/>
            </w:tcBorders>
            <w:noWrap/>
            <w:vAlign w:val="bottom"/>
            <w:hideMark/>
          </w:tcPr>
          <w:p w:rsidRPr="00322FEE" w:rsidR="00400D9A" w:rsidP="000E5AB1" w:rsidRDefault="00400D9A" w14:paraId="645D6C56"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689</w:t>
            </w:r>
          </w:p>
        </w:tc>
      </w:tr>
      <w:tr w:rsidRPr="00322FEE" w:rsidR="00400D9A" w:rsidTr="000E5AB1" w14:paraId="6DD2DFC2" w14:textId="77777777">
        <w:trPr>
          <w:trHeight w:val="300"/>
        </w:trPr>
        <w:tc>
          <w:tcPr>
            <w:tcW w:w="3020" w:type="dxa"/>
            <w:tcBorders>
              <w:top w:val="nil"/>
              <w:left w:val="nil"/>
              <w:bottom w:val="single" w:color="auto" w:sz="4" w:space="0"/>
              <w:right w:val="nil"/>
            </w:tcBorders>
            <w:noWrap/>
            <w:vAlign w:val="bottom"/>
            <w:hideMark/>
          </w:tcPr>
          <w:p w:rsidRPr="00322FEE" w:rsidR="00400D9A" w:rsidP="000E5AB1" w:rsidRDefault="00400D9A" w14:paraId="220B8F98" w14:textId="77777777">
            <w:pPr>
              <w:spacing w:after="0" w:line="240" w:lineRule="auto"/>
              <w:rPr>
                <w:rFonts w:ascii="Aptos Narrow" w:hAnsi="Aptos Narrow" w:eastAsia="Times New Roman" w:cs="Times New Roman"/>
                <w:i/>
                <w:iCs/>
                <w:color w:val="000000"/>
                <w:lang w:eastAsia="nl-NL"/>
              </w:rPr>
            </w:pPr>
            <w:r w:rsidRPr="00322FEE">
              <w:rPr>
                <w:rFonts w:ascii="Aptos Narrow" w:hAnsi="Aptos Narrow" w:eastAsia="Times New Roman" w:cs="Times New Roman"/>
                <w:i/>
                <w:iCs/>
                <w:color w:val="000000"/>
                <w:lang w:eastAsia="nl-NL"/>
              </w:rPr>
              <w:t>Verschil</w:t>
            </w:r>
          </w:p>
        </w:tc>
        <w:tc>
          <w:tcPr>
            <w:tcW w:w="1200" w:type="dxa"/>
            <w:tcBorders>
              <w:top w:val="nil"/>
              <w:left w:val="nil"/>
              <w:bottom w:val="single" w:color="auto" w:sz="4" w:space="0"/>
              <w:right w:val="nil"/>
            </w:tcBorders>
            <w:noWrap/>
            <w:vAlign w:val="bottom"/>
            <w:hideMark/>
          </w:tcPr>
          <w:p w:rsidRPr="00322FEE" w:rsidR="00400D9A" w:rsidP="000E5AB1" w:rsidRDefault="00400D9A" w14:paraId="30907317" w14:textId="77777777">
            <w:pPr>
              <w:spacing w:after="0" w:line="240" w:lineRule="auto"/>
              <w:rPr>
                <w:rFonts w:ascii="Aptos Narrow" w:hAnsi="Aptos Narrow" w:eastAsia="Times New Roman" w:cs="Times New Roman"/>
                <w:i/>
                <w:iCs/>
                <w:color w:val="000000"/>
                <w:lang w:eastAsia="nl-NL"/>
              </w:rPr>
            </w:pPr>
            <w:r w:rsidRPr="00322FEE">
              <w:rPr>
                <w:rFonts w:ascii="Aptos Narrow" w:hAnsi="Aptos Narrow" w:eastAsia="Times New Roman" w:cs="Times New Roman"/>
                <w:i/>
                <w:iCs/>
                <w:color w:val="000000"/>
                <w:lang w:eastAsia="nl-NL"/>
              </w:rPr>
              <w:t> </w:t>
            </w:r>
          </w:p>
        </w:tc>
        <w:tc>
          <w:tcPr>
            <w:tcW w:w="1200" w:type="dxa"/>
            <w:tcBorders>
              <w:top w:val="nil"/>
              <w:left w:val="nil"/>
              <w:bottom w:val="single" w:color="auto" w:sz="4" w:space="0"/>
              <w:right w:val="nil"/>
            </w:tcBorders>
            <w:noWrap/>
            <w:vAlign w:val="bottom"/>
            <w:hideMark/>
          </w:tcPr>
          <w:p w:rsidRPr="00322FEE" w:rsidR="00400D9A" w:rsidP="000E5AB1" w:rsidRDefault="00400D9A" w14:paraId="309C0E07" w14:textId="77777777">
            <w:pPr>
              <w:spacing w:after="0" w:line="240" w:lineRule="auto"/>
              <w:jc w:val="right"/>
              <w:rPr>
                <w:rFonts w:ascii="Aptos Narrow" w:hAnsi="Aptos Narrow" w:eastAsia="Times New Roman" w:cs="Times New Roman"/>
                <w:i/>
                <w:iCs/>
                <w:color w:val="000000"/>
                <w:lang w:eastAsia="nl-NL"/>
              </w:rPr>
            </w:pPr>
            <w:r w:rsidRPr="00322FEE">
              <w:rPr>
                <w:rFonts w:ascii="Aptos Narrow" w:hAnsi="Aptos Narrow" w:eastAsia="Times New Roman" w:cs="Times New Roman"/>
                <w:i/>
                <w:iCs/>
                <w:color w:val="000000"/>
                <w:lang w:eastAsia="nl-NL"/>
              </w:rPr>
              <w:t>-492</w:t>
            </w:r>
          </w:p>
        </w:tc>
      </w:tr>
    </w:tbl>
    <w:p w:rsidRPr="00343AF7" w:rsidR="00400D9A" w:rsidP="00400D9A" w:rsidRDefault="00400D9A" w14:paraId="4DDEFEAD" w14:textId="77777777">
      <w:pPr>
        <w:rPr>
          <w:i/>
          <w:iCs/>
        </w:rPr>
      </w:pPr>
    </w:p>
    <w:p w:rsidRPr="00343AF7" w:rsidR="00400D9A" w:rsidP="00400D9A" w:rsidRDefault="00400D9A" w14:paraId="7EDD0D95" w14:textId="77777777">
      <w:r w:rsidRPr="00875060">
        <w:rPr>
          <w:b/>
          <w:bCs/>
        </w:rPr>
        <w:t>Vraag 6</w:t>
      </w:r>
      <w:r w:rsidRPr="00875060">
        <w:rPr>
          <w:b/>
          <w:bCs/>
        </w:rPr>
        <w:br/>
      </w:r>
      <w:r>
        <w:br/>
      </w:r>
      <w:r w:rsidRPr="00343AF7">
        <w:t xml:space="preserve">Waarom worden juist kleine pensioenen in Nederland belast, terwijl grotere Duitse pensioenen onder het gunstigere Duitse regime vallen? </w:t>
      </w:r>
    </w:p>
    <w:p w:rsidRPr="000A4607" w:rsidR="00400D9A" w:rsidP="00400D9A" w:rsidRDefault="00400D9A" w14:paraId="015F0C10" w14:textId="77777777">
      <w:pPr>
        <w:rPr>
          <w:b/>
          <w:bCs/>
        </w:rPr>
      </w:pPr>
      <w:r w:rsidRPr="000A4607">
        <w:rPr>
          <w:b/>
          <w:bCs/>
        </w:rPr>
        <w:t>Antwoord 6</w:t>
      </w:r>
    </w:p>
    <w:p w:rsidRPr="00875060" w:rsidR="00400D9A" w:rsidP="00400D9A" w:rsidRDefault="00400D9A" w14:paraId="365E69E6" w14:textId="77777777">
      <w:r w:rsidRPr="00875060">
        <w:t>Zoals is aangegeven bij de beantwoording van vraag 5, zijn de verdragsluitende partijen overeengekomen het heffingsrecht over kleine pensioenen toe te wijzen aan de woonstaat om administratieve lasten te beperken. In dat kader is aan ‘kleine pensioenen’ dus invulling gegeven aan de hand van een grens van € 15.000 per kalenderjaar. Voor pensioenen hoger dan € 15.000 per kalenderjaar zijn Nederland en Duitsland een bronstaatheffing overeengekomen. Dit sluit aan bij de Nederlandse onderhandelingsinzet bij bilaterale belastingverdragen, zoals vastgelegd in de Notitie Fiscaal Verdragsbeleid 2020.</w:t>
      </w:r>
      <w:r w:rsidRPr="00875060">
        <w:rPr>
          <w:rStyle w:val="Voetnootmarkering"/>
        </w:rPr>
        <w:footnoteReference w:id="5"/>
      </w:r>
      <w:r w:rsidRPr="00875060">
        <w:t xml:space="preserve">Dit brengt eveneens met zich mee dat Duitse pensioenen hoger dan € 15.000 per kalenderjaar in Duitsland in de heffing worden betrokken. De uiteindelijke belastingdruk </w:t>
      </w:r>
      <w:r w:rsidRPr="00875060">
        <w:lastRenderedPageBreak/>
        <w:t>in Duitsland is afhankelijk van de individuele feiten en omstandigheden; derhalve kan niet worden aangenomen dat het Duitse regime per definitie in alle gevallen voordeliger is.</w:t>
      </w:r>
    </w:p>
    <w:p w:rsidRPr="00343AF7" w:rsidR="00400D9A" w:rsidP="00400D9A" w:rsidRDefault="00400D9A" w14:paraId="5F117D36" w14:textId="77777777">
      <w:pPr>
        <w:rPr>
          <w:i/>
          <w:iCs/>
        </w:rPr>
      </w:pPr>
    </w:p>
    <w:p w:rsidRPr="00343AF7" w:rsidR="00400D9A" w:rsidP="00400D9A" w:rsidRDefault="00400D9A" w14:paraId="3CFD720F" w14:textId="77777777">
      <w:r w:rsidRPr="00875060">
        <w:rPr>
          <w:b/>
          <w:bCs/>
        </w:rPr>
        <w:t>Vraag 7</w:t>
      </w:r>
      <w:r w:rsidRPr="00875060">
        <w:rPr>
          <w:b/>
          <w:bCs/>
        </w:rPr>
        <w:br/>
      </w:r>
      <w:r>
        <w:br/>
      </w:r>
      <w:r w:rsidRPr="00343AF7">
        <w:t xml:space="preserve">Hoe verhoudt deze constructie zich tot het uitgangspunt dat belastingverdragen dubbele belasting moeten voorkomen en het beginsel 'gelijke fiscale en sociale behandeling in de woonstaat'? </w:t>
      </w:r>
    </w:p>
    <w:p w:rsidRPr="000A4607" w:rsidR="00400D9A" w:rsidP="00400D9A" w:rsidRDefault="00400D9A" w14:paraId="620D8370" w14:textId="77777777">
      <w:pPr>
        <w:rPr>
          <w:b/>
          <w:bCs/>
        </w:rPr>
      </w:pPr>
      <w:r w:rsidRPr="000A4607">
        <w:rPr>
          <w:b/>
          <w:bCs/>
        </w:rPr>
        <w:t>Antwoord 7</w:t>
      </w:r>
    </w:p>
    <w:p w:rsidRPr="00875060" w:rsidR="00400D9A" w:rsidP="00400D9A" w:rsidRDefault="00400D9A" w14:paraId="3B783F4C" w14:textId="77777777">
      <w:r w:rsidRPr="00875060">
        <w:t>De bepaling in het belastingverdrag tussen Nederland en Duitsland voorkomt op adequate wijze dubbele belastingheffing en voorkomt eveneens dat inwoners die de genoemde uitkeringen tot en met € 15.000 (per kalenderjaar)</w:t>
      </w:r>
      <w:r w:rsidRPr="00875060" w:rsidDel="00856EAF">
        <w:t xml:space="preserve"> </w:t>
      </w:r>
      <w:r w:rsidRPr="00875060">
        <w:t xml:space="preserve">uit het andere land ontvangen, in dat andere land aangifte moeten doen. Deze afspraak zorgt voor kleine pensioenen voor gelijke fiscale behandeling in de woonstaat: de belastingdruk op pensioenuitkeringen voor inwoners van Nederland die een Duits pensioen van € 15.000 of minder ontvangen is namelijk hetzelfde als de belastingdruk voor inwoners van Nederland die onder gelijke omstandigheden een gelijk bedrag aan Nederlands pensioen ontvangen. </w:t>
      </w:r>
    </w:p>
    <w:p w:rsidRPr="00875060" w:rsidR="00400D9A" w:rsidP="00400D9A" w:rsidRDefault="00400D9A" w14:paraId="0F2117C3" w14:textId="77777777">
      <w:pPr>
        <w:rPr>
          <w:b/>
          <w:bCs/>
        </w:rPr>
      </w:pPr>
      <w:r>
        <w:rPr>
          <w:b/>
          <w:bCs/>
        </w:rPr>
        <w:t>Vraag</w:t>
      </w:r>
      <w:r w:rsidRPr="00875060">
        <w:rPr>
          <w:b/>
          <w:bCs/>
        </w:rPr>
        <w:t xml:space="preserve"> 8</w:t>
      </w:r>
    </w:p>
    <w:p w:rsidRPr="00343AF7" w:rsidR="00400D9A" w:rsidP="00400D9A" w:rsidRDefault="00400D9A" w14:paraId="03993C74" w14:textId="77777777">
      <w:r w:rsidRPr="00343AF7">
        <w:t xml:space="preserve">Hoe beoordeelt u de uitspraak van het Gerechtshof Arnhem/Leeuwarden uit 2022, waarin deze belastingheffing als onrechtmatig en onrechtvaardig werd aangemerkt? </w:t>
      </w:r>
    </w:p>
    <w:p w:rsidRPr="00875060" w:rsidR="00400D9A" w:rsidP="00400D9A" w:rsidRDefault="00400D9A" w14:paraId="28B0F2DA" w14:textId="77777777">
      <w:pPr>
        <w:rPr>
          <w:b/>
          <w:bCs/>
        </w:rPr>
      </w:pPr>
      <w:r w:rsidRPr="00875060">
        <w:rPr>
          <w:b/>
          <w:bCs/>
        </w:rPr>
        <w:t>Vraag 9</w:t>
      </w:r>
    </w:p>
    <w:p w:rsidRPr="00343AF7" w:rsidR="00400D9A" w:rsidP="00400D9A" w:rsidRDefault="00400D9A" w14:paraId="27615E54" w14:textId="77777777">
      <w:r w:rsidRPr="00343AF7">
        <w:t xml:space="preserve">Waarom koos uw ambtsvoorganger ervoor om in cassatie te gaan, terwijl de Belastingdienst zelf de uitspraak van het Hof wilde volgen? </w:t>
      </w:r>
    </w:p>
    <w:p w:rsidRPr="000A4607" w:rsidR="00400D9A" w:rsidP="00400D9A" w:rsidRDefault="00400D9A" w14:paraId="5D6C7AC8" w14:textId="77777777">
      <w:pPr>
        <w:rPr>
          <w:b/>
          <w:bCs/>
        </w:rPr>
      </w:pPr>
      <w:r w:rsidRPr="000A4607">
        <w:rPr>
          <w:b/>
          <w:bCs/>
        </w:rPr>
        <w:t>Antwoord 8 en 9</w:t>
      </w:r>
    </w:p>
    <w:p w:rsidRPr="00875060" w:rsidR="00400D9A" w:rsidP="00400D9A" w:rsidRDefault="00400D9A" w14:paraId="25AF2253" w14:textId="77777777">
      <w:r w:rsidRPr="00875060">
        <w:t xml:space="preserve">In de uitspraak waarnaar wordt verwezen is de Duitse Rente bij de aanslagregeling volledig in de Nederlandse heffing van inkomstenbelasting betrokken (box 1). </w:t>
      </w:r>
      <w:r w:rsidRPr="00875060">
        <w:rPr>
          <w:shd w:val="clear" w:color="auto" w:fill="FFFFFF"/>
        </w:rPr>
        <w:t>De inspecteur betoogt primair voor het Gerechtshof dat deze uitkering kwalificeert als loon uit vroegere dienstbetrekking, dan wel als een periodieke uitkering. Indien één van deze kwalificaties juist is, is niet van belang of er in Duitsland in het verleden sprake is geweest van premieaftrek.</w:t>
      </w:r>
    </w:p>
    <w:p w:rsidRPr="00875060" w:rsidR="00400D9A" w:rsidP="00400D9A" w:rsidRDefault="00400D9A" w14:paraId="4AC4918F" w14:textId="77777777">
      <w:r w:rsidRPr="00875060">
        <w:t>Het Gerechtshof Arnhem-Leeuwarden oordeelde echter dat de Duitse Rente kwalificeert als een uitkering van een pensioenregeling van een andere mogendheid, in welk geval relevant wordt of de betaalde premies in Duitsland (deels) niet aftrekbaar zijn geweest.</w:t>
      </w:r>
      <w:r w:rsidRPr="00875060">
        <w:rPr>
          <w:rStyle w:val="Voetnootmarkering"/>
        </w:rPr>
        <w:t xml:space="preserve"> </w:t>
      </w:r>
      <w:r w:rsidRPr="00875060">
        <w:rPr>
          <w:rStyle w:val="Voetnootmarkering"/>
        </w:rPr>
        <w:footnoteReference w:id="6"/>
      </w:r>
      <w:r w:rsidRPr="00875060">
        <w:t xml:space="preserve"> Hiermee heeft het Gerechtshof overigens een juridische uitspraak gedaan over hoe in zijn ogen de wet moet worden toegepast.  </w:t>
      </w:r>
    </w:p>
    <w:p w:rsidRPr="00875060" w:rsidR="00400D9A" w:rsidP="00400D9A" w:rsidRDefault="00400D9A" w14:paraId="7210F8C2" w14:textId="77777777">
      <w:r w:rsidRPr="00875060">
        <w:t>De inspecteur heeft een cassatievoorstel ingediend bij FJZ/Cassatie.</w:t>
      </w:r>
      <w:r w:rsidRPr="00875060">
        <w:rPr>
          <w:rStyle w:val="Voetnootmarkering"/>
        </w:rPr>
        <w:footnoteReference w:id="7"/>
      </w:r>
      <w:r w:rsidRPr="00875060">
        <w:t>De stelling dat de Belastingdienst de uitspraak van het Gerechtshof wilde volgen is dus niet juist. Mijn ambtsvoorganger heeft vervolgens cassatieberoep ingesteld.</w:t>
      </w:r>
      <w:r w:rsidRPr="00875060">
        <w:rPr>
          <w:rStyle w:val="Voetnootmarkering"/>
        </w:rPr>
        <w:footnoteReference w:id="8"/>
      </w:r>
      <w:r w:rsidRPr="00875060">
        <w:t xml:space="preserve"> </w:t>
      </w:r>
    </w:p>
    <w:p w:rsidRPr="00875060" w:rsidR="00400D9A" w:rsidP="00400D9A" w:rsidRDefault="00400D9A" w14:paraId="10241434" w14:textId="77777777">
      <w:pPr>
        <w:rPr>
          <w:b/>
          <w:bCs/>
          <w:shd w:val="clear" w:color="auto" w:fill="FFFFFF"/>
        </w:rPr>
      </w:pPr>
      <w:r w:rsidRPr="00875060">
        <w:rPr>
          <w:b/>
          <w:bCs/>
          <w:shd w:val="clear" w:color="auto" w:fill="FFFFFF"/>
        </w:rPr>
        <w:t>Vraag 10</w:t>
      </w:r>
    </w:p>
    <w:p w:rsidRPr="00343AF7" w:rsidR="00400D9A" w:rsidP="00400D9A" w:rsidRDefault="00400D9A" w14:paraId="5327CDC1" w14:textId="77777777">
      <w:r w:rsidRPr="00343AF7">
        <w:lastRenderedPageBreak/>
        <w:t xml:space="preserve">Hoe beoordeelt u het advies van advocaat-generaal Melvin Pauwels aan de Hoge Raad in 2023 om het cassatieberoep van de staatssecretaris ongegrond te verklaren? </w:t>
      </w:r>
    </w:p>
    <w:p w:rsidRPr="000A4607" w:rsidR="00400D9A" w:rsidP="00400D9A" w:rsidRDefault="00400D9A" w14:paraId="390D4E2A" w14:textId="77777777">
      <w:pPr>
        <w:rPr>
          <w:b/>
          <w:bCs/>
        </w:rPr>
      </w:pPr>
      <w:r w:rsidRPr="000A4607">
        <w:rPr>
          <w:b/>
          <w:bCs/>
        </w:rPr>
        <w:t>Antwoord 10</w:t>
      </w:r>
    </w:p>
    <w:p w:rsidRPr="00875060" w:rsidR="00400D9A" w:rsidP="00400D9A" w:rsidRDefault="00400D9A" w14:paraId="4E7C6E0F" w14:textId="77777777">
      <w:r w:rsidRPr="00875060">
        <w:t>Er is sprake van een lopende cassatieprocedure. Ik wacht derhalve het oordeel van de Hoge Raad af.</w:t>
      </w:r>
    </w:p>
    <w:p w:rsidRPr="00343AF7" w:rsidR="00400D9A" w:rsidP="00400D9A" w:rsidRDefault="00400D9A" w14:paraId="16971642" w14:textId="77777777">
      <w:pPr>
        <w:rPr>
          <w:i/>
          <w:iCs/>
        </w:rPr>
      </w:pPr>
    </w:p>
    <w:p w:rsidRPr="00875060" w:rsidR="00400D9A" w:rsidP="00400D9A" w:rsidRDefault="00400D9A" w14:paraId="3D3DAF87" w14:textId="77777777">
      <w:pPr>
        <w:rPr>
          <w:b/>
          <w:bCs/>
        </w:rPr>
      </w:pPr>
      <w:r w:rsidRPr="00875060">
        <w:rPr>
          <w:b/>
          <w:bCs/>
        </w:rPr>
        <w:t>Vraag 11</w:t>
      </w:r>
    </w:p>
    <w:p w:rsidRPr="00343AF7" w:rsidR="00400D9A" w:rsidP="00400D9A" w:rsidRDefault="00400D9A" w14:paraId="0283A7D0" w14:textId="77777777">
      <w:r w:rsidRPr="00343AF7">
        <w:t xml:space="preserve">Bent u bereid om, vooruitlopend op het arrest van de Hoge Raad, maatregelen te treffen om deze groep gepensioneerden tegemoet te komen en verdere financiële schade te voorkomen? </w:t>
      </w:r>
    </w:p>
    <w:p w:rsidRPr="000A4607" w:rsidR="00400D9A" w:rsidP="00400D9A" w:rsidRDefault="00400D9A" w14:paraId="0FC97AE8" w14:textId="77777777">
      <w:pPr>
        <w:rPr>
          <w:b/>
          <w:bCs/>
        </w:rPr>
      </w:pPr>
      <w:r w:rsidRPr="000A4607">
        <w:rPr>
          <w:b/>
          <w:bCs/>
        </w:rPr>
        <w:t>Antwoord 11</w:t>
      </w:r>
    </w:p>
    <w:p w:rsidR="00400D9A" w:rsidP="00400D9A" w:rsidRDefault="00400D9A" w14:paraId="3F7CCD6E" w14:textId="77777777">
      <w:pPr>
        <w:rPr>
          <w:i/>
          <w:iCs/>
        </w:rPr>
      </w:pPr>
      <w:r w:rsidRPr="00D818F2">
        <w:rPr>
          <w:i/>
          <w:iCs/>
        </w:rPr>
        <w:t>Zoals ook in eerdere brieven aan de Tweede Kamer is aangegeven</w:t>
      </w:r>
      <w:r w:rsidRPr="00D818F2">
        <w:rPr>
          <w:rStyle w:val="Voetnootmarkering"/>
          <w:i/>
          <w:iCs/>
        </w:rPr>
        <w:footnoteReference w:id="9"/>
      </w:r>
      <w:r w:rsidRPr="00D818F2">
        <w:rPr>
          <w:i/>
          <w:iCs/>
        </w:rPr>
        <w:t>,</w:t>
      </w:r>
      <w:r>
        <w:rPr>
          <w:i/>
          <w:iCs/>
        </w:rPr>
        <w:t xml:space="preserve"> </w:t>
      </w:r>
      <w:r w:rsidRPr="00D818F2">
        <w:rPr>
          <w:i/>
          <w:iCs/>
        </w:rPr>
        <w:t>wordt geen invulling gegeven aan de uitspraak van het Gerechtshof zolang de Hoge Raad geen arrest heeft gewezen. Indien de Hoge Raad het cassatieberoep verwerpt, zal de Belastingdienst invulling geven aan het arrest voor die belastingaanslagen die op de datum waarop het arrest is gewezen nog niet onherroepelijk vaststaan.</w:t>
      </w:r>
    </w:p>
    <w:p w:rsidRPr="00875060" w:rsidR="00400D9A" w:rsidP="00400D9A" w:rsidRDefault="00400D9A" w14:paraId="31E1D9D1" w14:textId="77777777">
      <w:pPr>
        <w:rPr>
          <w:b/>
          <w:bCs/>
        </w:rPr>
      </w:pPr>
      <w:r>
        <w:rPr>
          <w:b/>
          <w:bCs/>
        </w:rPr>
        <w:t>Vraag 12</w:t>
      </w:r>
    </w:p>
    <w:p w:rsidRPr="00343AF7" w:rsidR="00400D9A" w:rsidP="00400D9A" w:rsidRDefault="00400D9A" w14:paraId="406DED22" w14:textId="77777777">
      <w:r w:rsidRPr="00343AF7">
        <w:t xml:space="preserve">Hoe beoordeelt u het oordeel van het Europees Hof van justitie uit 2023 dat Nederland in strijd met EU-recht handelde door belasting te heffen bij de overdracht van pensioenkapitaal van migrerende werknemers? </w:t>
      </w:r>
    </w:p>
    <w:p w:rsidRPr="000A4607" w:rsidR="00400D9A" w:rsidP="00400D9A" w:rsidRDefault="00400D9A" w14:paraId="542F12C2" w14:textId="77777777">
      <w:pPr>
        <w:rPr>
          <w:b/>
          <w:bCs/>
        </w:rPr>
      </w:pPr>
      <w:r w:rsidRPr="000A4607">
        <w:rPr>
          <w:b/>
          <w:bCs/>
        </w:rPr>
        <w:t>Antwoord 1</w:t>
      </w:r>
      <w:r>
        <w:rPr>
          <w:b/>
          <w:bCs/>
        </w:rPr>
        <w:t>2</w:t>
      </w:r>
    </w:p>
    <w:p w:rsidRPr="00875060" w:rsidR="00400D9A" w:rsidP="00400D9A" w:rsidRDefault="00400D9A" w14:paraId="2CEF7B6A" w14:textId="77777777">
      <w:r w:rsidRPr="00875060">
        <w:t>Bij brief van 22 december 2023 heeft het kabinet de Tweede Kamer geïnformeerd over de inhoud, impact en gevolgen van dit arrest.</w:t>
      </w:r>
      <w:r w:rsidRPr="00875060">
        <w:rPr>
          <w:rStyle w:val="Voetnootmarkering"/>
        </w:rPr>
        <w:footnoteReference w:id="10"/>
      </w:r>
      <w:r w:rsidRPr="00875060">
        <w:t xml:space="preserve"> Door middel van een wijzigingswet (Overige fiscale maatregelen 2025) zijn de Invorderingswet 1990, de Pensioenwet en de Wet verplichte beroepspensioenregeling met terugwerkende kracht tot en met 16 november 2023 aangepast om de wetgeving in lijn te brengen met het EU-recht. </w:t>
      </w:r>
    </w:p>
    <w:p w:rsidRPr="00875060" w:rsidR="00400D9A" w:rsidP="00400D9A" w:rsidRDefault="00400D9A" w14:paraId="7A5E4A4D" w14:textId="77777777">
      <w:pPr>
        <w:rPr>
          <w:b/>
          <w:bCs/>
        </w:rPr>
      </w:pPr>
      <w:r>
        <w:rPr>
          <w:b/>
          <w:bCs/>
        </w:rPr>
        <w:t>Vraag 13</w:t>
      </w:r>
    </w:p>
    <w:p w:rsidRPr="00343AF7" w:rsidR="00400D9A" w:rsidP="00400D9A" w:rsidRDefault="00400D9A" w14:paraId="0E55600A" w14:textId="77777777">
      <w:r w:rsidRPr="00343AF7">
        <w:t xml:space="preserve">Kunt u deze vragen één voor één en binnen drie weken beantwoorden? </w:t>
      </w:r>
    </w:p>
    <w:p w:rsidRPr="000A4607" w:rsidR="00400D9A" w:rsidP="00400D9A" w:rsidRDefault="00400D9A" w14:paraId="7C52210B" w14:textId="77777777">
      <w:pPr>
        <w:rPr>
          <w:b/>
          <w:bCs/>
        </w:rPr>
      </w:pPr>
      <w:r w:rsidRPr="000A4607">
        <w:rPr>
          <w:b/>
          <w:bCs/>
        </w:rPr>
        <w:t>Antwoord 13</w:t>
      </w:r>
    </w:p>
    <w:p w:rsidRPr="00343AF7" w:rsidR="00400D9A" w:rsidP="00400D9A" w:rsidRDefault="00400D9A" w14:paraId="75CA92C9" w14:textId="77777777">
      <w:r w:rsidRPr="005941EC">
        <w:t>Ja.</w:t>
      </w:r>
    </w:p>
    <w:p w:rsidR="001D30FB" w:rsidRDefault="001D30FB" w14:paraId="776E2985" w14:textId="77777777"/>
    <w:sectPr w:rsidR="001D30F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AF33" w14:textId="77777777" w:rsidR="00400D9A" w:rsidRDefault="00400D9A" w:rsidP="00400D9A">
      <w:pPr>
        <w:spacing w:after="0" w:line="240" w:lineRule="auto"/>
      </w:pPr>
      <w:r>
        <w:separator/>
      </w:r>
    </w:p>
  </w:endnote>
  <w:endnote w:type="continuationSeparator" w:id="0">
    <w:p w14:paraId="11081D37" w14:textId="77777777" w:rsidR="00400D9A" w:rsidRDefault="00400D9A" w:rsidP="0040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B176" w14:textId="77777777" w:rsidR="00400D9A" w:rsidRPr="00400D9A" w:rsidRDefault="00400D9A" w:rsidP="00400D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99D1" w14:textId="77777777" w:rsidR="00400D9A" w:rsidRPr="00400D9A" w:rsidRDefault="00400D9A" w:rsidP="00400D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D55D" w14:textId="77777777" w:rsidR="00400D9A" w:rsidRPr="00400D9A" w:rsidRDefault="00400D9A" w:rsidP="00400D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599A" w14:textId="77777777" w:rsidR="00400D9A" w:rsidRDefault="00400D9A" w:rsidP="00400D9A">
      <w:pPr>
        <w:spacing w:after="0" w:line="240" w:lineRule="auto"/>
      </w:pPr>
      <w:r>
        <w:separator/>
      </w:r>
    </w:p>
  </w:footnote>
  <w:footnote w:type="continuationSeparator" w:id="0">
    <w:p w14:paraId="39F4006B" w14:textId="77777777" w:rsidR="00400D9A" w:rsidRDefault="00400D9A" w:rsidP="00400D9A">
      <w:pPr>
        <w:spacing w:after="0" w:line="240" w:lineRule="auto"/>
      </w:pPr>
      <w:r>
        <w:continuationSeparator/>
      </w:r>
    </w:p>
  </w:footnote>
  <w:footnote w:id="1">
    <w:p w14:paraId="1F9191E7" w14:textId="77777777" w:rsidR="00400D9A" w:rsidRDefault="00400D9A" w:rsidP="00400D9A">
      <w:pPr>
        <w:pStyle w:val="Voetnoottekst"/>
      </w:pPr>
      <w:r>
        <w:rPr>
          <w:rStyle w:val="Voetnootmarkering"/>
        </w:rPr>
        <w:footnoteRef/>
      </w:r>
      <w:r>
        <w:t xml:space="preserve"> </w:t>
      </w:r>
      <w:r w:rsidRPr="007C1E08">
        <w:t>Kamerstukken II 202</w:t>
      </w:r>
      <w:r>
        <w:t>1</w:t>
      </w:r>
      <w:r w:rsidRPr="007C1E08">
        <w:t>/2</w:t>
      </w:r>
      <w:r>
        <w:t xml:space="preserve">2, </w:t>
      </w:r>
      <w:r w:rsidRPr="00024C1A">
        <w:t>35955, nr. 5</w:t>
      </w:r>
      <w:r w:rsidRPr="00EA64B9">
        <w:t> (</w:t>
      </w:r>
      <w:r>
        <w:t xml:space="preserve">verslag van een </w:t>
      </w:r>
      <w:r w:rsidRPr="00EA64B9">
        <w:t>schriftelijk overleg)</w:t>
      </w:r>
    </w:p>
  </w:footnote>
  <w:footnote w:id="2">
    <w:p w14:paraId="2E971F4A" w14:textId="77777777" w:rsidR="00400D9A" w:rsidRDefault="00400D9A" w:rsidP="00400D9A">
      <w:pPr>
        <w:pStyle w:val="Voetnoottekst"/>
      </w:pPr>
      <w:r>
        <w:rPr>
          <w:rStyle w:val="Voetnootmarkering"/>
        </w:rPr>
        <w:footnoteRef/>
      </w:r>
      <w:r>
        <w:t xml:space="preserve"> </w:t>
      </w:r>
      <w:r w:rsidRPr="00073A2A">
        <w:t>Aanhangsel Handelingen II 2011/12, nr. </w:t>
      </w:r>
      <w:r w:rsidRPr="00024C1A">
        <w:t>129</w:t>
      </w:r>
      <w:r w:rsidRPr="00073A2A">
        <w:t>. Zie ook </w:t>
      </w:r>
      <w:hyperlink r:id="rId1" w:tooltip="link naar https://www.tubantia.nl/overig/domper-uit-het-buitenland-op-de-mat%7Eaafb1334/" w:history="1">
        <w:r w:rsidRPr="00073A2A">
          <w:rPr>
            <w:rStyle w:val="Hyperlink"/>
          </w:rPr>
          <w:t>Externe link:https://www.tubantia.nl/overig/domper-uit-het-buitenland-op-de-mat</w:t>
        </w:r>
      </w:hyperlink>
      <w:r>
        <w:rPr>
          <w:rStyle w:val="Hyperlink"/>
        </w:rPr>
        <w:t>.</w:t>
      </w:r>
    </w:p>
  </w:footnote>
  <w:footnote w:id="3">
    <w:p w14:paraId="76982196" w14:textId="77777777" w:rsidR="00400D9A" w:rsidRDefault="00400D9A" w:rsidP="00400D9A">
      <w:pPr>
        <w:pStyle w:val="Voetnoottekst"/>
      </w:pPr>
      <w:r>
        <w:rPr>
          <w:rStyle w:val="Voetnootmarkering"/>
        </w:rPr>
        <w:footnoteRef/>
      </w:r>
      <w:r>
        <w:t xml:space="preserve"> </w:t>
      </w:r>
      <w:r w:rsidRPr="007C1E08">
        <w:t>Kamerstukken II 202</w:t>
      </w:r>
      <w:r>
        <w:t>1</w:t>
      </w:r>
      <w:r w:rsidRPr="007C1E08">
        <w:t>/2</w:t>
      </w:r>
      <w:r>
        <w:t>2</w:t>
      </w:r>
      <w:r w:rsidRPr="007C1E08">
        <w:t xml:space="preserve">, </w:t>
      </w:r>
      <w:r>
        <w:t>35955</w:t>
      </w:r>
      <w:r w:rsidRPr="007C1E08">
        <w:t>, nr. 3</w:t>
      </w:r>
      <w:r>
        <w:t>.</w:t>
      </w:r>
    </w:p>
  </w:footnote>
  <w:footnote w:id="4">
    <w:p w14:paraId="454D712D" w14:textId="77777777" w:rsidR="00400D9A" w:rsidRDefault="00400D9A" w:rsidP="00400D9A">
      <w:pPr>
        <w:pStyle w:val="Voetnoottekst"/>
      </w:pPr>
      <w:r>
        <w:rPr>
          <w:rStyle w:val="Voetnootmarkering"/>
        </w:rPr>
        <w:footnoteRef/>
      </w:r>
      <w:r>
        <w:t xml:space="preserve"> </w:t>
      </w:r>
      <w:r w:rsidRPr="007C1E08">
        <w:t>Kamerstukken II 202</w:t>
      </w:r>
      <w:r>
        <w:t>1</w:t>
      </w:r>
      <w:r w:rsidRPr="007C1E08">
        <w:t>/2</w:t>
      </w:r>
      <w:r>
        <w:t>2</w:t>
      </w:r>
      <w:r w:rsidRPr="007C1E08">
        <w:t xml:space="preserve">, </w:t>
      </w:r>
      <w:r>
        <w:t>35955</w:t>
      </w:r>
      <w:r w:rsidRPr="007C1E08">
        <w:t>, nr. 3</w:t>
      </w:r>
      <w:r>
        <w:t>.</w:t>
      </w:r>
    </w:p>
  </w:footnote>
  <w:footnote w:id="5">
    <w:p w14:paraId="46FBA496" w14:textId="77777777" w:rsidR="00400D9A" w:rsidRDefault="00400D9A" w:rsidP="00400D9A">
      <w:pPr>
        <w:pStyle w:val="Voetnoottekst"/>
      </w:pPr>
      <w:r>
        <w:rPr>
          <w:rStyle w:val="Voetnootmarkering"/>
        </w:rPr>
        <w:footnoteRef/>
      </w:r>
      <w:r>
        <w:t xml:space="preserve"> </w:t>
      </w:r>
      <w:r w:rsidRPr="007C1E08">
        <w:t>Nederland streeft in zijn belastingverdragen naar een integrale bronstaatheffing over zowel particuliere– als overheidspensioenen. In Nederland geldt namelijk de omkeerregel bij de pensioenopbouw. Dit houdt in dat de opbouw van pensioenen fiscaal wordt gefacilieerd, onder de veronderstelling dat de uiteindelijke uitkering wordt belast. Een integrale bronstaatheffing voorkomt dat de Nederlandse heffingsrechten op in Nederland opgebouwde en fiscaal gefacilieerde pensioenen verloren gaan na (fiscale) emigratie.</w:t>
      </w:r>
    </w:p>
  </w:footnote>
  <w:footnote w:id="6">
    <w:p w14:paraId="3EE5F525" w14:textId="77777777" w:rsidR="00400D9A" w:rsidRPr="007C1E08" w:rsidRDefault="00400D9A" w:rsidP="00400D9A">
      <w:pPr>
        <w:pStyle w:val="Voetnoottekst"/>
      </w:pPr>
      <w:r w:rsidRPr="007C1E08">
        <w:rPr>
          <w:rStyle w:val="Voetnootmarkering"/>
        </w:rPr>
        <w:footnoteRef/>
      </w:r>
      <w:r w:rsidRPr="007C1E08">
        <w:rPr>
          <w:rStyle w:val="Voetnootmarkering"/>
        </w:rPr>
        <w:t xml:space="preserve"> </w:t>
      </w:r>
      <w:r w:rsidRPr="007C1E08">
        <w:t>Hof Arnhem-Leeuwarden 15 november 2022, ECLI:NL:GHARL:2022:9842.</w:t>
      </w:r>
    </w:p>
  </w:footnote>
  <w:footnote w:id="7">
    <w:p w14:paraId="16FA6070" w14:textId="77777777" w:rsidR="00400D9A" w:rsidRPr="00C0127E" w:rsidRDefault="00400D9A" w:rsidP="00400D9A">
      <w:pPr>
        <w:pStyle w:val="Voetnoottekst"/>
        <w:rPr>
          <w:color w:val="002060"/>
          <w:sz w:val="16"/>
          <w:szCs w:val="16"/>
        </w:rPr>
      </w:pPr>
      <w:r w:rsidRPr="007C1E08">
        <w:rPr>
          <w:rStyle w:val="Voetnootmarkering"/>
        </w:rPr>
        <w:footnoteRef/>
      </w:r>
      <w:r w:rsidRPr="00C0127E">
        <w:rPr>
          <w:color w:val="002060"/>
          <w:sz w:val="16"/>
          <w:szCs w:val="16"/>
        </w:rPr>
        <w:t xml:space="preserve"> </w:t>
      </w:r>
      <w:r w:rsidRPr="007C1E08">
        <w:t>Zie onderdeel 5.1.1. van het Besluit Beroep in Belastingzaken, Stcrt. 2021, 46005.</w:t>
      </w:r>
    </w:p>
  </w:footnote>
  <w:footnote w:id="8">
    <w:p w14:paraId="1E5273EB" w14:textId="77777777" w:rsidR="00400D9A" w:rsidRPr="00097483" w:rsidRDefault="00400D9A" w:rsidP="00400D9A">
      <w:pPr>
        <w:pStyle w:val="Voetnoottekst"/>
      </w:pPr>
      <w:r w:rsidRPr="007C1E08">
        <w:rPr>
          <w:rStyle w:val="Voetnootmarkering"/>
        </w:rPr>
        <w:footnoteRef/>
      </w:r>
      <w:r w:rsidRPr="007C1E08">
        <w:rPr>
          <w:rStyle w:val="Voetnootmarkering"/>
        </w:rPr>
        <w:t xml:space="preserve"> </w:t>
      </w:r>
      <w:r w:rsidRPr="007C1E08">
        <w:t>Kamerstukken II 2022/23, 25087, nr. 317, p. 12.</w:t>
      </w:r>
      <w:r w:rsidRPr="00C0127E">
        <w:rPr>
          <w:color w:val="002060"/>
        </w:rPr>
        <w:t xml:space="preserve">  </w:t>
      </w:r>
    </w:p>
  </w:footnote>
  <w:footnote w:id="9">
    <w:p w14:paraId="5C35BFEF" w14:textId="77777777" w:rsidR="00400D9A" w:rsidRDefault="00400D9A" w:rsidP="00400D9A">
      <w:pPr>
        <w:pStyle w:val="Voetnoottekst"/>
      </w:pPr>
      <w:r>
        <w:rPr>
          <w:rStyle w:val="Voetnootmarkering"/>
        </w:rPr>
        <w:footnoteRef/>
      </w:r>
      <w:r>
        <w:t xml:space="preserve"> </w:t>
      </w:r>
      <w:r w:rsidRPr="007C1E08">
        <w:t>Kamerstukken II 2022/23, 25087, nr. 317, p</w:t>
      </w:r>
      <w:r>
        <w:t>.</w:t>
      </w:r>
      <w:r w:rsidRPr="007C1E08">
        <w:t xml:space="preserve"> 12</w:t>
      </w:r>
      <w:r>
        <w:t>.</w:t>
      </w:r>
      <w:r w:rsidRPr="00C0127E">
        <w:rPr>
          <w:color w:val="002060"/>
        </w:rPr>
        <w:t xml:space="preserve"> </w:t>
      </w:r>
    </w:p>
  </w:footnote>
  <w:footnote w:id="10">
    <w:p w14:paraId="15110B32" w14:textId="77777777" w:rsidR="00400D9A" w:rsidRDefault="00400D9A" w:rsidP="00400D9A">
      <w:pPr>
        <w:pStyle w:val="Voetnoottekst"/>
      </w:pPr>
      <w:r>
        <w:rPr>
          <w:rStyle w:val="Voetnootmarkering"/>
        </w:rPr>
        <w:footnoteRef/>
      </w:r>
      <w:r>
        <w:t xml:space="preserve"> </w:t>
      </w:r>
      <w:r w:rsidRPr="00EB6BC6">
        <w:t>Kamerstukken II 2023/24, 32043, nr. 629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B9A1" w14:textId="77777777" w:rsidR="00400D9A" w:rsidRPr="00400D9A" w:rsidRDefault="00400D9A" w:rsidP="00400D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328A" w14:textId="77777777" w:rsidR="00400D9A" w:rsidRPr="00400D9A" w:rsidRDefault="00400D9A" w:rsidP="00400D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9FF3" w14:textId="77777777" w:rsidR="00400D9A" w:rsidRPr="00400D9A" w:rsidRDefault="00400D9A" w:rsidP="00400D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9A"/>
    <w:rsid w:val="001D30FB"/>
    <w:rsid w:val="00400D9A"/>
    <w:rsid w:val="006327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D8EA"/>
  <w15:chartTrackingRefBased/>
  <w15:docId w15:val="{5387C3C9-E939-40D0-905A-3A79B13E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0D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0D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0D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0D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0D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0D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0D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0D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0D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0D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0D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0D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0D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0D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0D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0D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0D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0D9A"/>
    <w:rPr>
      <w:rFonts w:eastAsiaTheme="majorEastAsia" w:cstheme="majorBidi"/>
      <w:color w:val="272727" w:themeColor="text1" w:themeTint="D8"/>
    </w:rPr>
  </w:style>
  <w:style w:type="paragraph" w:styleId="Titel">
    <w:name w:val="Title"/>
    <w:basedOn w:val="Standaard"/>
    <w:next w:val="Standaard"/>
    <w:link w:val="TitelChar"/>
    <w:uiPriority w:val="10"/>
    <w:qFormat/>
    <w:rsid w:val="00400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D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0D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0D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0D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0D9A"/>
    <w:rPr>
      <w:i/>
      <w:iCs/>
      <w:color w:val="404040" w:themeColor="text1" w:themeTint="BF"/>
    </w:rPr>
  </w:style>
  <w:style w:type="paragraph" w:styleId="Lijstalinea">
    <w:name w:val="List Paragraph"/>
    <w:basedOn w:val="Standaard"/>
    <w:uiPriority w:val="34"/>
    <w:qFormat/>
    <w:rsid w:val="00400D9A"/>
    <w:pPr>
      <w:ind w:left="720"/>
      <w:contextualSpacing/>
    </w:pPr>
  </w:style>
  <w:style w:type="character" w:styleId="Intensievebenadrukking">
    <w:name w:val="Intense Emphasis"/>
    <w:basedOn w:val="Standaardalinea-lettertype"/>
    <w:uiPriority w:val="21"/>
    <w:qFormat/>
    <w:rsid w:val="00400D9A"/>
    <w:rPr>
      <w:i/>
      <w:iCs/>
      <w:color w:val="2F5496" w:themeColor="accent1" w:themeShade="BF"/>
    </w:rPr>
  </w:style>
  <w:style w:type="paragraph" w:styleId="Duidelijkcitaat">
    <w:name w:val="Intense Quote"/>
    <w:basedOn w:val="Standaard"/>
    <w:next w:val="Standaard"/>
    <w:link w:val="DuidelijkcitaatChar"/>
    <w:uiPriority w:val="30"/>
    <w:qFormat/>
    <w:rsid w:val="00400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0D9A"/>
    <w:rPr>
      <w:i/>
      <w:iCs/>
      <w:color w:val="2F5496" w:themeColor="accent1" w:themeShade="BF"/>
    </w:rPr>
  </w:style>
  <w:style w:type="character" w:styleId="Intensieveverwijzing">
    <w:name w:val="Intense Reference"/>
    <w:basedOn w:val="Standaardalinea-lettertype"/>
    <w:uiPriority w:val="32"/>
    <w:qFormat/>
    <w:rsid w:val="00400D9A"/>
    <w:rPr>
      <w:b/>
      <w:bCs/>
      <w:smallCaps/>
      <w:color w:val="2F5496" w:themeColor="accent1" w:themeShade="BF"/>
      <w:spacing w:val="5"/>
    </w:rPr>
  </w:style>
  <w:style w:type="character" w:styleId="Hyperlink">
    <w:name w:val="Hyperlink"/>
    <w:basedOn w:val="Standaardalinea-lettertype"/>
    <w:uiPriority w:val="99"/>
    <w:unhideWhenUsed/>
    <w:rsid w:val="00400D9A"/>
    <w:rPr>
      <w:color w:val="0563C1" w:themeColor="hyperlink"/>
      <w:u w:val="single"/>
    </w:rPr>
  </w:style>
  <w:style w:type="paragraph" w:styleId="Voetnoottekst">
    <w:name w:val="footnote text"/>
    <w:basedOn w:val="Standaard"/>
    <w:link w:val="VoetnoottekstChar"/>
    <w:uiPriority w:val="99"/>
    <w:semiHidden/>
    <w:unhideWhenUsed/>
    <w:rsid w:val="00400D9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00D9A"/>
    <w:rPr>
      <w:kern w:val="0"/>
      <w:sz w:val="20"/>
      <w:szCs w:val="20"/>
      <w14:ligatures w14:val="none"/>
    </w:rPr>
  </w:style>
  <w:style w:type="character" w:styleId="Voetnootmarkering">
    <w:name w:val="footnote reference"/>
    <w:basedOn w:val="Standaardalinea-lettertype"/>
    <w:uiPriority w:val="99"/>
    <w:semiHidden/>
    <w:unhideWhenUsed/>
    <w:rsid w:val="00400D9A"/>
    <w:rPr>
      <w:vertAlign w:val="superscript"/>
    </w:rPr>
  </w:style>
  <w:style w:type="paragraph" w:styleId="Koptekst">
    <w:name w:val="header"/>
    <w:basedOn w:val="Standaard"/>
    <w:link w:val="KoptekstChar"/>
    <w:uiPriority w:val="99"/>
    <w:unhideWhenUsed/>
    <w:rsid w:val="00400D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0D9A"/>
  </w:style>
  <w:style w:type="paragraph" w:styleId="Voettekst">
    <w:name w:val="footer"/>
    <w:basedOn w:val="Standaard"/>
    <w:link w:val="VoettekstChar"/>
    <w:uiPriority w:val="99"/>
    <w:unhideWhenUsed/>
    <w:rsid w:val="00400D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0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ubantia.nl/overig/domper-uit-het-buitenland-op-de-mat%7Eaafb133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1860</ap:Words>
  <ap:Characters>10230</ap:Characters>
  <ap:DocSecurity>0</ap:DocSecurity>
  <ap:Lines>85</ap:Lines>
  <ap:Paragraphs>24</ap:Paragraphs>
  <ap:ScaleCrop>false</ap:ScaleCrop>
  <ap:LinksUpToDate>false</ap:LinksUpToDate>
  <ap:CharactersWithSpaces>12066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2025-09-17T14:11:00.0000000Z</dcterms:created>
  <dcterms:modified xsi:type="dcterms:W3CDTF">2025-09-17T14:12:00.0000000Z</dcterms:modified>
  <version/>
  <category/>
</coreProperties>
</file>