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3CB" w:rsidR="00E2501E" w:rsidP="005B13CB" w:rsidRDefault="00000000" w14:paraId="7F6FE6B6" w14:textId="77777777">
      <w:pPr>
        <w:pStyle w:val="Huisstijl-Kopjenota"/>
        <w:spacing w:line="240" w:lineRule="auto"/>
      </w:pPr>
      <w:bookmarkStart w:name="_Hlk208909785" w:id="0"/>
      <w:bookmarkEnd w:id="0"/>
      <w:r w:rsidRPr="005B13CB">
        <w:t>Nota van toelichting</w:t>
      </w:r>
    </w:p>
    <w:p w:rsidRPr="005B13CB" w:rsidR="00E2501E" w:rsidP="005B13CB" w:rsidRDefault="00E2501E" w14:paraId="02F2D047" w14:textId="77777777">
      <w:pPr>
        <w:pStyle w:val="Huisstijl-Ondertekeningvervolg"/>
        <w:spacing w:line="240" w:lineRule="auto"/>
        <w:rPr>
          <w:i w:val="0"/>
          <w:szCs w:val="18"/>
        </w:rPr>
      </w:pPr>
    </w:p>
    <w:p w:rsidRPr="005B13CB" w:rsidR="005B13CB" w:rsidP="005B13CB" w:rsidRDefault="005B13CB" w14:paraId="3591AD5F" w14:textId="77777777">
      <w:pPr>
        <w:pStyle w:val="Geenafstand"/>
        <w:rPr>
          <w:rFonts w:ascii="Verdana" w:hAnsi="Verdana"/>
          <w:sz w:val="18"/>
          <w:szCs w:val="18"/>
        </w:rPr>
      </w:pPr>
      <w:r w:rsidRPr="005B13CB">
        <w:rPr>
          <w:rFonts w:ascii="Verdana" w:hAnsi="Verdana"/>
          <w:sz w:val="18"/>
          <w:szCs w:val="18"/>
        </w:rPr>
        <w:t xml:space="preserve">Dit besluit heeft tot doel lijst I en II behorende bij de Opiumwet te wijzigen. Met deze wijziging wordt een aantal nieuwe psychoactieve stoffen aan de bij de Opiumwet behorende lijst I en II toegevoegd. </w:t>
      </w:r>
    </w:p>
    <w:p w:rsidRPr="005B13CB" w:rsidR="005B13CB" w:rsidP="005B13CB" w:rsidRDefault="005B13CB" w14:paraId="30B4F07A" w14:textId="77777777">
      <w:pPr>
        <w:pStyle w:val="Geenafstand"/>
        <w:rPr>
          <w:rFonts w:ascii="Verdana" w:hAnsi="Verdana"/>
          <w:sz w:val="18"/>
          <w:szCs w:val="18"/>
        </w:rPr>
      </w:pPr>
    </w:p>
    <w:p w:rsidRPr="005B13CB" w:rsidR="005B13CB" w:rsidP="005B13CB" w:rsidRDefault="005B13CB" w14:paraId="287A3F6E" w14:textId="77777777">
      <w:pPr>
        <w:pStyle w:val="Geenafstand"/>
        <w:rPr>
          <w:rFonts w:ascii="Verdana" w:hAnsi="Verdana"/>
          <w:sz w:val="18"/>
          <w:szCs w:val="18"/>
        </w:rPr>
      </w:pPr>
      <w:r w:rsidRPr="005B13CB">
        <w:rPr>
          <w:rFonts w:ascii="Verdana" w:hAnsi="Verdana"/>
          <w:sz w:val="18"/>
          <w:szCs w:val="18"/>
        </w:rPr>
        <w:t xml:space="preserve">Vanwege ernstige gezondheidsrisico’s en ernstige sociale risico’s is in internationaal verband besloten een aantal nieuwe psychoactieve stoffen te onderwerpen aan controlemaatregelen. Met het onderhavige besluit worden deze nieuwe psychoactieve stoffen op lijst I en II behorende bij de Opiumwet geplaatst. Op grond van artikel 2 van de Opiumwet is het verboden om de middelen die op lijst I van deze wet staan binnen of buiten het grondgebied van Nederland te brengen, te telen, te bereiden, te bewerken, te verwerken, te verkopen, af te leveren, te verstrekken, te vervoeren, aanwezig te hebben of te vervaardigen. Op grond van artikel 3 van de Opiumwet geldt hetzelfde voor middelen die op lijst II van de Opiumwet staan. Concreet gaat het om de plaatsing van de middelen </w:t>
      </w:r>
      <w:bookmarkStart w:name="_Hlk199749489" w:id="1"/>
      <w:r w:rsidRPr="005B13CB">
        <w:rPr>
          <w:rFonts w:ascii="Verdana" w:hAnsi="Verdana"/>
          <w:sz w:val="18"/>
          <w:szCs w:val="18"/>
        </w:rPr>
        <w:t>2</w:t>
      </w:r>
      <w:r w:rsidRPr="005B13CB">
        <w:rPr>
          <w:rFonts w:ascii="Verdana" w:hAnsi="Verdana"/>
          <w:sz w:val="18"/>
          <w:szCs w:val="18"/>
        </w:rPr>
        <w:noBreakHyphen/>
        <w:t>fluordeschloorketamine, butonitazeen, dipentylon, etonitazepipne, HHC</w:t>
      </w:r>
      <w:r w:rsidRPr="005B13CB">
        <w:rPr>
          <w:rFonts w:ascii="Verdana" w:hAnsi="Verdana" w:cs="Calibri"/>
          <w:sz w:val="18"/>
          <w:szCs w:val="18"/>
        </w:rPr>
        <w:t>, me</w:t>
      </w:r>
      <w:r w:rsidRPr="005B13CB">
        <w:rPr>
          <w:rFonts w:ascii="Verdana" w:hAnsi="Verdana"/>
          <w:sz w:val="18"/>
          <w:szCs w:val="18"/>
        </w:rPr>
        <w:t xml:space="preserve">tonitazepyne, </w:t>
      </w:r>
      <w:r w:rsidRPr="005B13CB">
        <w:rPr>
          <w:rFonts w:ascii="Verdana" w:hAnsi="Verdana" w:cs="Calibri"/>
          <w:sz w:val="18"/>
          <w:szCs w:val="18"/>
        </w:rPr>
        <w:t xml:space="preserve">norisotonitazeen </w:t>
      </w:r>
      <w:r w:rsidRPr="005B13CB">
        <w:rPr>
          <w:rFonts w:ascii="Verdana" w:hAnsi="Verdana"/>
          <w:sz w:val="18"/>
          <w:szCs w:val="18"/>
        </w:rPr>
        <w:t xml:space="preserve">en protonitazepyne </w:t>
      </w:r>
      <w:bookmarkEnd w:id="1"/>
      <w:r w:rsidRPr="005B13CB">
        <w:rPr>
          <w:rFonts w:ascii="Verdana" w:hAnsi="Verdana"/>
          <w:sz w:val="18"/>
          <w:szCs w:val="18"/>
        </w:rPr>
        <w:t xml:space="preserve">op lijst I en </w:t>
      </w:r>
      <w:bookmarkStart w:name="_Hlk199760216" w:id="2"/>
      <w:r w:rsidRPr="005B13CB">
        <w:rPr>
          <w:rFonts w:ascii="Verdana" w:hAnsi="Verdana"/>
          <w:sz w:val="18"/>
          <w:szCs w:val="18"/>
        </w:rPr>
        <w:t>bromazolam</w:t>
      </w:r>
      <w:bookmarkEnd w:id="2"/>
      <w:r w:rsidRPr="005B13CB">
        <w:rPr>
          <w:rFonts w:ascii="Verdana" w:hAnsi="Verdana"/>
          <w:sz w:val="18"/>
          <w:szCs w:val="18"/>
        </w:rPr>
        <w:t xml:space="preserve"> en carisoprodol op lijst II.</w:t>
      </w:r>
      <w:bookmarkStart w:name="d17e375" w:id="3"/>
      <w:bookmarkEnd w:id="3"/>
    </w:p>
    <w:p w:rsidRPr="005B13CB" w:rsidR="005B13CB" w:rsidP="005B13CB" w:rsidRDefault="005B13CB" w14:paraId="74E020E5" w14:textId="77777777">
      <w:pPr>
        <w:pStyle w:val="Geenafstand"/>
        <w:rPr>
          <w:rFonts w:ascii="Verdana" w:hAnsi="Verdana"/>
          <w:sz w:val="18"/>
          <w:szCs w:val="18"/>
        </w:rPr>
      </w:pPr>
    </w:p>
    <w:p w:rsidRPr="005B13CB" w:rsidR="005B13CB" w:rsidP="005B13CB" w:rsidRDefault="005B13CB" w14:paraId="555AEB66" w14:textId="77777777">
      <w:pPr>
        <w:pStyle w:val="Geenafstand"/>
        <w:rPr>
          <w:rFonts w:ascii="Verdana" w:hAnsi="Verdana"/>
          <w:sz w:val="18"/>
          <w:szCs w:val="18"/>
        </w:rPr>
      </w:pPr>
      <w:r w:rsidRPr="005B13CB">
        <w:rPr>
          <w:rFonts w:ascii="Verdana" w:hAnsi="Verdana"/>
          <w:sz w:val="18"/>
          <w:szCs w:val="18"/>
        </w:rPr>
        <w:t>Met dit besluit wordt uitvoering gegeven aan vier besluiten van 19 maart 2024 en aan zes besluiten van 12 maart 2025 van de Commission on Narcotic Drugs (hierna: CND).</w:t>
      </w:r>
      <w:r w:rsidRPr="005B13CB">
        <w:rPr>
          <w:rStyle w:val="Voetnootmarkering"/>
          <w:rFonts w:ascii="Verdana" w:hAnsi="Verdana"/>
          <w:sz w:val="18"/>
          <w:szCs w:val="18"/>
        </w:rPr>
        <w:footnoteReference w:id="1"/>
      </w:r>
      <w:r w:rsidRPr="005B13CB">
        <w:rPr>
          <w:rFonts w:ascii="Verdana" w:hAnsi="Verdana"/>
          <w:sz w:val="18"/>
          <w:szCs w:val="18"/>
        </w:rPr>
        <w:t> Ten eerste heeft de CND op grond van artikel 3 van het op 30 maart 1961 te New York tot stand gekomen Enkelvoudig Verdrag inzake verdovende middelen (Trb. 1962, 30) besloten butonitazeen, etonitazepipne, HHC</w:t>
      </w:r>
      <w:r w:rsidRPr="005B13CB">
        <w:rPr>
          <w:rFonts w:ascii="Verdana" w:hAnsi="Verdana" w:cs="Calibri"/>
          <w:sz w:val="18"/>
          <w:szCs w:val="18"/>
        </w:rPr>
        <w:t>, me</w:t>
      </w:r>
      <w:r w:rsidRPr="005B13CB">
        <w:rPr>
          <w:rFonts w:ascii="Verdana" w:hAnsi="Verdana"/>
          <w:sz w:val="18"/>
          <w:szCs w:val="18"/>
        </w:rPr>
        <w:t>tonitazepyne,</w:t>
      </w:r>
      <w:r w:rsidRPr="005B13CB">
        <w:rPr>
          <w:rFonts w:ascii="Verdana" w:hAnsi="Verdana" w:cs="Calibri"/>
          <w:sz w:val="18"/>
          <w:szCs w:val="18"/>
        </w:rPr>
        <w:t xml:space="preserve"> norisotonitazeen </w:t>
      </w:r>
      <w:r w:rsidRPr="005B13CB">
        <w:rPr>
          <w:rFonts w:ascii="Verdana" w:hAnsi="Verdana"/>
          <w:sz w:val="18"/>
          <w:szCs w:val="18"/>
        </w:rPr>
        <w:t>en protonitazepyne te onderwerpen aan controlemaatregelen. Daarnaast heeft de CND op grond artikel 2, vijfde lid, van het Verdrag inzake psychotrope stoffen (Trb. 1989, 129) besloten 2</w:t>
      </w:r>
      <w:r w:rsidRPr="005B13CB">
        <w:rPr>
          <w:rFonts w:ascii="Verdana" w:hAnsi="Verdana"/>
          <w:sz w:val="18"/>
          <w:szCs w:val="18"/>
        </w:rPr>
        <w:noBreakHyphen/>
        <w:t>fluordeschloorketamine, butonitazeen,, carisoprodol, dipentylon en HHC te onderwerpen aan controlemaatregelen. De CND is tot deze besluiten gekomen na een risicoanalyse door de WHO waarin is geconcludeerd dat de middelen een onaanvaardbaar risico vormen.</w:t>
      </w:r>
    </w:p>
    <w:p w:rsidRPr="005B13CB" w:rsidR="005B13CB" w:rsidP="005B13CB" w:rsidRDefault="005B13CB" w14:paraId="1C058BC9" w14:textId="77777777">
      <w:pPr>
        <w:pStyle w:val="Geenafstand"/>
        <w:rPr>
          <w:rFonts w:ascii="Verdana" w:hAnsi="Verdana"/>
          <w:sz w:val="18"/>
          <w:szCs w:val="18"/>
        </w:rPr>
      </w:pPr>
    </w:p>
    <w:p w:rsidR="005B13CB" w:rsidP="005B13CB" w:rsidRDefault="005B13CB" w14:paraId="1BD06ECB" w14:textId="77777777">
      <w:pPr>
        <w:pStyle w:val="Geenafstand"/>
        <w:rPr>
          <w:rFonts w:ascii="Verdana" w:hAnsi="Verdana"/>
          <w:sz w:val="18"/>
          <w:szCs w:val="18"/>
        </w:rPr>
      </w:pPr>
      <w:r w:rsidRPr="005B13CB">
        <w:rPr>
          <w:rFonts w:ascii="Verdana" w:hAnsi="Verdana"/>
          <w:sz w:val="18"/>
          <w:szCs w:val="18"/>
        </w:rPr>
        <w:t>Op grond van de artikelen 4 en 2, zevende lid, van de respectievelijke verdragen, zijn staten vervolgens verplicht tot het onderwerpen van deze stoffen aan controlemaatregelen. In Nederland zijn die maatregelen neergelegd in de Opiumwet. Gelet op de ernstige gezondheidsrisico’s, worden acht nieuwe psychoactieve stoffen, te weten 2</w:t>
      </w:r>
      <w:r w:rsidRPr="005B13CB">
        <w:rPr>
          <w:rFonts w:ascii="Verdana" w:hAnsi="Verdana"/>
          <w:sz w:val="18"/>
          <w:szCs w:val="18"/>
        </w:rPr>
        <w:noBreakHyphen/>
        <w:t>fluordeschloorketamine, butonitazeen, dipentylon</w:t>
      </w:r>
      <w:r w:rsidRPr="005B13CB">
        <w:rPr>
          <w:rFonts w:ascii="Verdana" w:hAnsi="Verdana" w:cs="Calibri"/>
          <w:sz w:val="18"/>
          <w:szCs w:val="18"/>
        </w:rPr>
        <w:t xml:space="preserve">, </w:t>
      </w:r>
      <w:r w:rsidRPr="005B13CB">
        <w:rPr>
          <w:rFonts w:ascii="Verdana" w:hAnsi="Verdana"/>
          <w:sz w:val="18"/>
          <w:szCs w:val="18"/>
        </w:rPr>
        <w:t>etonitazepipne, HHC</w:t>
      </w:r>
      <w:r w:rsidRPr="005B13CB">
        <w:rPr>
          <w:rFonts w:ascii="Verdana" w:hAnsi="Verdana" w:cs="Calibri"/>
          <w:sz w:val="18"/>
          <w:szCs w:val="18"/>
        </w:rPr>
        <w:t>, me</w:t>
      </w:r>
      <w:r w:rsidRPr="005B13CB">
        <w:rPr>
          <w:rFonts w:ascii="Verdana" w:hAnsi="Verdana"/>
          <w:sz w:val="18"/>
          <w:szCs w:val="18"/>
        </w:rPr>
        <w:t xml:space="preserve">tonitazepyne, </w:t>
      </w:r>
      <w:r w:rsidRPr="005B13CB">
        <w:rPr>
          <w:rFonts w:ascii="Verdana" w:hAnsi="Verdana" w:cs="Calibri"/>
          <w:sz w:val="18"/>
          <w:szCs w:val="18"/>
        </w:rPr>
        <w:t xml:space="preserve">norisotonitazeen </w:t>
      </w:r>
      <w:r w:rsidRPr="005B13CB">
        <w:rPr>
          <w:rFonts w:ascii="Verdana" w:hAnsi="Verdana"/>
          <w:sz w:val="18"/>
          <w:szCs w:val="18"/>
        </w:rPr>
        <w:t>en protonitazepyne</w:t>
      </w:r>
      <w:r w:rsidRPr="005B13CB">
        <w:rPr>
          <w:rFonts w:ascii="Verdana" w:hAnsi="Verdana" w:cs="Calibri"/>
          <w:sz w:val="18"/>
          <w:szCs w:val="18"/>
        </w:rPr>
        <w:t xml:space="preserve"> </w:t>
      </w:r>
      <w:r w:rsidRPr="005B13CB">
        <w:rPr>
          <w:rFonts w:ascii="Verdana" w:hAnsi="Verdana"/>
          <w:sz w:val="18"/>
          <w:szCs w:val="18"/>
        </w:rPr>
        <w:t xml:space="preserve">aangemerkt als harddrugs. De nieuwe stoffen worden toegevoegd aan lijst I (artikel I). Deze stoffen hebben namelijk een vergelijkbare werking als de stoffen die al op lijst I behorende bij de Opiumwet staan. Bromazolam en carisoprodol hebben een vergelijkbare werking als stoffen die al op de bij de Opiumwet behorende lijst II staan. Daarom worden deze stoffen met dit besluit toegevoegd aan lijst II (artikel II). </w:t>
      </w:r>
    </w:p>
    <w:p w:rsidR="0024257E" w:rsidP="005B13CB" w:rsidRDefault="0024257E" w14:paraId="3E313C35" w14:textId="77777777">
      <w:pPr>
        <w:pStyle w:val="Geenafstand"/>
        <w:rPr>
          <w:rFonts w:ascii="Verdana" w:hAnsi="Verdana"/>
          <w:sz w:val="18"/>
          <w:szCs w:val="18"/>
        </w:rPr>
      </w:pPr>
    </w:p>
    <w:p w:rsidRPr="005B13CB" w:rsidR="0024257E" w:rsidP="005B13CB" w:rsidRDefault="0024257E" w14:paraId="76810A3F" w14:textId="785BDEB2">
      <w:pPr>
        <w:pStyle w:val="Geenafstand"/>
        <w:rPr>
          <w:rFonts w:ascii="Verdana" w:hAnsi="Verdana" w:cs="Calibri"/>
          <w:sz w:val="18"/>
          <w:szCs w:val="18"/>
        </w:rPr>
      </w:pPr>
      <w:r w:rsidRPr="009B4709">
        <w:rPr>
          <w:rFonts w:ascii="Verdana" w:hAnsi="Verdana" w:cs="Calibri"/>
          <w:sz w:val="18"/>
          <w:szCs w:val="18"/>
        </w:rPr>
        <w:t xml:space="preserve">Voor </w:t>
      </w:r>
      <w:r w:rsidR="00737F8B">
        <w:rPr>
          <w:rFonts w:ascii="Verdana" w:hAnsi="Verdana" w:cs="Calibri"/>
          <w:sz w:val="18"/>
          <w:szCs w:val="18"/>
        </w:rPr>
        <w:t xml:space="preserve">de openbare lichamen </w:t>
      </w:r>
      <w:r w:rsidRPr="009B4709">
        <w:rPr>
          <w:rFonts w:ascii="Verdana" w:hAnsi="Verdana" w:cs="Calibri"/>
          <w:sz w:val="18"/>
          <w:szCs w:val="18"/>
        </w:rPr>
        <w:t>Bonaire, Sint Eustatius en Saba (hierna: BES) geldt een apart wettelijk kader, namelijk de Opiumwet 1960 BES. Voor het onderwerpen van psychoactieve stoffen aan controlemaatregelen op de BES volgt derhalve een separaat traject.</w:t>
      </w:r>
      <w:r>
        <w:rPr>
          <w:rFonts w:ascii="Verdana" w:hAnsi="Verdana" w:cs="Calibri"/>
          <w:sz w:val="18"/>
          <w:szCs w:val="18"/>
        </w:rPr>
        <w:t xml:space="preserve"> </w:t>
      </w:r>
    </w:p>
    <w:p w:rsidRPr="005B13CB" w:rsidR="005B13CB" w:rsidP="005B13CB" w:rsidRDefault="005B13CB" w14:paraId="2637343E" w14:textId="77777777">
      <w:pPr>
        <w:pStyle w:val="Geenafstand"/>
        <w:rPr>
          <w:rFonts w:ascii="Verdana" w:hAnsi="Verdana"/>
          <w:sz w:val="18"/>
          <w:szCs w:val="18"/>
        </w:rPr>
      </w:pPr>
    </w:p>
    <w:p w:rsidR="005B13CB" w:rsidP="001E5BCC" w:rsidRDefault="005B13CB" w14:paraId="4A258A5D" w14:textId="75EB6C31">
      <w:pPr>
        <w:pStyle w:val="Geenafstand"/>
        <w:rPr>
          <w:rFonts w:ascii="Verdana" w:hAnsi="Verdana"/>
          <w:sz w:val="18"/>
          <w:szCs w:val="18"/>
        </w:rPr>
      </w:pPr>
      <w:r w:rsidRPr="005B13CB">
        <w:rPr>
          <w:rFonts w:ascii="Verdana" w:hAnsi="Verdana"/>
          <w:sz w:val="18"/>
          <w:szCs w:val="18"/>
        </w:rPr>
        <w:t>Artikel III regelt de inwerkingtredingsdatum van dit besluit. Vanwege de onaanvaardbare risico’s die kleven aan deze nieuwe psychoactieve stoffen wordt afgeweken van de zogenoemde vaste verandermomenten. Daarnaast betreft het implementatie van besluiten van een volkenrechtelijke organisatie. Op grond van artikel 3, zevende lid, van het Enkelvoudig Verdrag inzake verdovende middelen moeten besluiten zo spoedig mogelijk in werking treden. Deze algemene maatregel van bestuur treedt daarom in werking op de dag na publicatie in het Staatsblad.</w:t>
      </w:r>
    </w:p>
    <w:p w:rsidRPr="001E5BCC" w:rsidR="001E5BCC" w:rsidP="001E5BCC" w:rsidRDefault="001E5BCC" w14:paraId="6EA4A114" w14:textId="77777777">
      <w:pPr>
        <w:pStyle w:val="Geenafstand"/>
        <w:rPr>
          <w:rFonts w:ascii="Verdana" w:hAnsi="Verdana"/>
          <w:sz w:val="18"/>
          <w:szCs w:val="18"/>
        </w:rPr>
      </w:pPr>
    </w:p>
    <w:p w:rsidRPr="005B13CB" w:rsidR="005B13CB" w:rsidP="00B63D18" w:rsidRDefault="005B13CB" w14:paraId="1D39E1A9" w14:textId="77777777">
      <w:pPr>
        <w:pStyle w:val="Geenafstand"/>
        <w:rPr>
          <w:rFonts w:ascii="Verdana" w:hAnsi="Verdana"/>
          <w:i/>
          <w:iCs/>
          <w:sz w:val="18"/>
          <w:szCs w:val="18"/>
        </w:rPr>
      </w:pPr>
      <w:r w:rsidRPr="005B13CB">
        <w:rPr>
          <w:rFonts w:ascii="Verdana" w:hAnsi="Verdana"/>
          <w:i/>
          <w:iCs/>
          <w:sz w:val="18"/>
          <w:szCs w:val="18"/>
        </w:rPr>
        <w:t>Regeldruk</w:t>
      </w:r>
    </w:p>
    <w:p w:rsidRPr="005B13CB" w:rsidR="005B13CB" w:rsidP="00B63D18" w:rsidRDefault="005B13CB" w14:paraId="2D0EAA0B" w14:textId="7DD9F802">
      <w:pPr>
        <w:spacing w:after="0" w:line="240" w:lineRule="auto"/>
        <w:rPr>
          <w:szCs w:val="18"/>
        </w:rPr>
      </w:pPr>
      <w:r w:rsidRPr="005B13CB">
        <w:rPr>
          <w:szCs w:val="18"/>
        </w:rPr>
        <w:t xml:space="preserve">Het Adviescollege toetsing regeldruk (ATR) heeft het dossier niet geselecteerd voor een formeel advies, omdat het geen omvangrijke gevolgen voor de regeldruk heeft. </w:t>
      </w:r>
    </w:p>
    <w:p w:rsidR="00B63D18" w:rsidP="00B63D18" w:rsidRDefault="00B63D18" w14:paraId="31E0C6CE" w14:textId="77777777">
      <w:pPr>
        <w:pStyle w:val="Geenafstand"/>
        <w:rPr>
          <w:rFonts w:ascii="Verdana" w:hAnsi="Verdana"/>
          <w:i/>
          <w:iCs/>
          <w:sz w:val="18"/>
          <w:szCs w:val="18"/>
        </w:rPr>
      </w:pPr>
    </w:p>
    <w:p w:rsidRPr="005B13CB" w:rsidR="005B13CB" w:rsidP="00B63D18" w:rsidRDefault="005B13CB" w14:paraId="269E2AC2" w14:textId="064C22D4">
      <w:pPr>
        <w:pStyle w:val="Geenafstand"/>
        <w:rPr>
          <w:rFonts w:ascii="Verdana" w:hAnsi="Verdana"/>
          <w:i/>
          <w:iCs/>
          <w:sz w:val="18"/>
          <w:szCs w:val="18"/>
        </w:rPr>
      </w:pPr>
      <w:r w:rsidRPr="005B13CB">
        <w:rPr>
          <w:rFonts w:ascii="Verdana" w:hAnsi="Verdana"/>
          <w:i/>
          <w:iCs/>
          <w:sz w:val="18"/>
          <w:szCs w:val="18"/>
        </w:rPr>
        <w:t>Voorhang</w:t>
      </w:r>
    </w:p>
    <w:p w:rsidRPr="005B13CB" w:rsidR="005B13CB" w:rsidP="00B63D18" w:rsidRDefault="005B13CB" w14:paraId="1CDB2840" w14:textId="77777777">
      <w:pPr>
        <w:pStyle w:val="Geenafstand"/>
        <w:rPr>
          <w:rFonts w:ascii="Verdana" w:hAnsi="Verdana"/>
          <w:sz w:val="18"/>
          <w:szCs w:val="18"/>
        </w:rPr>
      </w:pPr>
      <w:r w:rsidRPr="005B13CB">
        <w:rPr>
          <w:rFonts w:ascii="Verdana" w:hAnsi="Verdana"/>
          <w:sz w:val="18"/>
          <w:szCs w:val="18"/>
        </w:rPr>
        <w:t>In overeenstemming met artikel 3a, vierde lid, van de Opiumwet, is een ontwerp van deze algemene maatregel van bestuur op XX XX 2025 aan beide Kamers der Staten</w:t>
      </w:r>
      <w:r w:rsidRPr="005B13CB">
        <w:rPr>
          <w:rFonts w:ascii="Verdana" w:hAnsi="Verdana"/>
          <w:sz w:val="18"/>
          <w:szCs w:val="18"/>
        </w:rPr>
        <w:noBreakHyphen/>
        <w:t xml:space="preserve">Generaal gezonden (Kamerstukken II 2025/26, </w:t>
      </w:r>
      <w:hyperlink w:tooltip="link naar publicatie kst-35192-1" w:history="1" r:id="rId6">
        <w:r w:rsidRPr="005B13CB">
          <w:rPr>
            <w:rFonts w:ascii="Verdana" w:hAnsi="Verdana"/>
            <w:sz w:val="18"/>
            <w:szCs w:val="18"/>
          </w:rPr>
          <w:t>xxxx, nr.</w:t>
        </w:r>
      </w:hyperlink>
      <w:r w:rsidRPr="005B13CB">
        <w:rPr>
          <w:rFonts w:ascii="Verdana" w:hAnsi="Verdana"/>
          <w:sz w:val="18"/>
          <w:szCs w:val="18"/>
        </w:rPr>
        <w:t xml:space="preserve"> x). </w:t>
      </w:r>
    </w:p>
    <w:p w:rsidRPr="00507760" w:rsidR="005B13CB" w:rsidP="00B63D18" w:rsidRDefault="005B13CB" w14:paraId="7343E8D9" w14:textId="77777777">
      <w:pPr>
        <w:pStyle w:val="Geenafstand"/>
        <w:rPr>
          <w:rFonts w:ascii="Verdana" w:hAnsi="Verdana"/>
          <w:sz w:val="18"/>
          <w:szCs w:val="18"/>
        </w:rPr>
      </w:pPr>
    </w:p>
    <w:p w:rsidRPr="005B13CB" w:rsidR="005B13CB" w:rsidP="00B63D18" w:rsidRDefault="005B13CB" w14:paraId="0E453655" w14:textId="1F49F4E0">
      <w:pPr>
        <w:pStyle w:val="Geenafstand"/>
        <w:rPr>
          <w:rFonts w:ascii="Verdana" w:hAnsi="Verdana"/>
          <w:i/>
          <w:iCs/>
          <w:sz w:val="18"/>
          <w:szCs w:val="18"/>
        </w:rPr>
      </w:pPr>
      <w:r w:rsidRPr="005B13CB">
        <w:rPr>
          <w:rFonts w:ascii="Verdana" w:hAnsi="Verdana"/>
          <w:i/>
          <w:iCs/>
          <w:sz w:val="18"/>
          <w:szCs w:val="18"/>
        </w:rPr>
        <w:t xml:space="preserve">Transponeringstabel </w:t>
      </w:r>
    </w:p>
    <w:p w:rsidRPr="005B13CB" w:rsidR="005B13CB" w:rsidP="00B63D18" w:rsidRDefault="005B13CB" w14:paraId="10420AC3" w14:textId="77777777">
      <w:pPr>
        <w:spacing w:after="0" w:line="240" w:lineRule="auto"/>
        <w:contextualSpacing/>
        <w:rPr>
          <w:bCs/>
          <w:szCs w:val="18"/>
        </w:rPr>
      </w:pPr>
      <w:r w:rsidRPr="005B13CB">
        <w:rPr>
          <w:bCs/>
          <w:szCs w:val="18"/>
        </w:rPr>
        <w:t xml:space="preserve">In onderstaande transponeringstabel is aangegeven welk besluit van de Commissie voor verdovende middelen is geïmplementeerd met onderhavig wijzigingsbesluit. </w:t>
      </w:r>
    </w:p>
    <w:p w:rsidRPr="00813C1B" w:rsidR="005B13CB" w:rsidP="005B13CB" w:rsidRDefault="005B13CB" w14:paraId="50A390F0" w14:textId="77777777">
      <w:pPr>
        <w:spacing w:line="240" w:lineRule="auto"/>
        <w:contextualSpacing/>
        <w:rPr>
          <w:b/>
          <w:szCs w:val="18"/>
        </w:rPr>
      </w:pPr>
    </w:p>
    <w:tbl>
      <w:tblPr>
        <w:tblStyle w:val="Tabelraster"/>
        <w:tblW w:w="0" w:type="auto"/>
        <w:tblLook w:val="04A0" w:firstRow="1" w:lastRow="0" w:firstColumn="1" w:lastColumn="0" w:noHBand="0" w:noVBand="1"/>
      </w:tblPr>
      <w:tblGrid>
        <w:gridCol w:w="3851"/>
        <w:gridCol w:w="3674"/>
      </w:tblGrid>
      <w:tr w:rsidRPr="00813C1B" w:rsidR="005B13CB" w:rsidTr="00F31024" w14:paraId="3CC04248" w14:textId="77777777">
        <w:tc>
          <w:tcPr>
            <w:tcW w:w="3851" w:type="dxa"/>
          </w:tcPr>
          <w:p w:rsidRPr="00813C1B" w:rsidR="005B13CB" w:rsidP="005B13CB" w:rsidRDefault="005B13CB" w14:paraId="2DFC2693" w14:textId="77777777">
            <w:pPr>
              <w:spacing w:line="240" w:lineRule="auto"/>
              <w:rPr>
                <w:i/>
                <w:szCs w:val="18"/>
              </w:rPr>
            </w:pPr>
            <w:r w:rsidRPr="00813C1B">
              <w:rPr>
                <w:i/>
                <w:szCs w:val="18"/>
              </w:rPr>
              <w:t>Internationaal besluit</w:t>
            </w:r>
          </w:p>
        </w:tc>
        <w:tc>
          <w:tcPr>
            <w:tcW w:w="3674" w:type="dxa"/>
          </w:tcPr>
          <w:p w:rsidRPr="00813C1B" w:rsidR="005B13CB" w:rsidP="005B13CB" w:rsidRDefault="005B13CB" w14:paraId="3D6091A5" w14:textId="77777777">
            <w:pPr>
              <w:spacing w:line="240" w:lineRule="auto"/>
              <w:rPr>
                <w:i/>
                <w:szCs w:val="18"/>
              </w:rPr>
            </w:pPr>
            <w:r w:rsidRPr="00813C1B">
              <w:rPr>
                <w:i/>
                <w:szCs w:val="18"/>
              </w:rPr>
              <w:t>Onderdeel van onderhavig besluit</w:t>
            </w:r>
          </w:p>
        </w:tc>
      </w:tr>
      <w:tr w:rsidRPr="00813C1B" w:rsidR="005B13CB" w:rsidTr="00F31024" w14:paraId="3F590390" w14:textId="77777777">
        <w:tc>
          <w:tcPr>
            <w:tcW w:w="3851" w:type="dxa"/>
          </w:tcPr>
          <w:p w:rsidRPr="00813C1B" w:rsidR="005B13CB" w:rsidP="005B13CB" w:rsidRDefault="005B13CB" w14:paraId="36BB87BE" w14:textId="77777777">
            <w:pPr>
              <w:spacing w:line="240" w:lineRule="auto"/>
              <w:rPr>
                <w:szCs w:val="18"/>
              </w:rPr>
            </w:pPr>
            <w:r w:rsidRPr="00813C1B">
              <w:rPr>
                <w:szCs w:val="18"/>
              </w:rPr>
              <w:t>Decision 67/1</w:t>
            </w:r>
          </w:p>
        </w:tc>
        <w:tc>
          <w:tcPr>
            <w:tcW w:w="3674" w:type="dxa"/>
          </w:tcPr>
          <w:p w:rsidRPr="00813C1B" w:rsidR="005B13CB" w:rsidP="005B13CB" w:rsidRDefault="005B13CB" w14:paraId="535357B8" w14:textId="77777777">
            <w:pPr>
              <w:spacing w:line="240" w:lineRule="auto"/>
              <w:rPr>
                <w:szCs w:val="18"/>
              </w:rPr>
            </w:pPr>
            <w:r w:rsidRPr="00813C1B">
              <w:rPr>
                <w:szCs w:val="18"/>
              </w:rPr>
              <w:t>Artikel I, onder 2</w:t>
            </w:r>
          </w:p>
        </w:tc>
      </w:tr>
      <w:tr w:rsidRPr="00813C1B" w:rsidR="005B13CB" w:rsidTr="00F31024" w14:paraId="74C2DEDD" w14:textId="77777777">
        <w:tc>
          <w:tcPr>
            <w:tcW w:w="3851" w:type="dxa"/>
          </w:tcPr>
          <w:p w:rsidRPr="00813C1B" w:rsidR="005B13CB" w:rsidP="005B13CB" w:rsidRDefault="005B13CB" w14:paraId="54EA7D5C" w14:textId="77777777">
            <w:pPr>
              <w:spacing w:line="240" w:lineRule="auto"/>
              <w:rPr>
                <w:szCs w:val="18"/>
              </w:rPr>
            </w:pPr>
            <w:r w:rsidRPr="00813C1B">
              <w:rPr>
                <w:szCs w:val="18"/>
              </w:rPr>
              <w:t>Decision 67/3</w:t>
            </w:r>
          </w:p>
        </w:tc>
        <w:tc>
          <w:tcPr>
            <w:tcW w:w="3674" w:type="dxa"/>
          </w:tcPr>
          <w:p w:rsidRPr="00813C1B" w:rsidR="005B13CB" w:rsidP="005B13CB" w:rsidRDefault="005B13CB" w14:paraId="42D8084A" w14:textId="77777777">
            <w:pPr>
              <w:spacing w:line="240" w:lineRule="auto"/>
              <w:rPr>
                <w:szCs w:val="18"/>
              </w:rPr>
            </w:pPr>
            <w:r w:rsidRPr="00813C1B">
              <w:rPr>
                <w:szCs w:val="18"/>
              </w:rPr>
              <w:t>Artikel I, onder 3</w:t>
            </w:r>
          </w:p>
        </w:tc>
      </w:tr>
      <w:tr w:rsidRPr="00813C1B" w:rsidR="005B13CB" w:rsidTr="00F31024" w14:paraId="3238AFEB" w14:textId="77777777">
        <w:tc>
          <w:tcPr>
            <w:tcW w:w="3851" w:type="dxa"/>
          </w:tcPr>
          <w:p w:rsidRPr="00813C1B" w:rsidR="005B13CB" w:rsidP="005B13CB" w:rsidRDefault="005B13CB" w14:paraId="72ECB845" w14:textId="77777777">
            <w:pPr>
              <w:spacing w:line="240" w:lineRule="auto"/>
              <w:rPr>
                <w:szCs w:val="18"/>
              </w:rPr>
            </w:pPr>
            <w:r w:rsidRPr="00813C1B">
              <w:rPr>
                <w:szCs w:val="18"/>
              </w:rPr>
              <w:t>Decision 67/4</w:t>
            </w:r>
          </w:p>
        </w:tc>
        <w:tc>
          <w:tcPr>
            <w:tcW w:w="3674" w:type="dxa"/>
          </w:tcPr>
          <w:p w:rsidRPr="00813C1B" w:rsidR="005B13CB" w:rsidP="005B13CB" w:rsidRDefault="005B13CB" w14:paraId="7E663629" w14:textId="77777777">
            <w:pPr>
              <w:spacing w:line="240" w:lineRule="auto"/>
              <w:rPr>
                <w:szCs w:val="18"/>
              </w:rPr>
            </w:pPr>
            <w:r w:rsidRPr="00813C1B">
              <w:rPr>
                <w:szCs w:val="18"/>
              </w:rPr>
              <w:t>Artikel I, onder 1</w:t>
            </w:r>
          </w:p>
        </w:tc>
      </w:tr>
      <w:tr w:rsidRPr="00813C1B" w:rsidR="005B13CB" w:rsidTr="00F31024" w14:paraId="4545C912" w14:textId="77777777">
        <w:tc>
          <w:tcPr>
            <w:tcW w:w="3851" w:type="dxa"/>
          </w:tcPr>
          <w:p w:rsidRPr="00813C1B" w:rsidR="005B13CB" w:rsidP="005B13CB" w:rsidRDefault="005B13CB" w14:paraId="43C188F0" w14:textId="77777777">
            <w:pPr>
              <w:spacing w:line="240" w:lineRule="auto"/>
              <w:rPr>
                <w:szCs w:val="18"/>
              </w:rPr>
            </w:pPr>
            <w:r w:rsidRPr="00813C1B">
              <w:rPr>
                <w:szCs w:val="18"/>
              </w:rPr>
              <w:t>Decision 67/5</w:t>
            </w:r>
          </w:p>
        </w:tc>
        <w:tc>
          <w:tcPr>
            <w:tcW w:w="3674" w:type="dxa"/>
          </w:tcPr>
          <w:p w:rsidRPr="00813C1B" w:rsidR="005B13CB" w:rsidP="005B13CB" w:rsidRDefault="005B13CB" w14:paraId="72AF2C5C" w14:textId="77777777">
            <w:pPr>
              <w:spacing w:line="240" w:lineRule="auto"/>
              <w:rPr>
                <w:szCs w:val="18"/>
              </w:rPr>
            </w:pPr>
            <w:r w:rsidRPr="00813C1B">
              <w:rPr>
                <w:szCs w:val="18"/>
              </w:rPr>
              <w:t xml:space="preserve">Artikel II, onder 1 </w:t>
            </w:r>
          </w:p>
        </w:tc>
      </w:tr>
      <w:tr w:rsidRPr="00813C1B" w:rsidR="005B13CB" w:rsidTr="00F31024" w14:paraId="1BCBEAF2" w14:textId="77777777">
        <w:tc>
          <w:tcPr>
            <w:tcW w:w="3851" w:type="dxa"/>
          </w:tcPr>
          <w:p w:rsidRPr="00813C1B" w:rsidR="005B13CB" w:rsidP="005B13CB" w:rsidRDefault="005B13CB" w14:paraId="213F96ED" w14:textId="77777777">
            <w:pPr>
              <w:spacing w:line="240" w:lineRule="auto"/>
              <w:rPr>
                <w:szCs w:val="18"/>
              </w:rPr>
            </w:pPr>
            <w:r w:rsidRPr="00813C1B">
              <w:rPr>
                <w:szCs w:val="18"/>
              </w:rPr>
              <w:t>Decision 68/1</w:t>
            </w:r>
          </w:p>
        </w:tc>
        <w:tc>
          <w:tcPr>
            <w:tcW w:w="3674" w:type="dxa"/>
          </w:tcPr>
          <w:p w:rsidRPr="00813C1B" w:rsidR="005B13CB" w:rsidP="005B13CB" w:rsidRDefault="005B13CB" w14:paraId="1F8DBE58" w14:textId="77777777">
            <w:pPr>
              <w:spacing w:line="240" w:lineRule="auto"/>
              <w:rPr>
                <w:szCs w:val="18"/>
              </w:rPr>
            </w:pPr>
            <w:r w:rsidRPr="00813C1B">
              <w:rPr>
                <w:szCs w:val="18"/>
              </w:rPr>
              <w:t xml:space="preserve">Artikel I, onder 8 </w:t>
            </w:r>
          </w:p>
        </w:tc>
      </w:tr>
      <w:tr w:rsidRPr="00813C1B" w:rsidR="005B13CB" w:rsidTr="00F31024" w14:paraId="32761EF5" w14:textId="77777777">
        <w:tc>
          <w:tcPr>
            <w:tcW w:w="3851" w:type="dxa"/>
          </w:tcPr>
          <w:p w:rsidRPr="00813C1B" w:rsidR="005B13CB" w:rsidP="005B13CB" w:rsidRDefault="005B13CB" w14:paraId="7901097F" w14:textId="77777777">
            <w:pPr>
              <w:spacing w:line="240" w:lineRule="auto"/>
              <w:rPr>
                <w:szCs w:val="18"/>
              </w:rPr>
            </w:pPr>
            <w:r w:rsidRPr="00813C1B">
              <w:rPr>
                <w:szCs w:val="18"/>
              </w:rPr>
              <w:t>Decision 68/2</w:t>
            </w:r>
          </w:p>
        </w:tc>
        <w:tc>
          <w:tcPr>
            <w:tcW w:w="3674" w:type="dxa"/>
          </w:tcPr>
          <w:p w:rsidRPr="00813C1B" w:rsidR="005B13CB" w:rsidP="005B13CB" w:rsidRDefault="005B13CB" w14:paraId="37D64732" w14:textId="77777777">
            <w:pPr>
              <w:spacing w:line="240" w:lineRule="auto"/>
              <w:rPr>
                <w:szCs w:val="18"/>
              </w:rPr>
            </w:pPr>
            <w:r w:rsidRPr="00813C1B">
              <w:rPr>
                <w:szCs w:val="18"/>
              </w:rPr>
              <w:t>Artikel I, onder 6</w:t>
            </w:r>
          </w:p>
        </w:tc>
      </w:tr>
      <w:tr w:rsidRPr="00813C1B" w:rsidR="005B13CB" w:rsidTr="00F31024" w14:paraId="518EC7BF" w14:textId="77777777">
        <w:tc>
          <w:tcPr>
            <w:tcW w:w="3851" w:type="dxa"/>
          </w:tcPr>
          <w:p w:rsidRPr="00813C1B" w:rsidR="005B13CB" w:rsidP="005B13CB" w:rsidRDefault="005B13CB" w14:paraId="788E7604" w14:textId="77777777">
            <w:pPr>
              <w:spacing w:line="240" w:lineRule="auto"/>
              <w:rPr>
                <w:szCs w:val="18"/>
              </w:rPr>
            </w:pPr>
            <w:r w:rsidRPr="00813C1B">
              <w:rPr>
                <w:szCs w:val="18"/>
              </w:rPr>
              <w:t>Decision 68/3</w:t>
            </w:r>
          </w:p>
        </w:tc>
        <w:tc>
          <w:tcPr>
            <w:tcW w:w="3674" w:type="dxa"/>
          </w:tcPr>
          <w:p w:rsidRPr="00813C1B" w:rsidR="005B13CB" w:rsidP="005B13CB" w:rsidRDefault="005B13CB" w14:paraId="0C526F91" w14:textId="77777777">
            <w:pPr>
              <w:spacing w:line="240" w:lineRule="auto"/>
              <w:rPr>
                <w:szCs w:val="18"/>
              </w:rPr>
            </w:pPr>
            <w:r w:rsidRPr="00813C1B">
              <w:rPr>
                <w:szCs w:val="18"/>
              </w:rPr>
              <w:t>Artikel I, onder 4</w:t>
            </w:r>
          </w:p>
        </w:tc>
      </w:tr>
      <w:tr w:rsidRPr="00813C1B" w:rsidR="005B13CB" w:rsidTr="00F31024" w14:paraId="1E3E0B48" w14:textId="77777777">
        <w:tc>
          <w:tcPr>
            <w:tcW w:w="3851" w:type="dxa"/>
          </w:tcPr>
          <w:p w:rsidRPr="00813C1B" w:rsidR="005B13CB" w:rsidP="005B13CB" w:rsidRDefault="005B13CB" w14:paraId="6D91BB75" w14:textId="77777777">
            <w:pPr>
              <w:spacing w:line="240" w:lineRule="auto"/>
              <w:rPr>
                <w:szCs w:val="18"/>
              </w:rPr>
            </w:pPr>
            <w:r w:rsidRPr="00813C1B">
              <w:rPr>
                <w:szCs w:val="18"/>
              </w:rPr>
              <w:t>Decision 68/4</w:t>
            </w:r>
          </w:p>
        </w:tc>
        <w:tc>
          <w:tcPr>
            <w:tcW w:w="3674" w:type="dxa"/>
          </w:tcPr>
          <w:p w:rsidRPr="00813C1B" w:rsidR="005B13CB" w:rsidP="005B13CB" w:rsidRDefault="005B13CB" w14:paraId="0AD165E0" w14:textId="77777777">
            <w:pPr>
              <w:spacing w:line="240" w:lineRule="auto"/>
              <w:rPr>
                <w:szCs w:val="18"/>
              </w:rPr>
            </w:pPr>
            <w:r w:rsidRPr="00813C1B">
              <w:rPr>
                <w:szCs w:val="18"/>
              </w:rPr>
              <w:t>Artikel I, onder 7</w:t>
            </w:r>
          </w:p>
        </w:tc>
      </w:tr>
      <w:tr w:rsidRPr="00813C1B" w:rsidR="005B13CB" w:rsidTr="00F31024" w14:paraId="5F64F2D9" w14:textId="77777777">
        <w:tc>
          <w:tcPr>
            <w:tcW w:w="3851" w:type="dxa"/>
          </w:tcPr>
          <w:p w:rsidRPr="00813C1B" w:rsidR="005B13CB" w:rsidP="005B13CB" w:rsidRDefault="005B13CB" w14:paraId="4D4398E1" w14:textId="77777777">
            <w:pPr>
              <w:spacing w:line="240" w:lineRule="auto"/>
              <w:rPr>
                <w:szCs w:val="18"/>
              </w:rPr>
            </w:pPr>
            <w:r w:rsidRPr="00813C1B">
              <w:rPr>
                <w:szCs w:val="18"/>
              </w:rPr>
              <w:t>Decision 68/5</w:t>
            </w:r>
          </w:p>
        </w:tc>
        <w:tc>
          <w:tcPr>
            <w:tcW w:w="3674" w:type="dxa"/>
          </w:tcPr>
          <w:p w:rsidRPr="00813C1B" w:rsidR="005B13CB" w:rsidP="005B13CB" w:rsidRDefault="005B13CB" w14:paraId="354CD3C5" w14:textId="77777777">
            <w:pPr>
              <w:spacing w:line="240" w:lineRule="auto"/>
              <w:rPr>
                <w:szCs w:val="18"/>
              </w:rPr>
            </w:pPr>
            <w:r w:rsidRPr="00813C1B">
              <w:rPr>
                <w:szCs w:val="18"/>
              </w:rPr>
              <w:t>Artikel I, onder 5</w:t>
            </w:r>
          </w:p>
        </w:tc>
      </w:tr>
      <w:tr w:rsidRPr="00813C1B" w:rsidR="005B13CB" w:rsidTr="00F31024" w14:paraId="6B11D6B5" w14:textId="77777777">
        <w:tc>
          <w:tcPr>
            <w:tcW w:w="3851" w:type="dxa"/>
          </w:tcPr>
          <w:p w:rsidRPr="00813C1B" w:rsidR="005B13CB" w:rsidP="005B13CB" w:rsidRDefault="005B13CB" w14:paraId="3EC55735" w14:textId="77777777">
            <w:pPr>
              <w:spacing w:line="240" w:lineRule="auto"/>
              <w:rPr>
                <w:szCs w:val="18"/>
              </w:rPr>
            </w:pPr>
            <w:r w:rsidRPr="00813C1B">
              <w:rPr>
                <w:szCs w:val="18"/>
              </w:rPr>
              <w:t>Decision 68/6</w:t>
            </w:r>
          </w:p>
        </w:tc>
        <w:tc>
          <w:tcPr>
            <w:tcW w:w="3674" w:type="dxa"/>
          </w:tcPr>
          <w:p w:rsidRPr="00813C1B" w:rsidR="005B13CB" w:rsidP="005B13CB" w:rsidRDefault="005B13CB" w14:paraId="33AF6711" w14:textId="77777777">
            <w:pPr>
              <w:spacing w:line="240" w:lineRule="auto"/>
              <w:rPr>
                <w:szCs w:val="18"/>
              </w:rPr>
            </w:pPr>
            <w:r w:rsidRPr="00813C1B">
              <w:rPr>
                <w:szCs w:val="18"/>
              </w:rPr>
              <w:t>Artikel II, onder 2</w:t>
            </w:r>
          </w:p>
        </w:tc>
      </w:tr>
    </w:tbl>
    <w:p w:rsidRPr="005B13CB" w:rsidR="005B13CB" w:rsidP="005B13CB" w:rsidRDefault="005B13CB" w14:paraId="2666CE4C" w14:textId="77777777">
      <w:pPr>
        <w:spacing w:line="240" w:lineRule="auto"/>
        <w:rPr>
          <w:szCs w:val="18"/>
        </w:rPr>
      </w:pPr>
    </w:p>
    <w:p w:rsidRPr="005B13CB" w:rsidR="005B13CB" w:rsidP="005B13CB" w:rsidRDefault="005B13CB" w14:paraId="49CAFFD4" w14:textId="77777777">
      <w:pPr>
        <w:pStyle w:val="OndertekeningArea1"/>
        <w:spacing w:line="240" w:lineRule="auto"/>
      </w:pPr>
      <w:r w:rsidRPr="005B13CB">
        <w:t xml:space="preserve">De Staatssecretaris van Volksgezondheid, </w:t>
      </w:r>
    </w:p>
    <w:p w:rsidRPr="005B13CB" w:rsidR="005B13CB" w:rsidP="005B13CB" w:rsidRDefault="005B13CB" w14:paraId="0BC552CB" w14:textId="77777777">
      <w:pPr>
        <w:spacing w:line="240" w:lineRule="auto"/>
        <w:rPr>
          <w:szCs w:val="18"/>
        </w:rPr>
      </w:pPr>
      <w:r w:rsidRPr="005B13CB">
        <w:rPr>
          <w:szCs w:val="18"/>
        </w:rPr>
        <w:t xml:space="preserve">Welzijn en Sport, </w:t>
      </w:r>
    </w:p>
    <w:p w:rsidRPr="005B13CB" w:rsidR="005B13CB" w:rsidP="005B13CB" w:rsidRDefault="005B13CB" w14:paraId="2C05E301" w14:textId="0FD83C27">
      <w:pPr>
        <w:spacing w:line="240" w:lineRule="auto"/>
        <w:rPr>
          <w:szCs w:val="18"/>
        </w:rPr>
      </w:pPr>
      <w:bookmarkStart w:name="_Hlk208910815" w:id="4"/>
    </w:p>
    <w:p w:rsidRPr="0041169C" w:rsidR="0041169C" w:rsidP="0041169C" w:rsidRDefault="0041169C" w14:paraId="4D966D71" w14:textId="77777777">
      <w:pPr>
        <w:spacing w:line="240" w:lineRule="auto"/>
        <w:rPr>
          <w:szCs w:val="18"/>
        </w:rPr>
      </w:pPr>
      <w:r w:rsidRPr="0041169C">
        <w:rPr>
          <w:szCs w:val="18"/>
        </w:rPr>
        <w:t>J.Z.C.M. Tielen</w:t>
      </w:r>
    </w:p>
    <w:bookmarkEnd w:id="4"/>
    <w:p w:rsidRPr="00CE5686" w:rsidR="0095347F" w:rsidRDefault="0095347F" w14:paraId="6482EC1C" w14:textId="77777777">
      <w:pPr>
        <w:rPr>
          <w:szCs w:val="18"/>
        </w:rPr>
      </w:pPr>
    </w:p>
    <w:sectPr w:rsidRPr="00CE5686" w:rsidR="0095347F" w:rsidSect="00E2501E">
      <w:footerReference w:type="default" r:id="rId7"/>
      <w:footerReference w:type="first" r:id="rId8"/>
      <w:type w:val="continuous"/>
      <w:pgSz w:w="11906" w:h="16838"/>
      <w:pgMar w:top="1383" w:right="1771"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036D" w14:textId="77777777" w:rsidR="00447B56" w:rsidRDefault="00447B56" w:rsidP="005B13CB">
      <w:pPr>
        <w:spacing w:after="0" w:line="240" w:lineRule="auto"/>
      </w:pPr>
      <w:r>
        <w:separator/>
      </w:r>
    </w:p>
  </w:endnote>
  <w:endnote w:type="continuationSeparator" w:id="0">
    <w:p w14:paraId="1EE3F592" w14:textId="77777777" w:rsidR="00447B56" w:rsidRDefault="00447B56" w:rsidP="005B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238805"/>
      <w:docPartObj>
        <w:docPartGallery w:val="Page Numbers (Bottom of Page)"/>
        <w:docPartUnique/>
      </w:docPartObj>
    </w:sdtPr>
    <w:sdtContent>
      <w:p w14:paraId="0C394AB0" w14:textId="61D17D41" w:rsidR="00C94F88" w:rsidRDefault="00C94F88">
        <w:pPr>
          <w:pStyle w:val="Voettekst"/>
          <w:jc w:val="right"/>
        </w:pPr>
        <w:r>
          <w:fldChar w:fldCharType="begin"/>
        </w:r>
        <w:r>
          <w:instrText>PAGE   \* MERGEFORMAT</w:instrText>
        </w:r>
        <w:r>
          <w:fldChar w:fldCharType="separate"/>
        </w:r>
        <w:r>
          <w:t>2</w:t>
        </w:r>
        <w:r>
          <w:fldChar w:fldCharType="end"/>
        </w:r>
      </w:p>
    </w:sdtContent>
  </w:sdt>
  <w:p w14:paraId="5F7F11B0" w14:textId="77777777" w:rsidR="00C94F88" w:rsidRDefault="00C94F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496311"/>
      <w:docPartObj>
        <w:docPartGallery w:val="Page Numbers (Bottom of Page)"/>
        <w:docPartUnique/>
      </w:docPartObj>
    </w:sdtPr>
    <w:sdtContent>
      <w:p w14:paraId="4855C78D" w14:textId="1A9FDD78" w:rsidR="00C94F88" w:rsidRDefault="00C94F88">
        <w:pPr>
          <w:pStyle w:val="Voettekst"/>
          <w:jc w:val="right"/>
        </w:pPr>
        <w:r>
          <w:fldChar w:fldCharType="begin"/>
        </w:r>
        <w:r>
          <w:instrText>PAGE   \* MERGEFORMAT</w:instrText>
        </w:r>
        <w:r>
          <w:fldChar w:fldCharType="separate"/>
        </w:r>
        <w:r>
          <w:t>2</w:t>
        </w:r>
        <w:r>
          <w:fldChar w:fldCharType="end"/>
        </w:r>
      </w:p>
    </w:sdtContent>
  </w:sdt>
  <w:p w14:paraId="0090A9BC" w14:textId="77777777" w:rsidR="00C94F88" w:rsidRDefault="00C94F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D555" w14:textId="77777777" w:rsidR="00447B56" w:rsidRDefault="00447B56" w:rsidP="005B13CB">
      <w:pPr>
        <w:spacing w:after="0" w:line="240" w:lineRule="auto"/>
      </w:pPr>
      <w:r>
        <w:separator/>
      </w:r>
    </w:p>
  </w:footnote>
  <w:footnote w:type="continuationSeparator" w:id="0">
    <w:p w14:paraId="4361C680" w14:textId="77777777" w:rsidR="00447B56" w:rsidRDefault="00447B56" w:rsidP="005B13CB">
      <w:pPr>
        <w:spacing w:after="0" w:line="240" w:lineRule="auto"/>
      </w:pPr>
      <w:r>
        <w:continuationSeparator/>
      </w:r>
    </w:p>
  </w:footnote>
  <w:footnote w:id="1">
    <w:p w14:paraId="7B607265" w14:textId="77777777" w:rsidR="005B13CB" w:rsidRDefault="005B13CB" w:rsidP="005B13CB">
      <w:pPr>
        <w:pStyle w:val="Voetnoottekst"/>
      </w:pPr>
      <w:r w:rsidRPr="00EE172A">
        <w:rPr>
          <w:rStyle w:val="Voetnootmarkering"/>
          <w:sz w:val="16"/>
          <w:szCs w:val="16"/>
        </w:rPr>
        <w:footnoteRef/>
      </w:r>
      <w:r w:rsidRPr="00EE172A">
        <w:rPr>
          <w:sz w:val="16"/>
          <w:szCs w:val="16"/>
        </w:rPr>
        <w:t xml:space="preserve"> Het gaat om Decisions 67/1, 67/3, 67/4</w:t>
      </w:r>
      <w:r>
        <w:rPr>
          <w:sz w:val="16"/>
          <w:szCs w:val="16"/>
        </w:rPr>
        <w:t xml:space="preserve">, </w:t>
      </w:r>
      <w:r w:rsidRPr="00EE172A">
        <w:rPr>
          <w:sz w:val="16"/>
          <w:szCs w:val="16"/>
        </w:rPr>
        <w:t>67/5</w:t>
      </w:r>
      <w:r>
        <w:rPr>
          <w:sz w:val="16"/>
          <w:szCs w:val="16"/>
        </w:rPr>
        <w:t>, 68/1, 68/2, 68/3, 68/4, 68/5 en 68/6</w:t>
      </w:r>
      <w:r w:rsidRPr="00EE172A">
        <w:rPr>
          <w:sz w:val="16"/>
          <w:szCs w:val="16"/>
        </w:rPr>
        <w:t xml:space="preserve"> van de CND, raadpleegbaar </w:t>
      </w:r>
      <w:r>
        <w:rPr>
          <w:sz w:val="16"/>
          <w:szCs w:val="16"/>
        </w:rPr>
        <w:t xml:space="preserve">via: </w:t>
      </w:r>
      <w:r w:rsidRPr="00EE172A">
        <w:rPr>
          <w:sz w:val="16"/>
          <w:szCs w:val="16"/>
        </w:rPr>
        <w:t>https://www.unodc.org/unodc/en/commissions/CND/Resolutions_Decisions/resolutions-and-decisions-2020-2029.html.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E"/>
    <w:rsid w:val="00036581"/>
    <w:rsid w:val="000562EB"/>
    <w:rsid w:val="0008102E"/>
    <w:rsid w:val="000C7263"/>
    <w:rsid w:val="00115FBC"/>
    <w:rsid w:val="00166481"/>
    <w:rsid w:val="001A5B5D"/>
    <w:rsid w:val="001B7656"/>
    <w:rsid w:val="001D0752"/>
    <w:rsid w:val="001E5BCC"/>
    <w:rsid w:val="00240062"/>
    <w:rsid w:val="0024257E"/>
    <w:rsid w:val="002529C5"/>
    <w:rsid w:val="00255587"/>
    <w:rsid w:val="00264DF2"/>
    <w:rsid w:val="003305EC"/>
    <w:rsid w:val="00352353"/>
    <w:rsid w:val="003F0A62"/>
    <w:rsid w:val="004013B7"/>
    <w:rsid w:val="0041169C"/>
    <w:rsid w:val="004145BD"/>
    <w:rsid w:val="00447B56"/>
    <w:rsid w:val="00452EA1"/>
    <w:rsid w:val="00460291"/>
    <w:rsid w:val="004A18B9"/>
    <w:rsid w:val="004D3030"/>
    <w:rsid w:val="004D6A90"/>
    <w:rsid w:val="00507760"/>
    <w:rsid w:val="00570DF5"/>
    <w:rsid w:val="005B13CB"/>
    <w:rsid w:val="005C34E7"/>
    <w:rsid w:val="00613B18"/>
    <w:rsid w:val="00621EC4"/>
    <w:rsid w:val="00631F25"/>
    <w:rsid w:val="0065148C"/>
    <w:rsid w:val="00673E22"/>
    <w:rsid w:val="006775B6"/>
    <w:rsid w:val="006A7591"/>
    <w:rsid w:val="006B4731"/>
    <w:rsid w:val="006C40B3"/>
    <w:rsid w:val="006F5DA7"/>
    <w:rsid w:val="0070316A"/>
    <w:rsid w:val="0070420B"/>
    <w:rsid w:val="00737F8B"/>
    <w:rsid w:val="00740917"/>
    <w:rsid w:val="00813C1B"/>
    <w:rsid w:val="00821CBC"/>
    <w:rsid w:val="008252BF"/>
    <w:rsid w:val="008D2742"/>
    <w:rsid w:val="008E5027"/>
    <w:rsid w:val="009224A7"/>
    <w:rsid w:val="0095347F"/>
    <w:rsid w:val="009E0C87"/>
    <w:rsid w:val="00A17C6E"/>
    <w:rsid w:val="00A8334F"/>
    <w:rsid w:val="00B06401"/>
    <w:rsid w:val="00B14E6F"/>
    <w:rsid w:val="00B63D18"/>
    <w:rsid w:val="00B748BD"/>
    <w:rsid w:val="00B86C20"/>
    <w:rsid w:val="00BF0C54"/>
    <w:rsid w:val="00BF13FD"/>
    <w:rsid w:val="00C04415"/>
    <w:rsid w:val="00C92EE6"/>
    <w:rsid w:val="00C94F88"/>
    <w:rsid w:val="00CA4AD4"/>
    <w:rsid w:val="00CB4972"/>
    <w:rsid w:val="00CD56AA"/>
    <w:rsid w:val="00CE5686"/>
    <w:rsid w:val="00D634B2"/>
    <w:rsid w:val="00D977F6"/>
    <w:rsid w:val="00DB0AA7"/>
    <w:rsid w:val="00E0378F"/>
    <w:rsid w:val="00E048CB"/>
    <w:rsid w:val="00E2501E"/>
    <w:rsid w:val="00E270A9"/>
    <w:rsid w:val="00E3615B"/>
    <w:rsid w:val="00E6153F"/>
    <w:rsid w:val="00E763BC"/>
    <w:rsid w:val="00E85F07"/>
    <w:rsid w:val="00EA320D"/>
    <w:rsid w:val="00ED252E"/>
    <w:rsid w:val="00ED65D8"/>
    <w:rsid w:val="00F22CDC"/>
    <w:rsid w:val="00F30314"/>
    <w:rsid w:val="00F42580"/>
    <w:rsid w:val="00FC74C3"/>
    <w:rsid w:val="00FD60FB"/>
    <w:rsid w:val="00FD731C"/>
    <w:rsid w:val="00FF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paragraph" w:customStyle="1" w:styleId="OndertekeningArea1">
    <w:name w:val="Ondertekening_Area1"/>
    <w:basedOn w:val="Standaard"/>
    <w:next w:val="Standaard"/>
    <w:rsid w:val="005B13CB"/>
    <w:pPr>
      <w:autoSpaceDN w:val="0"/>
      <w:spacing w:before="240" w:after="0" w:line="240" w:lineRule="exact"/>
      <w:textAlignment w:val="baseline"/>
    </w:pPr>
    <w:rPr>
      <w:rFonts w:eastAsia="DejaVu Sans" w:cs="Lohit Hindi"/>
      <w:color w:val="000000"/>
      <w:szCs w:val="18"/>
      <w:lang w:eastAsia="nl-NL"/>
    </w:rPr>
  </w:style>
  <w:style w:type="paragraph" w:styleId="Voetnoottekst">
    <w:name w:val="footnote text"/>
    <w:basedOn w:val="Standaard"/>
    <w:link w:val="VoetnoottekstChar"/>
    <w:uiPriority w:val="99"/>
    <w:semiHidden/>
    <w:unhideWhenUsed/>
    <w:rsid w:val="005B13CB"/>
    <w:pPr>
      <w:autoSpaceDN w:val="0"/>
      <w:spacing w:after="0" w:line="240" w:lineRule="auto"/>
      <w:textAlignment w:val="baseline"/>
    </w:pPr>
    <w:rPr>
      <w:rFonts w:eastAsia="DejaVu Sans"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5B13CB"/>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5B13CB"/>
    <w:rPr>
      <w:vertAlign w:val="superscript"/>
    </w:rPr>
  </w:style>
  <w:style w:type="paragraph" w:styleId="Geenafstand">
    <w:name w:val="No Spacing"/>
    <w:link w:val="GeenafstandChar"/>
    <w:uiPriority w:val="1"/>
    <w:qFormat/>
    <w:rsid w:val="005B13CB"/>
    <w:pPr>
      <w:spacing w:after="0" w:line="240" w:lineRule="auto"/>
    </w:pPr>
  </w:style>
  <w:style w:type="character" w:customStyle="1" w:styleId="GeenafstandChar">
    <w:name w:val="Geen afstand Char"/>
    <w:basedOn w:val="Standaardalinea-lettertype"/>
    <w:link w:val="Geenafstand"/>
    <w:uiPriority w:val="1"/>
    <w:rsid w:val="005B13CB"/>
  </w:style>
  <w:style w:type="table" w:styleId="Tabelraster">
    <w:name w:val="Table Grid"/>
    <w:basedOn w:val="Standaardtabel"/>
    <w:uiPriority w:val="59"/>
    <w:rsid w:val="005B13C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39565">
      <w:bodyDiv w:val="1"/>
      <w:marLeft w:val="0"/>
      <w:marRight w:val="0"/>
      <w:marTop w:val="0"/>
      <w:marBottom w:val="0"/>
      <w:divBdr>
        <w:top w:val="none" w:sz="0" w:space="0" w:color="auto"/>
        <w:left w:val="none" w:sz="0" w:space="0" w:color="auto"/>
        <w:bottom w:val="none" w:sz="0" w:space="0" w:color="auto"/>
        <w:right w:val="none" w:sz="0" w:space="0" w:color="auto"/>
      </w:divBdr>
    </w:div>
    <w:div w:id="10482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kst-35192-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752</ap:Words>
  <ap:Characters>4138</ap:Characters>
  <ap:DocSecurity>0</ap:DocSecurity>
  <ap:Lines>34</ap:Lines>
  <ap:Paragraphs>9</ap:Paragraphs>
  <ap:ScaleCrop>false</ap:ScaleCrop>
  <ap:LinksUpToDate>false</ap:LinksUpToDate>
  <ap:CharactersWithSpaces>4881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2025-09-19T11:18:00.0000000Z</dcterms:created>
  <dcterms:modified xsi:type="dcterms:W3CDTF">2025-09-19T11:18:00.0000000Z</dcterms:modified>
  <dc:creator/>
  <dc:description>------------------------</dc:description>
  <dc:subject/>
  <dc:title/>
  <keywords/>
  <version/>
  <category/>
</coreProperties>
</file>