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243FC" w:rsidR="005A3C7E" w:rsidP="005A3C7E" w:rsidRDefault="005A3C7E" w14:paraId="590D6100" w14:textId="62BC4DC8">
      <w:pPr>
        <w:rPr>
          <w:color w:val="auto"/>
        </w:rPr>
      </w:pPr>
      <w:r w:rsidRPr="7B39E2E8">
        <w:rPr>
          <w:color w:val="auto"/>
        </w:rPr>
        <w:t xml:space="preserve">In antwoord op uw brief van </w:t>
      </w:r>
      <w:r>
        <w:rPr>
          <w:color w:val="auto"/>
        </w:rPr>
        <w:t xml:space="preserve">11 juli jl. </w:t>
      </w:r>
      <w:r w:rsidRPr="7B39E2E8">
        <w:rPr>
          <w:color w:val="auto"/>
        </w:rPr>
        <w:t xml:space="preserve">deel ik u mee dat de schriftelijke vragen van </w:t>
      </w:r>
      <w:r>
        <w:rPr>
          <w:color w:val="auto"/>
        </w:rPr>
        <w:t>de leden</w:t>
      </w:r>
      <w:r w:rsidRPr="005A3C7E">
        <w:t xml:space="preserve"> </w:t>
      </w:r>
      <w:proofErr w:type="spellStart"/>
      <w:r w:rsidRPr="005A3C7E">
        <w:rPr>
          <w:color w:val="auto"/>
        </w:rPr>
        <w:t>Mutluer</w:t>
      </w:r>
      <w:proofErr w:type="spellEnd"/>
      <w:r w:rsidRPr="005A3C7E">
        <w:rPr>
          <w:color w:val="auto"/>
        </w:rPr>
        <w:t xml:space="preserve"> (GroenLinks–PvdA), Becker (VVD) en Van der Werf (D66), </w:t>
      </w:r>
      <w:r w:rsidRPr="7B39E2E8">
        <w:rPr>
          <w:color w:val="auto"/>
        </w:rPr>
        <w:t xml:space="preserve">over </w:t>
      </w:r>
      <w:r>
        <w:t>erfrecht, levensverzekeringen en femicide</w:t>
      </w:r>
      <w:r>
        <w:rPr>
          <w:color w:val="auto"/>
        </w:rPr>
        <w:t xml:space="preserve"> </w:t>
      </w:r>
      <w:r w:rsidRPr="7B39E2E8">
        <w:rPr>
          <w:color w:val="auto"/>
        </w:rPr>
        <w:t>worden beantwoord zoals aangegeven in de bijlage bij deze brief.</w:t>
      </w:r>
      <w:r>
        <w:rPr>
          <w:color w:val="auto"/>
        </w:rPr>
        <w:t xml:space="preserve"> </w:t>
      </w:r>
    </w:p>
    <w:p w:rsidR="005A3C7E" w:rsidP="005A3C7E" w:rsidRDefault="005A3C7E" w14:paraId="714F2898" w14:textId="77777777">
      <w:pPr>
        <w:rPr>
          <w:color w:val="auto"/>
        </w:rPr>
      </w:pPr>
    </w:p>
    <w:p w:rsidRPr="00E243FC" w:rsidR="005A3C7E" w:rsidP="005A3C7E" w:rsidRDefault="005A3C7E" w14:paraId="04D54922" w14:textId="77777777">
      <w:pPr>
        <w:rPr>
          <w:color w:val="auto"/>
        </w:rPr>
      </w:pPr>
    </w:p>
    <w:p w:rsidR="00516B41" w:rsidP="00516B41" w:rsidRDefault="00516B41" w14:paraId="295ABACA" w14:textId="7C777A27">
      <w:pPr>
        <w:rPr>
          <w:color w:val="auto"/>
        </w:rPr>
      </w:pPr>
      <w:r w:rsidRPr="7B39E2E8">
        <w:rPr>
          <w:color w:val="auto"/>
        </w:rPr>
        <w:t>De </w:t>
      </w:r>
      <w:r w:rsidR="004B6973">
        <w:rPr>
          <w:color w:val="auto"/>
        </w:rPr>
        <w:t xml:space="preserve">Staatssecretaris </w:t>
      </w:r>
      <w:r w:rsidR="00201F71">
        <w:rPr>
          <w:color w:val="auto"/>
        </w:rPr>
        <w:t>van Justitie en Veiligheid</w:t>
      </w:r>
      <w:r w:rsidRPr="7B39E2E8">
        <w:rPr>
          <w:color w:val="auto"/>
        </w:rPr>
        <w:t>,</w:t>
      </w:r>
    </w:p>
    <w:p w:rsidR="00345091" w:rsidP="00516B41" w:rsidRDefault="00345091" w14:paraId="2F54EDBF" w14:textId="77777777">
      <w:pPr>
        <w:rPr>
          <w:color w:val="auto"/>
        </w:rPr>
      </w:pPr>
    </w:p>
    <w:p w:rsidR="00345091" w:rsidP="00516B41" w:rsidRDefault="00345091" w14:paraId="4ED2431D" w14:textId="77777777">
      <w:pPr>
        <w:rPr>
          <w:color w:val="auto"/>
        </w:rPr>
      </w:pPr>
    </w:p>
    <w:p w:rsidR="00345091" w:rsidP="00516B41" w:rsidRDefault="00345091" w14:paraId="1C9E33A8" w14:textId="77777777">
      <w:pPr>
        <w:rPr>
          <w:color w:val="auto"/>
        </w:rPr>
      </w:pPr>
    </w:p>
    <w:p w:rsidRPr="00E243FC" w:rsidR="00345091" w:rsidP="00516B41" w:rsidRDefault="00345091" w14:paraId="6AF695C1" w14:textId="77777777">
      <w:pPr>
        <w:rPr>
          <w:color w:val="auto"/>
        </w:rPr>
      </w:pPr>
    </w:p>
    <w:p w:rsidRPr="00E81E59" w:rsidR="00516B41" w:rsidP="00516B41" w:rsidRDefault="00004588" w14:paraId="18BC9307" w14:textId="715302B8">
      <w:pPr>
        <w:rPr>
          <w:color w:val="auto"/>
        </w:rPr>
      </w:pPr>
      <w:r w:rsidRPr="00E81E59">
        <w:rPr>
          <w:color w:val="auto"/>
        </w:rPr>
        <w:t xml:space="preserve">mr. </w:t>
      </w:r>
      <w:r w:rsidRPr="00E81E59" w:rsidR="00BC3C1F">
        <w:rPr>
          <w:color w:val="auto"/>
        </w:rPr>
        <w:t>A.C.L. Rutte</w:t>
      </w:r>
    </w:p>
    <w:p w:rsidRPr="00E81E59" w:rsidR="005A3C7E" w:rsidRDefault="005A3C7E" w14:paraId="53D5CFD3" w14:textId="77777777">
      <w:pPr>
        <w:spacing w:line="240" w:lineRule="auto"/>
        <w:rPr>
          <w:color w:val="auto"/>
        </w:rPr>
      </w:pPr>
      <w:r w:rsidRPr="00E81E59">
        <w:rPr>
          <w:color w:val="auto"/>
        </w:rPr>
        <w:br w:type="page"/>
      </w:r>
    </w:p>
    <w:p w:rsidR="00B4714D" w:rsidP="004844CE" w:rsidRDefault="00B4714D" w14:paraId="2D0ED1E0" w14:textId="77777777">
      <w:pPr>
        <w:pBdr>
          <w:bottom w:val="single" w:color="auto" w:sz="4" w:space="1"/>
        </w:pBdr>
        <w:rPr>
          <w:b/>
          <w:bCs/>
          <w:color w:val="auto"/>
        </w:rPr>
      </w:pPr>
      <w:bookmarkStart w:name="_Hlk187741602" w:id="0"/>
      <w:r w:rsidRPr="00B4714D">
        <w:rPr>
          <w:b/>
          <w:bCs/>
          <w:color w:val="auto"/>
        </w:rPr>
        <w:t xml:space="preserve">Vragen van het lid </w:t>
      </w:r>
      <w:proofErr w:type="spellStart"/>
      <w:r w:rsidRPr="00B4714D">
        <w:rPr>
          <w:b/>
          <w:bCs/>
          <w:color w:val="auto"/>
        </w:rPr>
        <w:t>Mutluer</w:t>
      </w:r>
      <w:proofErr w:type="spellEnd"/>
      <w:r w:rsidRPr="00B4714D">
        <w:rPr>
          <w:b/>
          <w:bCs/>
          <w:color w:val="auto"/>
        </w:rPr>
        <w:t xml:space="preserve"> (GroenLinks–PvdA), Becker (VVD) en Van der Werf (D66), aan de staatssecretaris van Justitie en Veiligheid over erfrecht, levensverzekeringen en </w:t>
      </w:r>
      <w:proofErr w:type="spellStart"/>
      <w:r w:rsidRPr="00B4714D">
        <w:rPr>
          <w:b/>
          <w:bCs/>
          <w:color w:val="auto"/>
        </w:rPr>
        <w:t>femicide</w:t>
      </w:r>
      <w:proofErr w:type="spellEnd"/>
      <w:r w:rsidRPr="00B4714D">
        <w:rPr>
          <w:b/>
          <w:bCs/>
          <w:color w:val="auto"/>
        </w:rPr>
        <w:t xml:space="preserve">. </w:t>
      </w:r>
    </w:p>
    <w:p w:rsidR="004844CE" w:rsidP="004844CE" w:rsidRDefault="004844CE" w14:paraId="01AD7BCB" w14:textId="3439EB90">
      <w:pPr>
        <w:pBdr>
          <w:bottom w:val="single" w:color="auto" w:sz="4" w:space="1"/>
        </w:pBdr>
        <w:rPr>
          <w:b/>
          <w:bCs/>
          <w:color w:val="auto"/>
        </w:rPr>
      </w:pPr>
      <w:r w:rsidRPr="7B39E2E8">
        <w:rPr>
          <w:b/>
          <w:bCs/>
          <w:color w:val="auto"/>
        </w:rPr>
        <w:t>(</w:t>
      </w:r>
      <w:r>
        <w:rPr>
          <w:b/>
          <w:bCs/>
          <w:color w:val="auto"/>
        </w:rPr>
        <w:t>i</w:t>
      </w:r>
      <w:r w:rsidRPr="7B39E2E8">
        <w:rPr>
          <w:b/>
          <w:bCs/>
          <w:color w:val="auto"/>
        </w:rPr>
        <w:t xml:space="preserve">ngezonden </w:t>
      </w:r>
      <w:r>
        <w:rPr>
          <w:b/>
          <w:bCs/>
          <w:color w:val="auto"/>
        </w:rPr>
        <w:t>1</w:t>
      </w:r>
      <w:r w:rsidRPr="7B39E2E8">
        <w:rPr>
          <w:b/>
          <w:bCs/>
          <w:color w:val="auto"/>
        </w:rPr>
        <w:t xml:space="preserve">1 </w:t>
      </w:r>
      <w:r>
        <w:rPr>
          <w:b/>
          <w:bCs/>
          <w:color w:val="auto"/>
        </w:rPr>
        <w:t>juli</w:t>
      </w:r>
      <w:r w:rsidRPr="7B39E2E8">
        <w:rPr>
          <w:b/>
          <w:bCs/>
          <w:color w:val="auto"/>
        </w:rPr>
        <w:t xml:space="preserve"> 2025, </w:t>
      </w:r>
      <w:r w:rsidRPr="7B39E2E8">
        <w:rPr>
          <w:b/>
          <w:bCs/>
        </w:rPr>
        <w:t>2025Z</w:t>
      </w:r>
      <w:r>
        <w:rPr>
          <w:b/>
          <w:bCs/>
        </w:rPr>
        <w:t>14588</w:t>
      </w:r>
      <w:r w:rsidRPr="7B39E2E8">
        <w:rPr>
          <w:b/>
          <w:bCs/>
          <w:color w:val="auto"/>
        </w:rPr>
        <w:t>)</w:t>
      </w:r>
    </w:p>
    <w:bookmarkEnd w:id="0"/>
    <w:p w:rsidRPr="00E243FC" w:rsidR="004844CE" w:rsidP="004844CE" w:rsidRDefault="004844CE" w14:paraId="7772DA22" w14:textId="77777777">
      <w:pPr>
        <w:rPr>
          <w:color w:val="auto"/>
        </w:rPr>
      </w:pPr>
    </w:p>
    <w:p w:rsidR="004844CE" w:rsidP="004844CE" w:rsidRDefault="004844CE" w14:paraId="0C273DD2" w14:textId="77777777"/>
    <w:p w:rsidR="004844CE" w:rsidP="004844CE" w:rsidRDefault="004844CE" w14:paraId="587B683F" w14:textId="77777777">
      <w:pPr>
        <w:autoSpaceDN/>
        <w:spacing w:line="259" w:lineRule="auto"/>
        <w:textAlignment w:val="auto"/>
        <w:rPr>
          <w:b/>
          <w:bCs/>
        </w:rPr>
      </w:pPr>
      <w:r>
        <w:rPr>
          <w:b/>
          <w:bCs/>
        </w:rPr>
        <w:t>Vraag 1</w:t>
      </w:r>
    </w:p>
    <w:p w:rsidR="004844CE" w:rsidP="004844CE" w:rsidRDefault="004844CE" w14:paraId="115B1341" w14:textId="48B7528A">
      <w:pPr>
        <w:autoSpaceDN/>
        <w:spacing w:line="259" w:lineRule="auto"/>
        <w:textAlignment w:val="auto"/>
        <w:rPr>
          <w:b/>
          <w:bCs/>
        </w:rPr>
      </w:pPr>
      <w:r w:rsidRPr="004844CE">
        <w:rPr>
          <w:b/>
          <w:bCs/>
        </w:rPr>
        <w:t>Heeft u kennisgenomen van het artikel in het Algemeen Dagblad van 5 juli 2025, getiteld: Als man zijn vrouw doodt en daar rijker van blijkt te worden: ‘Misdaad mag niet lonen’?</w:t>
      </w:r>
      <w:r>
        <w:rPr>
          <w:rStyle w:val="Voetnootmarkering"/>
          <w:b/>
          <w:bCs/>
        </w:rPr>
        <w:footnoteReference w:id="1"/>
      </w:r>
      <w:r w:rsidRPr="004844CE">
        <w:rPr>
          <w:b/>
          <w:bCs/>
        </w:rPr>
        <w:br/>
      </w:r>
    </w:p>
    <w:p w:rsidRPr="00F12536" w:rsidR="004844CE" w:rsidP="004844CE" w:rsidRDefault="004844CE" w14:paraId="6DFE5A56" w14:textId="77777777">
      <w:pPr>
        <w:autoSpaceDN/>
        <w:spacing w:line="259" w:lineRule="auto"/>
        <w:textAlignment w:val="auto"/>
        <w:rPr>
          <w:b/>
          <w:bCs/>
        </w:rPr>
      </w:pPr>
      <w:r>
        <w:rPr>
          <w:b/>
          <w:bCs/>
        </w:rPr>
        <w:t>Antwoord op vraag 1</w:t>
      </w:r>
    </w:p>
    <w:p w:rsidRPr="00F12536" w:rsidR="004844CE" w:rsidP="004844CE" w:rsidRDefault="004844CE" w14:paraId="51DC7826" w14:textId="77777777">
      <w:pPr>
        <w:autoSpaceDN/>
        <w:spacing w:line="259" w:lineRule="auto"/>
        <w:textAlignment w:val="auto"/>
        <w:rPr>
          <w:b/>
          <w:bCs/>
        </w:rPr>
      </w:pPr>
      <w:r>
        <w:t>Ja.</w:t>
      </w:r>
    </w:p>
    <w:p w:rsidRPr="00E636B8" w:rsidR="004844CE" w:rsidP="004844CE" w:rsidRDefault="004844CE" w14:paraId="11FA1AA8" w14:textId="77777777">
      <w:pPr>
        <w:autoSpaceDN/>
        <w:spacing w:line="259" w:lineRule="auto"/>
        <w:textAlignment w:val="auto"/>
        <w:rPr>
          <w:b/>
          <w:bCs/>
        </w:rPr>
      </w:pPr>
    </w:p>
    <w:p w:rsidR="004844CE" w:rsidP="004844CE" w:rsidRDefault="004844CE" w14:paraId="42DD5222" w14:textId="77777777">
      <w:pPr>
        <w:autoSpaceDN/>
        <w:spacing w:line="259" w:lineRule="auto"/>
        <w:textAlignment w:val="auto"/>
        <w:rPr>
          <w:b/>
          <w:bCs/>
        </w:rPr>
      </w:pPr>
      <w:r>
        <w:rPr>
          <w:b/>
          <w:bCs/>
        </w:rPr>
        <w:t>Vraag 2</w:t>
      </w:r>
    </w:p>
    <w:p w:rsidRPr="004844CE" w:rsidR="004844CE" w:rsidP="004844CE" w:rsidRDefault="004844CE" w14:paraId="3FA4B78C" w14:textId="735C9FBF">
      <w:pPr>
        <w:autoSpaceDN/>
        <w:spacing w:line="259" w:lineRule="auto"/>
        <w:textAlignment w:val="auto"/>
        <w:rPr>
          <w:b/>
          <w:bCs/>
        </w:rPr>
      </w:pPr>
      <w:r w:rsidRPr="004844CE">
        <w:rPr>
          <w:b/>
          <w:bCs/>
        </w:rPr>
        <w:t>Klopt het dat iemand die volledig ontoerekeningsvatbaar is verklaard na het doden van zijn of haar partner, volgens artikel 4:3 Burgerlijk Wetboek (BW) niet van rechtswege onwaardig is om te erven, omdat er dan geen sprake is van een onherroepelijke strafrechtelijke veroordeling?</w:t>
      </w:r>
    </w:p>
    <w:p w:rsidR="008C723E" w:rsidP="008C723E" w:rsidRDefault="008C723E" w14:paraId="4BE85F1F" w14:textId="77777777">
      <w:pPr>
        <w:autoSpaceDN/>
        <w:spacing w:line="259" w:lineRule="auto"/>
        <w:textAlignment w:val="auto"/>
        <w:rPr>
          <w:b/>
          <w:bCs/>
        </w:rPr>
      </w:pPr>
    </w:p>
    <w:p w:rsidR="008C723E" w:rsidP="008C723E" w:rsidRDefault="008C723E" w14:paraId="188C4BAE" w14:textId="07D6863C">
      <w:pPr>
        <w:autoSpaceDN/>
        <w:spacing w:line="259" w:lineRule="auto"/>
        <w:textAlignment w:val="auto"/>
        <w:rPr>
          <w:b/>
          <w:bCs/>
        </w:rPr>
      </w:pPr>
      <w:r>
        <w:rPr>
          <w:b/>
          <w:bCs/>
        </w:rPr>
        <w:t>Vraag 3</w:t>
      </w:r>
    </w:p>
    <w:p w:rsidRPr="004844CE" w:rsidR="008C723E" w:rsidP="008C723E" w:rsidRDefault="008C723E" w14:paraId="59400396" w14:textId="77777777">
      <w:pPr>
        <w:autoSpaceDN/>
        <w:spacing w:line="259" w:lineRule="auto"/>
        <w:textAlignment w:val="auto"/>
        <w:rPr>
          <w:b/>
          <w:bCs/>
        </w:rPr>
      </w:pPr>
      <w:r w:rsidRPr="004844CE">
        <w:rPr>
          <w:b/>
          <w:bCs/>
        </w:rPr>
        <w:t>Klopt het dat nabestaanden in deze gevallen alleen via een civiele procedure, waarin zij zich moeten beroepen op de maatstaven van redelijkheid en billijkheid (art. 6:2 lid 2 BW), kunnen proberen de dader alsnog als onwaardig erfgenaam te laten verklaren?</w:t>
      </w:r>
    </w:p>
    <w:p w:rsidR="004844CE" w:rsidP="004844CE" w:rsidRDefault="004844CE" w14:paraId="2D223D7E" w14:textId="77777777">
      <w:pPr>
        <w:autoSpaceDN/>
        <w:spacing w:line="259" w:lineRule="auto"/>
        <w:textAlignment w:val="auto"/>
        <w:rPr>
          <w:b/>
          <w:bCs/>
        </w:rPr>
      </w:pPr>
    </w:p>
    <w:p w:rsidR="004844CE" w:rsidP="004844CE" w:rsidRDefault="004844CE" w14:paraId="159DD721" w14:textId="242DF3DB">
      <w:pPr>
        <w:autoSpaceDN/>
        <w:spacing w:line="259" w:lineRule="auto"/>
        <w:textAlignment w:val="auto"/>
        <w:rPr>
          <w:b/>
          <w:bCs/>
        </w:rPr>
      </w:pPr>
      <w:r>
        <w:rPr>
          <w:b/>
          <w:bCs/>
        </w:rPr>
        <w:t>Antwoord op vrag</w:t>
      </w:r>
      <w:r w:rsidR="008C723E">
        <w:rPr>
          <w:b/>
          <w:bCs/>
        </w:rPr>
        <w:t>en</w:t>
      </w:r>
      <w:r>
        <w:rPr>
          <w:b/>
          <w:bCs/>
        </w:rPr>
        <w:t xml:space="preserve"> 2</w:t>
      </w:r>
      <w:r w:rsidR="008C723E">
        <w:rPr>
          <w:b/>
          <w:bCs/>
        </w:rPr>
        <w:t xml:space="preserve"> en 3</w:t>
      </w:r>
    </w:p>
    <w:p w:rsidRPr="000120F0" w:rsidR="00D85133" w:rsidP="008C723E" w:rsidRDefault="002F2D97" w14:paraId="11A32F48" w14:textId="77777777">
      <w:r>
        <w:t xml:space="preserve">Dat klopt. </w:t>
      </w:r>
      <w:r w:rsidR="008C723E">
        <w:t xml:space="preserve">Op grond van artikel 4:3, eerste lid, onder a, van het Burgerlijk Wetboek (BW) is iemand van rechtswege onwaardig om te erven van degene die hij om het leven heeft gebracht. De wet vereist </w:t>
      </w:r>
      <w:r w:rsidR="000B5513">
        <w:t xml:space="preserve">hiervoor </w:t>
      </w:r>
      <w:r w:rsidR="008C723E">
        <w:t>een onherroepelijke (strafrechtelijke) veroordeling.</w:t>
      </w:r>
      <w:r w:rsidR="00134C55">
        <w:t xml:space="preserve"> </w:t>
      </w:r>
      <w:r>
        <w:t xml:space="preserve">Daarvan is ook sprake als een straf in combinatie </w:t>
      </w:r>
      <w:r w:rsidRPr="000120F0">
        <w:t xml:space="preserve">met </w:t>
      </w:r>
      <w:r w:rsidRPr="000120F0" w:rsidR="00516B41">
        <w:t xml:space="preserve">terbeschikkingstelling (tbs) </w:t>
      </w:r>
      <w:r w:rsidRPr="000120F0">
        <w:t>is opgelegd.</w:t>
      </w:r>
      <w:r w:rsidRPr="000120F0" w:rsidR="0099191B">
        <w:rPr>
          <w:rStyle w:val="Voetnootmarkering"/>
        </w:rPr>
        <w:footnoteReference w:id="2"/>
      </w:r>
      <w:r w:rsidRPr="000120F0">
        <w:t xml:space="preserve"> </w:t>
      </w:r>
      <w:r w:rsidRPr="000120F0" w:rsidR="00134C55">
        <w:t xml:space="preserve">Als uitsluitend </w:t>
      </w:r>
      <w:r w:rsidRPr="000120F0" w:rsidR="00516B41">
        <w:t xml:space="preserve">tbs </w:t>
      </w:r>
      <w:r w:rsidRPr="000120F0" w:rsidR="00134C55">
        <w:t xml:space="preserve">is opgelegd, is hiervan geen sprake. </w:t>
      </w:r>
    </w:p>
    <w:p w:rsidRPr="000120F0" w:rsidR="00134C55" w:rsidP="008C723E" w:rsidRDefault="00D85133" w14:paraId="5E48C4E3" w14:textId="33C5276B">
      <w:r w:rsidRPr="000120F0">
        <w:t xml:space="preserve">De rechter kan alleen tot een strafrechtelijke veroordeling komen als </w:t>
      </w:r>
      <w:r w:rsidR="007E28C9">
        <w:t xml:space="preserve">het feit </w:t>
      </w:r>
      <w:r w:rsidRPr="000120F0">
        <w:t xml:space="preserve">naar zijn oordeel </w:t>
      </w:r>
      <w:r w:rsidR="007E28C9">
        <w:t>aan</w:t>
      </w:r>
      <w:r w:rsidRPr="000120F0">
        <w:t xml:space="preserve"> de dader kan worden toegerekend. Als het misdrijf de dader vanwege een </w:t>
      </w:r>
      <w:r w:rsidR="007E28C9">
        <w:t xml:space="preserve">gebrekkige ontwikkeling of </w:t>
      </w:r>
      <w:r w:rsidRPr="000120F0">
        <w:t>ziekelijke stoornis</w:t>
      </w:r>
      <w:r w:rsidR="007E28C9">
        <w:t xml:space="preserve"> tijdens het begaan van het feit</w:t>
      </w:r>
      <w:r w:rsidRPr="000120F0">
        <w:t xml:space="preserve"> in het geheel niet kan worden toegerekend, kan de strafrechter </w:t>
      </w:r>
      <w:r w:rsidR="007E28C9">
        <w:t>wel een</w:t>
      </w:r>
      <w:r w:rsidRPr="000120F0">
        <w:t xml:space="preserve"> </w:t>
      </w:r>
      <w:r w:rsidR="007E28C9">
        <w:t>tbs-</w:t>
      </w:r>
      <w:r w:rsidRPr="000120F0">
        <w:t xml:space="preserve">maatregel opleggen. De regeling van onwaardigheid in het erfrecht sluit hierbij aan; als de dader enig (strafrechtelijk) verwijt kan worden gemaakt waarop een strafrechtelijke veroordeling volgt, kan hij niet erven. Als de dader geen strafrechtelijk verwijt kan worden gemaakt vanwege een ziekelijke stoornis, </w:t>
      </w:r>
      <w:r w:rsidR="007E28C9">
        <w:t>is diegene niet van rechtswege onwaardig om te</w:t>
      </w:r>
      <w:r w:rsidRPr="000120F0">
        <w:t xml:space="preserve"> erven. </w:t>
      </w:r>
    </w:p>
    <w:p w:rsidR="00217770" w:rsidP="008C723E" w:rsidRDefault="00DF07EE" w14:paraId="6BF2E02B" w14:textId="7EBD28A3">
      <w:r w:rsidRPr="000120F0">
        <w:t>G</w:t>
      </w:r>
      <w:r w:rsidRPr="000120F0" w:rsidR="00C46B8B">
        <w:t xml:space="preserve">elet op de </w:t>
      </w:r>
      <w:r w:rsidRPr="000120F0" w:rsidR="000B5513">
        <w:t xml:space="preserve">concrete </w:t>
      </w:r>
      <w:r w:rsidRPr="000120F0" w:rsidR="00C46B8B">
        <w:t xml:space="preserve">feiten en omstandigheden </w:t>
      </w:r>
      <w:r w:rsidRPr="000120F0" w:rsidR="000B5513">
        <w:t xml:space="preserve">in een </w:t>
      </w:r>
      <w:r w:rsidRPr="000120F0" w:rsidR="007B7F7D">
        <w:t>individuele</w:t>
      </w:r>
      <w:r w:rsidRPr="000120F0" w:rsidR="000B5513">
        <w:t xml:space="preserve"> zaak </w:t>
      </w:r>
      <w:r w:rsidRPr="000120F0">
        <w:t>kan het</w:t>
      </w:r>
      <w:r w:rsidRPr="000120F0" w:rsidR="000B5513">
        <w:t xml:space="preserve"> maatschappelijk gezien</w:t>
      </w:r>
      <w:r w:rsidRPr="000120F0">
        <w:t xml:space="preserve"> </w:t>
      </w:r>
      <w:r w:rsidR="007E28C9">
        <w:t xml:space="preserve">niettemin </w:t>
      </w:r>
      <w:r w:rsidRPr="000120F0" w:rsidR="00C46B8B">
        <w:t xml:space="preserve">onaanvaardbaar </w:t>
      </w:r>
      <w:r w:rsidRPr="000120F0">
        <w:t>zijn</w:t>
      </w:r>
      <w:r w:rsidRPr="000120F0" w:rsidR="00C46B8B">
        <w:t xml:space="preserve"> dat </w:t>
      </w:r>
      <w:r w:rsidR="007E28C9">
        <w:t>er</w:t>
      </w:r>
      <w:r w:rsidRPr="000120F0">
        <w:t xml:space="preserve"> </w:t>
      </w:r>
      <w:r w:rsidRPr="000120F0" w:rsidR="00C46B8B">
        <w:t xml:space="preserve">aanspraak </w:t>
      </w:r>
      <w:r w:rsidR="007E28C9">
        <w:t>kan worden ge</w:t>
      </w:r>
      <w:r w:rsidRPr="000120F0" w:rsidR="00C46B8B">
        <w:t>maakt op de nalatenschap van het slachtoffer</w:t>
      </w:r>
      <w:r w:rsidRPr="000120F0">
        <w:t>. In dat geval k</w:t>
      </w:r>
      <w:r w:rsidRPr="000120F0" w:rsidR="00C46B8B">
        <w:t xml:space="preserve">an de rechter </w:t>
      </w:r>
      <w:r w:rsidRPr="000120F0" w:rsidR="00217770">
        <w:t>op vordering van de nabestaanden</w:t>
      </w:r>
      <w:r w:rsidR="00217770">
        <w:t xml:space="preserve"> </w:t>
      </w:r>
      <w:r w:rsidR="00C46B8B">
        <w:t xml:space="preserve">bepalen dat de dader </w:t>
      </w:r>
      <w:r>
        <w:t xml:space="preserve">op grond van </w:t>
      </w:r>
      <w:r w:rsidR="000B5513">
        <w:t xml:space="preserve">de </w:t>
      </w:r>
      <w:r w:rsidR="00C25F48">
        <w:t xml:space="preserve">maatstaven van </w:t>
      </w:r>
      <w:r w:rsidRPr="002F2D97">
        <w:t xml:space="preserve">redelijkheid en billijkheid </w:t>
      </w:r>
      <w:r>
        <w:t xml:space="preserve">(artikel 6:2, tweede lid, BW) </w:t>
      </w:r>
      <w:r w:rsidR="00C46B8B">
        <w:t xml:space="preserve">geen aanspraak heeft op de nalatenschap. </w:t>
      </w:r>
      <w:r w:rsidR="00134C55">
        <w:t xml:space="preserve">Ik verwijs in dit verband naar </w:t>
      </w:r>
      <w:r w:rsidRPr="00134C55" w:rsidR="00134C55">
        <w:t xml:space="preserve">recente </w:t>
      </w:r>
      <w:r w:rsidR="00607504">
        <w:t>jurisprudentie</w:t>
      </w:r>
      <w:r w:rsidRPr="00134C55" w:rsidR="00134C55">
        <w:t xml:space="preserve"> van de Hoge Raad</w:t>
      </w:r>
      <w:r w:rsidR="002F2D97">
        <w:t>.</w:t>
      </w:r>
      <w:r w:rsidR="002F2D97">
        <w:rPr>
          <w:rStyle w:val="Voetnootmarkering"/>
        </w:rPr>
        <w:footnoteReference w:id="3"/>
      </w:r>
      <w:r w:rsidRPr="00A0578D" w:rsidR="00A0578D">
        <w:t xml:space="preserve"> </w:t>
      </w:r>
    </w:p>
    <w:p w:rsidR="002F2D97" w:rsidP="008C723E" w:rsidRDefault="002F2D97" w14:paraId="6E23A566" w14:textId="77777777"/>
    <w:p w:rsidR="004844CE" w:rsidP="004844CE" w:rsidRDefault="004844CE" w14:paraId="68F7CFC6" w14:textId="77777777">
      <w:pPr>
        <w:autoSpaceDN/>
        <w:spacing w:line="259" w:lineRule="auto"/>
        <w:textAlignment w:val="auto"/>
        <w:rPr>
          <w:b/>
          <w:bCs/>
          <w:color w:val="auto"/>
        </w:rPr>
      </w:pPr>
      <w:r>
        <w:rPr>
          <w:b/>
          <w:bCs/>
          <w:color w:val="auto"/>
        </w:rPr>
        <w:t>Vraag 4</w:t>
      </w:r>
    </w:p>
    <w:p w:rsidRPr="004844CE" w:rsidR="004844CE" w:rsidP="004844CE" w:rsidRDefault="004844CE" w14:paraId="1A28E7D8" w14:textId="77777777">
      <w:pPr>
        <w:rPr>
          <w:b/>
          <w:bCs/>
        </w:rPr>
      </w:pPr>
      <w:r w:rsidRPr="004844CE">
        <w:rPr>
          <w:b/>
          <w:bCs/>
        </w:rPr>
        <w:t xml:space="preserve">Deelt u de mening dat het voor nabestaanden onacceptabel is dat zij, in een kwetsbare en traumatische situatie, zelf juridische procedures en hoge kosten moeten aangaan </w:t>
      </w:r>
      <w:r w:rsidRPr="00752ADE">
        <w:rPr>
          <w:b/>
          <w:bCs/>
        </w:rPr>
        <w:t>om de dader van femicide</w:t>
      </w:r>
      <w:r w:rsidRPr="004844CE">
        <w:rPr>
          <w:b/>
          <w:bCs/>
        </w:rPr>
        <w:t xml:space="preserve"> uit te sluiten van de erfenis, terwijl de huidige wetgeving standaard uitgaat van erfrechtelijke waardigheid, tenzij zij daartegen optreden?</w:t>
      </w:r>
    </w:p>
    <w:p w:rsidR="004844CE" w:rsidP="004844CE" w:rsidRDefault="004844CE" w14:paraId="1B7F6F8E" w14:textId="77777777">
      <w:pPr>
        <w:autoSpaceDN/>
        <w:spacing w:line="259" w:lineRule="auto"/>
        <w:textAlignment w:val="auto"/>
        <w:rPr>
          <w:b/>
          <w:bCs/>
          <w:color w:val="auto"/>
        </w:rPr>
      </w:pPr>
    </w:p>
    <w:p w:rsidR="007279C0" w:rsidP="007279C0" w:rsidRDefault="007279C0" w14:paraId="2A6B19AD" w14:textId="77777777">
      <w:pPr>
        <w:autoSpaceDN/>
        <w:spacing w:line="259" w:lineRule="auto"/>
        <w:textAlignment w:val="auto"/>
        <w:rPr>
          <w:b/>
          <w:bCs/>
        </w:rPr>
      </w:pPr>
      <w:r>
        <w:rPr>
          <w:b/>
          <w:bCs/>
        </w:rPr>
        <w:t>Vraag 9</w:t>
      </w:r>
    </w:p>
    <w:p w:rsidR="004737FB" w:rsidP="00C659D6" w:rsidRDefault="007279C0" w14:paraId="1BDED588" w14:textId="0383E643">
      <w:pPr>
        <w:rPr>
          <w:b/>
          <w:bCs/>
        </w:rPr>
      </w:pPr>
      <w:r w:rsidRPr="004844CE">
        <w:rPr>
          <w:b/>
          <w:bCs/>
        </w:rPr>
        <w:t xml:space="preserve">Deelt u de mening dat het rechtvaardiger zou zijn als het uitgangspunt in het erfrecht wordt omgekeerd </w:t>
      </w:r>
      <w:r w:rsidRPr="00752ADE">
        <w:rPr>
          <w:b/>
          <w:bCs/>
        </w:rPr>
        <w:t>zodat iemand die betrokken is bij femicide</w:t>
      </w:r>
      <w:r w:rsidRPr="004844CE">
        <w:rPr>
          <w:b/>
          <w:bCs/>
        </w:rPr>
        <w:t>, ook als hij volledig ontoerekeningsvatbaar is verklaard, in beginsel wordt uitgesloten van het recht om te erven, tenzij de rechter anders oordeelt, in plaats van de huidige situatie, waarin deze persoon automatisch erft en het initiatief om dat te betwisten bij de nabestaanden ligt?</w:t>
      </w:r>
    </w:p>
    <w:p w:rsidR="004737FB" w:rsidP="007279C0" w:rsidRDefault="004737FB" w14:paraId="321BB159" w14:textId="77777777">
      <w:pPr>
        <w:autoSpaceDN/>
        <w:spacing w:line="259" w:lineRule="auto"/>
        <w:textAlignment w:val="auto"/>
        <w:rPr>
          <w:b/>
          <w:bCs/>
        </w:rPr>
      </w:pPr>
    </w:p>
    <w:p w:rsidR="007279C0" w:rsidP="007279C0" w:rsidRDefault="007279C0" w14:paraId="29F5CF12" w14:textId="6ED61B14">
      <w:pPr>
        <w:autoSpaceDN/>
        <w:spacing w:line="259" w:lineRule="auto"/>
        <w:textAlignment w:val="auto"/>
        <w:rPr>
          <w:b/>
          <w:bCs/>
        </w:rPr>
      </w:pPr>
      <w:r>
        <w:rPr>
          <w:b/>
          <w:bCs/>
        </w:rPr>
        <w:t>Antwoord op vragen 4 en 9</w:t>
      </w:r>
    </w:p>
    <w:p w:rsidR="00004588" w:rsidP="007279C0" w:rsidRDefault="007E28C9" w14:paraId="6D89E244" w14:textId="37DF4EED">
      <w:pPr>
        <w:autoSpaceDN/>
        <w:spacing w:line="259" w:lineRule="auto"/>
        <w:textAlignment w:val="auto"/>
      </w:pPr>
      <w:r w:rsidRPr="007E28C9">
        <w:t xml:space="preserve">Het overlijden van een naaste is altijd een droevige gebeurtenis. Als een naaste dan ook nog door een misdrijf om het leven komt, is dit </w:t>
      </w:r>
      <w:r w:rsidR="00E65684">
        <w:t>zeer</w:t>
      </w:r>
      <w:r w:rsidRPr="007E28C9">
        <w:t xml:space="preserve"> schokkend en extra verdrietig. Als een dader vervolgens ook nog aanspraak maakt op de nalatenschap, komen andere erfgenamen en nabestaanden in een bijzonder tragische situatie terecht. </w:t>
      </w:r>
      <w:r w:rsidR="007A5D24">
        <w:t xml:space="preserve">Als sprake is van femicide of meer algemeen van partnermoord en de partner </w:t>
      </w:r>
      <w:r>
        <w:t xml:space="preserve">hiervoor </w:t>
      </w:r>
      <w:r w:rsidR="007A5D24">
        <w:t xml:space="preserve">strafrechtelijk is veroordeeld, kan hij </w:t>
      </w:r>
      <w:r w:rsidR="00A52B6E">
        <w:t xml:space="preserve">op grond van de wet </w:t>
      </w:r>
      <w:r w:rsidR="007A5D24">
        <w:t xml:space="preserve">geen aanspraak maken op de nalatenschap van het slachtoffer. </w:t>
      </w:r>
    </w:p>
    <w:p w:rsidRPr="000120F0" w:rsidR="004E62CB" w:rsidP="007279C0" w:rsidRDefault="004E62CB" w14:paraId="6B141ED8" w14:textId="71E5BA79">
      <w:pPr>
        <w:autoSpaceDN/>
        <w:spacing w:line="259" w:lineRule="auto"/>
        <w:textAlignment w:val="auto"/>
      </w:pPr>
      <w:r>
        <w:t xml:space="preserve">In het artikel </w:t>
      </w:r>
      <w:r w:rsidRPr="000120F0">
        <w:t xml:space="preserve">naar aanleiding waarvan deze vragen zijn gesteld, gaat het om een zaak waarin </w:t>
      </w:r>
      <w:r w:rsidRPr="000120F0" w:rsidR="00A52B6E">
        <w:t>uitsluitend</w:t>
      </w:r>
      <w:r w:rsidRPr="000120F0">
        <w:t xml:space="preserve"> tbs is opgelegd</w:t>
      </w:r>
      <w:r w:rsidR="000B47C6">
        <w:t>,</w:t>
      </w:r>
      <w:r w:rsidRPr="000120F0">
        <w:t xml:space="preserve"> respectievelijk </w:t>
      </w:r>
      <w:r w:rsidR="007E28C9">
        <w:t xml:space="preserve">een zaak </w:t>
      </w:r>
      <w:r w:rsidRPr="000120F0">
        <w:t>waarin de partner kort na de moord zelfmoord heeft gepleegd.</w:t>
      </w:r>
      <w:r w:rsidRPr="000120F0" w:rsidR="00A52B6E">
        <w:t xml:space="preserve"> </w:t>
      </w:r>
      <w:r w:rsidRPr="000120F0" w:rsidR="00FC1571">
        <w:t>I</w:t>
      </w:r>
      <w:r w:rsidRPr="000120F0" w:rsidR="00A52B6E">
        <w:t>n die gevallen volgt niet van rechtswege onwaardigheid (zie hiervoor de beantwoording van de vragen 2 en 3).</w:t>
      </w:r>
    </w:p>
    <w:p w:rsidR="00125F91" w:rsidP="007279C0" w:rsidRDefault="00125F91" w14:paraId="4B631A36" w14:textId="77777777">
      <w:pPr>
        <w:autoSpaceDN/>
        <w:spacing w:line="259" w:lineRule="auto"/>
        <w:textAlignment w:val="auto"/>
      </w:pPr>
    </w:p>
    <w:p w:rsidR="00A52B6E" w:rsidP="007279C0" w:rsidRDefault="00E65684" w14:paraId="78AF5FF2" w14:textId="666670A1">
      <w:pPr>
        <w:autoSpaceDN/>
        <w:spacing w:line="259" w:lineRule="auto"/>
        <w:textAlignment w:val="auto"/>
      </w:pPr>
      <w:r>
        <w:t>Voorop staat dat ik onderschrijf</w:t>
      </w:r>
      <w:r w:rsidRPr="000120F0" w:rsidR="00207256">
        <w:t xml:space="preserve"> dat het zeer onrechtvaardig voelt dat iemand van wie bewezen is verklaard dat hij</w:t>
      </w:r>
      <w:r w:rsidRPr="000120F0" w:rsidR="000340C7">
        <w:rPr>
          <w:rStyle w:val="Voetnootmarkering"/>
        </w:rPr>
        <w:footnoteReference w:id="4"/>
      </w:r>
      <w:r w:rsidRPr="000120F0" w:rsidR="00207256">
        <w:t xml:space="preserve"> zijn echtgenote</w:t>
      </w:r>
      <w:r w:rsidRPr="000120F0" w:rsidR="00AE3F9B">
        <w:t>/partner</w:t>
      </w:r>
      <w:r w:rsidRPr="000120F0" w:rsidR="00207256">
        <w:t xml:space="preserve"> om het leven heeft gebracht en daarvoor </w:t>
      </w:r>
      <w:r w:rsidR="00B84EA6">
        <w:t>uitsluitend</w:t>
      </w:r>
      <w:r w:rsidRPr="000120F0" w:rsidR="00AE3F9B">
        <w:t xml:space="preserve"> </w:t>
      </w:r>
      <w:r w:rsidRPr="000120F0" w:rsidR="00207256">
        <w:t xml:space="preserve">de </w:t>
      </w:r>
      <w:r w:rsidR="007E28C9">
        <w:t>tbs-</w:t>
      </w:r>
      <w:r w:rsidRPr="000120F0" w:rsidR="00207256">
        <w:t xml:space="preserve">maatregel heeft opgelegd gekregen, nog aanspraak zou kunnen maken op haar erfenis. </w:t>
      </w:r>
      <w:r>
        <w:t>Evenzeer is goed voorstelbaar</w:t>
      </w:r>
      <w:r w:rsidRPr="000120F0" w:rsidR="00207256">
        <w:t xml:space="preserve"> dat </w:t>
      </w:r>
      <w:r>
        <w:t xml:space="preserve">het als onrechtvaardig wordt ervaren dat </w:t>
      </w:r>
      <w:r w:rsidRPr="000120F0" w:rsidR="00207256">
        <w:t xml:space="preserve">nabestaanden </w:t>
      </w:r>
      <w:r w:rsidRPr="000120F0" w:rsidR="00B65141">
        <w:t xml:space="preserve">van de dader </w:t>
      </w:r>
      <w:r w:rsidRPr="000120F0" w:rsidR="00207256">
        <w:t>aanspraak kunnen maken op de erfenis</w:t>
      </w:r>
      <w:r>
        <w:t xml:space="preserve"> in het geval de dader zich, voor (het einde van) het strafproces</w:t>
      </w:r>
      <w:r w:rsidR="000271E2">
        <w:t xml:space="preserve"> </w:t>
      </w:r>
      <w:r w:rsidRPr="000120F0" w:rsidR="003D3F6B">
        <w:t xml:space="preserve">om het leven brengt, waardoor ook niet </w:t>
      </w:r>
      <w:r w:rsidRPr="000120F0" w:rsidR="00B65141">
        <w:t xml:space="preserve">kan worden </w:t>
      </w:r>
      <w:r w:rsidRPr="000120F0" w:rsidR="003D3F6B">
        <w:t>voldaan aan het wettelijke vereiste van een strafrechtelijke veroordeling</w:t>
      </w:r>
      <w:r w:rsidRPr="000120F0" w:rsidR="00207256">
        <w:t xml:space="preserve">. </w:t>
      </w:r>
      <w:r w:rsidRPr="000120F0" w:rsidR="00712972">
        <w:t>Vanuit die gedacht</w:t>
      </w:r>
      <w:r w:rsidRPr="000120F0" w:rsidR="00516B41">
        <w:t>e</w:t>
      </w:r>
      <w:r w:rsidRPr="000120F0" w:rsidR="00712972">
        <w:t xml:space="preserve"> kan </w:t>
      </w:r>
      <w:r>
        <w:t xml:space="preserve">logischerwijs </w:t>
      </w:r>
      <w:r w:rsidRPr="000120F0" w:rsidR="00712972">
        <w:t xml:space="preserve">de vraag opkomen of het uitgangspunt van het erfrecht moet worden omgekeerd, zodat </w:t>
      </w:r>
      <w:bookmarkStart w:name="_Hlk207790134" w:id="2"/>
      <w:r w:rsidRPr="000120F0" w:rsidR="00712972">
        <w:t>iemand die betrokken is bij moord</w:t>
      </w:r>
      <w:r w:rsidRPr="000120F0" w:rsidR="00516B41">
        <w:t xml:space="preserve"> op een (ex-)partner</w:t>
      </w:r>
      <w:r w:rsidR="00516B41">
        <w:t xml:space="preserve"> of familielid</w:t>
      </w:r>
      <w:r w:rsidR="00712972">
        <w:t xml:space="preserve">, ook als hij volledig ontoerekeningsvatbaar wordt verklaard, </w:t>
      </w:r>
      <w:r w:rsidR="0073757F">
        <w:t xml:space="preserve">in beginsel moet worden uitgesloten van het recht om te erven, tenzij de rechter anders oordeelt. </w:t>
      </w:r>
    </w:p>
    <w:p w:rsidR="0073757F" w:rsidP="007279C0" w:rsidRDefault="00A52B6E" w14:paraId="7C3E3931" w14:textId="4B430AE7">
      <w:pPr>
        <w:autoSpaceDN/>
        <w:spacing w:line="259" w:lineRule="auto"/>
        <w:textAlignment w:val="auto"/>
      </w:pPr>
      <w:r>
        <w:t>D</w:t>
      </w:r>
      <w:r w:rsidRPr="001433C3">
        <w:t xml:space="preserve">e wens om de wet </w:t>
      </w:r>
      <w:r w:rsidR="00E65684">
        <w:t xml:space="preserve">in die zin </w:t>
      </w:r>
      <w:r w:rsidRPr="001433C3">
        <w:t xml:space="preserve">te wijzigen </w:t>
      </w:r>
      <w:r w:rsidR="00E65684">
        <w:t xml:space="preserve">is </w:t>
      </w:r>
      <w:r w:rsidRPr="001433C3">
        <w:t xml:space="preserve">vanuit het perspectief van nabestaanden </w:t>
      </w:r>
      <w:r w:rsidR="00E65684">
        <w:t>zeer begrijpelijk</w:t>
      </w:r>
      <w:r>
        <w:t>.</w:t>
      </w:r>
      <w:bookmarkEnd w:id="2"/>
      <w:r>
        <w:t xml:space="preserve"> </w:t>
      </w:r>
      <w:r w:rsidR="00E65684">
        <w:t>Daarom</w:t>
      </w:r>
      <w:r w:rsidR="004E62CB">
        <w:t xml:space="preserve"> is ee</w:t>
      </w:r>
      <w:r w:rsidRPr="004E62CB" w:rsidR="004E62CB">
        <w:t xml:space="preserve">rder al aan deskundigen en betrokken organisaties uit de rechtspraktijk de vraag voorgelegd of het wenselijk is om artikel 4:3 BW zo aan te passen dat – kort gezegd – geen financieel voordeel gehaald mag worden uit een misdrijf, ongeacht </w:t>
      </w:r>
      <w:r w:rsidR="00004588">
        <w:t xml:space="preserve">of daarop </w:t>
      </w:r>
      <w:r w:rsidRPr="004E62CB" w:rsidR="004E62CB">
        <w:t>een strafrechtelijke veroordeling</w:t>
      </w:r>
      <w:r w:rsidR="00004588">
        <w:t xml:space="preserve"> is gevolgd</w:t>
      </w:r>
      <w:r w:rsidRPr="004E62CB" w:rsidR="004E62CB">
        <w:t xml:space="preserve">. De algemene lijn van de reacties </w:t>
      </w:r>
      <w:r w:rsidR="00E65684">
        <w:t xml:space="preserve">van deze deskundigen en betrokken organisaties </w:t>
      </w:r>
      <w:r w:rsidRPr="004E62CB" w:rsidR="004E62CB">
        <w:t>was dat op juridisch vlak nut en noodzaak van een dergelijke wetswijziging worden betwijfeld.</w:t>
      </w:r>
      <w:r w:rsidR="00E65684">
        <w:t xml:space="preserve"> De reden daarvoor is dat waar de regeling van onwaardigheid in het erfrecht niet tot een rechtvaardig resultaat leidt, de corrigerende werking van de redelijkheid en billijkheid kan worden ingeroepen. Dit betekent dat het nu al mogelijk is om in gevallen als hierboven beschreven, de onwaardigheid tot erven in te roepen. </w:t>
      </w:r>
      <w:r w:rsidR="000271E2">
        <w:br/>
      </w:r>
    </w:p>
    <w:p w:rsidRPr="00752ADE" w:rsidR="004E62CB" w:rsidP="004E62CB" w:rsidRDefault="00FF5A09" w14:paraId="770A91FC" w14:textId="144FE775">
      <w:pPr>
        <w:autoSpaceDN/>
        <w:spacing w:line="259" w:lineRule="auto"/>
        <w:textAlignment w:val="auto"/>
      </w:pPr>
      <w:r>
        <w:t>Ook een wetswijziging kan niet</w:t>
      </w:r>
      <w:r w:rsidR="000271E2">
        <w:t xml:space="preserve"> voorkomen dat </w:t>
      </w:r>
      <w:r w:rsidRPr="001433C3" w:rsidR="000271E2">
        <w:t>nabestaanden in een gerechtelijke procedure worden verwikkeld</w:t>
      </w:r>
      <w:r w:rsidRPr="001433C3" w:rsidR="004E62CB">
        <w:t>, al dan niet op eigen initiatief</w:t>
      </w:r>
      <w:r w:rsidR="000271E2">
        <w:t>.</w:t>
      </w:r>
      <w:r w:rsidRPr="001433C3" w:rsidR="004E62CB">
        <w:t xml:space="preserve"> </w:t>
      </w:r>
      <w:r w:rsidR="000271E2">
        <w:t>E</w:t>
      </w:r>
      <w:r w:rsidRPr="001433C3" w:rsidR="004E62CB">
        <w:t xml:space="preserve">en </w:t>
      </w:r>
      <w:r w:rsidR="000271E2">
        <w:t xml:space="preserve">wettelijke </w:t>
      </w:r>
      <w:r w:rsidRPr="001433C3" w:rsidR="004E62CB">
        <w:t xml:space="preserve">regeling waarbij bijvoorbeeld </w:t>
      </w:r>
      <w:r w:rsidR="004E62CB">
        <w:t>tbs</w:t>
      </w:r>
      <w:r w:rsidRPr="001433C3" w:rsidR="004E62CB">
        <w:t xml:space="preserve"> in beginsel leidt tot onwaardigheid</w:t>
      </w:r>
      <w:r w:rsidR="000262D2">
        <w:t>,</w:t>
      </w:r>
      <w:r w:rsidRPr="001433C3" w:rsidR="004E62CB">
        <w:t xml:space="preserve"> kan </w:t>
      </w:r>
      <w:r w:rsidR="004E62CB">
        <w:t xml:space="preserve">namelijk </w:t>
      </w:r>
      <w:r w:rsidRPr="001433C3" w:rsidR="004E62CB">
        <w:t xml:space="preserve">niet verhinderen dat </w:t>
      </w:r>
      <w:r>
        <w:t>een van de betrokken partijen het</w:t>
      </w:r>
      <w:r w:rsidRPr="001433C3" w:rsidR="004E62CB">
        <w:t xml:space="preserve"> uiteindelijke oordeel of </w:t>
      </w:r>
      <w:r>
        <w:t xml:space="preserve">in dat geval </w:t>
      </w:r>
      <w:r w:rsidRPr="001433C3" w:rsidR="004E62CB">
        <w:t>sprake is van onwaardigheid tot erven aan een rechter voorleg</w:t>
      </w:r>
      <w:r>
        <w:t>t. De weg naar de rechter kan immers op voorhand nooit worden uitgesloten. Hierdoor kan het voorkomen dat</w:t>
      </w:r>
      <w:r w:rsidRPr="001433C3" w:rsidR="004E62CB">
        <w:t xml:space="preserve"> de </w:t>
      </w:r>
      <w:r w:rsidR="004E62CB">
        <w:t xml:space="preserve">onwaardige </w:t>
      </w:r>
      <w:r w:rsidRPr="001433C3" w:rsidR="004E62CB">
        <w:t xml:space="preserve">erfgenaam aan wie </w:t>
      </w:r>
      <w:r w:rsidR="004E62CB">
        <w:t>tbs</w:t>
      </w:r>
      <w:r w:rsidRPr="001433C3" w:rsidR="004E62CB">
        <w:t xml:space="preserve"> is opgelegd</w:t>
      </w:r>
      <w:r>
        <w:t>, de rechter vraagt in zijn geval te beoordelen of hij vanwege zijn bijzondere omstandigheden toch aanspraak kan maken op de nalatenschap</w:t>
      </w:r>
      <w:r w:rsidRPr="001433C3" w:rsidR="004E62CB">
        <w:t xml:space="preserve">. Daarbij zal ook altijd behoefte blijven </w:t>
      </w:r>
      <w:r w:rsidR="004E62CB">
        <w:t xml:space="preserve">bestaan </w:t>
      </w:r>
      <w:r w:rsidRPr="001433C3" w:rsidR="004E62CB">
        <w:t xml:space="preserve">aan het vangnet van de redelijkheid en billijkheid. De diversiteit van gevallen waarin </w:t>
      </w:r>
      <w:r w:rsidR="004E62CB">
        <w:t>tbs</w:t>
      </w:r>
      <w:r w:rsidRPr="001433C3" w:rsidR="004E62CB">
        <w:t xml:space="preserve"> kan worden opgelegd en de verscheidenheid aan psychische stoornissen en omstandigheden die daarbij kunnen spelen, </w:t>
      </w:r>
      <w:r w:rsidR="004E62CB">
        <w:t>leiden ertoe</w:t>
      </w:r>
      <w:r w:rsidRPr="001433C3" w:rsidR="004E62CB">
        <w:t xml:space="preserve"> dat het stellen van een absolute regel niet </w:t>
      </w:r>
      <w:r w:rsidR="004E62CB">
        <w:t xml:space="preserve">goed </w:t>
      </w:r>
      <w:r w:rsidRPr="001433C3" w:rsidR="004E62CB">
        <w:t>mogelijk is</w:t>
      </w:r>
      <w:r w:rsidR="004E62CB">
        <w:t>.</w:t>
      </w:r>
      <w:r w:rsidRPr="001433C3" w:rsidR="004E62CB">
        <w:t xml:space="preserve"> </w:t>
      </w:r>
      <w:r>
        <w:t>E</w:t>
      </w:r>
      <w:r w:rsidR="004E62CB">
        <w:t xml:space="preserve">en regel die in alle voorkomende gevallen automatisch leidt tot een rechtvaardige uitkomst is niet mogelijk. </w:t>
      </w:r>
      <w:r w:rsidRPr="00752ADE" w:rsidR="004E62CB">
        <w:t xml:space="preserve">In het licht van de jurisprudentie van de Hoge Raad is er mijns inziens geen noodzaak om voor de onwaardigheid tot erven na oplegging van tbs tot wetswijziging over te gaan. De Hoge Raad heeft immers uitdrukkelijk bepaald dat een rechter in voorkomende gevallen ook met het bestaande wettelijk kader tot het oordeel kan komen dat de dader die enkel tbs krijgt opgelegd geen aanspraak kan maken op de nalatenschap van het slachtoffer. </w:t>
      </w:r>
      <w:r w:rsidRPr="00752ADE" w:rsidR="00F02C4C">
        <w:t>Het EHRM deed hetzelfde voor het geval er sprake is van zelfdoding van de dader voordat tot een veroordeling heeft kunnen komen.</w:t>
      </w:r>
      <w:r w:rsidRPr="00752ADE" w:rsidR="00F02C4C">
        <w:rPr>
          <w:rStyle w:val="Voetnootmarkering"/>
        </w:rPr>
        <w:footnoteReference w:id="5"/>
      </w:r>
    </w:p>
    <w:p w:rsidRPr="00752ADE" w:rsidR="004E62CB" w:rsidP="007279C0" w:rsidRDefault="004E62CB" w14:paraId="0D634B7F" w14:textId="77777777">
      <w:pPr>
        <w:autoSpaceDN/>
        <w:spacing w:line="259" w:lineRule="auto"/>
        <w:textAlignment w:val="auto"/>
      </w:pPr>
    </w:p>
    <w:p w:rsidRPr="00752ADE" w:rsidR="00B84EA6" w:rsidP="000B47C6" w:rsidRDefault="00F94A01" w14:paraId="7B0B2247" w14:textId="19CCBD75">
      <w:pPr>
        <w:autoSpaceDN/>
        <w:spacing w:line="259" w:lineRule="auto"/>
        <w:textAlignment w:val="auto"/>
      </w:pPr>
      <w:r w:rsidRPr="00752ADE">
        <w:t>E</w:t>
      </w:r>
      <w:r w:rsidRPr="00752ADE" w:rsidR="0073757F">
        <w:t xml:space="preserve">en wetswijziging </w:t>
      </w:r>
      <w:r w:rsidRPr="00752ADE">
        <w:t xml:space="preserve">acht ik </w:t>
      </w:r>
      <w:r w:rsidRPr="00752ADE" w:rsidR="00A52B6E">
        <w:t>daarom</w:t>
      </w:r>
      <w:r w:rsidRPr="00752ADE">
        <w:t xml:space="preserve"> </w:t>
      </w:r>
      <w:r w:rsidRPr="00752ADE" w:rsidR="0073757F">
        <w:t>niet opportuun</w:t>
      </w:r>
      <w:r w:rsidRPr="00752ADE">
        <w:t xml:space="preserve">, zoals </w:t>
      </w:r>
      <w:r w:rsidRPr="00752ADE" w:rsidR="00A52B6E">
        <w:t xml:space="preserve">ook mijn </w:t>
      </w:r>
      <w:r w:rsidRPr="00752ADE" w:rsidR="000B47C6">
        <w:t>ambts</w:t>
      </w:r>
      <w:r w:rsidRPr="00752ADE" w:rsidR="00A52B6E">
        <w:t>voorganger</w:t>
      </w:r>
      <w:r w:rsidRPr="00752ADE">
        <w:t xml:space="preserve"> eerder dit jaar aan uw Kamer heeft </w:t>
      </w:r>
      <w:r w:rsidRPr="00752ADE" w:rsidR="00AE3F9B">
        <w:t>laten weten</w:t>
      </w:r>
      <w:r w:rsidRPr="00752ADE" w:rsidR="0073757F">
        <w:t>.</w:t>
      </w:r>
      <w:r w:rsidRPr="00752ADE" w:rsidR="0073757F">
        <w:rPr>
          <w:rStyle w:val="Voetnootmarkering"/>
        </w:rPr>
        <w:footnoteReference w:id="6"/>
      </w:r>
      <w:r w:rsidRPr="00752ADE" w:rsidR="001433C3">
        <w:t xml:space="preserve"> </w:t>
      </w:r>
      <w:r w:rsidRPr="00752ADE" w:rsidR="00FF5A09">
        <w:t xml:space="preserve">Ik realiseer mij dat dit niet tegemoet komt aan het immense verdriet en de wensen van nabestaanden die een dierbare hebben verloren door femicide. En tegelijkertijd kan een wetswijziging niet leiden tot het gewenste resultaat. </w:t>
      </w:r>
    </w:p>
    <w:p w:rsidRPr="00752ADE" w:rsidR="000B47C6" w:rsidP="000B47C6" w:rsidRDefault="000B47C6" w14:paraId="0B8CDCE0" w14:textId="77777777">
      <w:pPr>
        <w:autoSpaceDN/>
        <w:spacing w:line="259" w:lineRule="auto"/>
        <w:textAlignment w:val="auto"/>
        <w:rPr>
          <w:b/>
          <w:bCs/>
        </w:rPr>
      </w:pPr>
    </w:p>
    <w:p w:rsidRPr="00752ADE" w:rsidR="004844CE" w:rsidP="004844CE" w:rsidRDefault="004844CE" w14:paraId="1296522C" w14:textId="5008C219">
      <w:pPr>
        <w:autoSpaceDN/>
        <w:spacing w:line="259" w:lineRule="auto"/>
        <w:textAlignment w:val="auto"/>
        <w:rPr>
          <w:b/>
          <w:bCs/>
        </w:rPr>
      </w:pPr>
      <w:r w:rsidRPr="00752ADE">
        <w:rPr>
          <w:b/>
          <w:bCs/>
        </w:rPr>
        <w:t>Vraag 5</w:t>
      </w:r>
    </w:p>
    <w:p w:rsidRPr="00752ADE" w:rsidR="004844CE" w:rsidP="004844CE" w:rsidRDefault="004844CE" w14:paraId="231744CB" w14:textId="77777777">
      <w:pPr>
        <w:rPr>
          <w:b/>
          <w:bCs/>
        </w:rPr>
      </w:pPr>
      <w:r w:rsidRPr="00752ADE">
        <w:rPr>
          <w:b/>
          <w:bCs/>
        </w:rPr>
        <w:t>Hoe vaak is het de afgelopen tien jaar voorgekomen dat een persoon die betrokken was bij femicide aanspraak heeft gemaakt op een erfenis of een levensverzekering, ook in gevallen waarin geen strafrechtelijke veroordeling heeft plaatsgevonden? Indien daar geen gegevens over beschikbaar zijn, bent u dan bereid om te onderzoeken in hoeveel gevallen dit zich heeft voorgedaan?</w:t>
      </w:r>
    </w:p>
    <w:p w:rsidRPr="00752ADE" w:rsidR="004844CE" w:rsidP="004844CE" w:rsidRDefault="004844CE" w14:paraId="2BDB1F21" w14:textId="03039196">
      <w:pPr>
        <w:autoSpaceDN/>
        <w:spacing w:line="259" w:lineRule="auto"/>
        <w:textAlignment w:val="auto"/>
        <w:rPr>
          <w:b/>
          <w:bCs/>
        </w:rPr>
      </w:pPr>
    </w:p>
    <w:p w:rsidR="00752ADE" w:rsidP="004844CE" w:rsidRDefault="00752ADE" w14:paraId="4A849760" w14:textId="77777777">
      <w:pPr>
        <w:autoSpaceDN/>
        <w:spacing w:line="259" w:lineRule="auto"/>
        <w:textAlignment w:val="auto"/>
        <w:rPr>
          <w:b/>
          <w:bCs/>
        </w:rPr>
      </w:pPr>
    </w:p>
    <w:p w:rsidR="00752ADE" w:rsidP="004844CE" w:rsidRDefault="00752ADE" w14:paraId="10309E9F" w14:textId="77777777">
      <w:pPr>
        <w:autoSpaceDN/>
        <w:spacing w:line="259" w:lineRule="auto"/>
        <w:textAlignment w:val="auto"/>
        <w:rPr>
          <w:b/>
          <w:bCs/>
        </w:rPr>
      </w:pPr>
    </w:p>
    <w:p w:rsidR="00752ADE" w:rsidP="004844CE" w:rsidRDefault="00752ADE" w14:paraId="638FA84B" w14:textId="77777777">
      <w:pPr>
        <w:autoSpaceDN/>
        <w:spacing w:line="259" w:lineRule="auto"/>
        <w:textAlignment w:val="auto"/>
        <w:rPr>
          <w:b/>
          <w:bCs/>
        </w:rPr>
      </w:pPr>
    </w:p>
    <w:p w:rsidR="00752ADE" w:rsidP="004844CE" w:rsidRDefault="00752ADE" w14:paraId="18EAE238" w14:textId="77777777">
      <w:pPr>
        <w:autoSpaceDN/>
        <w:spacing w:line="259" w:lineRule="auto"/>
        <w:textAlignment w:val="auto"/>
        <w:rPr>
          <w:b/>
          <w:bCs/>
        </w:rPr>
      </w:pPr>
    </w:p>
    <w:p w:rsidRPr="00752ADE" w:rsidR="004844CE" w:rsidP="004844CE" w:rsidRDefault="004844CE" w14:paraId="1045F0DC" w14:textId="19381E30">
      <w:pPr>
        <w:autoSpaceDN/>
        <w:spacing w:line="259" w:lineRule="auto"/>
        <w:textAlignment w:val="auto"/>
        <w:rPr>
          <w:b/>
          <w:bCs/>
        </w:rPr>
      </w:pPr>
      <w:r w:rsidRPr="00752ADE">
        <w:rPr>
          <w:b/>
          <w:bCs/>
        </w:rPr>
        <w:t>Antwoord op vraag 5</w:t>
      </w:r>
    </w:p>
    <w:p w:rsidRPr="00752ADE" w:rsidR="007279C0" w:rsidP="007279C0" w:rsidRDefault="007279C0" w14:paraId="245FB5F6" w14:textId="75C2BD15">
      <w:pPr>
        <w:spacing w:line="240" w:lineRule="auto"/>
        <w:rPr>
          <w:rFonts w:eastAsia="Aptos" w:cs="Aptos"/>
        </w:rPr>
      </w:pPr>
      <w:r w:rsidRPr="00752ADE">
        <w:rPr>
          <w:rFonts w:eastAsia="Aptos" w:cs="Aptos"/>
        </w:rPr>
        <w:t xml:space="preserve">Er </w:t>
      </w:r>
      <w:r w:rsidRPr="00752ADE" w:rsidR="00967E2E">
        <w:rPr>
          <w:rFonts w:eastAsia="Aptos" w:cs="Aptos"/>
        </w:rPr>
        <w:t>zijn</w:t>
      </w:r>
      <w:r w:rsidRPr="00752ADE">
        <w:rPr>
          <w:rFonts w:eastAsia="Aptos" w:cs="Aptos"/>
        </w:rPr>
        <w:t xml:space="preserve"> geen centraal verzamelde data beschikbaar over het aantal gevallen waarin personen betrokken bij doding </w:t>
      </w:r>
      <w:r w:rsidRPr="00752ADE" w:rsidR="00A517ED">
        <w:rPr>
          <w:rFonts w:eastAsia="Aptos" w:cs="Aptos"/>
        </w:rPr>
        <w:t xml:space="preserve">van een (ex-)partner of familielid </w:t>
      </w:r>
      <w:r w:rsidRPr="00752ADE">
        <w:rPr>
          <w:rFonts w:eastAsia="Aptos" w:cs="Aptos"/>
        </w:rPr>
        <w:t xml:space="preserve">aanspraak hebben gemaakt op een </w:t>
      </w:r>
      <w:r w:rsidRPr="00752ADE" w:rsidR="001416B1">
        <w:rPr>
          <w:rFonts w:eastAsia="Aptos" w:cs="Aptos"/>
        </w:rPr>
        <w:t xml:space="preserve">erfenis en/of </w:t>
      </w:r>
      <w:r w:rsidRPr="00752ADE">
        <w:rPr>
          <w:rFonts w:eastAsia="Aptos" w:cs="Aptos"/>
        </w:rPr>
        <w:t xml:space="preserve">levensverzekering. </w:t>
      </w:r>
      <w:bookmarkStart w:name="_Hlk208230412" w:id="4"/>
      <w:r w:rsidRPr="00752ADE">
        <w:rPr>
          <w:rFonts w:eastAsia="Aptos" w:cs="Aptos"/>
        </w:rPr>
        <w:t xml:space="preserve">Individuele verzekeraars hebben bij het Verbond van Verzekeraars desgevraagd aangegeven dat het </w:t>
      </w:r>
      <w:r w:rsidRPr="00752ADE" w:rsidR="00A517ED">
        <w:rPr>
          <w:rFonts w:eastAsia="Aptos" w:cs="Aptos"/>
        </w:rPr>
        <w:t xml:space="preserve">waarschijnlijk </w:t>
      </w:r>
      <w:r w:rsidRPr="00752ADE">
        <w:rPr>
          <w:rFonts w:eastAsia="Aptos" w:cs="Aptos"/>
        </w:rPr>
        <w:t xml:space="preserve">om zeer uitzonderlijke situaties gaat, naar schatting </w:t>
      </w:r>
      <w:r w:rsidRPr="00752ADE" w:rsidR="00A52B6E">
        <w:rPr>
          <w:rFonts w:eastAsia="Aptos" w:cs="Aptos"/>
        </w:rPr>
        <w:t xml:space="preserve">van het Verbond </w:t>
      </w:r>
      <w:r w:rsidRPr="00752ADE">
        <w:rPr>
          <w:rFonts w:eastAsia="Aptos" w:cs="Aptos"/>
        </w:rPr>
        <w:t xml:space="preserve">gaat het per maatschappij om één keer in de vijf jaar.  </w:t>
      </w:r>
      <w:bookmarkEnd w:id="4"/>
    </w:p>
    <w:p w:rsidRPr="00752ADE" w:rsidR="007279C0" w:rsidP="007279C0" w:rsidRDefault="0011569A" w14:paraId="1FC3DE8D" w14:textId="3CCC6995">
      <w:pPr>
        <w:spacing w:line="240" w:lineRule="auto"/>
        <w:rPr>
          <w:rFonts w:eastAsia="Aptos" w:cs="Aptos"/>
        </w:rPr>
      </w:pPr>
      <w:r w:rsidRPr="00752ADE">
        <w:rPr>
          <w:rFonts w:eastAsia="Aptos" w:cs="Aptos"/>
        </w:rPr>
        <w:t>Bij l</w:t>
      </w:r>
      <w:r w:rsidRPr="00752ADE" w:rsidR="007279C0">
        <w:rPr>
          <w:rFonts w:eastAsia="Aptos" w:cs="Aptos"/>
        </w:rPr>
        <w:t xml:space="preserve">evensverzekeringen </w:t>
      </w:r>
      <w:r w:rsidRPr="00752ADE">
        <w:rPr>
          <w:rFonts w:eastAsia="Aptos" w:cs="Aptos"/>
        </w:rPr>
        <w:t>gaat het om</w:t>
      </w:r>
      <w:r w:rsidRPr="00752ADE" w:rsidR="007279C0">
        <w:rPr>
          <w:rFonts w:eastAsia="Aptos" w:cs="Aptos"/>
        </w:rPr>
        <w:t xml:space="preserve"> contractuele aanspraken waarbij, </w:t>
      </w:r>
      <w:r w:rsidRPr="00752ADE" w:rsidR="00D40A6E">
        <w:rPr>
          <w:rFonts w:eastAsia="Aptos" w:cs="Aptos"/>
        </w:rPr>
        <w:t>zonder</w:t>
      </w:r>
      <w:r w:rsidRPr="00752ADE" w:rsidR="007279C0">
        <w:rPr>
          <w:rFonts w:eastAsia="Aptos" w:cs="Aptos"/>
        </w:rPr>
        <w:t xml:space="preserve"> een strafrechtelijke veroordeling of concrete aanwijzingen van negatieve betrokkenheid, wordt uitgekeerd aan de in de polis genoemde begunstigde. De verzekeraar is dan verplicht uitvoering te geven aan de verzekeringsovereenkomst.</w:t>
      </w:r>
    </w:p>
    <w:p w:rsidRPr="00752ADE" w:rsidR="007279C0" w:rsidP="00967E2E" w:rsidRDefault="007279C0" w14:paraId="18D7A849" w14:textId="57377392">
      <w:pPr>
        <w:spacing w:line="240" w:lineRule="auto"/>
        <w:rPr>
          <w:color w:val="FF0000"/>
        </w:rPr>
      </w:pPr>
      <w:r w:rsidRPr="00752ADE">
        <w:rPr>
          <w:rFonts w:eastAsia="Aptos" w:cs="Aptos"/>
        </w:rPr>
        <w:t>Als voorafgaand aan de uitkering signalen bij de verzekeraar bekend zijn dat de begunstigde in negatieve zin betrokken is bij het overlijden van de verzekerde, zal dit gevolgen hebben voor de afhandeling van de verzekeringsclaim</w:t>
      </w:r>
      <w:r w:rsidRPr="00752ADE" w:rsidR="00D40A6E">
        <w:rPr>
          <w:rFonts w:eastAsia="Aptos" w:cs="Aptos"/>
        </w:rPr>
        <w:t xml:space="preserve">, </w:t>
      </w:r>
      <w:r w:rsidRPr="00752ADE">
        <w:rPr>
          <w:rFonts w:eastAsia="Aptos" w:cs="Aptos"/>
        </w:rPr>
        <w:t xml:space="preserve">in overeenstemming met de toepasselijke polisvoorwaarden. Verzekeraars zullen altijd onderzoeken of een claim moet worden toegekend of niet. </w:t>
      </w:r>
    </w:p>
    <w:p w:rsidRPr="00752ADE" w:rsidR="008C723E" w:rsidP="004844CE" w:rsidRDefault="008C723E" w14:paraId="6AFBE697" w14:textId="77777777">
      <w:pPr>
        <w:autoSpaceDN/>
        <w:spacing w:line="259" w:lineRule="auto"/>
        <w:textAlignment w:val="auto"/>
        <w:rPr>
          <w:b/>
          <w:bCs/>
        </w:rPr>
      </w:pPr>
    </w:p>
    <w:p w:rsidRPr="00752ADE" w:rsidR="004844CE" w:rsidP="004844CE" w:rsidRDefault="004844CE" w14:paraId="649FD4A2" w14:textId="170D0EC2">
      <w:pPr>
        <w:autoSpaceDN/>
        <w:spacing w:line="259" w:lineRule="auto"/>
        <w:textAlignment w:val="auto"/>
        <w:rPr>
          <w:b/>
          <w:bCs/>
        </w:rPr>
      </w:pPr>
      <w:r w:rsidRPr="00752ADE">
        <w:rPr>
          <w:b/>
          <w:bCs/>
        </w:rPr>
        <w:t>Vraag 6</w:t>
      </w:r>
    </w:p>
    <w:p w:rsidRPr="00752ADE" w:rsidR="004844CE" w:rsidP="004844CE" w:rsidRDefault="004844CE" w14:paraId="62AD322D" w14:textId="676A92BF">
      <w:pPr>
        <w:rPr>
          <w:b/>
          <w:bCs/>
        </w:rPr>
      </w:pPr>
      <w:r w:rsidRPr="00752ADE">
        <w:rPr>
          <w:b/>
          <w:bCs/>
        </w:rPr>
        <w:t>Klopt het dat ook levensverzekeringen, bijvoorbeeld gekoppeld aan een gezamenlijke hypotheek, doorgaans zonder aanvullende toetsing worden uitgekeerd aan de langstlevende partner of diens erfgenamen, zelfs als die partner betrokken is bij femicide?</w:t>
      </w:r>
    </w:p>
    <w:p w:rsidRPr="00752ADE" w:rsidR="004844CE" w:rsidP="004844CE" w:rsidRDefault="004844CE" w14:paraId="296AD4B2" w14:textId="77777777">
      <w:pPr>
        <w:autoSpaceDN/>
        <w:spacing w:line="259" w:lineRule="auto"/>
        <w:textAlignment w:val="auto"/>
      </w:pPr>
    </w:p>
    <w:p w:rsidRPr="00752ADE" w:rsidR="004844CE" w:rsidP="004844CE" w:rsidRDefault="004844CE" w14:paraId="026E7D2C" w14:textId="77777777">
      <w:pPr>
        <w:autoSpaceDN/>
        <w:spacing w:line="259" w:lineRule="auto"/>
        <w:textAlignment w:val="auto"/>
        <w:rPr>
          <w:b/>
          <w:bCs/>
        </w:rPr>
      </w:pPr>
      <w:r w:rsidRPr="00752ADE">
        <w:rPr>
          <w:b/>
          <w:bCs/>
        </w:rPr>
        <w:t>Antwoord op vraag 6</w:t>
      </w:r>
    </w:p>
    <w:p w:rsidRPr="00752ADE" w:rsidR="007279C0" w:rsidP="007279C0" w:rsidRDefault="007279C0" w14:paraId="2BC0E59B" w14:textId="77777777">
      <w:pPr>
        <w:spacing w:line="240" w:lineRule="auto"/>
        <w:rPr>
          <w:rFonts w:eastAsia="Aptos" w:cs="Aptos"/>
        </w:rPr>
      </w:pPr>
      <w:r w:rsidRPr="00752ADE">
        <w:rPr>
          <w:rFonts w:eastAsia="Aptos" w:cs="Aptos"/>
        </w:rPr>
        <w:t>Nee, levensverzekeraars keren uit aan de begunstigde zoals vermeld in de polis, maar gaan daarbij niet over tot automatische uitkering zonder toetsing. Voorafgaand aan een uitkering voert de verzekeraar een beoordeling uit van de claim aan de hand van de polis. Er moet worden vastgesteld of aan de voorwaarden is voldaan om tot uitkering over te gaan.</w:t>
      </w:r>
    </w:p>
    <w:p w:rsidRPr="00752ADE" w:rsidR="007279C0" w:rsidP="007279C0" w:rsidRDefault="007279C0" w14:paraId="22353A96" w14:textId="77777777">
      <w:pPr>
        <w:spacing w:line="240" w:lineRule="auto"/>
        <w:rPr>
          <w:rFonts w:eastAsia="Aptos" w:cs="Aptos"/>
        </w:rPr>
      </w:pPr>
    </w:p>
    <w:p w:rsidRPr="00752ADE" w:rsidR="007279C0" w:rsidP="007279C0" w:rsidRDefault="007279C0" w14:paraId="6F1546B5" w14:textId="36ACC282">
      <w:pPr>
        <w:spacing w:line="240" w:lineRule="auto"/>
        <w:rPr>
          <w:rFonts w:eastAsia="Aptos" w:cs="Aptos"/>
        </w:rPr>
      </w:pPr>
      <w:r w:rsidRPr="00752ADE">
        <w:rPr>
          <w:rFonts w:eastAsia="Aptos" w:cs="Aptos"/>
        </w:rPr>
        <w:t xml:space="preserve">Daarbij gaat de verzekeraar uit van eigen onderzoek, </w:t>
      </w:r>
      <w:r w:rsidRPr="00752ADE" w:rsidR="00C34A2E">
        <w:rPr>
          <w:rFonts w:eastAsia="Aptos" w:cs="Aptos"/>
        </w:rPr>
        <w:t>h</w:t>
      </w:r>
      <w:r w:rsidRPr="00752ADE">
        <w:rPr>
          <w:rFonts w:eastAsia="Aptos" w:cs="Aptos"/>
        </w:rPr>
        <w:t xml:space="preserve">ij heeft immers geen toegang tot opsporings- of justitiegegevens. Zonder aanwijzingen van een mogelijk misdrijf of negatieve betrokkenheid van de begunstigde, is er voor de verzekeraar geen grondslag om de uitkering op te schorten. Het is bovendien onwenselijk om het uitkeren van levensverzekeringen lichtvaardig op te schorten. </w:t>
      </w:r>
      <w:r w:rsidRPr="00752ADE" w:rsidDel="0001059F">
        <w:rPr>
          <w:rFonts w:eastAsia="Aptos" w:cs="Aptos"/>
        </w:rPr>
        <w:t xml:space="preserve">Een levensverzekering biedt in veel gevallen essentiële bestaanszekerheid aan nabestaanden, bijvoorbeeld voor het kunnen blijven wonen in de gezamenlijke woning of het opvangen van inkomensverlies. </w:t>
      </w:r>
    </w:p>
    <w:p w:rsidRPr="00752ADE" w:rsidR="007279C0" w:rsidP="00967E2E" w:rsidRDefault="007279C0" w14:paraId="687D58B4" w14:textId="0A4C6AD4">
      <w:pPr>
        <w:spacing w:line="240" w:lineRule="auto"/>
        <w:rPr>
          <w:color w:val="FF0000"/>
        </w:rPr>
      </w:pPr>
      <w:r w:rsidRPr="00752ADE">
        <w:rPr>
          <w:rFonts w:eastAsia="Aptos" w:cs="Aptos"/>
        </w:rPr>
        <w:t xml:space="preserve">Opschorting van de uitkering kan juist in deze kwetsbare periode grote financiële en emotionele onzekerheid veroorzaken. Het is daarom van belang </w:t>
      </w:r>
      <w:r w:rsidRPr="00752ADE" w:rsidR="00FA7964">
        <w:rPr>
          <w:rFonts w:eastAsia="Aptos" w:cs="Aptos"/>
        </w:rPr>
        <w:t>dat verzekeraars zorgvuldig en proportioneel omgaan met deze bevoegdheid uit de verzekeringsovereenkomst waardoor</w:t>
      </w:r>
      <w:r w:rsidRPr="00752ADE">
        <w:rPr>
          <w:rFonts w:eastAsia="Aptos" w:cs="Aptos"/>
        </w:rPr>
        <w:t xml:space="preserve"> opschorting alleen plaatsvindt wanneer er sprake is van duidelijke, onderbouwde vermoedens van negatieve betrokkenheid van de begunstigde bij het overlijden van de verzekerde. </w:t>
      </w:r>
    </w:p>
    <w:p w:rsidRPr="00752ADE" w:rsidR="004844CE" w:rsidP="004844CE" w:rsidRDefault="004844CE" w14:paraId="553B62F5" w14:textId="77777777">
      <w:pPr>
        <w:autoSpaceDN/>
        <w:spacing w:line="259" w:lineRule="auto"/>
        <w:ind w:left="360"/>
        <w:textAlignment w:val="auto"/>
      </w:pPr>
    </w:p>
    <w:p w:rsidRPr="00752ADE" w:rsidR="004844CE" w:rsidP="004844CE" w:rsidRDefault="004844CE" w14:paraId="62502BD1" w14:textId="77777777">
      <w:pPr>
        <w:autoSpaceDN/>
        <w:spacing w:line="259" w:lineRule="auto"/>
        <w:textAlignment w:val="auto"/>
        <w:rPr>
          <w:b/>
          <w:bCs/>
        </w:rPr>
      </w:pPr>
      <w:r w:rsidRPr="00752ADE">
        <w:rPr>
          <w:b/>
          <w:bCs/>
        </w:rPr>
        <w:t>Vraag 7</w:t>
      </w:r>
    </w:p>
    <w:p w:rsidRPr="00752ADE" w:rsidR="004844CE" w:rsidP="004844CE" w:rsidRDefault="004844CE" w14:paraId="5746AAD4" w14:textId="77777777">
      <w:pPr>
        <w:rPr>
          <w:b/>
          <w:bCs/>
        </w:rPr>
      </w:pPr>
      <w:r w:rsidRPr="00752ADE">
        <w:rPr>
          <w:b/>
          <w:bCs/>
        </w:rPr>
        <w:t>Deelt u de mening dat dit indruist tegen het rechtsgevoel en het beginsel dat misdaad niet mag lonen?</w:t>
      </w:r>
    </w:p>
    <w:p w:rsidRPr="00752ADE" w:rsidR="004844CE" w:rsidP="004844CE" w:rsidRDefault="004844CE" w14:paraId="7F23090B" w14:textId="77777777">
      <w:pPr>
        <w:autoSpaceDN/>
        <w:spacing w:line="259" w:lineRule="auto"/>
        <w:textAlignment w:val="auto"/>
      </w:pPr>
    </w:p>
    <w:p w:rsidR="00752ADE" w:rsidP="004844CE" w:rsidRDefault="00752ADE" w14:paraId="2C1D4499" w14:textId="77777777">
      <w:pPr>
        <w:autoSpaceDN/>
        <w:spacing w:line="259" w:lineRule="auto"/>
        <w:textAlignment w:val="auto"/>
        <w:rPr>
          <w:b/>
          <w:bCs/>
        </w:rPr>
      </w:pPr>
    </w:p>
    <w:p w:rsidR="00752ADE" w:rsidP="004844CE" w:rsidRDefault="00752ADE" w14:paraId="3F4DC17F" w14:textId="77777777">
      <w:pPr>
        <w:autoSpaceDN/>
        <w:spacing w:line="259" w:lineRule="auto"/>
        <w:textAlignment w:val="auto"/>
        <w:rPr>
          <w:b/>
          <w:bCs/>
        </w:rPr>
      </w:pPr>
    </w:p>
    <w:p w:rsidR="00752ADE" w:rsidP="004844CE" w:rsidRDefault="00752ADE" w14:paraId="496C28E0" w14:textId="77777777">
      <w:pPr>
        <w:autoSpaceDN/>
        <w:spacing w:line="259" w:lineRule="auto"/>
        <w:textAlignment w:val="auto"/>
        <w:rPr>
          <w:b/>
          <w:bCs/>
        </w:rPr>
      </w:pPr>
    </w:p>
    <w:p w:rsidR="00752ADE" w:rsidP="004844CE" w:rsidRDefault="00752ADE" w14:paraId="35B79D1F" w14:textId="77777777">
      <w:pPr>
        <w:autoSpaceDN/>
        <w:spacing w:line="259" w:lineRule="auto"/>
        <w:textAlignment w:val="auto"/>
        <w:rPr>
          <w:b/>
          <w:bCs/>
        </w:rPr>
      </w:pPr>
    </w:p>
    <w:p w:rsidR="00752ADE" w:rsidP="004844CE" w:rsidRDefault="00752ADE" w14:paraId="64AA4989" w14:textId="77777777">
      <w:pPr>
        <w:autoSpaceDN/>
        <w:spacing w:line="259" w:lineRule="auto"/>
        <w:textAlignment w:val="auto"/>
        <w:rPr>
          <w:b/>
          <w:bCs/>
        </w:rPr>
      </w:pPr>
    </w:p>
    <w:p w:rsidR="00752ADE" w:rsidP="004844CE" w:rsidRDefault="00752ADE" w14:paraId="248A719A" w14:textId="77777777">
      <w:pPr>
        <w:autoSpaceDN/>
        <w:spacing w:line="259" w:lineRule="auto"/>
        <w:textAlignment w:val="auto"/>
        <w:rPr>
          <w:b/>
          <w:bCs/>
        </w:rPr>
      </w:pPr>
    </w:p>
    <w:p w:rsidRPr="00752ADE" w:rsidR="004844CE" w:rsidP="004844CE" w:rsidRDefault="004844CE" w14:paraId="3DCB41A9" w14:textId="73D3EF26">
      <w:pPr>
        <w:autoSpaceDN/>
        <w:spacing w:line="259" w:lineRule="auto"/>
        <w:textAlignment w:val="auto"/>
        <w:rPr>
          <w:b/>
          <w:bCs/>
        </w:rPr>
      </w:pPr>
      <w:r w:rsidRPr="00752ADE">
        <w:rPr>
          <w:b/>
          <w:bCs/>
        </w:rPr>
        <w:t>Antwoord op vraag 7</w:t>
      </w:r>
    </w:p>
    <w:p w:rsidRPr="00752ADE" w:rsidR="007279C0" w:rsidP="00967E2E" w:rsidRDefault="007279C0" w14:paraId="16E751F2" w14:textId="7A2A3BEF">
      <w:pPr>
        <w:spacing w:line="240" w:lineRule="auto"/>
        <w:rPr>
          <w:color w:val="FF0000"/>
        </w:rPr>
      </w:pPr>
      <w:r w:rsidRPr="00752ADE">
        <w:rPr>
          <w:rFonts w:eastAsia="Aptos" w:cs="Aptos"/>
        </w:rPr>
        <w:t xml:space="preserve">Het </w:t>
      </w:r>
      <w:r w:rsidRPr="00752ADE" w:rsidR="00AF76A3">
        <w:rPr>
          <w:rFonts w:eastAsia="Aptos" w:cs="Aptos"/>
        </w:rPr>
        <w:t>beginsel</w:t>
      </w:r>
      <w:r w:rsidRPr="00752ADE">
        <w:rPr>
          <w:rFonts w:eastAsia="Aptos" w:cs="Aptos"/>
        </w:rPr>
        <w:t xml:space="preserve"> dat misdaad niet mag lonen is verankerd in het Nederlandse recht en ook opgenomen in de uitgangspunten van de verzekeringssector. Eén van de kernprincipes bij levensverzekeringen is het verbod op voordeel uit eigen misdrijf. Dit beginsel </w:t>
      </w:r>
      <w:r w:rsidRPr="00752ADE" w:rsidR="00861C61">
        <w:rPr>
          <w:rFonts w:eastAsia="Aptos" w:cs="Aptos"/>
        </w:rPr>
        <w:t xml:space="preserve">wordt standaard </w:t>
      </w:r>
      <w:r w:rsidRPr="00752ADE">
        <w:rPr>
          <w:rFonts w:eastAsia="Aptos" w:cs="Aptos"/>
        </w:rPr>
        <w:t>opgenomen in de polisvoorwaarden. Als bij de afhandeling van de claim komt vast te staan dat de begunstigde verantwoordelijk is voor het overlijden van de verzekerde, dan is uitkering aan deze begunstigde over het algemeen contractueel uitgesloten.  </w:t>
      </w:r>
    </w:p>
    <w:p w:rsidRPr="00752ADE" w:rsidR="004844CE" w:rsidP="004844CE" w:rsidRDefault="004844CE" w14:paraId="26A55FBB" w14:textId="77777777">
      <w:pPr>
        <w:autoSpaceDN/>
        <w:spacing w:line="259" w:lineRule="auto"/>
        <w:textAlignment w:val="auto"/>
        <w:rPr>
          <w:b/>
          <w:bCs/>
        </w:rPr>
      </w:pPr>
    </w:p>
    <w:p w:rsidRPr="00752ADE" w:rsidR="004844CE" w:rsidP="00752ADE" w:rsidRDefault="004844CE" w14:paraId="31566014" w14:textId="000A53C4">
      <w:pPr>
        <w:spacing w:line="240" w:lineRule="auto"/>
        <w:rPr>
          <w:b/>
          <w:bCs/>
        </w:rPr>
      </w:pPr>
      <w:r w:rsidRPr="00752ADE">
        <w:rPr>
          <w:b/>
          <w:bCs/>
        </w:rPr>
        <w:t>Vraag 8</w:t>
      </w:r>
    </w:p>
    <w:p w:rsidRPr="00752ADE" w:rsidR="004844CE" w:rsidP="004844CE" w:rsidRDefault="004844CE" w14:paraId="7A6D6EC7" w14:textId="77777777">
      <w:pPr>
        <w:rPr>
          <w:b/>
          <w:bCs/>
        </w:rPr>
      </w:pPr>
      <w:r w:rsidRPr="00752ADE">
        <w:rPr>
          <w:b/>
          <w:bCs/>
        </w:rPr>
        <w:t>Bent u bereid om samen met het Verbond van Verzekeraars te onderzoeken of in de voorwaarden van levensverzekeringen standaardbepalingen kunnen worden opgenomen waarbij uitkering wordt opgeschort of geblokkeerd bij vermoedens van betrokkenheid van de begunstigde bij het overlijden?</w:t>
      </w:r>
    </w:p>
    <w:p w:rsidRPr="00752ADE" w:rsidR="004844CE" w:rsidP="004844CE" w:rsidRDefault="004844CE" w14:paraId="59B09C42" w14:textId="6254ED38">
      <w:pPr>
        <w:autoSpaceDN/>
        <w:spacing w:line="259" w:lineRule="auto"/>
        <w:textAlignment w:val="auto"/>
        <w:rPr>
          <w:b/>
          <w:bCs/>
        </w:rPr>
      </w:pPr>
    </w:p>
    <w:p w:rsidRPr="00752ADE" w:rsidR="004844CE" w:rsidP="004844CE" w:rsidRDefault="004844CE" w14:paraId="047E922C" w14:textId="77777777">
      <w:pPr>
        <w:autoSpaceDN/>
        <w:spacing w:line="259" w:lineRule="auto"/>
        <w:textAlignment w:val="auto"/>
        <w:rPr>
          <w:b/>
          <w:bCs/>
        </w:rPr>
      </w:pPr>
      <w:r w:rsidRPr="00752ADE">
        <w:rPr>
          <w:b/>
          <w:bCs/>
        </w:rPr>
        <w:t>Antwoord op vraag 8</w:t>
      </w:r>
    </w:p>
    <w:p w:rsidRPr="00752ADE" w:rsidR="007279C0" w:rsidP="007279C0" w:rsidRDefault="007279C0" w14:paraId="419D9BC1" w14:textId="6B7D984F">
      <w:pPr>
        <w:spacing w:line="240" w:lineRule="auto"/>
        <w:rPr>
          <w:rFonts w:eastAsia="Aptos" w:cs="Aptos"/>
        </w:rPr>
      </w:pPr>
      <w:r w:rsidRPr="00752ADE">
        <w:rPr>
          <w:rFonts w:eastAsia="Aptos" w:cs="Aptos"/>
        </w:rPr>
        <w:t xml:space="preserve">Verzekeraars zijn zich bewust van </w:t>
      </w:r>
      <w:r w:rsidRPr="00752ADE" w:rsidR="00861C61">
        <w:rPr>
          <w:rFonts w:eastAsia="Aptos" w:cs="Aptos"/>
        </w:rPr>
        <w:t>deze problematiek</w:t>
      </w:r>
      <w:r w:rsidRPr="00752ADE">
        <w:rPr>
          <w:rFonts w:eastAsia="Aptos" w:cs="Aptos"/>
        </w:rPr>
        <w:t xml:space="preserve"> en hebben daar in hun polisvoorwaarden in voorzien. Formulering van de contractuele voorwaarden </w:t>
      </w:r>
      <w:r w:rsidRPr="00752ADE" w:rsidR="00967E2E">
        <w:rPr>
          <w:rFonts w:eastAsia="Aptos" w:cs="Aptos"/>
        </w:rPr>
        <w:t>-</w:t>
      </w:r>
      <w:r w:rsidRPr="00752ADE">
        <w:rPr>
          <w:rFonts w:eastAsia="Aptos" w:cs="Aptos"/>
        </w:rPr>
        <w:t xml:space="preserve"> waaronder de regels wanneer niet wordt uitgekeerd</w:t>
      </w:r>
      <w:r w:rsidRPr="00752ADE" w:rsidR="00861C61">
        <w:rPr>
          <w:rFonts w:eastAsia="Aptos" w:cs="Aptos"/>
        </w:rPr>
        <w:t xml:space="preserve"> </w:t>
      </w:r>
      <w:r w:rsidRPr="00752ADE">
        <w:rPr>
          <w:rFonts w:eastAsia="Aptos" w:cs="Aptos"/>
        </w:rPr>
        <w:t xml:space="preserve">- is in principe voorbehouden aan de verzekeraars zelf. Standaardbepalingen over het uitsluiten van uitkering bij misdrijven bestaan dus al, deze zijn </w:t>
      </w:r>
      <w:r w:rsidRPr="00752ADE" w:rsidR="0011569A">
        <w:rPr>
          <w:rFonts w:eastAsia="Aptos" w:cs="Aptos"/>
        </w:rPr>
        <w:t xml:space="preserve">alleen </w:t>
      </w:r>
      <w:r w:rsidRPr="00752ADE">
        <w:rPr>
          <w:rFonts w:eastAsia="Aptos" w:cs="Aptos"/>
        </w:rPr>
        <w:t xml:space="preserve">niet uniform vastgelegd in de branche. </w:t>
      </w:r>
    </w:p>
    <w:p w:rsidRPr="00752ADE" w:rsidR="004844CE" w:rsidP="00967E2E" w:rsidRDefault="007279C0" w14:paraId="6E2C7A5B" w14:textId="199D3A85">
      <w:pPr>
        <w:spacing w:line="240" w:lineRule="auto"/>
      </w:pPr>
      <w:r w:rsidRPr="00752ADE">
        <w:rPr>
          <w:rFonts w:eastAsia="Aptos" w:cs="Aptos"/>
        </w:rPr>
        <w:t>In polisvoorwaarden is opgenomen dat de begunstigde geen recht heeft op uitkering indien deze betrokken is bij een misdrijf waarbij de verzekerde is overleden. Ook is opgenomen dat bij vermoedens van betrokkenheid de verzekeraar de uitkering kan opschorten, totdat meer duidelijkheid bestaat.</w:t>
      </w:r>
      <w:r w:rsidRPr="00752ADE" w:rsidR="004D1FB7">
        <w:rPr>
          <w:rFonts w:eastAsia="Aptos" w:cs="Aptos"/>
        </w:rPr>
        <w:t xml:space="preserve"> Dergelijke voorwaarden worden in de praktijk derhalve al opgenomen en het opstellen van dergelijke voorwaarden is in principe ook voorbehouden aan de verzekeraars zelf.  </w:t>
      </w:r>
      <w:r w:rsidRPr="00752ADE">
        <w:rPr>
          <w:rFonts w:eastAsia="Aptos" w:cs="Aptos"/>
        </w:rPr>
        <w:t xml:space="preserve"> </w:t>
      </w:r>
    </w:p>
    <w:p w:rsidRPr="00752ADE" w:rsidR="004844CE" w:rsidP="004844CE" w:rsidRDefault="004844CE" w14:paraId="431C7DD6" w14:textId="77777777">
      <w:pPr>
        <w:autoSpaceDN/>
        <w:spacing w:line="259" w:lineRule="auto"/>
        <w:textAlignment w:val="auto"/>
        <w:rPr>
          <w:b/>
          <w:bCs/>
        </w:rPr>
      </w:pPr>
    </w:p>
    <w:p w:rsidRPr="00752ADE" w:rsidR="004844CE" w:rsidP="004844CE" w:rsidRDefault="004844CE" w14:paraId="7CE79367" w14:textId="6758AEBA">
      <w:pPr>
        <w:autoSpaceDN/>
        <w:spacing w:line="259" w:lineRule="auto"/>
        <w:textAlignment w:val="auto"/>
        <w:rPr>
          <w:b/>
          <w:bCs/>
        </w:rPr>
      </w:pPr>
      <w:r w:rsidRPr="00752ADE">
        <w:rPr>
          <w:b/>
          <w:bCs/>
        </w:rPr>
        <w:t>Vraag 10</w:t>
      </w:r>
    </w:p>
    <w:p w:rsidRPr="00752ADE" w:rsidR="004844CE" w:rsidP="004844CE" w:rsidRDefault="004844CE" w14:paraId="74ED3DDC" w14:textId="77777777">
      <w:pPr>
        <w:rPr>
          <w:b/>
          <w:bCs/>
        </w:rPr>
      </w:pPr>
      <w:r w:rsidRPr="00752ADE">
        <w:rPr>
          <w:b/>
          <w:bCs/>
        </w:rPr>
        <w:t xml:space="preserve">Wilt u deze vragen voor </w:t>
      </w:r>
      <w:bookmarkStart w:name="_Hlk207795093" w:id="5"/>
      <w:r w:rsidRPr="00752ADE">
        <w:rPr>
          <w:b/>
          <w:bCs/>
        </w:rPr>
        <w:t xml:space="preserve">het notaoverleg over de initiatiefnota van het lid </w:t>
      </w:r>
      <w:proofErr w:type="spellStart"/>
      <w:r w:rsidRPr="00752ADE">
        <w:rPr>
          <w:b/>
          <w:bCs/>
        </w:rPr>
        <w:t>Mutluer</w:t>
      </w:r>
      <w:proofErr w:type="spellEnd"/>
      <w:r w:rsidRPr="00752ADE">
        <w:rPr>
          <w:b/>
          <w:bCs/>
        </w:rPr>
        <w:t xml:space="preserve"> </w:t>
      </w:r>
      <w:bookmarkEnd w:id="5"/>
      <w:r w:rsidRPr="00752ADE">
        <w:rPr>
          <w:b/>
          <w:bCs/>
        </w:rPr>
        <w:t>op 22 september 2025 beantwoorden?</w:t>
      </w:r>
    </w:p>
    <w:p w:rsidRPr="00752ADE" w:rsidR="00360503" w:rsidRDefault="00360503" w14:paraId="0337CD16" w14:textId="77777777">
      <w:pPr>
        <w:rPr>
          <w:b/>
          <w:bCs/>
        </w:rPr>
      </w:pPr>
    </w:p>
    <w:p w:rsidRPr="00752ADE" w:rsidR="004844CE" w:rsidRDefault="004844CE" w14:paraId="74B09296" w14:textId="76B287D9">
      <w:pPr>
        <w:rPr>
          <w:b/>
          <w:bCs/>
        </w:rPr>
      </w:pPr>
      <w:r w:rsidRPr="00752ADE">
        <w:rPr>
          <w:b/>
          <w:bCs/>
        </w:rPr>
        <w:t>Antwoord op vraag 10</w:t>
      </w:r>
    </w:p>
    <w:p w:rsidRPr="004844CE" w:rsidR="004844CE" w:rsidRDefault="004844CE" w14:paraId="41816C36" w14:textId="74C37505">
      <w:r w:rsidRPr="00752ADE">
        <w:t>Met deze beantwoording ben ik aan dit verzoek tegemoet gekomen.</w:t>
      </w:r>
    </w:p>
    <w:sectPr w:rsidRPr="004844CE" w:rsidR="004844CE">
      <w:headerReference w:type="even" r:id="rId9"/>
      <w:headerReference w:type="default" r:id="rId10"/>
      <w:footerReference w:type="even" r:id="rId11"/>
      <w:footerReference w:type="default" r:id="rId12"/>
      <w:headerReference w:type="first" r:id="rId13"/>
      <w:footerReference w:type="first" r:id="rId14"/>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210EFA" w14:textId="77777777" w:rsidR="00664225" w:rsidRDefault="00664225">
      <w:pPr>
        <w:spacing w:line="240" w:lineRule="auto"/>
      </w:pPr>
      <w:r>
        <w:separator/>
      </w:r>
    </w:p>
  </w:endnote>
  <w:endnote w:type="continuationSeparator" w:id="0">
    <w:p w14:paraId="623065C3" w14:textId="77777777" w:rsidR="00664225" w:rsidRDefault="0066422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altName w:val="Cambria"/>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B064D" w14:textId="77777777" w:rsidR="00752ADE" w:rsidRDefault="00752AD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71175" w14:textId="77777777" w:rsidR="00360503" w:rsidRDefault="00360503">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AE795" w14:textId="77777777" w:rsidR="00752ADE" w:rsidRDefault="00752AD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72EB9B" w14:textId="77777777" w:rsidR="00664225" w:rsidRDefault="00664225">
      <w:pPr>
        <w:spacing w:line="240" w:lineRule="auto"/>
      </w:pPr>
      <w:r>
        <w:separator/>
      </w:r>
    </w:p>
  </w:footnote>
  <w:footnote w:type="continuationSeparator" w:id="0">
    <w:p w14:paraId="152FF25E" w14:textId="77777777" w:rsidR="00664225" w:rsidRDefault="00664225">
      <w:pPr>
        <w:spacing w:line="240" w:lineRule="auto"/>
      </w:pPr>
      <w:r>
        <w:continuationSeparator/>
      </w:r>
    </w:p>
  </w:footnote>
  <w:footnote w:id="1">
    <w:p w14:paraId="3BE659FD" w14:textId="1CD48E93" w:rsidR="004844CE" w:rsidRPr="004844CE" w:rsidRDefault="004844CE">
      <w:pPr>
        <w:pStyle w:val="Voetnoottekst"/>
        <w:rPr>
          <w:sz w:val="16"/>
          <w:szCs w:val="16"/>
        </w:rPr>
      </w:pPr>
      <w:r>
        <w:rPr>
          <w:rStyle w:val="Voetnootmarkering"/>
        </w:rPr>
        <w:footnoteRef/>
      </w:r>
      <w:r>
        <w:t xml:space="preserve"> </w:t>
      </w:r>
      <w:r w:rsidRPr="004844CE">
        <w:rPr>
          <w:sz w:val="16"/>
          <w:szCs w:val="16"/>
        </w:rPr>
        <w:t>AD, 5 juli 2025, Als man zijn vrouw doodt en daar rijker van blijkt te worden: ‘Misdaad mag niet lonen’ (www.ad.nl/binnenland/als-man-zijn-vrouw-doodt-en-daar-rijker-van-blijkt-te-worden-misdaad-mag-niet-lonen~a3221d60/?cb=500ecf5e-e15b-4aa6-8b9d-5f569d57d6a1&amp;auth_rd=1).</w:t>
      </w:r>
    </w:p>
  </w:footnote>
  <w:footnote w:id="2">
    <w:p w14:paraId="39518C6E" w14:textId="5BF285B0" w:rsidR="0099191B" w:rsidRPr="006F7A27" w:rsidRDefault="0099191B">
      <w:pPr>
        <w:pStyle w:val="Voetnoottekst"/>
        <w:rPr>
          <w:sz w:val="16"/>
          <w:szCs w:val="16"/>
        </w:rPr>
      </w:pPr>
      <w:r>
        <w:rPr>
          <w:rStyle w:val="Voetnootmarkering"/>
        </w:rPr>
        <w:footnoteRef/>
      </w:r>
      <w:r>
        <w:t xml:space="preserve"> </w:t>
      </w:r>
      <w:r w:rsidRPr="006F7A27">
        <w:rPr>
          <w:sz w:val="16"/>
          <w:szCs w:val="16"/>
        </w:rPr>
        <w:t xml:space="preserve">Zie </w:t>
      </w:r>
      <w:r w:rsidR="00004588">
        <w:rPr>
          <w:sz w:val="16"/>
          <w:szCs w:val="16"/>
        </w:rPr>
        <w:t xml:space="preserve">bijv. Gerechtshof Den Haag 27 augustus 2008, </w:t>
      </w:r>
      <w:bookmarkStart w:id="1" w:name="_Hlk207796410"/>
      <w:r w:rsidR="00004588" w:rsidRPr="006F7A27">
        <w:rPr>
          <w:sz w:val="16"/>
          <w:szCs w:val="16"/>
        </w:rPr>
        <w:t>ECLI:GHDHA:2025:1720</w:t>
      </w:r>
      <w:bookmarkEnd w:id="1"/>
      <w:r w:rsidRPr="006F7A27">
        <w:rPr>
          <w:sz w:val="16"/>
          <w:szCs w:val="16"/>
        </w:rPr>
        <w:t xml:space="preserve"> waarin een strafrechtelijke veroordeling </w:t>
      </w:r>
      <w:r w:rsidR="00C714F5">
        <w:rPr>
          <w:sz w:val="16"/>
          <w:szCs w:val="16"/>
        </w:rPr>
        <w:t>é</w:t>
      </w:r>
      <w:r w:rsidRPr="006F7A27">
        <w:rPr>
          <w:sz w:val="16"/>
          <w:szCs w:val="16"/>
        </w:rPr>
        <w:t>n tbs is opgelegd waarbij expliciet is overwogen dat er sprake is van femicide.</w:t>
      </w:r>
    </w:p>
  </w:footnote>
  <w:footnote w:id="3">
    <w:p w14:paraId="6B1E14C3" w14:textId="5B548ADD" w:rsidR="002F2D97" w:rsidRDefault="002F2D97">
      <w:pPr>
        <w:pStyle w:val="Voetnoottekst"/>
      </w:pPr>
      <w:r>
        <w:rPr>
          <w:rStyle w:val="Voetnootmarkering"/>
        </w:rPr>
        <w:footnoteRef/>
      </w:r>
      <w:r>
        <w:t xml:space="preserve"> </w:t>
      </w:r>
      <w:r w:rsidRPr="00F02932">
        <w:rPr>
          <w:sz w:val="16"/>
          <w:szCs w:val="16"/>
        </w:rPr>
        <w:t>HR 6 december 2024, ECLI:NL:HR:2024:1797</w:t>
      </w:r>
      <w:r>
        <w:rPr>
          <w:sz w:val="16"/>
          <w:szCs w:val="16"/>
        </w:rPr>
        <w:t xml:space="preserve">, r.o. </w:t>
      </w:r>
      <w:r w:rsidR="00C25F48">
        <w:rPr>
          <w:sz w:val="16"/>
          <w:szCs w:val="16"/>
        </w:rPr>
        <w:t>3.5-</w:t>
      </w:r>
      <w:r>
        <w:rPr>
          <w:sz w:val="16"/>
          <w:szCs w:val="16"/>
        </w:rPr>
        <w:t>3.7.</w:t>
      </w:r>
    </w:p>
  </w:footnote>
  <w:footnote w:id="4">
    <w:p w14:paraId="69C9F51D" w14:textId="783063BD" w:rsidR="000340C7" w:rsidRPr="000340C7" w:rsidRDefault="000340C7">
      <w:pPr>
        <w:pStyle w:val="Voetnoottekst"/>
        <w:rPr>
          <w:sz w:val="16"/>
          <w:szCs w:val="16"/>
        </w:rPr>
      </w:pPr>
      <w:r w:rsidRPr="000340C7">
        <w:rPr>
          <w:rStyle w:val="Voetnootmarkering"/>
          <w:sz w:val="16"/>
          <w:szCs w:val="16"/>
        </w:rPr>
        <w:footnoteRef/>
      </w:r>
      <w:r w:rsidRPr="000340C7">
        <w:rPr>
          <w:sz w:val="16"/>
          <w:szCs w:val="16"/>
        </w:rPr>
        <w:t xml:space="preserve"> Bij de beantwoording van deze vragen beperk ik mij niet tot femicide, maar heb ik het</w:t>
      </w:r>
      <w:r>
        <w:rPr>
          <w:sz w:val="16"/>
          <w:szCs w:val="16"/>
        </w:rPr>
        <w:t xml:space="preserve"> - in bredere zin -</w:t>
      </w:r>
      <w:r w:rsidRPr="000340C7">
        <w:rPr>
          <w:sz w:val="16"/>
          <w:szCs w:val="16"/>
        </w:rPr>
        <w:t xml:space="preserve"> over partnermoord </w:t>
      </w:r>
      <w:r w:rsidR="00712972">
        <w:rPr>
          <w:sz w:val="16"/>
          <w:szCs w:val="16"/>
        </w:rPr>
        <w:t xml:space="preserve">Ter bevordering van de leesbaarheid heb ik het in de beantwoording van deze vraag over hij (dader) en zij (slachtoffer). </w:t>
      </w:r>
    </w:p>
  </w:footnote>
  <w:footnote w:id="5">
    <w:p w14:paraId="5A46B720" w14:textId="689A1B91" w:rsidR="00F02C4C" w:rsidRPr="00394590" w:rsidRDefault="00F02C4C">
      <w:pPr>
        <w:pStyle w:val="Voetnoottekst"/>
        <w:rPr>
          <w:sz w:val="16"/>
          <w:szCs w:val="16"/>
        </w:rPr>
      </w:pPr>
      <w:r w:rsidRPr="00394590">
        <w:rPr>
          <w:rStyle w:val="Voetnootmarkering"/>
          <w:sz w:val="16"/>
          <w:szCs w:val="16"/>
        </w:rPr>
        <w:footnoteRef/>
      </w:r>
      <w:r w:rsidRPr="00394590">
        <w:rPr>
          <w:sz w:val="16"/>
          <w:szCs w:val="16"/>
        </w:rPr>
        <w:t xml:space="preserve"> EHRM 1 december 2009, ECLI:NL::XX:2009:BL6889, NJ 2010/206 (Velcea &amp; Mazăre t. Roemenië).</w:t>
      </w:r>
    </w:p>
  </w:footnote>
  <w:footnote w:id="6">
    <w:p w14:paraId="3EEB3E92" w14:textId="671918C9" w:rsidR="0073757F" w:rsidRPr="001433C3" w:rsidRDefault="0073757F">
      <w:pPr>
        <w:pStyle w:val="Voetnoottekst"/>
        <w:rPr>
          <w:sz w:val="16"/>
          <w:szCs w:val="16"/>
        </w:rPr>
      </w:pPr>
      <w:r w:rsidRPr="001433C3">
        <w:rPr>
          <w:rStyle w:val="Voetnootmarkering"/>
          <w:sz w:val="16"/>
          <w:szCs w:val="16"/>
        </w:rPr>
        <w:footnoteRef/>
      </w:r>
      <w:r w:rsidRPr="001433C3">
        <w:rPr>
          <w:sz w:val="16"/>
          <w:szCs w:val="16"/>
        </w:rPr>
        <w:t xml:space="preserve"> </w:t>
      </w:r>
      <w:bookmarkStart w:id="3" w:name="_Hlk207788524"/>
      <w:r w:rsidR="00C714F5">
        <w:rPr>
          <w:i/>
          <w:iCs/>
          <w:sz w:val="16"/>
          <w:szCs w:val="16"/>
        </w:rPr>
        <w:t xml:space="preserve">Kamerstukken II </w:t>
      </w:r>
      <w:r w:rsidRPr="001433C3">
        <w:rPr>
          <w:sz w:val="16"/>
          <w:szCs w:val="16"/>
        </w:rPr>
        <w:t>2024</w:t>
      </w:r>
      <w:r w:rsidR="00C714F5">
        <w:rPr>
          <w:sz w:val="16"/>
          <w:szCs w:val="16"/>
        </w:rPr>
        <w:t>/</w:t>
      </w:r>
      <w:r w:rsidRPr="001433C3">
        <w:rPr>
          <w:sz w:val="16"/>
          <w:szCs w:val="16"/>
        </w:rPr>
        <w:t>25, 29279,</w:t>
      </w:r>
      <w:r w:rsidR="00997F3B">
        <w:rPr>
          <w:sz w:val="16"/>
          <w:szCs w:val="16"/>
        </w:rPr>
        <w:t xml:space="preserve"> 33836, 33552,</w:t>
      </w:r>
      <w:r w:rsidRPr="001433C3">
        <w:rPr>
          <w:sz w:val="16"/>
          <w:szCs w:val="16"/>
        </w:rPr>
        <w:t xml:space="preserve"> nr. 928.</w:t>
      </w:r>
      <w:bookmarkEnd w:id="3"/>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A8E81" w14:textId="77777777" w:rsidR="00752ADE" w:rsidRDefault="00752AD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8B636" w14:textId="77777777" w:rsidR="00360503" w:rsidRDefault="00A0578D">
    <w:r>
      <w:rPr>
        <w:noProof/>
      </w:rPr>
      <mc:AlternateContent>
        <mc:Choice Requires="wps">
          <w:drawing>
            <wp:anchor distT="0" distB="0" distL="0" distR="0" simplePos="0" relativeHeight="251652608" behindDoc="0" locked="1" layoutInCell="1" allowOverlap="1" wp14:anchorId="20A8868B" wp14:editId="7C3E4015">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76597934" w14:textId="77777777" w:rsidR="00360503" w:rsidRDefault="00A0578D">
                          <w:pPr>
                            <w:pStyle w:val="Referentiegegevensbold"/>
                          </w:pPr>
                          <w:r>
                            <w:t>Cluster secretaris-generaal</w:t>
                          </w:r>
                        </w:p>
                        <w:p w14:paraId="618BA6C4" w14:textId="77777777" w:rsidR="00360503" w:rsidRDefault="00A0578D">
                          <w:pPr>
                            <w:pStyle w:val="Referentiegegevens"/>
                          </w:pPr>
                          <w:r>
                            <w:t>Directie Wetgeving en Juridische Zaken</w:t>
                          </w:r>
                        </w:p>
                        <w:p w14:paraId="4589962D" w14:textId="77777777" w:rsidR="00360503" w:rsidRDefault="00A0578D">
                          <w:pPr>
                            <w:pStyle w:val="Referentiegegevens"/>
                          </w:pPr>
                          <w:r>
                            <w:t>Privaatrecht</w:t>
                          </w:r>
                        </w:p>
                        <w:p w14:paraId="4A53288B" w14:textId="77777777" w:rsidR="00360503" w:rsidRDefault="00360503">
                          <w:pPr>
                            <w:pStyle w:val="WitregelW2"/>
                          </w:pPr>
                        </w:p>
                        <w:p w14:paraId="7347416C" w14:textId="77777777" w:rsidR="00360503" w:rsidRDefault="00A0578D">
                          <w:pPr>
                            <w:pStyle w:val="Referentiegegevensbold"/>
                          </w:pPr>
                          <w:r>
                            <w:t>Datum</w:t>
                          </w:r>
                        </w:p>
                        <w:p w14:paraId="0FA5BFC7" w14:textId="0E921A52" w:rsidR="00360503" w:rsidRDefault="00664225">
                          <w:pPr>
                            <w:pStyle w:val="Referentiegegevens"/>
                          </w:pPr>
                          <w:sdt>
                            <w:sdtPr>
                              <w:id w:val="183168428"/>
                              <w:date w:fullDate="2025-09-19T00:00:00Z">
                                <w:dateFormat w:val="d MMMM yyyy"/>
                                <w:lid w:val="nl"/>
                                <w:storeMappedDataAs w:val="dateTime"/>
                                <w:calendar w:val="gregorian"/>
                              </w:date>
                            </w:sdtPr>
                            <w:sdtEndPr/>
                            <w:sdtContent>
                              <w:r w:rsidR="00B4714D">
                                <w:rPr>
                                  <w:lang w:val="nl"/>
                                </w:rPr>
                                <w:t>19 september 2025</w:t>
                              </w:r>
                            </w:sdtContent>
                          </w:sdt>
                        </w:p>
                        <w:p w14:paraId="64BAEC5D" w14:textId="77777777" w:rsidR="00360503" w:rsidRDefault="00360503">
                          <w:pPr>
                            <w:pStyle w:val="WitregelW1"/>
                          </w:pPr>
                        </w:p>
                        <w:p w14:paraId="720A9907" w14:textId="77777777" w:rsidR="00360503" w:rsidRDefault="00A0578D">
                          <w:pPr>
                            <w:pStyle w:val="Referentiegegevensbold"/>
                          </w:pPr>
                          <w:r>
                            <w:t>Onze referentie</w:t>
                          </w:r>
                        </w:p>
                        <w:p w14:paraId="1B9D9B4E" w14:textId="77777777" w:rsidR="00360503" w:rsidRDefault="00A0578D">
                          <w:pPr>
                            <w:pStyle w:val="Referentiegegevens"/>
                          </w:pPr>
                          <w:r>
                            <w:t>6718097</w:t>
                          </w:r>
                        </w:p>
                      </w:txbxContent>
                    </wps:txbx>
                    <wps:bodyPr vert="horz" wrap="square" lIns="0" tIns="0" rIns="0" bIns="0" anchor="t" anchorCtr="0"/>
                  </wps:wsp>
                </a:graphicData>
              </a:graphic>
            </wp:anchor>
          </w:drawing>
        </mc:Choice>
        <mc:Fallback>
          <w:pict>
            <v:shapetype w14:anchorId="20A8868B"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76597934" w14:textId="77777777" w:rsidR="00360503" w:rsidRDefault="00A0578D">
                    <w:pPr>
                      <w:pStyle w:val="Referentiegegevensbold"/>
                    </w:pPr>
                    <w:r>
                      <w:t>Cluster secretaris-generaal</w:t>
                    </w:r>
                  </w:p>
                  <w:p w14:paraId="618BA6C4" w14:textId="77777777" w:rsidR="00360503" w:rsidRDefault="00A0578D">
                    <w:pPr>
                      <w:pStyle w:val="Referentiegegevens"/>
                    </w:pPr>
                    <w:r>
                      <w:t>Directie Wetgeving en Juridische Zaken</w:t>
                    </w:r>
                  </w:p>
                  <w:p w14:paraId="4589962D" w14:textId="77777777" w:rsidR="00360503" w:rsidRDefault="00A0578D">
                    <w:pPr>
                      <w:pStyle w:val="Referentiegegevens"/>
                    </w:pPr>
                    <w:r>
                      <w:t>Privaatrecht</w:t>
                    </w:r>
                  </w:p>
                  <w:p w14:paraId="4A53288B" w14:textId="77777777" w:rsidR="00360503" w:rsidRDefault="00360503">
                    <w:pPr>
                      <w:pStyle w:val="WitregelW2"/>
                    </w:pPr>
                  </w:p>
                  <w:p w14:paraId="7347416C" w14:textId="77777777" w:rsidR="00360503" w:rsidRDefault="00A0578D">
                    <w:pPr>
                      <w:pStyle w:val="Referentiegegevensbold"/>
                    </w:pPr>
                    <w:r>
                      <w:t>Datum</w:t>
                    </w:r>
                  </w:p>
                  <w:p w14:paraId="0FA5BFC7" w14:textId="0E921A52" w:rsidR="00360503" w:rsidRDefault="00664225">
                    <w:pPr>
                      <w:pStyle w:val="Referentiegegevens"/>
                    </w:pPr>
                    <w:sdt>
                      <w:sdtPr>
                        <w:id w:val="183168428"/>
                        <w:date w:fullDate="2025-09-19T00:00:00Z">
                          <w:dateFormat w:val="d MMMM yyyy"/>
                          <w:lid w:val="nl"/>
                          <w:storeMappedDataAs w:val="dateTime"/>
                          <w:calendar w:val="gregorian"/>
                        </w:date>
                      </w:sdtPr>
                      <w:sdtEndPr/>
                      <w:sdtContent>
                        <w:r w:rsidR="00B4714D">
                          <w:rPr>
                            <w:lang w:val="nl"/>
                          </w:rPr>
                          <w:t>19 september 2025</w:t>
                        </w:r>
                      </w:sdtContent>
                    </w:sdt>
                  </w:p>
                  <w:p w14:paraId="64BAEC5D" w14:textId="77777777" w:rsidR="00360503" w:rsidRDefault="00360503">
                    <w:pPr>
                      <w:pStyle w:val="WitregelW1"/>
                    </w:pPr>
                  </w:p>
                  <w:p w14:paraId="720A9907" w14:textId="77777777" w:rsidR="00360503" w:rsidRDefault="00A0578D">
                    <w:pPr>
                      <w:pStyle w:val="Referentiegegevensbold"/>
                    </w:pPr>
                    <w:r>
                      <w:t>Onze referentie</w:t>
                    </w:r>
                  </w:p>
                  <w:p w14:paraId="1B9D9B4E" w14:textId="77777777" w:rsidR="00360503" w:rsidRDefault="00A0578D">
                    <w:pPr>
                      <w:pStyle w:val="Referentiegegevens"/>
                    </w:pPr>
                    <w:r>
                      <w:t>6718097</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7B2D71AB" wp14:editId="196E99B2">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41DEDC1D" w14:textId="77777777" w:rsidR="00A0578D" w:rsidRDefault="00A0578D"/>
                      </w:txbxContent>
                    </wps:txbx>
                    <wps:bodyPr vert="horz" wrap="square" lIns="0" tIns="0" rIns="0" bIns="0" anchor="t" anchorCtr="0"/>
                  </wps:wsp>
                </a:graphicData>
              </a:graphic>
            </wp:anchor>
          </w:drawing>
        </mc:Choice>
        <mc:Fallback>
          <w:pict>
            <v:shape w14:anchorId="7B2D71AB"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41DEDC1D" w14:textId="77777777" w:rsidR="00A0578D" w:rsidRDefault="00A0578D"/>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430AFCC8" wp14:editId="17906A90">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60BD2B19" w14:textId="7B2660D6" w:rsidR="00360503" w:rsidRDefault="00A0578D">
                          <w:pPr>
                            <w:pStyle w:val="Referentiegegevens"/>
                          </w:pPr>
                          <w:r>
                            <w:t xml:space="preserve">Pagina </w:t>
                          </w:r>
                          <w:r>
                            <w:fldChar w:fldCharType="begin"/>
                          </w:r>
                          <w:r>
                            <w:instrText>PAGE</w:instrText>
                          </w:r>
                          <w:r>
                            <w:fldChar w:fldCharType="separate"/>
                          </w:r>
                          <w:r w:rsidR="005A3C7E">
                            <w:rPr>
                              <w:noProof/>
                            </w:rPr>
                            <w:t>2</w:t>
                          </w:r>
                          <w:r>
                            <w:fldChar w:fldCharType="end"/>
                          </w:r>
                          <w:r>
                            <w:t xml:space="preserve"> van </w:t>
                          </w:r>
                          <w:r>
                            <w:fldChar w:fldCharType="begin"/>
                          </w:r>
                          <w:r>
                            <w:instrText>NUMPAGES</w:instrText>
                          </w:r>
                          <w:r>
                            <w:fldChar w:fldCharType="separate"/>
                          </w:r>
                          <w:r w:rsidR="00F74836">
                            <w:rPr>
                              <w:noProof/>
                            </w:rPr>
                            <w:t>1</w:t>
                          </w:r>
                          <w:r>
                            <w:fldChar w:fldCharType="end"/>
                          </w:r>
                        </w:p>
                      </w:txbxContent>
                    </wps:txbx>
                    <wps:bodyPr vert="horz" wrap="square" lIns="0" tIns="0" rIns="0" bIns="0" anchor="t" anchorCtr="0"/>
                  </wps:wsp>
                </a:graphicData>
              </a:graphic>
            </wp:anchor>
          </w:drawing>
        </mc:Choice>
        <mc:Fallback>
          <w:pict>
            <v:shape w14:anchorId="430AFCC8"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60BD2B19" w14:textId="7B2660D6" w:rsidR="00360503" w:rsidRDefault="00A0578D">
                    <w:pPr>
                      <w:pStyle w:val="Referentiegegevens"/>
                    </w:pPr>
                    <w:r>
                      <w:t xml:space="preserve">Pagina </w:t>
                    </w:r>
                    <w:r>
                      <w:fldChar w:fldCharType="begin"/>
                    </w:r>
                    <w:r>
                      <w:instrText>PAGE</w:instrText>
                    </w:r>
                    <w:r>
                      <w:fldChar w:fldCharType="separate"/>
                    </w:r>
                    <w:r w:rsidR="005A3C7E">
                      <w:rPr>
                        <w:noProof/>
                      </w:rPr>
                      <w:t>2</w:t>
                    </w:r>
                    <w:r>
                      <w:fldChar w:fldCharType="end"/>
                    </w:r>
                    <w:r>
                      <w:t xml:space="preserve"> van </w:t>
                    </w:r>
                    <w:r>
                      <w:fldChar w:fldCharType="begin"/>
                    </w:r>
                    <w:r>
                      <w:instrText>NUMPAGES</w:instrText>
                    </w:r>
                    <w:r>
                      <w:fldChar w:fldCharType="separate"/>
                    </w:r>
                    <w:r w:rsidR="00F74836">
                      <w:rPr>
                        <w:noProof/>
                      </w:rP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BFE20" w14:textId="77777777" w:rsidR="00360503" w:rsidRDefault="00A0578D">
    <w:pPr>
      <w:spacing w:after="6377" w:line="14" w:lineRule="exact"/>
    </w:pPr>
    <w:r>
      <w:rPr>
        <w:noProof/>
      </w:rPr>
      <mc:AlternateContent>
        <mc:Choice Requires="wps">
          <w:drawing>
            <wp:anchor distT="0" distB="0" distL="0" distR="0" simplePos="0" relativeHeight="251655680" behindDoc="0" locked="1" layoutInCell="1" allowOverlap="1" wp14:anchorId="1A54CAFD" wp14:editId="41FC19FC">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26C820E8" w14:textId="77777777" w:rsidR="005A3C7E" w:rsidRDefault="00A0578D" w:rsidP="005A3C7E">
                          <w:r>
                            <w:t xml:space="preserve">Aan de </w:t>
                          </w:r>
                          <w:r w:rsidR="005A3C7E">
                            <w:t xml:space="preserve">Voorzitter van de Tweede Kamer </w:t>
                          </w:r>
                        </w:p>
                        <w:p w14:paraId="66A322D8" w14:textId="77777777" w:rsidR="005A3C7E" w:rsidRDefault="005A3C7E" w:rsidP="005A3C7E">
                          <w:r>
                            <w:t>der Staten-Generaal</w:t>
                          </w:r>
                        </w:p>
                        <w:p w14:paraId="1B7CAC03" w14:textId="77777777" w:rsidR="005A3C7E" w:rsidRDefault="005A3C7E" w:rsidP="005A3C7E">
                          <w:r>
                            <w:t xml:space="preserve">Postbus 20018 </w:t>
                          </w:r>
                        </w:p>
                        <w:p w14:paraId="18DFA604" w14:textId="77777777" w:rsidR="005A3C7E" w:rsidRDefault="005A3C7E" w:rsidP="005A3C7E">
                          <w:r>
                            <w:t>2500 EA  DEN HAAG</w:t>
                          </w:r>
                        </w:p>
                        <w:p w14:paraId="1D4BB986" w14:textId="56F0A066" w:rsidR="00360503" w:rsidRDefault="00360503"/>
                        <w:p w14:paraId="7D190BD7" w14:textId="77777777" w:rsidR="00360503" w:rsidRDefault="00A0578D">
                          <w:r>
                            <w:t xml:space="preserve"> </w:t>
                          </w:r>
                        </w:p>
                      </w:txbxContent>
                    </wps:txbx>
                    <wps:bodyPr vert="horz" wrap="square" lIns="0" tIns="0" rIns="0" bIns="0" anchor="t" anchorCtr="0"/>
                  </wps:wsp>
                </a:graphicData>
              </a:graphic>
            </wp:anchor>
          </w:drawing>
        </mc:Choice>
        <mc:Fallback>
          <w:pict>
            <v:shapetype w14:anchorId="1A54CAFD"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26C820E8" w14:textId="77777777" w:rsidR="005A3C7E" w:rsidRDefault="00A0578D" w:rsidP="005A3C7E">
                    <w:r>
                      <w:t xml:space="preserve">Aan de </w:t>
                    </w:r>
                    <w:r w:rsidR="005A3C7E">
                      <w:t xml:space="preserve">Voorzitter van de Tweede Kamer </w:t>
                    </w:r>
                  </w:p>
                  <w:p w14:paraId="66A322D8" w14:textId="77777777" w:rsidR="005A3C7E" w:rsidRDefault="005A3C7E" w:rsidP="005A3C7E">
                    <w:r>
                      <w:t>der Staten-Generaal</w:t>
                    </w:r>
                  </w:p>
                  <w:p w14:paraId="1B7CAC03" w14:textId="77777777" w:rsidR="005A3C7E" w:rsidRDefault="005A3C7E" w:rsidP="005A3C7E">
                    <w:r>
                      <w:t xml:space="preserve">Postbus 20018 </w:t>
                    </w:r>
                  </w:p>
                  <w:p w14:paraId="18DFA604" w14:textId="77777777" w:rsidR="005A3C7E" w:rsidRDefault="005A3C7E" w:rsidP="005A3C7E">
                    <w:r>
                      <w:t>2500 EA  DEN HAAG</w:t>
                    </w:r>
                  </w:p>
                  <w:p w14:paraId="1D4BB986" w14:textId="56F0A066" w:rsidR="00360503" w:rsidRDefault="00360503"/>
                  <w:p w14:paraId="7D190BD7" w14:textId="77777777" w:rsidR="00360503" w:rsidRDefault="00A0578D">
                    <w:r>
                      <w:t xml:space="preserve"> </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7F7DBCB9" wp14:editId="2B241D03">
              <wp:simplePos x="0" y="0"/>
              <wp:positionH relativeFrom="margin">
                <wp:align>right</wp:align>
              </wp:positionH>
              <wp:positionV relativeFrom="page">
                <wp:posOffset>3352800</wp:posOffset>
              </wp:positionV>
              <wp:extent cx="4787900" cy="55245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55245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360503" w14:paraId="3847CC76" w14:textId="77777777">
                            <w:trPr>
                              <w:trHeight w:val="240"/>
                            </w:trPr>
                            <w:tc>
                              <w:tcPr>
                                <w:tcW w:w="1140" w:type="dxa"/>
                              </w:tcPr>
                              <w:p w14:paraId="181AEC01" w14:textId="77777777" w:rsidR="00360503" w:rsidRDefault="00A0578D">
                                <w:r>
                                  <w:t>Datum</w:t>
                                </w:r>
                              </w:p>
                            </w:tc>
                            <w:tc>
                              <w:tcPr>
                                <w:tcW w:w="5918" w:type="dxa"/>
                              </w:tcPr>
                              <w:p w14:paraId="5BDC94DD" w14:textId="5D117054" w:rsidR="00360503" w:rsidRDefault="00B4714D">
                                <w:r>
                                  <w:t>19</w:t>
                                </w:r>
                                <w:r w:rsidR="00E81E59">
                                  <w:t xml:space="preserve"> september 2025 </w:t>
                                </w:r>
                              </w:p>
                            </w:tc>
                          </w:tr>
                          <w:tr w:rsidR="00360503" w14:paraId="57E9346D" w14:textId="77777777">
                            <w:trPr>
                              <w:trHeight w:val="240"/>
                            </w:trPr>
                            <w:tc>
                              <w:tcPr>
                                <w:tcW w:w="1140" w:type="dxa"/>
                              </w:tcPr>
                              <w:p w14:paraId="357B8D1B" w14:textId="77777777" w:rsidR="00360503" w:rsidRDefault="00A0578D">
                                <w:r>
                                  <w:t>Betreft</w:t>
                                </w:r>
                              </w:p>
                            </w:tc>
                            <w:tc>
                              <w:tcPr>
                                <w:tcW w:w="5918" w:type="dxa"/>
                              </w:tcPr>
                              <w:p w14:paraId="5FE10E29" w14:textId="5541FD60" w:rsidR="00360503" w:rsidRDefault="00A0578D">
                                <w:r>
                                  <w:t>Antwoorden Kamervragen over erfrecht, levensverzekeringen</w:t>
                                </w:r>
                                <w:r w:rsidR="00C46B8B">
                                  <w:t xml:space="preserve"> </w:t>
                                </w:r>
                                <w:r>
                                  <w:t>en femicide</w:t>
                                </w:r>
                              </w:p>
                            </w:tc>
                          </w:tr>
                        </w:tbl>
                        <w:p w14:paraId="288D2B44" w14:textId="77777777" w:rsidR="00A0578D" w:rsidRDefault="00A0578D"/>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7F7DBCB9" id="46feebd0-aa3c-11ea-a756-beb5f67e67be" o:spid="_x0000_s1030" type="#_x0000_t202" style="position:absolute;margin-left:325.8pt;margin-top:264pt;width:377pt;height:43.5pt;z-index:251656704;visibility:visible;mso-wrap-style:square;mso-height-percent:0;mso-wrap-distance-left:0;mso-wrap-distance-top:0;mso-wrap-distance-right:0;mso-wrap-distance-bottom:0;mso-position-horizontal:righ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360503" w14:paraId="3847CC76" w14:textId="77777777">
                      <w:trPr>
                        <w:trHeight w:val="240"/>
                      </w:trPr>
                      <w:tc>
                        <w:tcPr>
                          <w:tcW w:w="1140" w:type="dxa"/>
                        </w:tcPr>
                        <w:p w14:paraId="181AEC01" w14:textId="77777777" w:rsidR="00360503" w:rsidRDefault="00A0578D">
                          <w:r>
                            <w:t>Datum</w:t>
                          </w:r>
                        </w:p>
                      </w:tc>
                      <w:tc>
                        <w:tcPr>
                          <w:tcW w:w="5918" w:type="dxa"/>
                        </w:tcPr>
                        <w:p w14:paraId="5BDC94DD" w14:textId="5D117054" w:rsidR="00360503" w:rsidRDefault="00B4714D">
                          <w:r>
                            <w:t>19</w:t>
                          </w:r>
                          <w:r w:rsidR="00E81E59">
                            <w:t xml:space="preserve"> september 2025 </w:t>
                          </w:r>
                        </w:p>
                      </w:tc>
                    </w:tr>
                    <w:tr w:rsidR="00360503" w14:paraId="57E9346D" w14:textId="77777777">
                      <w:trPr>
                        <w:trHeight w:val="240"/>
                      </w:trPr>
                      <w:tc>
                        <w:tcPr>
                          <w:tcW w:w="1140" w:type="dxa"/>
                        </w:tcPr>
                        <w:p w14:paraId="357B8D1B" w14:textId="77777777" w:rsidR="00360503" w:rsidRDefault="00A0578D">
                          <w:r>
                            <w:t>Betreft</w:t>
                          </w:r>
                        </w:p>
                      </w:tc>
                      <w:tc>
                        <w:tcPr>
                          <w:tcW w:w="5918" w:type="dxa"/>
                        </w:tcPr>
                        <w:p w14:paraId="5FE10E29" w14:textId="5541FD60" w:rsidR="00360503" w:rsidRDefault="00A0578D">
                          <w:r>
                            <w:t>Antwoorden Kamervragen over erfrecht, levensverzekeringen</w:t>
                          </w:r>
                          <w:r w:rsidR="00C46B8B">
                            <w:t xml:space="preserve"> </w:t>
                          </w:r>
                          <w:r>
                            <w:t>en femicide</w:t>
                          </w:r>
                        </w:p>
                      </w:tc>
                    </w:tr>
                  </w:tbl>
                  <w:p w14:paraId="288D2B44" w14:textId="77777777" w:rsidR="00A0578D" w:rsidRDefault="00A0578D"/>
                </w:txbxContent>
              </v:textbox>
              <w10:wrap anchorx="margin" anchory="page"/>
              <w10:anchorlock/>
            </v:shape>
          </w:pict>
        </mc:Fallback>
      </mc:AlternateContent>
    </w:r>
    <w:r>
      <w:rPr>
        <w:noProof/>
      </w:rPr>
      <mc:AlternateContent>
        <mc:Choice Requires="wps">
          <w:drawing>
            <wp:anchor distT="0" distB="0" distL="0" distR="0" simplePos="0" relativeHeight="251657728" behindDoc="0" locked="1" layoutInCell="1" allowOverlap="1" wp14:anchorId="350AC884" wp14:editId="79BB4B83">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3639BD45" w14:textId="77777777" w:rsidR="00360503" w:rsidRPr="005A3C7E" w:rsidRDefault="00A0578D">
                          <w:pPr>
                            <w:pStyle w:val="Referentiegegevens"/>
                            <w:rPr>
                              <w:b/>
                              <w:bCs/>
                            </w:rPr>
                          </w:pPr>
                          <w:r w:rsidRPr="005A3C7E">
                            <w:rPr>
                              <w:b/>
                              <w:bCs/>
                            </w:rPr>
                            <w:t>Directie Wetgeving en Juridische Zaken</w:t>
                          </w:r>
                        </w:p>
                        <w:p w14:paraId="601EC4A0" w14:textId="77777777" w:rsidR="00360503" w:rsidRDefault="00A0578D">
                          <w:pPr>
                            <w:pStyle w:val="Referentiegegevens"/>
                          </w:pPr>
                          <w:r>
                            <w:t>Privaatrecht</w:t>
                          </w:r>
                        </w:p>
                        <w:p w14:paraId="342FD75C" w14:textId="1D060DBF" w:rsidR="00360503" w:rsidRDefault="00360503">
                          <w:pPr>
                            <w:pStyle w:val="Referentiegegevens"/>
                          </w:pPr>
                        </w:p>
                        <w:p w14:paraId="2A65A40A" w14:textId="77777777" w:rsidR="00360503" w:rsidRDefault="00A0578D">
                          <w:pPr>
                            <w:pStyle w:val="Referentiegegevens"/>
                          </w:pPr>
                          <w:r>
                            <w:t>www.rijksoverheid.nl/jenv</w:t>
                          </w:r>
                        </w:p>
                        <w:p w14:paraId="1852CF47" w14:textId="77777777" w:rsidR="00360503" w:rsidRDefault="00360503">
                          <w:pPr>
                            <w:pStyle w:val="WitregelW2"/>
                          </w:pPr>
                        </w:p>
                        <w:p w14:paraId="3BE6A0BF" w14:textId="77777777" w:rsidR="00360503" w:rsidRDefault="00A0578D">
                          <w:pPr>
                            <w:pStyle w:val="Referentiegegevensbold"/>
                          </w:pPr>
                          <w:r>
                            <w:t>Onze referentie</w:t>
                          </w:r>
                        </w:p>
                        <w:p w14:paraId="19B1A3F1" w14:textId="77777777" w:rsidR="00360503" w:rsidRDefault="00A0578D">
                          <w:pPr>
                            <w:pStyle w:val="Referentiegegevens"/>
                          </w:pPr>
                          <w:r>
                            <w:t>6718097</w:t>
                          </w:r>
                        </w:p>
                        <w:p w14:paraId="4EEB253F" w14:textId="77777777" w:rsidR="00360503" w:rsidRDefault="00360503">
                          <w:pPr>
                            <w:pStyle w:val="WitregelW1"/>
                          </w:pPr>
                        </w:p>
                        <w:p w14:paraId="2E00D3C7" w14:textId="77777777" w:rsidR="00360503" w:rsidRDefault="00A0578D">
                          <w:pPr>
                            <w:pStyle w:val="Referentiegegevensbold"/>
                          </w:pPr>
                          <w:r>
                            <w:t>Uw referentie</w:t>
                          </w:r>
                        </w:p>
                        <w:p w14:paraId="70C956BA" w14:textId="77777777" w:rsidR="00360503" w:rsidRDefault="00664225">
                          <w:pPr>
                            <w:pStyle w:val="Referentiegegevens"/>
                          </w:pPr>
                          <w:sdt>
                            <w:sdtPr>
                              <w:id w:val="1626650076"/>
                              <w:dataBinding w:prefixMappings="xmlns:ns0='docgen-assistant'" w:xpath="/ns0:CustomXml[1]/ns0:Variables[1]/ns0:Variable[1]/ns0:Value[1]" w:storeItemID="{69D6EEC8-C9E1-4904-8281-341938F2DEB0}"/>
                              <w:text/>
                            </w:sdtPr>
                            <w:sdtEndPr/>
                            <w:sdtContent>
                              <w:r w:rsidR="00E87818">
                                <w:t>2025Z14558</w:t>
                              </w:r>
                            </w:sdtContent>
                          </w:sdt>
                        </w:p>
                      </w:txbxContent>
                    </wps:txbx>
                    <wps:bodyPr vert="horz" wrap="square" lIns="0" tIns="0" rIns="0" bIns="0" anchor="t" anchorCtr="0"/>
                  </wps:wsp>
                </a:graphicData>
              </a:graphic>
            </wp:anchor>
          </w:drawing>
        </mc:Choice>
        <mc:Fallback>
          <w:pict>
            <v:shape w14:anchorId="350AC884"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3639BD45" w14:textId="77777777" w:rsidR="00360503" w:rsidRPr="005A3C7E" w:rsidRDefault="00A0578D">
                    <w:pPr>
                      <w:pStyle w:val="Referentiegegevens"/>
                      <w:rPr>
                        <w:b/>
                        <w:bCs/>
                      </w:rPr>
                    </w:pPr>
                    <w:r w:rsidRPr="005A3C7E">
                      <w:rPr>
                        <w:b/>
                        <w:bCs/>
                      </w:rPr>
                      <w:t>Directie Wetgeving en Juridische Zaken</w:t>
                    </w:r>
                  </w:p>
                  <w:p w14:paraId="601EC4A0" w14:textId="77777777" w:rsidR="00360503" w:rsidRDefault="00A0578D">
                    <w:pPr>
                      <w:pStyle w:val="Referentiegegevens"/>
                    </w:pPr>
                    <w:r>
                      <w:t>Privaatrecht</w:t>
                    </w:r>
                  </w:p>
                  <w:p w14:paraId="342FD75C" w14:textId="1D060DBF" w:rsidR="00360503" w:rsidRDefault="00360503">
                    <w:pPr>
                      <w:pStyle w:val="Referentiegegevens"/>
                    </w:pPr>
                  </w:p>
                  <w:p w14:paraId="2A65A40A" w14:textId="77777777" w:rsidR="00360503" w:rsidRDefault="00A0578D">
                    <w:pPr>
                      <w:pStyle w:val="Referentiegegevens"/>
                    </w:pPr>
                    <w:r>
                      <w:t>www.rijksoverheid.nl/jenv</w:t>
                    </w:r>
                  </w:p>
                  <w:p w14:paraId="1852CF47" w14:textId="77777777" w:rsidR="00360503" w:rsidRDefault="00360503">
                    <w:pPr>
                      <w:pStyle w:val="WitregelW2"/>
                    </w:pPr>
                  </w:p>
                  <w:p w14:paraId="3BE6A0BF" w14:textId="77777777" w:rsidR="00360503" w:rsidRDefault="00A0578D">
                    <w:pPr>
                      <w:pStyle w:val="Referentiegegevensbold"/>
                    </w:pPr>
                    <w:r>
                      <w:t>Onze referentie</w:t>
                    </w:r>
                  </w:p>
                  <w:p w14:paraId="19B1A3F1" w14:textId="77777777" w:rsidR="00360503" w:rsidRDefault="00A0578D">
                    <w:pPr>
                      <w:pStyle w:val="Referentiegegevens"/>
                    </w:pPr>
                    <w:r>
                      <w:t>6718097</w:t>
                    </w:r>
                  </w:p>
                  <w:p w14:paraId="4EEB253F" w14:textId="77777777" w:rsidR="00360503" w:rsidRDefault="00360503">
                    <w:pPr>
                      <w:pStyle w:val="WitregelW1"/>
                    </w:pPr>
                  </w:p>
                  <w:p w14:paraId="2E00D3C7" w14:textId="77777777" w:rsidR="00360503" w:rsidRDefault="00A0578D">
                    <w:pPr>
                      <w:pStyle w:val="Referentiegegevensbold"/>
                    </w:pPr>
                    <w:r>
                      <w:t>Uw referentie</w:t>
                    </w:r>
                  </w:p>
                  <w:p w14:paraId="70C956BA" w14:textId="77777777" w:rsidR="00360503" w:rsidRDefault="00664225">
                    <w:pPr>
                      <w:pStyle w:val="Referentiegegevens"/>
                    </w:pPr>
                    <w:sdt>
                      <w:sdtPr>
                        <w:id w:val="1626650076"/>
                        <w:dataBinding w:prefixMappings="xmlns:ns0='docgen-assistant'" w:xpath="/ns0:CustomXml[1]/ns0:Variables[1]/ns0:Variable[1]/ns0:Value[1]" w:storeItemID="{69D6EEC8-C9E1-4904-8281-341938F2DEB0}"/>
                        <w:text/>
                      </w:sdtPr>
                      <w:sdtEndPr/>
                      <w:sdtContent>
                        <w:r w:rsidR="00E87818">
                          <w:t>2025Z14558</w:t>
                        </w:r>
                      </w:sdtContent>
                    </w:sdt>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214CDF72" wp14:editId="1D24DFD3">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3D8C778" w14:textId="77777777" w:rsidR="00A0578D" w:rsidRDefault="00A0578D"/>
                      </w:txbxContent>
                    </wps:txbx>
                    <wps:bodyPr vert="horz" wrap="square" lIns="0" tIns="0" rIns="0" bIns="0" anchor="t" anchorCtr="0"/>
                  </wps:wsp>
                </a:graphicData>
              </a:graphic>
            </wp:anchor>
          </w:drawing>
        </mc:Choice>
        <mc:Fallback>
          <w:pict>
            <v:shape w14:anchorId="214CDF72"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63D8C778" w14:textId="77777777" w:rsidR="00A0578D" w:rsidRDefault="00A0578D"/>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2AAB591A" wp14:editId="0A85FDCF">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751BF0D1" w14:textId="77777777" w:rsidR="00360503" w:rsidRDefault="00A0578D">
                          <w:pPr>
                            <w:pStyle w:val="Referentiegegevens"/>
                          </w:pPr>
                          <w:r>
                            <w:t xml:space="preserve">Pagina </w:t>
                          </w:r>
                          <w:r>
                            <w:fldChar w:fldCharType="begin"/>
                          </w:r>
                          <w:r>
                            <w:instrText>PAGE</w:instrText>
                          </w:r>
                          <w:r>
                            <w:fldChar w:fldCharType="separate"/>
                          </w:r>
                          <w:r w:rsidR="00F74836">
                            <w:rPr>
                              <w:noProof/>
                            </w:rPr>
                            <w:t>1</w:t>
                          </w:r>
                          <w:r>
                            <w:fldChar w:fldCharType="end"/>
                          </w:r>
                          <w:r>
                            <w:t xml:space="preserve"> van </w:t>
                          </w:r>
                          <w:r>
                            <w:fldChar w:fldCharType="begin"/>
                          </w:r>
                          <w:r>
                            <w:instrText>NUMPAGES</w:instrText>
                          </w:r>
                          <w:r>
                            <w:fldChar w:fldCharType="separate"/>
                          </w:r>
                          <w:r w:rsidR="00F74836">
                            <w:rPr>
                              <w:noProof/>
                            </w:rPr>
                            <w:t>1</w:t>
                          </w:r>
                          <w:r>
                            <w:fldChar w:fldCharType="end"/>
                          </w:r>
                        </w:p>
                      </w:txbxContent>
                    </wps:txbx>
                    <wps:bodyPr vert="horz" wrap="square" lIns="0" tIns="0" rIns="0" bIns="0" anchor="t" anchorCtr="0"/>
                  </wps:wsp>
                </a:graphicData>
              </a:graphic>
            </wp:anchor>
          </w:drawing>
        </mc:Choice>
        <mc:Fallback>
          <w:pict>
            <v:shape w14:anchorId="2AAB591A"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751BF0D1" w14:textId="77777777" w:rsidR="00360503" w:rsidRDefault="00A0578D">
                    <w:pPr>
                      <w:pStyle w:val="Referentiegegevens"/>
                    </w:pPr>
                    <w:r>
                      <w:t xml:space="preserve">Pagina </w:t>
                    </w:r>
                    <w:r>
                      <w:fldChar w:fldCharType="begin"/>
                    </w:r>
                    <w:r>
                      <w:instrText>PAGE</w:instrText>
                    </w:r>
                    <w:r>
                      <w:fldChar w:fldCharType="separate"/>
                    </w:r>
                    <w:r w:rsidR="00F74836">
                      <w:rPr>
                        <w:noProof/>
                      </w:rPr>
                      <w:t>1</w:t>
                    </w:r>
                    <w:r>
                      <w:fldChar w:fldCharType="end"/>
                    </w:r>
                    <w:r>
                      <w:t xml:space="preserve"> van </w:t>
                    </w:r>
                    <w:r>
                      <w:fldChar w:fldCharType="begin"/>
                    </w:r>
                    <w:r>
                      <w:instrText>NUMPAGES</w:instrText>
                    </w:r>
                    <w:r>
                      <w:fldChar w:fldCharType="separate"/>
                    </w:r>
                    <w:r w:rsidR="00F74836">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5166ACFD" wp14:editId="6B0747FD">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3023CCFF" w14:textId="77777777" w:rsidR="00360503" w:rsidRDefault="00A0578D">
                          <w:pPr>
                            <w:spacing w:line="240" w:lineRule="auto"/>
                          </w:pPr>
                          <w:r>
                            <w:rPr>
                              <w:noProof/>
                            </w:rPr>
                            <w:drawing>
                              <wp:inline distT="0" distB="0" distL="0" distR="0" wp14:anchorId="22A9D45D" wp14:editId="6844CB3A">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166ACFD"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3023CCFF" w14:textId="77777777" w:rsidR="00360503" w:rsidRDefault="00A0578D">
                    <w:pPr>
                      <w:spacing w:line="240" w:lineRule="auto"/>
                    </w:pPr>
                    <w:r>
                      <w:rPr>
                        <w:noProof/>
                      </w:rPr>
                      <w:drawing>
                        <wp:inline distT="0" distB="0" distL="0" distR="0" wp14:anchorId="22A9D45D" wp14:editId="6844CB3A">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1161AC33" wp14:editId="6B17DA98">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7DE00035" w14:textId="77777777" w:rsidR="00360503" w:rsidRDefault="00A0578D">
                          <w:pPr>
                            <w:spacing w:line="240" w:lineRule="auto"/>
                          </w:pPr>
                          <w:r>
                            <w:rPr>
                              <w:noProof/>
                            </w:rPr>
                            <w:drawing>
                              <wp:inline distT="0" distB="0" distL="0" distR="0" wp14:anchorId="32355FF0" wp14:editId="44AE5B4B">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161AC33"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7DE00035" w14:textId="77777777" w:rsidR="00360503" w:rsidRDefault="00A0578D">
                    <w:pPr>
                      <w:spacing w:line="240" w:lineRule="auto"/>
                    </w:pPr>
                    <w:r>
                      <w:rPr>
                        <w:noProof/>
                      </w:rPr>
                      <w:drawing>
                        <wp:inline distT="0" distB="0" distL="0" distR="0" wp14:anchorId="32355FF0" wp14:editId="44AE5B4B">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0D29F0A8" wp14:editId="1D022531">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F5AAA1D" w14:textId="77777777" w:rsidR="00360503" w:rsidRDefault="00A0578D">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0D29F0A8"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3F5AAA1D" w14:textId="77777777" w:rsidR="00360503" w:rsidRDefault="00A0578D">
                    <w:pPr>
                      <w:pStyle w:val="Referentiegegevens"/>
                    </w:pPr>
                    <w:r>
                      <w:t>&gt; Retouradres Postbus 20301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08D7D19"/>
    <w:multiLevelType w:val="multilevel"/>
    <w:tmpl w:val="44A6BC82"/>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EF3A332F"/>
    <w:multiLevelType w:val="multilevel"/>
    <w:tmpl w:val="FF233E1C"/>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F1F9CA60"/>
    <w:multiLevelType w:val="multilevel"/>
    <w:tmpl w:val="127E0475"/>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004DC5CC"/>
    <w:multiLevelType w:val="multilevel"/>
    <w:tmpl w:val="9172069C"/>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4A9D444D"/>
    <w:multiLevelType w:val="multilevel"/>
    <w:tmpl w:val="65EEEB66"/>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5" w15:restartNumberingAfterBreak="0">
    <w:nsid w:val="5A0EAB9E"/>
    <w:multiLevelType w:val="multilevel"/>
    <w:tmpl w:val="D3D31F16"/>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1671251897">
    <w:abstractNumId w:val="0"/>
  </w:num>
  <w:num w:numId="2" w16cid:durableId="818961472">
    <w:abstractNumId w:val="4"/>
  </w:num>
  <w:num w:numId="3" w16cid:durableId="1898584275">
    <w:abstractNumId w:val="3"/>
  </w:num>
  <w:num w:numId="4" w16cid:durableId="2053918822">
    <w:abstractNumId w:val="1"/>
  </w:num>
  <w:num w:numId="5" w16cid:durableId="653414855">
    <w:abstractNumId w:val="2"/>
  </w:num>
  <w:num w:numId="6" w16cid:durableId="197822019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836"/>
    <w:rsid w:val="00004588"/>
    <w:rsid w:val="000120F0"/>
    <w:rsid w:val="00024BA2"/>
    <w:rsid w:val="000262D2"/>
    <w:rsid w:val="000271E2"/>
    <w:rsid w:val="00031CBB"/>
    <w:rsid w:val="00031F25"/>
    <w:rsid w:val="000340C7"/>
    <w:rsid w:val="00037AC8"/>
    <w:rsid w:val="000658F6"/>
    <w:rsid w:val="000B47C6"/>
    <w:rsid w:val="000B5513"/>
    <w:rsid w:val="0011569A"/>
    <w:rsid w:val="00125F91"/>
    <w:rsid w:val="00134C55"/>
    <w:rsid w:val="001416B1"/>
    <w:rsid w:val="001433C3"/>
    <w:rsid w:val="00146387"/>
    <w:rsid w:val="00164E21"/>
    <w:rsid w:val="001A2FA8"/>
    <w:rsid w:val="001A392C"/>
    <w:rsid w:val="001B42C7"/>
    <w:rsid w:val="001C2BDA"/>
    <w:rsid w:val="001E7A75"/>
    <w:rsid w:val="00201F71"/>
    <w:rsid w:val="00207256"/>
    <w:rsid w:val="00210F9A"/>
    <w:rsid w:val="00212441"/>
    <w:rsid w:val="00215D0F"/>
    <w:rsid w:val="00217770"/>
    <w:rsid w:val="00220574"/>
    <w:rsid w:val="00285DE6"/>
    <w:rsid w:val="002963D7"/>
    <w:rsid w:val="002A1321"/>
    <w:rsid w:val="002E3864"/>
    <w:rsid w:val="002F2D97"/>
    <w:rsid w:val="003120D5"/>
    <w:rsid w:val="003136A6"/>
    <w:rsid w:val="003154C7"/>
    <w:rsid w:val="003367CD"/>
    <w:rsid w:val="00345091"/>
    <w:rsid w:val="00356996"/>
    <w:rsid w:val="00360503"/>
    <w:rsid w:val="00394590"/>
    <w:rsid w:val="003B3315"/>
    <w:rsid w:val="003C5C92"/>
    <w:rsid w:val="003D3F6B"/>
    <w:rsid w:val="003D4C59"/>
    <w:rsid w:val="003D6491"/>
    <w:rsid w:val="003D70B1"/>
    <w:rsid w:val="004441FA"/>
    <w:rsid w:val="004737FB"/>
    <w:rsid w:val="004816B1"/>
    <w:rsid w:val="004844CE"/>
    <w:rsid w:val="004B3286"/>
    <w:rsid w:val="004B6973"/>
    <w:rsid w:val="004C7445"/>
    <w:rsid w:val="004D1FB7"/>
    <w:rsid w:val="004E133F"/>
    <w:rsid w:val="004E62CB"/>
    <w:rsid w:val="0050660B"/>
    <w:rsid w:val="00516B41"/>
    <w:rsid w:val="00566E30"/>
    <w:rsid w:val="00567BE0"/>
    <w:rsid w:val="00584B31"/>
    <w:rsid w:val="00584B6E"/>
    <w:rsid w:val="005A3C7E"/>
    <w:rsid w:val="005A41B4"/>
    <w:rsid w:val="005B1401"/>
    <w:rsid w:val="005B34F1"/>
    <w:rsid w:val="005C08DA"/>
    <w:rsid w:val="005E15B0"/>
    <w:rsid w:val="005E7191"/>
    <w:rsid w:val="005E71B3"/>
    <w:rsid w:val="00604A2F"/>
    <w:rsid w:val="00607504"/>
    <w:rsid w:val="00612825"/>
    <w:rsid w:val="00615EB4"/>
    <w:rsid w:val="00642F98"/>
    <w:rsid w:val="006455E7"/>
    <w:rsid w:val="00664225"/>
    <w:rsid w:val="006A6A8F"/>
    <w:rsid w:val="006B6A07"/>
    <w:rsid w:val="006D28C8"/>
    <w:rsid w:val="006F504F"/>
    <w:rsid w:val="006F7A27"/>
    <w:rsid w:val="00712972"/>
    <w:rsid w:val="00726DD3"/>
    <w:rsid w:val="007279C0"/>
    <w:rsid w:val="0073757F"/>
    <w:rsid w:val="00743E03"/>
    <w:rsid w:val="00752ADE"/>
    <w:rsid w:val="00755670"/>
    <w:rsid w:val="00764F0D"/>
    <w:rsid w:val="00782E10"/>
    <w:rsid w:val="007A5D24"/>
    <w:rsid w:val="007B1C5C"/>
    <w:rsid w:val="007B5491"/>
    <w:rsid w:val="007B7F7D"/>
    <w:rsid w:val="007C0B38"/>
    <w:rsid w:val="007E28C9"/>
    <w:rsid w:val="007E3B99"/>
    <w:rsid w:val="007F3EBF"/>
    <w:rsid w:val="00802E3B"/>
    <w:rsid w:val="008132C2"/>
    <w:rsid w:val="008134E4"/>
    <w:rsid w:val="00815A4A"/>
    <w:rsid w:val="0081721B"/>
    <w:rsid w:val="00831181"/>
    <w:rsid w:val="0084484B"/>
    <w:rsid w:val="00861325"/>
    <w:rsid w:val="00861BD2"/>
    <w:rsid w:val="00861C61"/>
    <w:rsid w:val="00864AE4"/>
    <w:rsid w:val="0086787C"/>
    <w:rsid w:val="00896093"/>
    <w:rsid w:val="008C0B17"/>
    <w:rsid w:val="008C723E"/>
    <w:rsid w:val="00920F88"/>
    <w:rsid w:val="0092313B"/>
    <w:rsid w:val="00961616"/>
    <w:rsid w:val="00964E26"/>
    <w:rsid w:val="00966ED6"/>
    <w:rsid w:val="00967E2E"/>
    <w:rsid w:val="00984447"/>
    <w:rsid w:val="00985358"/>
    <w:rsid w:val="0099013E"/>
    <w:rsid w:val="0099191B"/>
    <w:rsid w:val="00995F79"/>
    <w:rsid w:val="00997B56"/>
    <w:rsid w:val="00997F3B"/>
    <w:rsid w:val="009B52EF"/>
    <w:rsid w:val="00A0578D"/>
    <w:rsid w:val="00A517ED"/>
    <w:rsid w:val="00A52B6E"/>
    <w:rsid w:val="00A54B5F"/>
    <w:rsid w:val="00A70F78"/>
    <w:rsid w:val="00A95A6D"/>
    <w:rsid w:val="00AB71AC"/>
    <w:rsid w:val="00AE3F9B"/>
    <w:rsid w:val="00AF76A3"/>
    <w:rsid w:val="00B10162"/>
    <w:rsid w:val="00B12432"/>
    <w:rsid w:val="00B21EDF"/>
    <w:rsid w:val="00B43C79"/>
    <w:rsid w:val="00B458D9"/>
    <w:rsid w:val="00B4714D"/>
    <w:rsid w:val="00B51805"/>
    <w:rsid w:val="00B65141"/>
    <w:rsid w:val="00B84EA6"/>
    <w:rsid w:val="00BB4634"/>
    <w:rsid w:val="00BC0547"/>
    <w:rsid w:val="00BC3C1F"/>
    <w:rsid w:val="00BD2326"/>
    <w:rsid w:val="00BE3E30"/>
    <w:rsid w:val="00BF0D4C"/>
    <w:rsid w:val="00BF1E5C"/>
    <w:rsid w:val="00C006AE"/>
    <w:rsid w:val="00C05326"/>
    <w:rsid w:val="00C215C2"/>
    <w:rsid w:val="00C25F48"/>
    <w:rsid w:val="00C26547"/>
    <w:rsid w:val="00C34A2E"/>
    <w:rsid w:val="00C46B8B"/>
    <w:rsid w:val="00C52396"/>
    <w:rsid w:val="00C53B66"/>
    <w:rsid w:val="00C613D5"/>
    <w:rsid w:val="00C659D6"/>
    <w:rsid w:val="00C70545"/>
    <w:rsid w:val="00C714F5"/>
    <w:rsid w:val="00C80AAA"/>
    <w:rsid w:val="00C97CD6"/>
    <w:rsid w:val="00CA7DA3"/>
    <w:rsid w:val="00D05FC0"/>
    <w:rsid w:val="00D40A6E"/>
    <w:rsid w:val="00D43AB8"/>
    <w:rsid w:val="00D473B3"/>
    <w:rsid w:val="00D51F29"/>
    <w:rsid w:val="00D76F18"/>
    <w:rsid w:val="00D85133"/>
    <w:rsid w:val="00D95918"/>
    <w:rsid w:val="00DA3648"/>
    <w:rsid w:val="00DB1463"/>
    <w:rsid w:val="00DB515F"/>
    <w:rsid w:val="00DC201B"/>
    <w:rsid w:val="00DD49D2"/>
    <w:rsid w:val="00DE2FAF"/>
    <w:rsid w:val="00DF07EE"/>
    <w:rsid w:val="00DF636F"/>
    <w:rsid w:val="00E27CA1"/>
    <w:rsid w:val="00E56C64"/>
    <w:rsid w:val="00E57FED"/>
    <w:rsid w:val="00E61A0D"/>
    <w:rsid w:val="00E65684"/>
    <w:rsid w:val="00E81E59"/>
    <w:rsid w:val="00E87560"/>
    <w:rsid w:val="00E87818"/>
    <w:rsid w:val="00E90053"/>
    <w:rsid w:val="00E92C09"/>
    <w:rsid w:val="00EA1C27"/>
    <w:rsid w:val="00EC7061"/>
    <w:rsid w:val="00EF4888"/>
    <w:rsid w:val="00F02C4C"/>
    <w:rsid w:val="00F22959"/>
    <w:rsid w:val="00F42D95"/>
    <w:rsid w:val="00F5253F"/>
    <w:rsid w:val="00F60A95"/>
    <w:rsid w:val="00F67A16"/>
    <w:rsid w:val="00F73048"/>
    <w:rsid w:val="00F74836"/>
    <w:rsid w:val="00F84894"/>
    <w:rsid w:val="00F94A01"/>
    <w:rsid w:val="00FA7964"/>
    <w:rsid w:val="00FB55A1"/>
    <w:rsid w:val="00FB79C0"/>
    <w:rsid w:val="00FC1571"/>
    <w:rsid w:val="00FD055C"/>
    <w:rsid w:val="00FF218E"/>
    <w:rsid w:val="00FF5151"/>
    <w:rsid w:val="00FF5A09"/>
    <w:rsid w:val="00FF736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E9BB8E"/>
  <w15:docId w15:val="{6C16C55B-5395-42EA-A2BD-4CE9F6DDD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A3C7E"/>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5A3C7E"/>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5A3C7E"/>
    <w:rPr>
      <w:rFonts w:ascii="Verdana" w:hAnsi="Verdana"/>
      <w:color w:val="000000"/>
      <w:sz w:val="18"/>
      <w:szCs w:val="18"/>
    </w:rPr>
  </w:style>
  <w:style w:type="paragraph" w:styleId="Voetnoottekst">
    <w:name w:val="footnote text"/>
    <w:basedOn w:val="Standaard"/>
    <w:link w:val="VoetnoottekstChar"/>
    <w:uiPriority w:val="99"/>
    <w:semiHidden/>
    <w:unhideWhenUsed/>
    <w:rsid w:val="004844CE"/>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4844CE"/>
    <w:rPr>
      <w:rFonts w:ascii="Verdana" w:hAnsi="Verdana"/>
      <w:color w:val="000000"/>
    </w:rPr>
  </w:style>
  <w:style w:type="character" w:styleId="Voetnootmarkering">
    <w:name w:val="footnote reference"/>
    <w:basedOn w:val="Standaardalinea-lettertype"/>
    <w:uiPriority w:val="99"/>
    <w:semiHidden/>
    <w:unhideWhenUsed/>
    <w:rsid w:val="004844CE"/>
    <w:rPr>
      <w:vertAlign w:val="superscript"/>
    </w:rPr>
  </w:style>
  <w:style w:type="character" w:styleId="Verwijzingopmerking">
    <w:name w:val="annotation reference"/>
    <w:basedOn w:val="Standaardalinea-lettertype"/>
    <w:uiPriority w:val="99"/>
    <w:semiHidden/>
    <w:unhideWhenUsed/>
    <w:rsid w:val="00DF07EE"/>
    <w:rPr>
      <w:sz w:val="16"/>
      <w:szCs w:val="16"/>
    </w:rPr>
  </w:style>
  <w:style w:type="paragraph" w:styleId="Tekstopmerking">
    <w:name w:val="annotation text"/>
    <w:basedOn w:val="Standaard"/>
    <w:link w:val="TekstopmerkingChar"/>
    <w:uiPriority w:val="99"/>
    <w:unhideWhenUsed/>
    <w:rsid w:val="00DF07EE"/>
    <w:pPr>
      <w:spacing w:line="240" w:lineRule="auto"/>
    </w:pPr>
    <w:rPr>
      <w:sz w:val="20"/>
      <w:szCs w:val="20"/>
    </w:rPr>
  </w:style>
  <w:style w:type="character" w:customStyle="1" w:styleId="TekstopmerkingChar">
    <w:name w:val="Tekst opmerking Char"/>
    <w:basedOn w:val="Standaardalinea-lettertype"/>
    <w:link w:val="Tekstopmerking"/>
    <w:uiPriority w:val="99"/>
    <w:rsid w:val="00DF07EE"/>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DF07EE"/>
    <w:rPr>
      <w:b/>
      <w:bCs/>
    </w:rPr>
  </w:style>
  <w:style w:type="character" w:customStyle="1" w:styleId="OnderwerpvanopmerkingChar">
    <w:name w:val="Onderwerp van opmerking Char"/>
    <w:basedOn w:val="TekstopmerkingChar"/>
    <w:link w:val="Onderwerpvanopmerking"/>
    <w:uiPriority w:val="99"/>
    <w:semiHidden/>
    <w:rsid w:val="00DF07EE"/>
    <w:rPr>
      <w:rFonts w:ascii="Verdana" w:hAnsi="Verdana"/>
      <w:b/>
      <w:bCs/>
      <w:color w:val="000000"/>
    </w:rPr>
  </w:style>
  <w:style w:type="paragraph" w:styleId="Revisie">
    <w:name w:val="Revision"/>
    <w:hidden/>
    <w:uiPriority w:val="99"/>
    <w:semiHidden/>
    <w:rsid w:val="00516B41"/>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20(4).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2118</ap:Words>
  <ap:Characters>11654</ap:Characters>
  <ap:DocSecurity>0</ap:DocSecurity>
  <ap:Lines>97</ap:Lines>
  <ap:Paragraphs>27</ap:Paragraphs>
  <ap:ScaleCrop>false</ap:ScaleCrop>
  <ap:HeadingPairs>
    <vt:vector baseType="variant" size="2">
      <vt:variant>
        <vt:lpstr>Titel</vt:lpstr>
      </vt:variant>
      <vt:variant>
        <vt:i4>1</vt:i4>
      </vt:variant>
    </vt:vector>
  </ap:HeadingPairs>
  <ap:TitlesOfParts>
    <vt:vector baseType="lpstr" size="1">
      <vt:lpstr>Brief aan Parlement - Antwoorden Kamervragen over erfrecht, levensverzekeringen en femicide</vt:lpstr>
    </vt:vector>
  </ap:TitlesOfParts>
  <ap:LinksUpToDate>false</ap:LinksUpToDate>
  <ap:CharactersWithSpaces>13745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2025-09-02T08:13:00.0000000Z</lastPrinted>
  <dcterms:created xsi:type="dcterms:W3CDTF">2025-09-18T08:22:00.0000000Z</dcterms:created>
  <dcterms:modified xsi:type="dcterms:W3CDTF">2025-09-18T08:24:00.0000000Z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Antwoorden Kamervragen over erfrecht, levensverzekeringen en femicide</vt:lpwstr>
  </property>
  <property fmtid="{D5CDD505-2E9C-101B-9397-08002B2CF9AE}" pid="5" name="Publicatiedatum">
    <vt:lpwstr/>
  </property>
  <property fmtid="{D5CDD505-2E9C-101B-9397-08002B2CF9AE}" pid="6" name="Verantwoordelijke organisatie">
    <vt:lpwstr>Directie Wetgeving en Juridische Zaken</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21 juli 2025</vt:lpwstr>
  </property>
  <property fmtid="{D5CDD505-2E9C-101B-9397-08002B2CF9AE}" pid="13" name="Opgesteld door, Naam">
    <vt:lpwstr>Maril Gelauff</vt:lpwstr>
  </property>
  <property fmtid="{D5CDD505-2E9C-101B-9397-08002B2CF9AE}" pid="14" name="Opgesteld door, Telefoonnummer">
    <vt:lpwstr>0622992549</vt:lpwstr>
  </property>
  <property fmtid="{D5CDD505-2E9C-101B-9397-08002B2CF9AE}" pid="15" name="Kenmerk">
    <vt:lpwstr>6718097</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ies>
</file>