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D79" w:rsidR="009C29A3" w:rsidP="009C29A3" w:rsidRDefault="00202B73" w14:paraId="148A6B7A" w14:textId="344A8211">
      <w:pPr>
        <w:ind w:left="2124" w:hanging="2124"/>
        <w:rPr>
          <w:rFonts w:ascii="Calibri" w:hAnsi="Calibri" w:cs="Calibri"/>
        </w:rPr>
      </w:pPr>
      <w:r w:rsidRPr="00B73D79">
        <w:rPr>
          <w:rFonts w:ascii="Calibri" w:hAnsi="Calibri" w:cs="Calibri"/>
        </w:rPr>
        <w:t>36800</w:t>
      </w:r>
      <w:r w:rsidRPr="00B73D79" w:rsidR="009C29A3">
        <w:rPr>
          <w:rFonts w:ascii="Calibri" w:hAnsi="Calibri" w:cs="Calibri"/>
        </w:rPr>
        <w:t xml:space="preserve"> </w:t>
      </w:r>
      <w:r w:rsidRPr="00B73D79">
        <w:rPr>
          <w:rFonts w:ascii="Calibri" w:hAnsi="Calibri" w:cs="Calibri"/>
        </w:rPr>
        <w:t>VII</w:t>
      </w:r>
      <w:r w:rsidRPr="00B73D79" w:rsidR="009C29A3">
        <w:rPr>
          <w:rFonts w:ascii="Calibri" w:hAnsi="Calibri" w:cs="Calibri"/>
        </w:rPr>
        <w:tab/>
        <w:t>Vaststelling van de begrotingsstaten van het Ministerie van Binnenlandse Zaken en Koninkrijksrelaties (VII) voor het jaar 2026</w:t>
      </w:r>
    </w:p>
    <w:p w:rsidRPr="00B73D79" w:rsidR="009C29A3" w:rsidP="009C29A3" w:rsidRDefault="00202B73" w14:paraId="45819F77" w14:textId="0D1EE835">
      <w:pPr>
        <w:ind w:left="2124" w:hanging="2124"/>
        <w:rPr>
          <w:rFonts w:ascii="Calibri" w:hAnsi="Calibri" w:cs="Calibri"/>
        </w:rPr>
      </w:pPr>
      <w:r w:rsidRPr="00B73D79">
        <w:rPr>
          <w:rFonts w:ascii="Calibri" w:hAnsi="Calibri" w:cs="Calibri"/>
        </w:rPr>
        <w:t>36820</w:t>
      </w:r>
      <w:r w:rsidRPr="00B73D79" w:rsidR="009C29A3">
        <w:rPr>
          <w:rFonts w:ascii="Calibri" w:hAnsi="Calibri" w:cs="Calibri"/>
        </w:rPr>
        <w:t xml:space="preserve"> </w:t>
      </w:r>
      <w:r w:rsidRPr="00B73D79">
        <w:rPr>
          <w:rFonts w:ascii="Calibri" w:hAnsi="Calibri" w:cs="Calibri"/>
        </w:rPr>
        <w:t>VII</w:t>
      </w:r>
      <w:r w:rsidRPr="00B73D79" w:rsidR="009C29A3">
        <w:rPr>
          <w:rFonts w:ascii="Calibri" w:hAnsi="Calibri" w:cs="Calibri"/>
        </w:rPr>
        <w:tab/>
        <w:t>Wijziging van de begrotingsstaten van het Ministerie van Binnenlandse Zaken en Koninkrijksrelaties (VII) voor het jaar 2025 (wijziging samenhangende met de Miljoenennota)</w:t>
      </w:r>
    </w:p>
    <w:p w:rsidRPr="00B73D79" w:rsidR="00B73D79" w:rsidP="00B73D79" w:rsidRDefault="009C29A3" w14:paraId="66705B21" w14:textId="47D2FF32">
      <w:pPr>
        <w:ind w:left="2124" w:hanging="2124"/>
        <w:rPr>
          <w:rFonts w:ascii="Calibri" w:hAnsi="Calibri" w:cs="Calibri"/>
        </w:rPr>
      </w:pPr>
      <w:r w:rsidRPr="00B73D79">
        <w:rPr>
          <w:rFonts w:ascii="Calibri" w:hAnsi="Calibri" w:cs="Calibri"/>
        </w:rPr>
        <w:t xml:space="preserve">Nr. </w:t>
      </w:r>
      <w:r w:rsidRPr="00B73D79">
        <w:rPr>
          <w:rFonts w:ascii="Calibri" w:hAnsi="Calibri" w:cs="Calibri"/>
        </w:rPr>
        <w:t>7</w:t>
      </w:r>
      <w:r w:rsidRPr="00B73D79">
        <w:rPr>
          <w:rFonts w:ascii="Calibri" w:hAnsi="Calibri" w:cs="Calibri"/>
        </w:rPr>
        <w:tab/>
        <w:t xml:space="preserve">Brief van de </w:t>
      </w:r>
      <w:r w:rsidRPr="00B73D79" w:rsidR="00B73D79">
        <w:rPr>
          <w:rFonts w:ascii="Calibri" w:hAnsi="Calibri" w:cs="Calibri"/>
        </w:rPr>
        <w:t>minister van Binnenlandse Zaken en Koninkrijksrelaties</w:t>
      </w:r>
    </w:p>
    <w:p w:rsidRPr="00B73D79" w:rsidR="009C29A3" w:rsidRDefault="00B73D79" w14:paraId="18CF67A8" w14:textId="383E118D">
      <w:pPr>
        <w:rPr>
          <w:rFonts w:ascii="Calibri" w:hAnsi="Calibri" w:cs="Calibri"/>
        </w:rPr>
      </w:pPr>
      <w:r w:rsidRPr="00B73D79">
        <w:rPr>
          <w:rFonts w:ascii="Calibri" w:hAnsi="Calibri" w:cs="Calibri"/>
        </w:rPr>
        <w:t>Aan de Voorzitter van de Tweede Kamer der Staten-Generaal</w:t>
      </w:r>
    </w:p>
    <w:p w:rsidRPr="00B73D79" w:rsidR="00B73D79" w:rsidRDefault="00B73D79" w14:paraId="2BFD3EF8" w14:textId="242152CA">
      <w:pPr>
        <w:rPr>
          <w:rFonts w:ascii="Calibri" w:hAnsi="Calibri" w:cs="Calibri"/>
        </w:rPr>
      </w:pPr>
      <w:r w:rsidRPr="00B73D79">
        <w:rPr>
          <w:rFonts w:ascii="Calibri" w:hAnsi="Calibri" w:cs="Calibri"/>
        </w:rPr>
        <w:t>Den Haag, 19 september 2025</w:t>
      </w:r>
    </w:p>
    <w:p w:rsidRPr="00B73D79" w:rsidR="00202B73" w:rsidP="00202B73" w:rsidRDefault="00202B73" w14:paraId="1F9BC354" w14:textId="67C8602F">
      <w:pPr>
        <w:spacing w:after="0"/>
        <w:rPr>
          <w:rFonts w:ascii="Calibri" w:hAnsi="Calibri" w:cs="Calibri"/>
        </w:rPr>
      </w:pPr>
      <w:r w:rsidRPr="00B73D79">
        <w:rPr>
          <w:rFonts w:ascii="Calibri" w:hAnsi="Calibri" w:cs="Calibri"/>
        </w:rPr>
        <w:br/>
      </w:r>
      <w:r w:rsidRPr="00B73D79">
        <w:rPr>
          <w:rFonts w:ascii="Calibri" w:hAnsi="Calibri" w:cs="Calibri"/>
        </w:rPr>
        <w:br/>
        <w:t xml:space="preserve">Mede namens de staatssecretaris van Binnenlandse Zaken en Koninkrijksrelaties informeer ik de Tweede Kamer via deze brief over nieuwe voorstellen met financiële gevolgen (€ 20 mln. of meer in enig jaar) </w:t>
      </w:r>
      <w:bookmarkStart w:name="_Hlk208560301" w:id="0"/>
      <w:r w:rsidRPr="00B73D79">
        <w:rPr>
          <w:rFonts w:ascii="Calibri" w:hAnsi="Calibri" w:cs="Calibri"/>
        </w:rPr>
        <w:t xml:space="preserve">die zijn opgenomen in de Suppletoire Begroting September 2025 en de Ontwerpbegroting 2026 (beiden Begrotingshoofdstuk VII Binnenlandse Zaken en Koninkrijksrelaties). </w:t>
      </w:r>
      <w:bookmarkEnd w:id="0"/>
      <w:r w:rsidRPr="00B73D79">
        <w:rPr>
          <w:rFonts w:ascii="Calibri" w:hAnsi="Calibri" w:cs="Calibri"/>
        </w:rPr>
        <w:t>Hier wordt conform wetsartikel 3.1 van de Comptabiliteitswet 2016 per voorstel ingegaan op doelen, instrumenten, financiële gevolgen, verwachte doeltreffendheid en doelmatigheid en voorgenomen monitoring en evaluatie. Sinds eind 2021 gebeurt dit Rijksbreed via de werkwijze “Beleidskeuzes uitgelegd”, zie Kamerstuk 31 865, nr. 198.</w:t>
      </w:r>
    </w:p>
    <w:p w:rsidRPr="00B73D79" w:rsidR="00202B73" w:rsidP="00202B73" w:rsidRDefault="00202B73" w14:paraId="35A14196" w14:textId="77777777">
      <w:pPr>
        <w:spacing w:after="0"/>
        <w:rPr>
          <w:rFonts w:ascii="Calibri" w:hAnsi="Calibri" w:cs="Calibri"/>
        </w:rPr>
      </w:pPr>
    </w:p>
    <w:p w:rsidRPr="00B73D79" w:rsidR="00202B73" w:rsidP="00202B73" w:rsidRDefault="00202B73" w14:paraId="065DE9B1" w14:textId="77777777">
      <w:pPr>
        <w:spacing w:after="0"/>
        <w:rPr>
          <w:rFonts w:ascii="Calibri" w:hAnsi="Calibri" w:cs="Calibri"/>
        </w:rPr>
      </w:pPr>
      <w:r w:rsidRPr="00B73D79">
        <w:rPr>
          <w:rFonts w:ascii="Calibri" w:hAnsi="Calibri" w:cs="Calibri"/>
        </w:rPr>
        <w:t>In deze brief zijn onderstaande beleidsvoorstellen opgenomen:</w:t>
      </w:r>
    </w:p>
    <w:p w:rsidRPr="00B73D79" w:rsidR="00202B73" w:rsidP="00202B73" w:rsidRDefault="00202B73" w14:paraId="5BDAE8BE" w14:textId="77777777">
      <w:pPr>
        <w:spacing w:after="0"/>
        <w:rPr>
          <w:rFonts w:ascii="Calibri" w:hAnsi="Calibri" w:cs="Calibri"/>
        </w:rPr>
      </w:pPr>
    </w:p>
    <w:p w:rsidRPr="00B73D79" w:rsidR="00202B73" w:rsidP="00202B73" w:rsidRDefault="00202B73" w14:paraId="781F98C3" w14:textId="77777777">
      <w:pPr>
        <w:spacing w:after="0"/>
        <w:rPr>
          <w:rFonts w:ascii="Calibri" w:hAnsi="Calibri" w:cs="Calibri"/>
          <w:u w:val="single"/>
        </w:rPr>
      </w:pPr>
      <w:r w:rsidRPr="00B73D79">
        <w:rPr>
          <w:rFonts w:ascii="Calibri" w:hAnsi="Calibri" w:cs="Calibri"/>
          <w:u w:val="single"/>
        </w:rPr>
        <w:t>Suppletoire Begroting September 2025:</w:t>
      </w:r>
    </w:p>
    <w:p w:rsidRPr="00B73D79" w:rsidR="00202B73" w:rsidP="00202B73" w:rsidRDefault="00202B73" w14:paraId="6F346593" w14:textId="77777777">
      <w:pPr>
        <w:spacing w:after="0"/>
        <w:rPr>
          <w:rFonts w:ascii="Calibri" w:hAnsi="Calibri" w:cs="Calibri"/>
          <w:u w:val="single"/>
        </w:rPr>
      </w:pPr>
    </w:p>
    <w:p w:rsidRPr="00B73D79" w:rsidR="00202B73" w:rsidP="00202B73" w:rsidRDefault="00202B73" w14:paraId="4829B89B" w14:textId="77777777">
      <w:pPr>
        <w:spacing w:after="0"/>
        <w:rPr>
          <w:rFonts w:ascii="Calibri" w:hAnsi="Calibri" w:cs="Calibri"/>
          <w:i/>
          <w:iCs/>
        </w:rPr>
      </w:pPr>
      <w:r w:rsidRPr="00B73D79">
        <w:rPr>
          <w:rFonts w:ascii="Calibri" w:hAnsi="Calibri" w:cs="Calibri"/>
          <w:i/>
          <w:iCs/>
        </w:rPr>
        <w:t>Begrotingsartikel 1 Openbaar bestuur en democratie</w:t>
      </w:r>
    </w:p>
    <w:p w:rsidRPr="00B73D79" w:rsidR="00202B73" w:rsidP="00202B73" w:rsidRDefault="00202B73" w14:paraId="039BE40F" w14:textId="77777777">
      <w:pPr>
        <w:pStyle w:val="Lijstalinea"/>
        <w:numPr>
          <w:ilvl w:val="0"/>
          <w:numId w:val="3"/>
        </w:numPr>
        <w:autoSpaceDN w:val="0"/>
        <w:spacing w:after="0" w:line="240" w:lineRule="atLeast"/>
        <w:textAlignment w:val="baseline"/>
        <w:rPr>
          <w:rFonts w:ascii="Calibri" w:hAnsi="Calibri" w:cs="Calibri"/>
          <w:i/>
          <w:iCs/>
        </w:rPr>
      </w:pPr>
      <w:r w:rsidRPr="00B73D79">
        <w:rPr>
          <w:rFonts w:ascii="Calibri" w:hAnsi="Calibri" w:cs="Calibri"/>
        </w:rPr>
        <w:t xml:space="preserve">Organisatie Tweede Kamer verkiezingen </w:t>
      </w:r>
    </w:p>
    <w:p w:rsidRPr="00B73D79" w:rsidR="00202B73" w:rsidP="00202B73" w:rsidRDefault="00202B73" w14:paraId="0E88CD72" w14:textId="77777777">
      <w:pPr>
        <w:spacing w:after="0"/>
        <w:rPr>
          <w:rFonts w:ascii="Calibri" w:hAnsi="Calibri" w:cs="Calibri"/>
        </w:rPr>
      </w:pPr>
    </w:p>
    <w:p w:rsidRPr="00B73D79" w:rsidR="00202B73" w:rsidP="00202B73" w:rsidRDefault="00202B73" w14:paraId="313E5885" w14:textId="77777777">
      <w:pPr>
        <w:spacing w:after="0"/>
        <w:rPr>
          <w:rFonts w:ascii="Calibri" w:hAnsi="Calibri" w:cs="Calibri"/>
          <w:u w:val="single"/>
        </w:rPr>
      </w:pPr>
      <w:r w:rsidRPr="00B73D79">
        <w:rPr>
          <w:rFonts w:ascii="Calibri" w:hAnsi="Calibri" w:cs="Calibri"/>
          <w:u w:val="single"/>
        </w:rPr>
        <w:t>Ontwerpbegroting 2026:</w:t>
      </w:r>
    </w:p>
    <w:p w:rsidRPr="00B73D79" w:rsidR="00202B73" w:rsidP="00202B73" w:rsidRDefault="00202B73" w14:paraId="3FD6B272" w14:textId="77777777">
      <w:pPr>
        <w:spacing w:after="0"/>
        <w:rPr>
          <w:rFonts w:ascii="Calibri" w:hAnsi="Calibri" w:cs="Calibri"/>
          <w:u w:val="single"/>
        </w:rPr>
      </w:pPr>
    </w:p>
    <w:p w:rsidRPr="00B73D79" w:rsidR="00202B73" w:rsidP="00202B73" w:rsidRDefault="00202B73" w14:paraId="2A8887DF" w14:textId="77777777">
      <w:pPr>
        <w:spacing w:after="0"/>
        <w:rPr>
          <w:rFonts w:ascii="Calibri" w:hAnsi="Calibri" w:cs="Calibri"/>
        </w:rPr>
      </w:pPr>
      <w:r w:rsidRPr="00B73D79">
        <w:rPr>
          <w:rFonts w:ascii="Calibri" w:hAnsi="Calibri" w:cs="Calibri"/>
          <w:i/>
          <w:iCs/>
        </w:rPr>
        <w:t>Begrotingsartikel 15 Een veilig Groningen met perspectief:</w:t>
      </w:r>
    </w:p>
    <w:p w:rsidRPr="00B73D79" w:rsidR="00202B73" w:rsidP="00202B73" w:rsidRDefault="00202B73" w14:paraId="52D1424A" w14:textId="77777777">
      <w:pPr>
        <w:pStyle w:val="Lijstalinea"/>
        <w:numPr>
          <w:ilvl w:val="0"/>
          <w:numId w:val="2"/>
        </w:numPr>
        <w:autoSpaceDN w:val="0"/>
        <w:spacing w:after="0" w:line="240" w:lineRule="atLeast"/>
        <w:textAlignment w:val="baseline"/>
        <w:rPr>
          <w:rFonts w:ascii="Calibri" w:hAnsi="Calibri" w:cs="Calibri"/>
        </w:rPr>
      </w:pPr>
      <w:bookmarkStart w:name="_Hlk205994248" w:id="1"/>
      <w:bookmarkStart w:name="_Hlk208488224" w:id="2"/>
      <w:r w:rsidRPr="00B73D79">
        <w:rPr>
          <w:rFonts w:ascii="Calibri" w:hAnsi="Calibri" w:cs="Calibri"/>
        </w:rPr>
        <w:t>Bouwkosten Batch 1588</w:t>
      </w:r>
      <w:bookmarkEnd w:id="1"/>
      <w:r w:rsidRPr="00B73D79">
        <w:rPr>
          <w:rFonts w:ascii="Calibri" w:hAnsi="Calibri" w:cs="Calibri"/>
        </w:rPr>
        <w:t xml:space="preserve"> / Hogere bouwkosten compensatie gemeenten en provincie (Maatregel 17 Nij Begun)</w:t>
      </w:r>
    </w:p>
    <w:p w:rsidRPr="00B73D79" w:rsidR="00202B73" w:rsidP="00202B73" w:rsidRDefault="00202B73" w14:paraId="40E8E747" w14:textId="77777777">
      <w:pPr>
        <w:pStyle w:val="Lijstalinea"/>
        <w:numPr>
          <w:ilvl w:val="0"/>
          <w:numId w:val="2"/>
        </w:numPr>
        <w:autoSpaceDN w:val="0"/>
        <w:spacing w:after="0" w:line="240" w:lineRule="atLeast"/>
        <w:textAlignment w:val="baseline"/>
        <w:rPr>
          <w:rFonts w:ascii="Calibri" w:hAnsi="Calibri" w:cs="Calibri"/>
        </w:rPr>
      </w:pPr>
      <w:r w:rsidRPr="00B73D79">
        <w:rPr>
          <w:rFonts w:ascii="Calibri" w:hAnsi="Calibri" w:cs="Calibri"/>
        </w:rPr>
        <w:t>Sociale Agenda Groningen (Maatregel 34 Nij Begun)</w:t>
      </w:r>
    </w:p>
    <w:p w:rsidRPr="00B73D79" w:rsidR="00202B73" w:rsidP="00202B73" w:rsidRDefault="00202B73" w14:paraId="41FD52D4" w14:textId="77777777">
      <w:pPr>
        <w:pStyle w:val="Lijstalinea"/>
        <w:numPr>
          <w:ilvl w:val="0"/>
          <w:numId w:val="2"/>
        </w:numPr>
        <w:autoSpaceDN w:val="0"/>
        <w:spacing w:after="0" w:line="240" w:lineRule="atLeast"/>
        <w:textAlignment w:val="baseline"/>
        <w:rPr>
          <w:rFonts w:ascii="Calibri" w:hAnsi="Calibri" w:cs="Calibri"/>
        </w:rPr>
      </w:pPr>
      <w:r w:rsidRPr="00B73D79">
        <w:rPr>
          <w:rFonts w:ascii="Calibri" w:hAnsi="Calibri" w:cs="Calibri"/>
        </w:rPr>
        <w:t>Maatwerk onuitlegbare verschillen (Maatregel 12 Nij Begun)</w:t>
      </w:r>
    </w:p>
    <w:p w:rsidRPr="00B73D79" w:rsidR="00202B73" w:rsidP="00202B73" w:rsidRDefault="00202B73" w14:paraId="2E5F6629" w14:textId="77777777">
      <w:pPr>
        <w:pStyle w:val="Lijstalinea"/>
        <w:numPr>
          <w:ilvl w:val="0"/>
          <w:numId w:val="2"/>
        </w:numPr>
        <w:autoSpaceDN w:val="0"/>
        <w:spacing w:after="0" w:line="240" w:lineRule="atLeast"/>
        <w:textAlignment w:val="baseline"/>
        <w:rPr>
          <w:rFonts w:ascii="Calibri" w:hAnsi="Calibri" w:cs="Calibri"/>
        </w:rPr>
      </w:pPr>
      <w:r w:rsidRPr="00B73D79">
        <w:rPr>
          <w:rFonts w:ascii="Calibri" w:hAnsi="Calibri" w:cs="Calibri"/>
        </w:rPr>
        <w:t>Verduurzaming bij (middel) zware versterking (Maatregel 28 Nij Begun)</w:t>
      </w:r>
    </w:p>
    <w:bookmarkEnd w:id="2"/>
    <w:p w:rsidRPr="00B73D79" w:rsidR="00202B73" w:rsidP="00202B73" w:rsidRDefault="00202B73" w14:paraId="1CDEEFE3" w14:textId="77777777">
      <w:pPr>
        <w:spacing w:after="0"/>
        <w:rPr>
          <w:rFonts w:ascii="Calibri" w:hAnsi="Calibri" w:cs="Calibri"/>
        </w:rPr>
      </w:pPr>
    </w:p>
    <w:p w:rsidRPr="00B73D79" w:rsidR="00202B73" w:rsidP="00202B73" w:rsidRDefault="00202B73" w14:paraId="2FA5ABC3" w14:textId="77777777">
      <w:pPr>
        <w:spacing w:after="0"/>
        <w:rPr>
          <w:rFonts w:ascii="Calibri" w:hAnsi="Calibri" w:cs="Calibri"/>
        </w:rPr>
      </w:pPr>
    </w:p>
    <w:p w:rsidRPr="00B73D79" w:rsidR="00202B73" w:rsidP="00202B73" w:rsidRDefault="00202B73" w14:paraId="01BB1895" w14:textId="77777777">
      <w:pPr>
        <w:spacing w:after="0"/>
        <w:rPr>
          <w:rFonts w:ascii="Calibri" w:hAnsi="Calibri" w:cs="Calibri"/>
        </w:rPr>
      </w:pPr>
    </w:p>
    <w:p w:rsidRPr="00B73D79" w:rsidR="00202B73" w:rsidP="00202B73" w:rsidRDefault="00202B73" w14:paraId="4D380CCD" w14:textId="77777777">
      <w:pPr>
        <w:pStyle w:val="Lijstalinea"/>
        <w:numPr>
          <w:ilvl w:val="0"/>
          <w:numId w:val="4"/>
        </w:numPr>
        <w:autoSpaceDN w:val="0"/>
        <w:spacing w:after="0" w:line="240" w:lineRule="atLeast"/>
        <w:textAlignment w:val="baseline"/>
        <w:rPr>
          <w:rFonts w:ascii="Calibri" w:hAnsi="Calibri" w:cs="Calibri"/>
          <w:b/>
          <w:bCs/>
        </w:rPr>
      </w:pPr>
      <w:r w:rsidRPr="00B73D79">
        <w:rPr>
          <w:rFonts w:ascii="Calibri" w:hAnsi="Calibri" w:cs="Calibri"/>
          <w:b/>
          <w:bCs/>
        </w:rPr>
        <w:lastRenderedPageBreak/>
        <w:t>Organisatie Tweede Kamer verkiezingen</w:t>
      </w:r>
    </w:p>
    <w:p w:rsidRPr="00B73D79" w:rsidR="00202B73" w:rsidP="00202B73" w:rsidRDefault="00202B73" w14:paraId="7A4FEE15" w14:textId="77777777">
      <w:pPr>
        <w:pStyle w:val="Lijstalinea"/>
        <w:spacing w:after="0"/>
        <w:rPr>
          <w:rFonts w:ascii="Calibri" w:hAnsi="Calibri" w:cs="Calibri"/>
        </w:rPr>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972"/>
        <w:gridCol w:w="4564"/>
        <w:gridCol w:w="6"/>
      </w:tblGrid>
      <w:tr w:rsidRPr="00B73D79" w:rsidR="00202B73" w:rsidTr="00E838A2" w14:paraId="4DF9526D" w14:textId="77777777">
        <w:trPr>
          <w:trHeight w:val="549"/>
        </w:trPr>
        <w:tc>
          <w:tcPr>
            <w:tcW w:w="5000" w:type="pct"/>
            <w:gridSpan w:val="3"/>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73D79" w:rsidR="00202B73" w:rsidP="00202B73" w:rsidRDefault="00202B73" w14:paraId="676DA51F" w14:textId="77777777">
            <w:pPr>
              <w:spacing w:after="0"/>
              <w:rPr>
                <w:rFonts w:ascii="Calibri" w:hAnsi="Calibri" w:cs="Calibri"/>
                <w:b/>
              </w:rPr>
            </w:pPr>
            <w:bookmarkStart w:name="_Hlk195776199" w:id="3"/>
            <w:r w:rsidRPr="00B73D79">
              <w:rPr>
                <w:rFonts w:ascii="Calibri" w:hAnsi="Calibri" w:cs="Calibri"/>
                <w:b/>
              </w:rPr>
              <w:t xml:space="preserve">Beleidskeuzes uitgelegd </w:t>
            </w:r>
          </w:p>
          <w:p w:rsidRPr="00B73D79" w:rsidR="00202B73" w:rsidP="00202B73" w:rsidRDefault="00202B73" w14:paraId="74647C16" w14:textId="77777777">
            <w:pPr>
              <w:spacing w:after="0"/>
              <w:rPr>
                <w:rFonts w:ascii="Calibri" w:hAnsi="Calibri" w:cs="Calibri"/>
                <w:b/>
              </w:rPr>
            </w:pPr>
          </w:p>
        </w:tc>
      </w:tr>
      <w:tr w:rsidRPr="00B73D79" w:rsidR="00202B73" w:rsidTr="00E838A2" w14:paraId="3C52E36C" w14:textId="77777777">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70DBF1F1" w14:textId="77777777">
            <w:pPr>
              <w:spacing w:after="0"/>
              <w:rPr>
                <w:rFonts w:ascii="Calibri" w:hAnsi="Calibri" w:cs="Calibri"/>
                <w:b/>
              </w:rPr>
            </w:pPr>
          </w:p>
          <w:p w:rsidRPr="00B73D79" w:rsidR="00202B73" w:rsidP="00202B73" w:rsidRDefault="00202B73" w14:paraId="40DD9C4B" w14:textId="77777777">
            <w:pPr>
              <w:numPr>
                <w:ilvl w:val="0"/>
                <w:numId w:val="1"/>
              </w:numPr>
              <w:autoSpaceDN w:val="0"/>
              <w:spacing w:after="0" w:line="240" w:lineRule="atLeast"/>
              <w:textAlignment w:val="baseline"/>
              <w:rPr>
                <w:rFonts w:ascii="Calibri" w:hAnsi="Calibri" w:cs="Calibri"/>
                <w:b/>
              </w:rPr>
            </w:pPr>
            <w:r w:rsidRPr="00B73D79">
              <w:rPr>
                <w:rFonts w:ascii="Calibri" w:hAnsi="Calibri" w:cs="Calibri"/>
                <w:b/>
              </w:rPr>
              <w:t xml:space="preserve">Doel(en) </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10C1B8E6" w14:textId="77777777">
            <w:pPr>
              <w:spacing w:after="0"/>
              <w:rPr>
                <w:rFonts w:ascii="Calibri" w:hAnsi="Calibri" w:cs="Calibri"/>
                <w:bCs/>
              </w:rPr>
            </w:pPr>
            <w:r w:rsidRPr="00B73D79">
              <w:rPr>
                <w:rFonts w:ascii="Calibri" w:hAnsi="Calibri" w:cs="Calibri"/>
                <w:bCs/>
              </w:rPr>
              <w:t>Gemeenten hebben de wettelijke taak verkiezingen te organiseren. Daarvoor ontvangen ze een vergoeding die periodiek wordt uitgekeerd via het Gemeentefonds. De aankomende vervroegde Tweede Kamerverkiezing brengt kosten met zich mee voor gemeenten. Na de Tweede Kamerverkiezing in 2023 is dit de tweede vervroegde verkiezing in korte tijd. De aangenomen motie Timmermans cs. (36760-3) verzoekt de regering voor de organisatie van de vervroegde verkiezing financiële middelen beschikbaar te stellen aan gemeenten.</w:t>
            </w:r>
          </w:p>
          <w:p w:rsidRPr="00B73D79" w:rsidR="00202B73" w:rsidP="00202B73" w:rsidRDefault="00202B73" w14:paraId="72DF0640" w14:textId="77777777">
            <w:pPr>
              <w:spacing w:after="0"/>
              <w:rPr>
                <w:rFonts w:ascii="Calibri" w:hAnsi="Calibri" w:cs="Calibri"/>
                <w:bCs/>
              </w:rPr>
            </w:pPr>
          </w:p>
          <w:p w:rsidRPr="00B73D79" w:rsidR="00202B73" w:rsidP="00202B73" w:rsidRDefault="00202B73" w14:paraId="70FFB604" w14:textId="77777777">
            <w:pPr>
              <w:spacing w:after="0"/>
              <w:rPr>
                <w:rFonts w:ascii="Calibri" w:hAnsi="Calibri" w:cs="Calibri"/>
                <w:bCs/>
              </w:rPr>
            </w:pPr>
            <w:r w:rsidRPr="00B73D79">
              <w:rPr>
                <w:rFonts w:ascii="Calibri" w:hAnsi="Calibri" w:cs="Calibri"/>
                <w:bCs/>
              </w:rPr>
              <w:t>Met deze extra eenmalige vergoeding komt het kabinet gemeenten tegemoet in de extra kosten voor de organisatie van de aankomende vervroegde Tweede Kamer verkiezing. Hierdoor hebben gemeenten voldoende middelen beschikbaar om de vervroegde verkiezing te  organiseren.</w:t>
            </w:r>
          </w:p>
          <w:p w:rsidRPr="00B73D79" w:rsidR="00202B73" w:rsidP="00202B73" w:rsidRDefault="00202B73" w14:paraId="1CF69F88" w14:textId="77777777">
            <w:pPr>
              <w:spacing w:after="0"/>
              <w:rPr>
                <w:rFonts w:ascii="Calibri" w:hAnsi="Calibri" w:cs="Calibri"/>
                <w:b/>
              </w:rPr>
            </w:pPr>
          </w:p>
        </w:tc>
      </w:tr>
      <w:tr w:rsidRPr="00B73D79" w:rsidR="00202B73" w:rsidTr="00E838A2" w14:paraId="4ED40B08" w14:textId="77777777">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52EB76DB" w14:textId="77777777">
            <w:pPr>
              <w:spacing w:after="0"/>
              <w:rPr>
                <w:rFonts w:ascii="Calibri" w:hAnsi="Calibri" w:cs="Calibri"/>
                <w:b/>
              </w:rPr>
            </w:pPr>
          </w:p>
          <w:p w:rsidRPr="00B73D79" w:rsidR="00202B73" w:rsidP="00202B73" w:rsidRDefault="00202B73" w14:paraId="2E3B9A7C" w14:textId="77777777">
            <w:pPr>
              <w:numPr>
                <w:ilvl w:val="0"/>
                <w:numId w:val="1"/>
              </w:numPr>
              <w:autoSpaceDN w:val="0"/>
              <w:spacing w:after="0" w:line="240" w:lineRule="atLeast"/>
              <w:textAlignment w:val="baseline"/>
              <w:rPr>
                <w:rFonts w:ascii="Calibri" w:hAnsi="Calibri" w:cs="Calibri"/>
                <w:b/>
              </w:rPr>
            </w:pPr>
            <w:r w:rsidRPr="00B73D79">
              <w:rPr>
                <w:rFonts w:ascii="Calibri" w:hAnsi="Calibri" w:cs="Calibri"/>
                <w:b/>
              </w:rPr>
              <w:t>Beleidsinstrument(en)</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3FA2423E" w14:textId="77777777">
            <w:pPr>
              <w:spacing w:after="0"/>
              <w:rPr>
                <w:rFonts w:ascii="Calibri" w:hAnsi="Calibri" w:cs="Calibri"/>
                <w:bCs/>
              </w:rPr>
            </w:pPr>
            <w:r w:rsidRPr="00B73D79">
              <w:rPr>
                <w:rFonts w:ascii="Calibri" w:hAnsi="Calibri" w:cs="Calibri"/>
                <w:bCs/>
              </w:rPr>
              <w:t>Het gekozen beleidsinstrument betreft het toevoegen van de middelen aan de algemene uitkering (AU) van het Gemeentefonds. Via de vaste verdeelsleutel worden de middelen verdeeld over gemeenten.</w:t>
            </w:r>
          </w:p>
        </w:tc>
      </w:tr>
      <w:tr w:rsidRPr="00B73D79" w:rsidR="00202B73" w:rsidTr="00E838A2" w14:paraId="67AAF769" w14:textId="77777777">
        <w:trPr>
          <w:gridAfter w:val="1"/>
          <w:wAfter w:w="4" w:type="pct"/>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37B808D3" w14:textId="77777777">
            <w:pPr>
              <w:spacing w:after="0"/>
              <w:rPr>
                <w:rFonts w:ascii="Calibri" w:hAnsi="Calibri" w:cs="Calibri"/>
                <w:bCs/>
              </w:rPr>
            </w:pPr>
          </w:p>
          <w:p w:rsidRPr="00B73D79" w:rsidR="00202B73" w:rsidP="00202B73" w:rsidRDefault="00202B73" w14:paraId="2A37551B" w14:textId="77777777">
            <w:pPr>
              <w:numPr>
                <w:ilvl w:val="0"/>
                <w:numId w:val="1"/>
              </w:numPr>
              <w:autoSpaceDN w:val="0"/>
              <w:spacing w:after="0" w:line="240" w:lineRule="atLeast"/>
              <w:textAlignment w:val="baseline"/>
              <w:rPr>
                <w:rFonts w:ascii="Calibri" w:hAnsi="Calibri" w:cs="Calibri"/>
                <w:b/>
              </w:rPr>
            </w:pPr>
            <w:r w:rsidRPr="00B73D79">
              <w:rPr>
                <w:rFonts w:ascii="Calibri" w:hAnsi="Calibri" w:cs="Calibri"/>
                <w:b/>
              </w:rPr>
              <w:t>Financiële gevolgen</w:t>
            </w:r>
          </w:p>
          <w:p w:rsidRPr="00B73D79" w:rsidR="00202B73" w:rsidP="00202B73" w:rsidRDefault="00202B73" w14:paraId="27C8A71B" w14:textId="77777777">
            <w:pPr>
              <w:spacing w:after="0"/>
              <w:rPr>
                <w:rFonts w:ascii="Calibri" w:hAnsi="Calibri" w:cs="Calibri"/>
                <w:b/>
              </w:rPr>
            </w:pPr>
          </w:p>
          <w:p w:rsidRPr="00B73D79" w:rsidR="00202B73" w:rsidP="00202B73" w:rsidRDefault="00202B73" w14:paraId="57BF766C" w14:textId="77777777">
            <w:pPr>
              <w:spacing w:after="0"/>
              <w:rPr>
                <w:rFonts w:ascii="Calibri" w:hAnsi="Calibri" w:cs="Calibri"/>
                <w:b/>
              </w:rPr>
            </w:pPr>
            <w:r w:rsidRPr="00B73D79">
              <w:rPr>
                <w:rFonts w:ascii="Calibri" w:hAnsi="Calibri" w:cs="Calibri"/>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672EEF3D" w14:textId="77777777">
            <w:pPr>
              <w:spacing w:after="0"/>
              <w:rPr>
                <w:rFonts w:ascii="Calibri" w:hAnsi="Calibri" w:cs="Calibri"/>
              </w:rPr>
            </w:pPr>
          </w:p>
          <w:tbl>
            <w:tblPr>
              <w:tblStyle w:val="Tabelraster"/>
              <w:tblW w:w="0" w:type="auto"/>
              <w:tblInd w:w="0" w:type="dxa"/>
              <w:tblLook w:val="04A0" w:firstRow="1" w:lastRow="0" w:firstColumn="1" w:lastColumn="0" w:noHBand="0" w:noVBand="1"/>
            </w:tblPr>
            <w:tblGrid>
              <w:gridCol w:w="2169"/>
              <w:gridCol w:w="988"/>
            </w:tblGrid>
            <w:tr w:rsidRPr="00B73D79" w:rsidR="00202B73" w:rsidTr="00E838A2" w14:paraId="3EC5BD13" w14:textId="77777777">
              <w:tc>
                <w:tcPr>
                  <w:tcW w:w="2169" w:type="dxa"/>
                </w:tcPr>
                <w:p w:rsidRPr="00B73D79" w:rsidR="00202B73" w:rsidP="00202B73" w:rsidRDefault="00202B73" w14:paraId="0E9CE77B" w14:textId="77777777">
                  <w:pPr>
                    <w:rPr>
                      <w:rFonts w:ascii="Calibri" w:hAnsi="Calibri" w:cs="Calibri"/>
                      <w:b/>
                      <w:sz w:val="22"/>
                      <w:szCs w:val="22"/>
                    </w:rPr>
                  </w:pPr>
                  <w:r w:rsidRPr="00B73D79">
                    <w:rPr>
                      <w:rFonts w:ascii="Calibri" w:hAnsi="Calibri" w:cs="Calibri"/>
                      <w:b/>
                      <w:sz w:val="22"/>
                      <w:szCs w:val="22"/>
                    </w:rPr>
                    <w:t>Bedragen x € mln.</w:t>
                  </w:r>
                </w:p>
              </w:tc>
              <w:tc>
                <w:tcPr>
                  <w:tcW w:w="988" w:type="dxa"/>
                </w:tcPr>
                <w:p w:rsidRPr="00B73D79" w:rsidR="00202B73" w:rsidP="00202B73" w:rsidRDefault="00202B73" w14:paraId="346917E0" w14:textId="77777777">
                  <w:pPr>
                    <w:rPr>
                      <w:rFonts w:ascii="Calibri" w:hAnsi="Calibri" w:cs="Calibri"/>
                      <w:b/>
                      <w:sz w:val="22"/>
                      <w:szCs w:val="22"/>
                    </w:rPr>
                  </w:pPr>
                  <w:r w:rsidRPr="00B73D79">
                    <w:rPr>
                      <w:rFonts w:ascii="Calibri" w:hAnsi="Calibri" w:cs="Calibri"/>
                      <w:b/>
                      <w:sz w:val="22"/>
                      <w:szCs w:val="22"/>
                    </w:rPr>
                    <w:t>2025</w:t>
                  </w:r>
                </w:p>
              </w:tc>
            </w:tr>
            <w:tr w:rsidRPr="00B73D79" w:rsidR="00202B73" w:rsidTr="00E838A2" w14:paraId="73DBD9EF" w14:textId="77777777">
              <w:trPr>
                <w:trHeight w:val="397"/>
              </w:trPr>
              <w:tc>
                <w:tcPr>
                  <w:tcW w:w="2169" w:type="dxa"/>
                </w:tcPr>
                <w:p w:rsidRPr="00B73D79" w:rsidR="00202B73" w:rsidP="00202B73" w:rsidRDefault="00202B73" w14:paraId="42F34D6E" w14:textId="77777777">
                  <w:pPr>
                    <w:rPr>
                      <w:rFonts w:ascii="Calibri" w:hAnsi="Calibri" w:cs="Calibri"/>
                      <w:bCs/>
                      <w:sz w:val="22"/>
                      <w:szCs w:val="22"/>
                    </w:rPr>
                  </w:pPr>
                  <w:r w:rsidRPr="00B73D79">
                    <w:rPr>
                      <w:rFonts w:ascii="Calibri" w:hAnsi="Calibri" w:cs="Calibri"/>
                      <w:bCs/>
                      <w:sz w:val="22"/>
                      <w:szCs w:val="22"/>
                    </w:rPr>
                    <w:t>Extra vergoeding organisatie Tweede Kamerverkiezing 2025</w:t>
                  </w:r>
                </w:p>
              </w:tc>
              <w:tc>
                <w:tcPr>
                  <w:tcW w:w="988" w:type="dxa"/>
                </w:tcPr>
                <w:p w:rsidRPr="00B73D79" w:rsidR="00202B73" w:rsidP="00202B73" w:rsidRDefault="00202B73" w14:paraId="0AEE5266" w14:textId="77777777">
                  <w:pPr>
                    <w:rPr>
                      <w:rFonts w:ascii="Calibri" w:hAnsi="Calibri" w:cs="Calibri"/>
                      <w:bCs/>
                      <w:sz w:val="22"/>
                      <w:szCs w:val="22"/>
                    </w:rPr>
                  </w:pPr>
                  <w:r w:rsidRPr="00B73D79">
                    <w:rPr>
                      <w:rFonts w:ascii="Calibri" w:hAnsi="Calibri" w:cs="Calibri"/>
                      <w:bCs/>
                      <w:sz w:val="22"/>
                      <w:szCs w:val="22"/>
                    </w:rPr>
                    <w:t xml:space="preserve"> 60</w:t>
                  </w:r>
                </w:p>
              </w:tc>
            </w:tr>
          </w:tbl>
          <w:p w:rsidRPr="00B73D79" w:rsidR="00202B73" w:rsidP="00202B73" w:rsidRDefault="00202B73" w14:paraId="54449F95" w14:textId="77777777">
            <w:pPr>
              <w:spacing w:after="0"/>
              <w:rPr>
                <w:rFonts w:ascii="Calibri" w:hAnsi="Calibri" w:cs="Calibri"/>
                <w:b/>
              </w:rPr>
            </w:pPr>
          </w:p>
        </w:tc>
      </w:tr>
      <w:tr w:rsidRPr="00B73D79" w:rsidR="00202B73" w:rsidTr="00E838A2" w14:paraId="1EDF2AE7" w14:textId="77777777">
        <w:trPr>
          <w:gridAfter w:val="1"/>
          <w:wAfter w:w="4" w:type="pct"/>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24E260A5" w14:textId="77777777">
            <w:pPr>
              <w:spacing w:after="0"/>
              <w:rPr>
                <w:rFonts w:ascii="Calibri" w:hAnsi="Calibri" w:cs="Calibri"/>
                <w:bCs/>
              </w:rPr>
            </w:pPr>
          </w:p>
          <w:p w:rsidRPr="00B73D79" w:rsidR="00202B73" w:rsidP="00202B73" w:rsidRDefault="00202B73" w14:paraId="1BA26A31" w14:textId="77777777">
            <w:pPr>
              <w:spacing w:after="0"/>
              <w:rPr>
                <w:rFonts w:ascii="Calibri" w:hAnsi="Calibri" w:cs="Calibri"/>
                <w:b/>
              </w:rPr>
            </w:pPr>
            <w:r w:rsidRPr="00B73D79">
              <w:rPr>
                <w:rFonts w:ascii="Calibri" w:hAnsi="Calibri" w:cs="Calibri"/>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40D0A1E2" w14:textId="77777777">
            <w:pPr>
              <w:spacing w:after="0"/>
              <w:rPr>
                <w:rFonts w:ascii="Calibri" w:hAnsi="Calibri" w:cs="Calibri"/>
                <w:bCs/>
              </w:rPr>
            </w:pPr>
            <w:r w:rsidRPr="00B73D79">
              <w:rPr>
                <w:rFonts w:ascii="Calibri" w:hAnsi="Calibri" w:cs="Calibri"/>
                <w:bCs/>
              </w:rPr>
              <w:t>De middelen komen via het gemeentefonds direct ten bate van gemeenten.</w:t>
            </w:r>
          </w:p>
        </w:tc>
      </w:tr>
      <w:tr w:rsidRPr="00B73D79" w:rsidR="00202B73" w:rsidTr="00E838A2" w14:paraId="594DA2E0" w14:textId="77777777">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727DA48D" w14:textId="77777777">
            <w:pPr>
              <w:spacing w:after="0"/>
              <w:rPr>
                <w:rFonts w:ascii="Calibri" w:hAnsi="Calibri" w:cs="Calibri"/>
                <w:b/>
              </w:rPr>
            </w:pPr>
          </w:p>
          <w:p w:rsidRPr="00B73D79" w:rsidR="00202B73" w:rsidP="00202B73" w:rsidRDefault="00202B73" w14:paraId="591E9DBF" w14:textId="77777777">
            <w:pPr>
              <w:numPr>
                <w:ilvl w:val="0"/>
                <w:numId w:val="1"/>
              </w:numPr>
              <w:autoSpaceDN w:val="0"/>
              <w:spacing w:after="0" w:line="240" w:lineRule="atLeast"/>
              <w:textAlignment w:val="baseline"/>
              <w:rPr>
                <w:rFonts w:ascii="Calibri" w:hAnsi="Calibri" w:cs="Calibri"/>
                <w:b/>
              </w:rPr>
            </w:pPr>
            <w:r w:rsidRPr="00B73D79">
              <w:rPr>
                <w:rFonts w:ascii="Calibri" w:hAnsi="Calibri" w:cs="Calibri"/>
                <w:b/>
              </w:rPr>
              <w:t>Nagestreefde doeltreffendheid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06969137" w14:textId="77777777">
            <w:pPr>
              <w:spacing w:after="0"/>
              <w:rPr>
                <w:rFonts w:ascii="Calibri" w:hAnsi="Calibri" w:cs="Calibri"/>
                <w:bCs/>
              </w:rPr>
            </w:pPr>
            <w:r w:rsidRPr="00B73D79">
              <w:rPr>
                <w:rFonts w:ascii="Calibri" w:hAnsi="Calibri" w:cs="Calibri"/>
                <w:bCs/>
              </w:rPr>
              <w:t>Verkiezingen zijn de ruggengraat van onze democratie. Met de beschikbare middelen kunnen gemeenten hun taak om verkiezingen te organiseren naar behoren uitvoeren.</w:t>
            </w:r>
          </w:p>
        </w:tc>
      </w:tr>
      <w:tr w:rsidRPr="00B73D79" w:rsidR="00202B73" w:rsidTr="00E838A2" w14:paraId="56894BDA"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126E588C" w14:textId="77777777">
            <w:pPr>
              <w:spacing w:after="0"/>
              <w:rPr>
                <w:rFonts w:ascii="Calibri" w:hAnsi="Calibri" w:cs="Calibri"/>
                <w:b/>
              </w:rPr>
            </w:pPr>
          </w:p>
          <w:p w:rsidRPr="00B73D79" w:rsidR="00202B73" w:rsidP="00202B73" w:rsidRDefault="00202B73" w14:paraId="2E47BF4A" w14:textId="77777777">
            <w:pPr>
              <w:numPr>
                <w:ilvl w:val="0"/>
                <w:numId w:val="1"/>
              </w:numPr>
              <w:autoSpaceDN w:val="0"/>
              <w:spacing w:after="0" w:line="240" w:lineRule="atLeast"/>
              <w:textAlignment w:val="baseline"/>
              <w:rPr>
                <w:rFonts w:ascii="Calibri" w:hAnsi="Calibri" w:cs="Calibri"/>
                <w:b/>
              </w:rPr>
            </w:pPr>
            <w:r w:rsidRPr="00B73D79">
              <w:rPr>
                <w:rFonts w:ascii="Calibri" w:hAnsi="Calibri" w:cs="Calibri"/>
                <w:b/>
              </w:rPr>
              <w:t>Nagestreefde doelmatigheid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118237DA" w14:textId="77777777">
            <w:pPr>
              <w:spacing w:after="0"/>
              <w:rPr>
                <w:rFonts w:ascii="Calibri" w:hAnsi="Calibri" w:cs="Calibri"/>
                <w:bCs/>
              </w:rPr>
            </w:pPr>
            <w:r w:rsidRPr="00B73D79">
              <w:rPr>
                <w:rFonts w:ascii="Calibri" w:hAnsi="Calibri" w:cs="Calibri"/>
                <w:bCs/>
              </w:rPr>
              <w:t>Bij het vaststellen van de hoogte van de eenmalige extra vergoeding is met een aantal factoren rekening gehouden:</w:t>
            </w:r>
          </w:p>
          <w:p w:rsidRPr="00B73D79" w:rsidR="00202B73" w:rsidP="00202B73" w:rsidRDefault="00202B73" w14:paraId="4BA561FD" w14:textId="77777777">
            <w:pPr>
              <w:spacing w:after="0"/>
              <w:rPr>
                <w:rFonts w:ascii="Calibri" w:hAnsi="Calibri" w:cs="Calibri"/>
                <w:bCs/>
              </w:rPr>
            </w:pPr>
          </w:p>
          <w:p w:rsidRPr="00B73D79" w:rsidR="00202B73" w:rsidP="00202B73" w:rsidRDefault="00202B73" w14:paraId="22ACFECE" w14:textId="77777777">
            <w:pPr>
              <w:spacing w:after="0"/>
              <w:rPr>
                <w:rFonts w:ascii="Calibri" w:hAnsi="Calibri" w:cs="Calibri"/>
                <w:bCs/>
              </w:rPr>
            </w:pPr>
            <w:r w:rsidRPr="00B73D79">
              <w:rPr>
                <w:rFonts w:ascii="Calibri" w:hAnsi="Calibri" w:cs="Calibri"/>
                <w:bCs/>
              </w:rPr>
              <w:t>• Het bedrag is gebaseerd op onderzoek naar de kosten voor gemeenten bij de organisatie van reguliere verkiezingen in 2023 en 2024</w:t>
            </w:r>
            <w:r w:rsidRPr="00B73D79">
              <w:rPr>
                <w:rStyle w:val="Voetnootmarkering"/>
                <w:rFonts w:ascii="Calibri" w:hAnsi="Calibri" w:cs="Calibri"/>
                <w:bCs/>
              </w:rPr>
              <w:footnoteReference w:id="1"/>
            </w:r>
            <w:r w:rsidRPr="00B73D79">
              <w:rPr>
                <w:rFonts w:ascii="Calibri" w:hAnsi="Calibri" w:cs="Calibri"/>
                <w:bCs/>
              </w:rPr>
              <w:t xml:space="preserve">. </w:t>
            </w:r>
          </w:p>
          <w:p w:rsidRPr="00B73D79" w:rsidR="00202B73" w:rsidP="00202B73" w:rsidRDefault="00202B73" w14:paraId="61B7DAC8" w14:textId="77777777">
            <w:pPr>
              <w:spacing w:after="0"/>
              <w:rPr>
                <w:rFonts w:ascii="Calibri" w:hAnsi="Calibri" w:cs="Calibri"/>
                <w:bCs/>
              </w:rPr>
            </w:pPr>
            <w:r w:rsidRPr="00B73D79">
              <w:rPr>
                <w:rFonts w:ascii="Calibri" w:hAnsi="Calibri" w:cs="Calibri"/>
                <w:bCs/>
              </w:rPr>
              <w:t>• Er is rekening gehouden met algemene prijsstijgingen sinds de verkiezingen in het kostenonderzoek.</w:t>
            </w:r>
          </w:p>
          <w:p w:rsidRPr="00B73D79" w:rsidR="00202B73" w:rsidP="00202B73" w:rsidRDefault="00202B73" w14:paraId="65512277" w14:textId="77777777">
            <w:pPr>
              <w:spacing w:after="0"/>
              <w:rPr>
                <w:rFonts w:ascii="Calibri" w:hAnsi="Calibri" w:cs="Calibri"/>
                <w:bCs/>
              </w:rPr>
            </w:pPr>
            <w:r w:rsidRPr="00B73D79">
              <w:rPr>
                <w:rFonts w:ascii="Calibri" w:hAnsi="Calibri" w:cs="Calibri"/>
                <w:bCs/>
              </w:rPr>
              <w:t>• Gemeenten ontvangen jaarlijks een vergoeding voor het organiseren van verkiezingen in het gemeentefonds.</w:t>
            </w:r>
          </w:p>
          <w:p w:rsidRPr="00B73D79" w:rsidR="00202B73" w:rsidP="00202B73" w:rsidRDefault="00202B73" w14:paraId="74A41A13" w14:textId="77777777">
            <w:pPr>
              <w:spacing w:after="0"/>
              <w:rPr>
                <w:rFonts w:ascii="Calibri" w:hAnsi="Calibri" w:cs="Calibri"/>
                <w:bCs/>
              </w:rPr>
            </w:pPr>
            <w:r w:rsidRPr="00B73D79">
              <w:rPr>
                <w:rFonts w:ascii="Calibri" w:hAnsi="Calibri" w:cs="Calibri"/>
                <w:bCs/>
              </w:rPr>
              <w:t>• De Tweede Kamerverkiezing vindt twee jaar eerder plaats dan gepland en daarom is rekening gehouden met een vergoeding naar rato.</w:t>
            </w:r>
          </w:p>
        </w:tc>
      </w:tr>
      <w:tr w:rsidRPr="00B73D79" w:rsidR="00202B73" w:rsidTr="00E838A2" w14:paraId="421736A3"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6C2FDB42" w14:textId="77777777">
            <w:pPr>
              <w:spacing w:after="0"/>
              <w:rPr>
                <w:rFonts w:ascii="Calibri" w:hAnsi="Calibri" w:cs="Calibri"/>
                <w:b/>
              </w:rPr>
            </w:pPr>
          </w:p>
          <w:p w:rsidRPr="00B73D79" w:rsidR="00202B73" w:rsidP="00202B73" w:rsidRDefault="00202B73" w14:paraId="02FB76DB" w14:textId="77777777">
            <w:pPr>
              <w:numPr>
                <w:ilvl w:val="0"/>
                <w:numId w:val="1"/>
              </w:numPr>
              <w:autoSpaceDN w:val="0"/>
              <w:spacing w:after="0" w:line="240" w:lineRule="atLeast"/>
              <w:textAlignment w:val="baseline"/>
              <w:rPr>
                <w:rFonts w:ascii="Calibri" w:hAnsi="Calibri" w:cs="Calibri"/>
                <w:b/>
              </w:rPr>
            </w:pPr>
            <w:r w:rsidRPr="00B73D79">
              <w:rPr>
                <w:rFonts w:ascii="Calibri" w:hAnsi="Calibri" w:cs="Calibri"/>
                <w:b/>
              </w:rPr>
              <w:t>Evaluatieparagraaf</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040B570D" w14:textId="77777777">
            <w:pPr>
              <w:spacing w:after="0"/>
              <w:rPr>
                <w:rFonts w:ascii="Calibri" w:hAnsi="Calibri" w:cs="Calibri"/>
                <w:bCs/>
              </w:rPr>
            </w:pPr>
            <w:r w:rsidRPr="00B73D79">
              <w:rPr>
                <w:rFonts w:ascii="Calibri" w:hAnsi="Calibri" w:cs="Calibri"/>
                <w:bCs/>
              </w:rPr>
              <w:t>Iedere verkiezing wordt geëvalueerd met als doel te onderzoeken welke verbeteringen in het verkiezingsproces mogelijk zijn. Hierbij wordt ook geëvalueerd hoe in het algemeen de organisatie van de verkiezing is verlopen, en gereageerd op eventuele evaluatie-adviezen van de Kiesraad, VNG en NVVB.</w:t>
            </w:r>
          </w:p>
        </w:tc>
      </w:tr>
      <w:bookmarkEnd w:id="3"/>
    </w:tbl>
    <w:p w:rsidRPr="00B73D79" w:rsidR="00202B73" w:rsidP="00202B73" w:rsidRDefault="00202B73" w14:paraId="0F97DC6E" w14:textId="77777777">
      <w:pPr>
        <w:spacing w:after="0"/>
        <w:rPr>
          <w:rFonts w:ascii="Calibri" w:hAnsi="Calibri" w:cs="Calibri"/>
        </w:rPr>
      </w:pPr>
    </w:p>
    <w:p w:rsidRPr="00B73D79" w:rsidR="00202B73" w:rsidP="00202B73" w:rsidRDefault="00202B73" w14:paraId="4FF02E9E" w14:textId="77777777">
      <w:pPr>
        <w:spacing w:after="0"/>
        <w:rPr>
          <w:rFonts w:ascii="Calibri" w:hAnsi="Calibri" w:cs="Calibri"/>
        </w:rPr>
      </w:pPr>
    </w:p>
    <w:p w:rsidRPr="00B73D79" w:rsidR="00202B73" w:rsidP="00202B73" w:rsidRDefault="00202B73" w14:paraId="4C394840" w14:textId="77777777">
      <w:pPr>
        <w:spacing w:after="0"/>
        <w:rPr>
          <w:rFonts w:ascii="Calibri" w:hAnsi="Calibri" w:cs="Calibri"/>
        </w:rPr>
      </w:pPr>
    </w:p>
    <w:p w:rsidRPr="00B73D79" w:rsidR="00202B73" w:rsidP="00202B73" w:rsidRDefault="00202B73" w14:paraId="4C95ABD2" w14:textId="77777777">
      <w:pPr>
        <w:spacing w:after="0"/>
        <w:rPr>
          <w:rFonts w:ascii="Calibri" w:hAnsi="Calibri" w:cs="Calibri"/>
        </w:rPr>
      </w:pPr>
    </w:p>
    <w:p w:rsidRPr="00B73D79" w:rsidR="00202B73" w:rsidP="00202B73" w:rsidRDefault="00202B73" w14:paraId="24ED78B3" w14:textId="77777777">
      <w:pPr>
        <w:spacing w:after="0"/>
        <w:rPr>
          <w:rFonts w:ascii="Calibri" w:hAnsi="Calibri" w:cs="Calibri"/>
        </w:rPr>
      </w:pPr>
    </w:p>
    <w:p w:rsidRPr="00B73D79" w:rsidR="00202B73" w:rsidP="00202B73" w:rsidRDefault="00202B73" w14:paraId="453C2399" w14:textId="77777777">
      <w:pPr>
        <w:spacing w:after="0"/>
        <w:rPr>
          <w:rFonts w:ascii="Calibri" w:hAnsi="Calibri" w:cs="Calibri"/>
        </w:rPr>
      </w:pPr>
    </w:p>
    <w:p w:rsidRPr="00B73D79" w:rsidR="00202B73" w:rsidP="00202B73" w:rsidRDefault="00202B73" w14:paraId="2F2E83BE" w14:textId="77777777">
      <w:pPr>
        <w:spacing w:after="0"/>
        <w:rPr>
          <w:rFonts w:ascii="Calibri" w:hAnsi="Calibri" w:cs="Calibri"/>
        </w:rPr>
      </w:pPr>
    </w:p>
    <w:p w:rsidRPr="00B73D79" w:rsidR="00202B73" w:rsidP="00202B73" w:rsidRDefault="00202B73" w14:paraId="2680DDBA" w14:textId="77777777">
      <w:pPr>
        <w:spacing w:after="0"/>
        <w:rPr>
          <w:rFonts w:ascii="Calibri" w:hAnsi="Calibri" w:cs="Calibri"/>
        </w:rPr>
      </w:pPr>
    </w:p>
    <w:p w:rsidRPr="00B73D79" w:rsidR="00202B73" w:rsidP="00202B73" w:rsidRDefault="00202B73" w14:paraId="38C6E9E9" w14:textId="77777777">
      <w:pPr>
        <w:spacing w:after="0"/>
        <w:rPr>
          <w:rFonts w:ascii="Calibri" w:hAnsi="Calibri" w:cs="Calibri"/>
        </w:rPr>
      </w:pPr>
    </w:p>
    <w:p w:rsidRPr="00B73D79" w:rsidR="00202B73" w:rsidP="00202B73" w:rsidRDefault="00202B73" w14:paraId="4208521B" w14:textId="77777777">
      <w:pPr>
        <w:spacing w:after="0"/>
        <w:rPr>
          <w:rFonts w:ascii="Calibri" w:hAnsi="Calibri" w:cs="Calibri"/>
        </w:rPr>
      </w:pPr>
    </w:p>
    <w:p w:rsidRPr="00B73D79" w:rsidR="00202B73" w:rsidP="00202B73" w:rsidRDefault="00202B73" w14:paraId="5442B411" w14:textId="77777777">
      <w:pPr>
        <w:spacing w:after="0"/>
        <w:rPr>
          <w:rFonts w:ascii="Calibri" w:hAnsi="Calibri" w:cs="Calibri"/>
        </w:rPr>
      </w:pPr>
    </w:p>
    <w:p w:rsidRPr="00B73D79" w:rsidR="00202B73" w:rsidP="00202B73" w:rsidRDefault="00202B73" w14:paraId="1E02DD59" w14:textId="77777777">
      <w:pPr>
        <w:spacing w:after="0"/>
        <w:rPr>
          <w:rFonts w:ascii="Calibri" w:hAnsi="Calibri" w:cs="Calibri"/>
        </w:rPr>
      </w:pPr>
    </w:p>
    <w:p w:rsidRPr="00B73D79" w:rsidR="00202B73" w:rsidP="00202B73" w:rsidRDefault="00202B73" w14:paraId="6EF26BC2" w14:textId="77777777">
      <w:pPr>
        <w:spacing w:after="0"/>
        <w:rPr>
          <w:rFonts w:ascii="Calibri" w:hAnsi="Calibri" w:cs="Calibri"/>
        </w:rPr>
      </w:pPr>
    </w:p>
    <w:p w:rsidRPr="00B73D79" w:rsidR="00202B73" w:rsidP="00202B73" w:rsidRDefault="00202B73" w14:paraId="651CD5CE" w14:textId="77777777">
      <w:pPr>
        <w:spacing w:after="0"/>
        <w:rPr>
          <w:rFonts w:ascii="Calibri" w:hAnsi="Calibri" w:cs="Calibri"/>
        </w:rPr>
      </w:pPr>
    </w:p>
    <w:p w:rsidRPr="00B73D79" w:rsidR="00202B73" w:rsidP="00202B73" w:rsidRDefault="00202B73" w14:paraId="1E432212" w14:textId="77777777">
      <w:pPr>
        <w:spacing w:after="0"/>
        <w:rPr>
          <w:rFonts w:ascii="Calibri" w:hAnsi="Calibri" w:cs="Calibri"/>
        </w:rPr>
      </w:pPr>
    </w:p>
    <w:p w:rsidRPr="00B73D79" w:rsidR="00202B73" w:rsidP="00202B73" w:rsidRDefault="00202B73" w14:paraId="107EC50A" w14:textId="77777777">
      <w:pPr>
        <w:spacing w:after="0"/>
        <w:rPr>
          <w:rFonts w:ascii="Calibri" w:hAnsi="Calibri" w:cs="Calibri"/>
        </w:rPr>
      </w:pPr>
    </w:p>
    <w:p w:rsidRPr="00B73D79" w:rsidR="00202B73" w:rsidP="00202B73" w:rsidRDefault="00202B73" w14:paraId="6A59C275" w14:textId="77777777">
      <w:pPr>
        <w:spacing w:after="0"/>
        <w:rPr>
          <w:rFonts w:ascii="Calibri" w:hAnsi="Calibri" w:cs="Calibri"/>
        </w:rPr>
      </w:pPr>
    </w:p>
    <w:p w:rsidRPr="00B73D79" w:rsidR="00202B73" w:rsidP="00202B73" w:rsidRDefault="00202B73" w14:paraId="1085FAB1" w14:textId="77777777">
      <w:pPr>
        <w:spacing w:after="0"/>
        <w:rPr>
          <w:rFonts w:ascii="Calibri" w:hAnsi="Calibri" w:cs="Calibri"/>
        </w:rPr>
      </w:pPr>
    </w:p>
    <w:p w:rsidRPr="00B73D79" w:rsidR="00202B73" w:rsidP="00202B73" w:rsidRDefault="00202B73" w14:paraId="7EEF1943" w14:textId="77777777">
      <w:pPr>
        <w:spacing w:after="0"/>
        <w:rPr>
          <w:rFonts w:ascii="Calibri" w:hAnsi="Calibri" w:cs="Calibri"/>
        </w:rPr>
      </w:pPr>
    </w:p>
    <w:p w:rsidRPr="00B73D79" w:rsidR="00202B73" w:rsidP="00202B73" w:rsidRDefault="00202B73" w14:paraId="35A90BB0" w14:textId="77777777">
      <w:pPr>
        <w:spacing w:after="0"/>
        <w:rPr>
          <w:rFonts w:ascii="Calibri" w:hAnsi="Calibri" w:cs="Calibri"/>
        </w:rPr>
      </w:pPr>
    </w:p>
    <w:p w:rsidRPr="00B73D79" w:rsidR="00202B73" w:rsidP="00202B73" w:rsidRDefault="00202B73" w14:paraId="31322B97" w14:textId="77777777">
      <w:pPr>
        <w:spacing w:after="0"/>
        <w:rPr>
          <w:rFonts w:ascii="Calibri" w:hAnsi="Calibri" w:cs="Calibri"/>
        </w:rPr>
      </w:pPr>
    </w:p>
    <w:p w:rsidRPr="00B73D79" w:rsidR="00202B73" w:rsidP="00202B73" w:rsidRDefault="00202B73" w14:paraId="6CBF12B9" w14:textId="77777777">
      <w:pPr>
        <w:spacing w:after="0"/>
        <w:rPr>
          <w:rFonts w:ascii="Calibri" w:hAnsi="Calibri" w:cs="Calibri"/>
        </w:rPr>
      </w:pPr>
    </w:p>
    <w:p w:rsidRPr="00B73D79" w:rsidR="00202B73" w:rsidP="00202B73" w:rsidRDefault="00202B73" w14:paraId="793E3F5C" w14:textId="77777777">
      <w:pPr>
        <w:spacing w:after="0"/>
        <w:rPr>
          <w:rFonts w:ascii="Calibri" w:hAnsi="Calibri" w:cs="Calibri"/>
        </w:rPr>
      </w:pPr>
    </w:p>
    <w:p w:rsidRPr="00B73D79" w:rsidR="00202B73" w:rsidP="00202B73" w:rsidRDefault="00202B73" w14:paraId="6411ABDF" w14:textId="77777777">
      <w:pPr>
        <w:spacing w:after="0"/>
        <w:rPr>
          <w:rFonts w:ascii="Calibri" w:hAnsi="Calibri" w:cs="Calibri"/>
        </w:rPr>
      </w:pPr>
    </w:p>
    <w:p w:rsidRPr="00B73D79" w:rsidR="00202B73" w:rsidP="00202B73" w:rsidRDefault="00202B73" w14:paraId="14FB892B" w14:textId="77777777">
      <w:pPr>
        <w:spacing w:after="0"/>
        <w:rPr>
          <w:rFonts w:ascii="Calibri" w:hAnsi="Calibri" w:cs="Calibri"/>
        </w:rPr>
      </w:pPr>
    </w:p>
    <w:p w:rsidRPr="00B73D79" w:rsidR="00202B73" w:rsidP="00202B73" w:rsidRDefault="00202B73" w14:paraId="10C9F377" w14:textId="77777777">
      <w:pPr>
        <w:spacing w:after="0"/>
        <w:rPr>
          <w:rFonts w:ascii="Calibri" w:hAnsi="Calibri" w:cs="Calibri"/>
        </w:rPr>
      </w:pPr>
    </w:p>
    <w:p w:rsidRPr="00B73D79" w:rsidR="00202B73" w:rsidP="00202B73" w:rsidRDefault="00202B73" w14:paraId="2E8DE297" w14:textId="77777777">
      <w:pPr>
        <w:spacing w:after="0"/>
        <w:rPr>
          <w:rFonts w:ascii="Calibri" w:hAnsi="Calibri" w:cs="Calibri"/>
        </w:rPr>
      </w:pPr>
    </w:p>
    <w:p w:rsidRPr="00B73D79" w:rsidR="00202B73" w:rsidP="00202B73" w:rsidRDefault="00202B73" w14:paraId="143A83D7" w14:textId="77777777">
      <w:pPr>
        <w:spacing w:after="0"/>
        <w:rPr>
          <w:rFonts w:ascii="Calibri" w:hAnsi="Calibri" w:cs="Calibri"/>
        </w:rPr>
      </w:pPr>
    </w:p>
    <w:p w:rsidRPr="00B73D79" w:rsidR="00202B73" w:rsidP="00202B73" w:rsidRDefault="00202B73" w14:paraId="23E07F70" w14:textId="77777777">
      <w:pPr>
        <w:spacing w:after="0"/>
        <w:rPr>
          <w:rFonts w:ascii="Calibri" w:hAnsi="Calibri" w:cs="Calibri"/>
        </w:rPr>
      </w:pPr>
    </w:p>
    <w:p w:rsidRPr="00B73D79" w:rsidR="00202B73" w:rsidP="00202B73" w:rsidRDefault="00202B73" w14:paraId="7685A53B" w14:textId="77777777">
      <w:pPr>
        <w:spacing w:after="0"/>
        <w:rPr>
          <w:rFonts w:ascii="Calibri" w:hAnsi="Calibri" w:cs="Calibri"/>
        </w:rPr>
      </w:pPr>
    </w:p>
    <w:p w:rsidRPr="00B73D79" w:rsidR="00202B73" w:rsidP="00202B73" w:rsidRDefault="00202B73" w14:paraId="0020B575" w14:textId="77777777">
      <w:pPr>
        <w:spacing w:after="0"/>
        <w:rPr>
          <w:rFonts w:ascii="Calibri" w:hAnsi="Calibri" w:cs="Calibri"/>
        </w:rPr>
      </w:pPr>
    </w:p>
    <w:p w:rsidRPr="00B73D79" w:rsidR="00202B73" w:rsidP="00202B73" w:rsidRDefault="00202B73" w14:paraId="01DE0813" w14:textId="77777777">
      <w:pPr>
        <w:spacing w:after="0"/>
        <w:rPr>
          <w:rFonts w:ascii="Calibri" w:hAnsi="Calibri" w:cs="Calibri"/>
        </w:rPr>
      </w:pPr>
    </w:p>
    <w:p w:rsidRPr="00B73D79" w:rsidR="00202B73" w:rsidP="00202B73" w:rsidRDefault="00202B73" w14:paraId="3DE867B8" w14:textId="77777777">
      <w:pPr>
        <w:spacing w:after="0"/>
        <w:rPr>
          <w:rFonts w:ascii="Calibri" w:hAnsi="Calibri" w:cs="Calibri"/>
        </w:rPr>
      </w:pPr>
    </w:p>
    <w:p w:rsidRPr="00B73D79" w:rsidR="00202B73" w:rsidP="00202B73" w:rsidRDefault="00202B73" w14:paraId="17DFC325" w14:textId="77777777">
      <w:pPr>
        <w:spacing w:after="0" w:line="240" w:lineRule="auto"/>
        <w:rPr>
          <w:rFonts w:ascii="Calibri" w:hAnsi="Calibri" w:cs="Calibri"/>
        </w:rPr>
      </w:pPr>
    </w:p>
    <w:p w:rsidRPr="00B73D79" w:rsidR="00202B73" w:rsidP="00202B73" w:rsidRDefault="00202B73" w14:paraId="7E4E16AA" w14:textId="77777777">
      <w:pPr>
        <w:pStyle w:val="Lijstalinea"/>
        <w:numPr>
          <w:ilvl w:val="0"/>
          <w:numId w:val="4"/>
        </w:numPr>
        <w:autoSpaceDN w:val="0"/>
        <w:spacing w:after="0" w:line="240" w:lineRule="atLeast"/>
        <w:textAlignment w:val="baseline"/>
        <w:rPr>
          <w:rFonts w:ascii="Calibri" w:hAnsi="Calibri" w:cs="Calibri"/>
          <w:b/>
          <w:bCs/>
        </w:rPr>
      </w:pPr>
      <w:bookmarkStart w:name="_Hlk205994692" w:id="4"/>
      <w:r w:rsidRPr="00B73D79">
        <w:rPr>
          <w:rFonts w:ascii="Calibri" w:hAnsi="Calibri" w:cs="Calibri"/>
          <w:b/>
          <w:bCs/>
        </w:rPr>
        <w:t>Bouwkosten Batch 1588 (Maatregel 17) / Hogere bouwkosten compensatie gemeenten en provincie</w:t>
      </w:r>
    </w:p>
    <w:p w:rsidRPr="00B73D79" w:rsidR="00202B73" w:rsidP="00202B73" w:rsidRDefault="00202B73" w14:paraId="14C868C1" w14:textId="77777777">
      <w:pPr>
        <w:spacing w:after="0"/>
        <w:rPr>
          <w:rFonts w:ascii="Calibri" w:hAnsi="Calibri" w:cs="Calibri"/>
        </w:rPr>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972"/>
        <w:gridCol w:w="4570"/>
      </w:tblGrid>
      <w:tr w:rsidRPr="00B73D79" w:rsidR="00202B73" w:rsidTr="00E838A2" w14:paraId="260E2A3F" w14:textId="77777777">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73D79" w:rsidR="00202B73" w:rsidP="00202B73" w:rsidRDefault="00202B73" w14:paraId="6767644A" w14:textId="77777777">
            <w:pPr>
              <w:spacing w:after="0"/>
              <w:rPr>
                <w:rFonts w:ascii="Calibri" w:hAnsi="Calibri" w:cs="Calibri"/>
                <w:b/>
              </w:rPr>
            </w:pPr>
            <w:r w:rsidRPr="00B73D79">
              <w:rPr>
                <w:rFonts w:ascii="Calibri" w:hAnsi="Calibri" w:cs="Calibri"/>
                <w:b/>
              </w:rPr>
              <w:t xml:space="preserve">Beleidskeuzes uitgelegd </w:t>
            </w:r>
          </w:p>
          <w:p w:rsidRPr="00B73D79" w:rsidR="00202B73" w:rsidP="00202B73" w:rsidRDefault="00202B73" w14:paraId="047F6339" w14:textId="77777777">
            <w:pPr>
              <w:spacing w:after="0"/>
              <w:rPr>
                <w:rFonts w:ascii="Calibri" w:hAnsi="Calibri" w:cs="Calibri"/>
                <w:b/>
              </w:rPr>
            </w:pPr>
          </w:p>
        </w:tc>
      </w:tr>
      <w:tr w:rsidRPr="00B73D79" w:rsidR="00202B73" w:rsidTr="00E838A2" w14:paraId="52318D2D" w14:textId="77777777">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087770A2" w14:textId="77777777">
            <w:pPr>
              <w:spacing w:after="0"/>
              <w:rPr>
                <w:rFonts w:ascii="Calibri" w:hAnsi="Calibri" w:cs="Calibri"/>
                <w:b/>
              </w:rPr>
            </w:pPr>
          </w:p>
          <w:p w:rsidRPr="00B73D79" w:rsidR="00202B73" w:rsidP="00202B73" w:rsidRDefault="00202B73" w14:paraId="69289DBD" w14:textId="77777777">
            <w:pPr>
              <w:numPr>
                <w:ilvl w:val="0"/>
                <w:numId w:val="5"/>
              </w:numPr>
              <w:autoSpaceDN w:val="0"/>
              <w:spacing w:after="0" w:line="240" w:lineRule="atLeast"/>
              <w:textAlignment w:val="baseline"/>
              <w:rPr>
                <w:rFonts w:ascii="Calibri" w:hAnsi="Calibri" w:cs="Calibri"/>
                <w:b/>
              </w:rPr>
            </w:pPr>
            <w:r w:rsidRPr="00B73D79">
              <w:rPr>
                <w:rFonts w:ascii="Calibri" w:hAnsi="Calibri" w:cs="Calibri"/>
                <w:b/>
              </w:rPr>
              <w:t xml:space="preserve">Doel(en) </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56383FEA" w14:textId="77777777">
            <w:pPr>
              <w:spacing w:after="0"/>
              <w:rPr>
                <w:rFonts w:ascii="Calibri" w:hAnsi="Calibri" w:cs="Calibri"/>
              </w:rPr>
            </w:pPr>
            <w:r w:rsidRPr="00B73D79">
              <w:rPr>
                <w:rFonts w:ascii="Calibri" w:hAnsi="Calibri" w:cs="Calibri"/>
              </w:rPr>
              <w:t xml:space="preserve">In het bestuurlijk overleg Groningen van 2 juli 2018 is afgesproken tussen het Rijk en de gemeenten om de versterking van woningen in batch 1588 voor te zetten op basis van de voorbereide versterkingsadviezen (NPR9998:2015). De gemeenten Groningen, Midden-Groningen en Eemsdelta leiden de versterking in plaats van de NCG zoals in de reguliere versterkingsoperatie.   </w:t>
            </w:r>
          </w:p>
          <w:p w:rsidRPr="00B73D79" w:rsidR="00202B73" w:rsidP="00202B73" w:rsidRDefault="00202B73" w14:paraId="46F8CF32" w14:textId="77777777">
            <w:pPr>
              <w:spacing w:after="0"/>
              <w:rPr>
                <w:rFonts w:ascii="Calibri" w:hAnsi="Calibri" w:cs="Calibri"/>
                <w:b/>
              </w:rPr>
            </w:pPr>
            <w:r w:rsidRPr="00B73D79">
              <w:rPr>
                <w:rFonts w:ascii="Calibri" w:hAnsi="Calibri" w:cs="Calibri"/>
              </w:rPr>
              <w:t>De ophoging van het budget voor Batch 1588 bestaat uit middelen voor indexering, met name het dekken van gestegen bouwkosten, en heeft als doel de versterking van de woningen in batch 1588 af te ronden.</w:t>
            </w:r>
          </w:p>
        </w:tc>
      </w:tr>
      <w:tr w:rsidRPr="00B73D79" w:rsidR="00202B73" w:rsidTr="00E838A2" w14:paraId="628C9737" w14:textId="77777777">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5201D349" w14:textId="77777777">
            <w:pPr>
              <w:spacing w:after="0"/>
              <w:rPr>
                <w:rFonts w:ascii="Calibri" w:hAnsi="Calibri" w:cs="Calibri"/>
                <w:b/>
              </w:rPr>
            </w:pPr>
          </w:p>
          <w:p w:rsidRPr="00B73D79" w:rsidR="00202B73" w:rsidP="00202B73" w:rsidRDefault="00202B73" w14:paraId="2B136C7D" w14:textId="77777777">
            <w:pPr>
              <w:numPr>
                <w:ilvl w:val="0"/>
                <w:numId w:val="5"/>
              </w:numPr>
              <w:autoSpaceDN w:val="0"/>
              <w:spacing w:after="0" w:line="240" w:lineRule="atLeast"/>
              <w:textAlignment w:val="baseline"/>
              <w:rPr>
                <w:rFonts w:ascii="Calibri" w:hAnsi="Calibri" w:cs="Calibri"/>
                <w:b/>
              </w:rPr>
            </w:pPr>
            <w:r w:rsidRPr="00B73D79">
              <w:rPr>
                <w:rFonts w:ascii="Calibri" w:hAnsi="Calibri" w:cs="Calibri"/>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2335D081" w14:textId="77777777">
            <w:pPr>
              <w:spacing w:after="0"/>
              <w:rPr>
                <w:rFonts w:ascii="Calibri" w:hAnsi="Calibri" w:cs="Calibri"/>
                <w:bCs/>
              </w:rPr>
            </w:pPr>
            <w:r w:rsidRPr="00B73D79">
              <w:rPr>
                <w:rFonts w:ascii="Calibri" w:hAnsi="Calibri" w:cs="Calibri"/>
              </w:rPr>
              <w:t xml:space="preserve">Het budget voor batch 1588 wordt verhoogd met € 98,2 mln., waarvan € 33,5 mln. al eerder bij Nij Begun was gereserveerd voor gestegen bouwkosten. Het bedrag wordt aan de gemeenten uitgekeerd. </w:t>
            </w:r>
            <w:r w:rsidRPr="00B73D79">
              <w:rPr>
                <w:rFonts w:ascii="Calibri" w:hAnsi="Calibri" w:cs="Calibri"/>
                <w:vertAlign w:val="superscript"/>
              </w:rPr>
              <w:footnoteReference w:id="2"/>
            </w:r>
            <w:r w:rsidRPr="00B73D79">
              <w:rPr>
                <w:rFonts w:ascii="Calibri" w:hAnsi="Calibri" w:cs="Calibri"/>
              </w:rPr>
              <w:t xml:space="preserve">  </w:t>
            </w:r>
          </w:p>
        </w:tc>
      </w:tr>
      <w:tr w:rsidRPr="00B73D79" w:rsidR="00202B73" w:rsidTr="00E838A2" w14:paraId="03038D32" w14:textId="77777777">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4691F538" w14:textId="77777777">
            <w:pPr>
              <w:spacing w:after="0"/>
              <w:rPr>
                <w:rFonts w:ascii="Calibri" w:hAnsi="Calibri" w:cs="Calibri"/>
                <w:bCs/>
              </w:rPr>
            </w:pPr>
          </w:p>
          <w:p w:rsidRPr="00B73D79" w:rsidR="00202B73" w:rsidP="00202B73" w:rsidRDefault="00202B73" w14:paraId="68792FD2" w14:textId="77777777">
            <w:pPr>
              <w:numPr>
                <w:ilvl w:val="0"/>
                <w:numId w:val="5"/>
              </w:numPr>
              <w:autoSpaceDN w:val="0"/>
              <w:spacing w:after="0" w:line="240" w:lineRule="atLeast"/>
              <w:textAlignment w:val="baseline"/>
              <w:rPr>
                <w:rFonts w:ascii="Calibri" w:hAnsi="Calibri" w:cs="Calibri"/>
                <w:b/>
              </w:rPr>
            </w:pPr>
            <w:r w:rsidRPr="00B73D79">
              <w:rPr>
                <w:rFonts w:ascii="Calibri" w:hAnsi="Calibri" w:cs="Calibri"/>
                <w:b/>
              </w:rPr>
              <w:t>Financiële gevolgen</w:t>
            </w:r>
          </w:p>
          <w:p w:rsidRPr="00B73D79" w:rsidR="00202B73" w:rsidP="00202B73" w:rsidRDefault="00202B73" w14:paraId="0C2C7A43" w14:textId="77777777">
            <w:pPr>
              <w:spacing w:after="0"/>
              <w:rPr>
                <w:rFonts w:ascii="Calibri" w:hAnsi="Calibri" w:cs="Calibri"/>
                <w:b/>
              </w:rPr>
            </w:pPr>
          </w:p>
          <w:p w:rsidRPr="00B73D79" w:rsidR="00202B73" w:rsidP="00202B73" w:rsidRDefault="00202B73" w14:paraId="215B1031" w14:textId="77777777">
            <w:pPr>
              <w:spacing w:after="0"/>
              <w:rPr>
                <w:rFonts w:ascii="Calibri" w:hAnsi="Calibri" w:cs="Calibri"/>
                <w:b/>
              </w:rPr>
            </w:pPr>
            <w:r w:rsidRPr="00B73D79">
              <w:rPr>
                <w:rFonts w:ascii="Calibri" w:hAnsi="Calibri" w:cs="Calibri"/>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tbl>
            <w:tblPr>
              <w:tblStyle w:val="Tabelraster"/>
              <w:tblW w:w="0" w:type="auto"/>
              <w:tblInd w:w="0" w:type="dxa"/>
              <w:tblLook w:val="04A0" w:firstRow="1" w:lastRow="0" w:firstColumn="1" w:lastColumn="0" w:noHBand="0" w:noVBand="1"/>
            </w:tblPr>
            <w:tblGrid>
              <w:gridCol w:w="1098"/>
              <w:gridCol w:w="668"/>
              <w:gridCol w:w="493"/>
              <w:gridCol w:w="470"/>
              <w:gridCol w:w="364"/>
              <w:gridCol w:w="417"/>
              <w:gridCol w:w="417"/>
              <w:gridCol w:w="417"/>
            </w:tblGrid>
            <w:tr w:rsidRPr="00B73D79" w:rsidR="00202B73" w:rsidTr="00E838A2" w14:paraId="0A18E798" w14:textId="77777777">
              <w:trPr>
                <w:trHeight w:val="543"/>
              </w:trPr>
              <w:tc>
                <w:tcPr>
                  <w:tcW w:w="1098"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3D88F5F4" w14:textId="77777777">
                  <w:pPr>
                    <w:spacing w:line="259" w:lineRule="auto"/>
                    <w:rPr>
                      <w:rFonts w:ascii="Calibri" w:hAnsi="Calibri" w:cs="Calibri"/>
                      <w:b/>
                      <w:bCs/>
                      <w:sz w:val="22"/>
                      <w:szCs w:val="22"/>
                    </w:rPr>
                  </w:pPr>
                  <w:r w:rsidRPr="00B73D79">
                    <w:rPr>
                      <w:rFonts w:ascii="Calibri" w:hAnsi="Calibri" w:cs="Calibri"/>
                      <w:b/>
                      <w:bCs/>
                      <w:sz w:val="22"/>
                      <w:szCs w:val="22"/>
                    </w:rPr>
                    <w:t xml:space="preserve">Budget </w:t>
                  </w:r>
                </w:p>
                <w:p w:rsidRPr="00B73D79" w:rsidR="00202B73" w:rsidP="00202B73" w:rsidRDefault="00202B73" w14:paraId="4A50566D" w14:textId="77777777">
                  <w:pPr>
                    <w:spacing w:line="259" w:lineRule="auto"/>
                    <w:rPr>
                      <w:rFonts w:ascii="Calibri" w:hAnsi="Calibri" w:cs="Calibri"/>
                      <w:b/>
                      <w:bCs/>
                      <w:sz w:val="22"/>
                      <w:szCs w:val="22"/>
                    </w:rPr>
                  </w:pPr>
                  <w:r w:rsidRPr="00B73D79">
                    <w:rPr>
                      <w:rFonts w:ascii="Calibri" w:hAnsi="Calibri" w:cs="Calibri"/>
                      <w:b/>
                      <w:bCs/>
                      <w:sz w:val="22"/>
                      <w:szCs w:val="22"/>
                    </w:rPr>
                    <w:t>(€ mln.)</w:t>
                  </w:r>
                </w:p>
              </w:tc>
              <w:tc>
                <w:tcPr>
                  <w:tcW w:w="668"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071063B3" w14:textId="77777777">
                  <w:pPr>
                    <w:spacing w:line="259" w:lineRule="auto"/>
                    <w:rPr>
                      <w:rFonts w:ascii="Calibri" w:hAnsi="Calibri" w:cs="Calibri"/>
                      <w:b/>
                      <w:bCs/>
                      <w:sz w:val="22"/>
                      <w:szCs w:val="22"/>
                    </w:rPr>
                  </w:pPr>
                  <w:r w:rsidRPr="00B73D79">
                    <w:rPr>
                      <w:rFonts w:ascii="Calibri" w:hAnsi="Calibri" w:cs="Calibri"/>
                      <w:b/>
                      <w:bCs/>
                      <w:sz w:val="22"/>
                      <w:szCs w:val="22"/>
                    </w:rPr>
                    <w:t>totaal</w:t>
                  </w:r>
                </w:p>
              </w:tc>
              <w:tc>
                <w:tcPr>
                  <w:tcW w:w="493"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1ACD842D" w14:textId="77777777">
                  <w:pPr>
                    <w:spacing w:line="259" w:lineRule="auto"/>
                    <w:rPr>
                      <w:rFonts w:ascii="Calibri" w:hAnsi="Calibri" w:cs="Calibri"/>
                      <w:b/>
                      <w:bCs/>
                      <w:sz w:val="22"/>
                      <w:szCs w:val="22"/>
                    </w:rPr>
                  </w:pPr>
                  <w:r w:rsidRPr="00B73D79">
                    <w:rPr>
                      <w:rFonts w:ascii="Calibri" w:hAnsi="Calibri" w:cs="Calibri"/>
                      <w:b/>
                      <w:bCs/>
                      <w:sz w:val="22"/>
                      <w:szCs w:val="22"/>
                    </w:rPr>
                    <w:t>‘25</w:t>
                  </w:r>
                </w:p>
              </w:tc>
              <w:tc>
                <w:tcPr>
                  <w:tcW w:w="470"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59546406" w14:textId="77777777">
                  <w:pPr>
                    <w:spacing w:line="259" w:lineRule="auto"/>
                    <w:rPr>
                      <w:rFonts w:ascii="Calibri" w:hAnsi="Calibri" w:cs="Calibri"/>
                      <w:b/>
                      <w:bCs/>
                      <w:sz w:val="22"/>
                      <w:szCs w:val="22"/>
                    </w:rPr>
                  </w:pPr>
                  <w:r w:rsidRPr="00B73D79">
                    <w:rPr>
                      <w:rFonts w:ascii="Calibri" w:hAnsi="Calibri" w:cs="Calibri"/>
                      <w:b/>
                      <w:bCs/>
                      <w:sz w:val="22"/>
                      <w:szCs w:val="22"/>
                    </w:rPr>
                    <w:t>‘26</w:t>
                  </w:r>
                </w:p>
              </w:tc>
              <w:tc>
                <w:tcPr>
                  <w:tcW w:w="364"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158E246E" w14:textId="77777777">
                  <w:pPr>
                    <w:spacing w:line="259" w:lineRule="auto"/>
                    <w:rPr>
                      <w:rFonts w:ascii="Calibri" w:hAnsi="Calibri" w:cs="Calibri"/>
                      <w:b/>
                      <w:bCs/>
                      <w:sz w:val="22"/>
                      <w:szCs w:val="22"/>
                    </w:rPr>
                  </w:pPr>
                  <w:r w:rsidRPr="00B73D79">
                    <w:rPr>
                      <w:rFonts w:ascii="Calibri" w:hAnsi="Calibri" w:cs="Calibri"/>
                      <w:b/>
                      <w:bCs/>
                      <w:sz w:val="22"/>
                      <w:szCs w:val="22"/>
                    </w:rPr>
                    <w:t>‘27</w:t>
                  </w:r>
                </w:p>
              </w:tc>
              <w:tc>
                <w:tcPr>
                  <w:tcW w:w="41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0918592B" w14:textId="77777777">
                  <w:pPr>
                    <w:spacing w:line="259" w:lineRule="auto"/>
                    <w:rPr>
                      <w:rFonts w:ascii="Calibri" w:hAnsi="Calibri" w:cs="Calibri"/>
                      <w:b/>
                      <w:bCs/>
                      <w:sz w:val="22"/>
                      <w:szCs w:val="22"/>
                    </w:rPr>
                  </w:pPr>
                  <w:r w:rsidRPr="00B73D79">
                    <w:rPr>
                      <w:rFonts w:ascii="Calibri" w:hAnsi="Calibri" w:cs="Calibri"/>
                      <w:b/>
                      <w:bCs/>
                      <w:sz w:val="22"/>
                      <w:szCs w:val="22"/>
                    </w:rPr>
                    <w:t>‘28</w:t>
                  </w:r>
                </w:p>
              </w:tc>
              <w:tc>
                <w:tcPr>
                  <w:tcW w:w="41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06218BDC" w14:textId="77777777">
                  <w:pPr>
                    <w:spacing w:line="259" w:lineRule="auto"/>
                    <w:rPr>
                      <w:rFonts w:ascii="Calibri" w:hAnsi="Calibri" w:cs="Calibri"/>
                      <w:b/>
                      <w:bCs/>
                      <w:sz w:val="22"/>
                      <w:szCs w:val="22"/>
                    </w:rPr>
                  </w:pPr>
                  <w:r w:rsidRPr="00B73D79">
                    <w:rPr>
                      <w:rFonts w:ascii="Calibri" w:hAnsi="Calibri" w:cs="Calibri"/>
                      <w:b/>
                      <w:bCs/>
                      <w:sz w:val="22"/>
                      <w:szCs w:val="22"/>
                    </w:rPr>
                    <w:t>‘29</w:t>
                  </w:r>
                </w:p>
              </w:tc>
              <w:tc>
                <w:tcPr>
                  <w:tcW w:w="41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4FFF241A" w14:textId="77777777">
                  <w:pPr>
                    <w:spacing w:line="259" w:lineRule="auto"/>
                    <w:rPr>
                      <w:rFonts w:ascii="Calibri" w:hAnsi="Calibri" w:cs="Calibri"/>
                      <w:b/>
                      <w:bCs/>
                      <w:sz w:val="22"/>
                      <w:szCs w:val="22"/>
                    </w:rPr>
                  </w:pPr>
                  <w:r w:rsidRPr="00B73D79">
                    <w:rPr>
                      <w:rFonts w:ascii="Calibri" w:hAnsi="Calibri" w:cs="Calibri"/>
                      <w:b/>
                      <w:bCs/>
                      <w:sz w:val="22"/>
                      <w:szCs w:val="22"/>
                    </w:rPr>
                    <w:t>‘30</w:t>
                  </w:r>
                </w:p>
              </w:tc>
            </w:tr>
            <w:tr w:rsidRPr="00B73D79" w:rsidR="00202B73" w:rsidTr="00E838A2" w14:paraId="2882FAE5" w14:textId="77777777">
              <w:trPr>
                <w:trHeight w:val="661"/>
              </w:trPr>
              <w:tc>
                <w:tcPr>
                  <w:tcW w:w="1098"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78796624" w14:textId="77777777">
                  <w:pPr>
                    <w:spacing w:line="259" w:lineRule="auto"/>
                    <w:rPr>
                      <w:rFonts w:ascii="Calibri" w:hAnsi="Calibri" w:cs="Calibri"/>
                      <w:sz w:val="22"/>
                      <w:szCs w:val="22"/>
                    </w:rPr>
                  </w:pPr>
                  <w:r w:rsidRPr="00B73D79">
                    <w:rPr>
                      <w:rFonts w:ascii="Calibri" w:hAnsi="Calibri" w:cs="Calibri"/>
                      <w:sz w:val="22"/>
                      <w:szCs w:val="22"/>
                    </w:rPr>
                    <w:t>Totaal batch 1588</w:t>
                  </w:r>
                </w:p>
              </w:tc>
              <w:tc>
                <w:tcPr>
                  <w:tcW w:w="668"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64506E8F" w14:textId="77777777">
                  <w:pPr>
                    <w:spacing w:line="259" w:lineRule="auto"/>
                    <w:rPr>
                      <w:rFonts w:ascii="Calibri" w:hAnsi="Calibri" w:cs="Calibri"/>
                      <w:sz w:val="22"/>
                      <w:szCs w:val="22"/>
                    </w:rPr>
                  </w:pPr>
                  <w:r w:rsidRPr="00B73D79">
                    <w:rPr>
                      <w:rFonts w:ascii="Calibri" w:hAnsi="Calibri" w:cs="Calibri"/>
                      <w:sz w:val="22"/>
                      <w:szCs w:val="22"/>
                    </w:rPr>
                    <w:t>98,2</w:t>
                  </w:r>
                </w:p>
              </w:tc>
              <w:tc>
                <w:tcPr>
                  <w:tcW w:w="493"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7CAE4AF9" w14:textId="77777777">
                  <w:pPr>
                    <w:spacing w:line="259" w:lineRule="auto"/>
                    <w:rPr>
                      <w:rFonts w:ascii="Calibri" w:hAnsi="Calibri" w:cs="Calibri"/>
                      <w:sz w:val="22"/>
                      <w:szCs w:val="22"/>
                    </w:rPr>
                  </w:pPr>
                  <w:r w:rsidRPr="00B73D79">
                    <w:rPr>
                      <w:rFonts w:ascii="Calibri" w:hAnsi="Calibri" w:cs="Calibri"/>
                      <w:sz w:val="22"/>
                      <w:szCs w:val="22"/>
                    </w:rPr>
                    <w:t>-</w:t>
                  </w:r>
                </w:p>
              </w:tc>
              <w:tc>
                <w:tcPr>
                  <w:tcW w:w="470"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457F294B" w14:textId="77777777">
                  <w:pPr>
                    <w:spacing w:line="259" w:lineRule="auto"/>
                    <w:rPr>
                      <w:rFonts w:ascii="Calibri" w:hAnsi="Calibri" w:cs="Calibri"/>
                      <w:sz w:val="22"/>
                      <w:szCs w:val="22"/>
                    </w:rPr>
                  </w:pPr>
                  <w:r w:rsidRPr="00B73D79">
                    <w:rPr>
                      <w:rFonts w:ascii="Calibri" w:hAnsi="Calibri" w:cs="Calibri"/>
                      <w:sz w:val="22"/>
                      <w:szCs w:val="22"/>
                    </w:rPr>
                    <w:t>98,2</w:t>
                  </w:r>
                </w:p>
              </w:tc>
              <w:tc>
                <w:tcPr>
                  <w:tcW w:w="364"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3A5FFF62" w14:textId="77777777">
                  <w:pPr>
                    <w:spacing w:line="259" w:lineRule="auto"/>
                    <w:rPr>
                      <w:rFonts w:ascii="Calibri" w:hAnsi="Calibri" w:cs="Calibri"/>
                      <w:sz w:val="22"/>
                      <w:szCs w:val="22"/>
                    </w:rPr>
                  </w:pPr>
                  <w:r w:rsidRPr="00B73D79">
                    <w:rPr>
                      <w:rFonts w:ascii="Calibri" w:hAnsi="Calibri" w:cs="Calibri"/>
                      <w:sz w:val="22"/>
                      <w:szCs w:val="22"/>
                    </w:rPr>
                    <w:t>-</w:t>
                  </w:r>
                </w:p>
              </w:tc>
              <w:tc>
                <w:tcPr>
                  <w:tcW w:w="41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0FD523FA" w14:textId="77777777">
                  <w:pPr>
                    <w:spacing w:line="259" w:lineRule="auto"/>
                    <w:rPr>
                      <w:rFonts w:ascii="Calibri" w:hAnsi="Calibri" w:cs="Calibri"/>
                      <w:sz w:val="22"/>
                      <w:szCs w:val="22"/>
                    </w:rPr>
                  </w:pPr>
                  <w:r w:rsidRPr="00B73D79">
                    <w:rPr>
                      <w:rFonts w:ascii="Calibri" w:hAnsi="Calibri" w:cs="Calibri"/>
                      <w:sz w:val="22"/>
                      <w:szCs w:val="22"/>
                    </w:rPr>
                    <w:t>-</w:t>
                  </w:r>
                </w:p>
              </w:tc>
              <w:tc>
                <w:tcPr>
                  <w:tcW w:w="41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7ED1EB55" w14:textId="77777777">
                  <w:pPr>
                    <w:spacing w:line="259" w:lineRule="auto"/>
                    <w:rPr>
                      <w:rFonts w:ascii="Calibri" w:hAnsi="Calibri" w:cs="Calibri"/>
                      <w:sz w:val="22"/>
                      <w:szCs w:val="22"/>
                    </w:rPr>
                  </w:pPr>
                  <w:r w:rsidRPr="00B73D79">
                    <w:rPr>
                      <w:rFonts w:ascii="Calibri" w:hAnsi="Calibri" w:cs="Calibri"/>
                      <w:sz w:val="22"/>
                      <w:szCs w:val="22"/>
                    </w:rPr>
                    <w:t>-</w:t>
                  </w:r>
                </w:p>
              </w:tc>
              <w:tc>
                <w:tcPr>
                  <w:tcW w:w="41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563E20F3" w14:textId="77777777">
                  <w:pPr>
                    <w:spacing w:line="259" w:lineRule="auto"/>
                    <w:rPr>
                      <w:rFonts w:ascii="Calibri" w:hAnsi="Calibri" w:cs="Calibri"/>
                      <w:sz w:val="22"/>
                      <w:szCs w:val="22"/>
                    </w:rPr>
                  </w:pPr>
                  <w:r w:rsidRPr="00B73D79">
                    <w:rPr>
                      <w:rFonts w:ascii="Calibri" w:hAnsi="Calibri" w:cs="Calibri"/>
                      <w:sz w:val="22"/>
                      <w:szCs w:val="22"/>
                    </w:rPr>
                    <w:t>-</w:t>
                  </w:r>
                </w:p>
              </w:tc>
            </w:tr>
          </w:tbl>
          <w:p w:rsidRPr="00B73D79" w:rsidR="00202B73" w:rsidP="00202B73" w:rsidRDefault="00202B73" w14:paraId="43DFFD41" w14:textId="77777777">
            <w:pPr>
              <w:spacing w:after="0"/>
              <w:rPr>
                <w:rFonts w:ascii="Calibri" w:hAnsi="Calibri" w:cs="Calibri"/>
                <w:b/>
              </w:rPr>
            </w:pPr>
          </w:p>
        </w:tc>
      </w:tr>
      <w:tr w:rsidRPr="00B73D79" w:rsidR="00202B73" w:rsidTr="00E838A2" w14:paraId="11A0566E" w14:textId="77777777">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3A4C5DD4" w14:textId="77777777">
            <w:pPr>
              <w:spacing w:after="0"/>
              <w:rPr>
                <w:rFonts w:ascii="Calibri" w:hAnsi="Calibri" w:cs="Calibri"/>
                <w:bCs/>
              </w:rPr>
            </w:pPr>
          </w:p>
          <w:p w:rsidRPr="00B73D79" w:rsidR="00202B73" w:rsidP="00202B73" w:rsidRDefault="00202B73" w14:paraId="1EB85D5F" w14:textId="77777777">
            <w:pPr>
              <w:spacing w:after="0"/>
              <w:rPr>
                <w:rFonts w:ascii="Calibri" w:hAnsi="Calibri" w:cs="Calibri"/>
                <w:b/>
              </w:rPr>
            </w:pPr>
            <w:r w:rsidRPr="00B73D79">
              <w:rPr>
                <w:rFonts w:ascii="Calibri" w:hAnsi="Calibri" w:cs="Calibri"/>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21E2B757" w14:textId="77777777">
            <w:pPr>
              <w:spacing w:after="0"/>
              <w:rPr>
                <w:rFonts w:ascii="Calibri" w:hAnsi="Calibri" w:cs="Calibri"/>
                <w:bCs/>
              </w:rPr>
            </w:pPr>
            <w:r w:rsidRPr="00B73D79">
              <w:rPr>
                <w:rFonts w:ascii="Calibri" w:hAnsi="Calibri" w:cs="Calibri"/>
              </w:rPr>
              <w:t>N.v.t.</w:t>
            </w:r>
          </w:p>
        </w:tc>
      </w:tr>
      <w:tr w:rsidRPr="00B73D79" w:rsidR="00202B73" w:rsidTr="00E838A2" w14:paraId="7C474348" w14:textId="77777777">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4F207AEC" w14:textId="77777777">
            <w:pPr>
              <w:spacing w:after="0"/>
              <w:rPr>
                <w:rFonts w:ascii="Calibri" w:hAnsi="Calibri" w:cs="Calibri"/>
                <w:b/>
              </w:rPr>
            </w:pPr>
          </w:p>
          <w:p w:rsidRPr="00B73D79" w:rsidR="00202B73" w:rsidP="00202B73" w:rsidRDefault="00202B73" w14:paraId="2C189C15" w14:textId="77777777">
            <w:pPr>
              <w:numPr>
                <w:ilvl w:val="0"/>
                <w:numId w:val="5"/>
              </w:numPr>
              <w:autoSpaceDN w:val="0"/>
              <w:spacing w:after="0" w:line="240" w:lineRule="atLeast"/>
              <w:textAlignment w:val="baseline"/>
              <w:rPr>
                <w:rFonts w:ascii="Calibri" w:hAnsi="Calibri" w:cs="Calibri"/>
                <w:b/>
              </w:rPr>
            </w:pPr>
            <w:r w:rsidRPr="00B73D79">
              <w:rPr>
                <w:rFonts w:ascii="Calibri" w:hAnsi="Calibri" w:cs="Calibri"/>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47289E21" w14:textId="77777777">
            <w:pPr>
              <w:spacing w:after="0"/>
              <w:rPr>
                <w:rFonts w:ascii="Calibri" w:hAnsi="Calibri" w:cs="Calibri"/>
                <w:bCs/>
              </w:rPr>
            </w:pPr>
            <w:r w:rsidRPr="00B73D79">
              <w:rPr>
                <w:rFonts w:ascii="Calibri" w:hAnsi="Calibri" w:cs="Calibri"/>
              </w:rPr>
              <w:t>De verhoging van het budget zorgt ervoor dat de versterking van woningen binnen batch 1588 op tijd kan worden uitgevoerd. Het doel is om vertraging voor bewoners te voorkomen en te zorgen dat zij geen aanzienlijke eigen bijdrage hoeven te leveren aan de versterking van hun woning.</w:t>
            </w:r>
          </w:p>
        </w:tc>
      </w:tr>
      <w:tr w:rsidRPr="00B73D79" w:rsidR="00202B73" w:rsidTr="00E838A2" w14:paraId="36AAB7A5"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54ED258E" w14:textId="77777777">
            <w:pPr>
              <w:spacing w:after="0"/>
              <w:rPr>
                <w:rFonts w:ascii="Calibri" w:hAnsi="Calibri" w:cs="Calibri"/>
                <w:b/>
              </w:rPr>
            </w:pPr>
          </w:p>
          <w:p w:rsidRPr="00B73D79" w:rsidR="00202B73" w:rsidP="00202B73" w:rsidRDefault="00202B73" w14:paraId="28C690EE" w14:textId="77777777">
            <w:pPr>
              <w:numPr>
                <w:ilvl w:val="0"/>
                <w:numId w:val="5"/>
              </w:numPr>
              <w:autoSpaceDN w:val="0"/>
              <w:spacing w:after="0" w:line="240" w:lineRule="atLeast"/>
              <w:textAlignment w:val="baseline"/>
              <w:rPr>
                <w:rFonts w:ascii="Calibri" w:hAnsi="Calibri" w:cs="Calibri"/>
                <w:b/>
              </w:rPr>
            </w:pPr>
            <w:r w:rsidRPr="00B73D79">
              <w:rPr>
                <w:rFonts w:ascii="Calibri" w:hAnsi="Calibri" w:cs="Calibri"/>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64B2B3DB" w14:textId="77777777">
            <w:pPr>
              <w:spacing w:after="0"/>
              <w:rPr>
                <w:rFonts w:ascii="Calibri" w:hAnsi="Calibri" w:cs="Calibri"/>
                <w:bCs/>
              </w:rPr>
            </w:pPr>
            <w:r w:rsidRPr="00B73D79">
              <w:rPr>
                <w:rFonts w:ascii="Calibri" w:hAnsi="Calibri" w:cs="Calibri"/>
              </w:rPr>
              <w:t xml:space="preserve">De aanvullende middelen zorgen ervoor dat de uitvoering van batch 1588 kan doorgaan, zodat bewoners minimaal een gelijkwaardige woning terugkrijgen. Bij de besluitvorming over de reservering van middelen voor indexatie is uitgegaan van een middenscenario. De werkelijke kosten bleken echter hoger dan verwacht. Dankzij de aanvullende generale dekking is het budget alsnog toereikend om deze extra kosten op te vangen. </w:t>
            </w:r>
          </w:p>
        </w:tc>
      </w:tr>
      <w:tr w:rsidRPr="00B73D79" w:rsidR="00202B73" w:rsidTr="00E838A2" w14:paraId="521EBEE3"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4E53FBAC" w14:textId="77777777">
            <w:pPr>
              <w:spacing w:after="0"/>
              <w:rPr>
                <w:rFonts w:ascii="Calibri" w:hAnsi="Calibri" w:cs="Calibri"/>
                <w:b/>
              </w:rPr>
            </w:pPr>
          </w:p>
          <w:p w:rsidRPr="00B73D79" w:rsidR="00202B73" w:rsidP="00202B73" w:rsidRDefault="00202B73" w14:paraId="06EAE14F" w14:textId="77777777">
            <w:pPr>
              <w:numPr>
                <w:ilvl w:val="0"/>
                <w:numId w:val="5"/>
              </w:numPr>
              <w:autoSpaceDN w:val="0"/>
              <w:spacing w:after="0" w:line="240" w:lineRule="atLeast"/>
              <w:textAlignment w:val="baseline"/>
              <w:rPr>
                <w:rFonts w:ascii="Calibri" w:hAnsi="Calibri" w:cs="Calibri"/>
                <w:b/>
              </w:rPr>
            </w:pPr>
            <w:r w:rsidRPr="00B73D79">
              <w:rPr>
                <w:rFonts w:ascii="Calibri" w:hAnsi="Calibri" w:cs="Calibri"/>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7BD255C8" w14:textId="77777777">
            <w:pPr>
              <w:spacing w:after="0"/>
              <w:rPr>
                <w:rFonts w:ascii="Calibri" w:hAnsi="Calibri" w:cs="Calibri"/>
                <w:bCs/>
              </w:rPr>
            </w:pPr>
            <w:r w:rsidRPr="00B73D79">
              <w:rPr>
                <w:rFonts w:ascii="Calibri" w:hAnsi="Calibri" w:cs="Calibri"/>
                <w:bCs/>
              </w:rPr>
              <w:t>De drie gemeenten die batch 1588 uitvoeren, ontvangen de middelen via de meerjarige SPUK-regeling voor Groningen</w:t>
            </w:r>
            <w:r w:rsidRPr="00B73D79">
              <w:rPr>
                <w:rStyle w:val="Voetnootmarkering"/>
                <w:rFonts w:ascii="Calibri" w:hAnsi="Calibri" w:cs="Calibri"/>
                <w:bCs/>
              </w:rPr>
              <w:footnoteReference w:id="3"/>
            </w:r>
            <w:r w:rsidRPr="00B73D79">
              <w:rPr>
                <w:rFonts w:ascii="Calibri" w:hAnsi="Calibri" w:cs="Calibri"/>
                <w:bCs/>
              </w:rPr>
              <w:t xml:space="preserve"> en zullen jaarlijks voortgangsrapportages (zowel inhoudelijk als financieel van aard) delen met BZK om hierin geboekte resultaten te duiden. De voortgangsrapportages worden ook betrokken bij de jaarlijkse Staat van Groningen &amp; Noord-Drenthe, die door een onafhankelijke partij wordt samengesteld. Met de Staat van Groningen en Noord-Drenthe verschijnt jaarlijks een complete monitor van de output, outcome en impact van alle onderdelen van het beleid ten aanzien van het herstellen van de gevolgen van de gaswinning uit het Groningenveld en de </w:t>
            </w:r>
            <w:r w:rsidRPr="00B73D79">
              <w:rPr>
                <w:rFonts w:ascii="Calibri" w:hAnsi="Calibri" w:cs="Calibri"/>
                <w:bCs/>
              </w:rPr>
              <w:lastRenderedPageBreak/>
              <w:t xml:space="preserve">generatielange investeringen in verduurzaming, sociaal welzijn en economische ontwikkeling. </w:t>
            </w:r>
          </w:p>
          <w:p w:rsidRPr="00B73D79" w:rsidR="00202B73" w:rsidP="00202B73" w:rsidRDefault="00202B73" w14:paraId="4F31E1CD" w14:textId="77777777">
            <w:pPr>
              <w:spacing w:after="0"/>
              <w:rPr>
                <w:rFonts w:ascii="Calibri" w:hAnsi="Calibri" w:cs="Calibri"/>
                <w:bCs/>
              </w:rPr>
            </w:pPr>
            <w:r w:rsidRPr="00B73D79">
              <w:rPr>
                <w:rFonts w:ascii="Calibri" w:hAnsi="Calibri" w:cs="Calibri"/>
                <w:bCs/>
              </w:rPr>
              <w:t xml:space="preserve"> </w:t>
            </w:r>
          </w:p>
          <w:p w:rsidRPr="00B73D79" w:rsidR="00202B73" w:rsidP="00202B73" w:rsidRDefault="00202B73" w14:paraId="47B050F6" w14:textId="77777777">
            <w:pPr>
              <w:spacing w:after="0"/>
              <w:rPr>
                <w:rFonts w:ascii="Calibri" w:hAnsi="Calibri" w:cs="Calibri"/>
                <w:bCs/>
              </w:rPr>
            </w:pPr>
          </w:p>
        </w:tc>
      </w:tr>
    </w:tbl>
    <w:p w:rsidRPr="00B73D79" w:rsidR="00202B73" w:rsidP="00202B73" w:rsidRDefault="00202B73" w14:paraId="008DFC49" w14:textId="77777777">
      <w:pPr>
        <w:spacing w:after="0"/>
        <w:rPr>
          <w:rFonts w:ascii="Calibri" w:hAnsi="Calibri" w:cs="Calibri"/>
        </w:rPr>
      </w:pPr>
    </w:p>
    <w:bookmarkEnd w:id="4"/>
    <w:p w:rsidRPr="00B73D79" w:rsidR="00202B73" w:rsidP="00202B73" w:rsidRDefault="00202B73" w14:paraId="62142C9F" w14:textId="77777777">
      <w:pPr>
        <w:spacing w:after="0"/>
        <w:rPr>
          <w:rFonts w:ascii="Calibri" w:hAnsi="Calibri" w:cs="Calibri"/>
        </w:rPr>
      </w:pPr>
    </w:p>
    <w:p w:rsidRPr="00B73D79" w:rsidR="00202B73" w:rsidP="00202B73" w:rsidRDefault="00202B73" w14:paraId="768C16AB" w14:textId="77777777">
      <w:pPr>
        <w:pStyle w:val="Lijstalinea"/>
        <w:numPr>
          <w:ilvl w:val="0"/>
          <w:numId w:val="4"/>
        </w:numPr>
        <w:autoSpaceDN w:val="0"/>
        <w:spacing w:after="0" w:line="240" w:lineRule="atLeast"/>
        <w:textAlignment w:val="baseline"/>
        <w:rPr>
          <w:rFonts w:ascii="Calibri" w:hAnsi="Calibri" w:cs="Calibri"/>
          <w:b/>
          <w:bCs/>
        </w:rPr>
      </w:pPr>
      <w:r w:rsidRPr="00B73D79">
        <w:rPr>
          <w:rFonts w:ascii="Calibri" w:hAnsi="Calibri" w:cs="Calibri"/>
          <w:b/>
          <w:bCs/>
        </w:rPr>
        <w:t>Sociale Agenda Groningen (Maatregel 34)</w:t>
      </w:r>
    </w:p>
    <w:p w:rsidRPr="00B73D79" w:rsidR="00202B73" w:rsidP="00202B73" w:rsidRDefault="00202B73" w14:paraId="774E848C" w14:textId="77777777">
      <w:pPr>
        <w:spacing w:after="0"/>
        <w:rPr>
          <w:rFonts w:ascii="Calibri" w:hAnsi="Calibri" w:cs="Calibri"/>
        </w:rPr>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972"/>
        <w:gridCol w:w="4564"/>
        <w:gridCol w:w="6"/>
      </w:tblGrid>
      <w:tr w:rsidRPr="00B73D79" w:rsidR="00202B73" w:rsidTr="00E838A2" w14:paraId="788DAF3A" w14:textId="77777777">
        <w:trPr>
          <w:trHeight w:val="549"/>
        </w:trPr>
        <w:tc>
          <w:tcPr>
            <w:tcW w:w="5000" w:type="pct"/>
            <w:gridSpan w:val="3"/>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73D79" w:rsidR="00202B73" w:rsidP="00202B73" w:rsidRDefault="00202B73" w14:paraId="1A3FD464" w14:textId="77777777">
            <w:pPr>
              <w:spacing w:after="0"/>
              <w:rPr>
                <w:rFonts w:ascii="Calibri" w:hAnsi="Calibri" w:cs="Calibri"/>
                <w:b/>
              </w:rPr>
            </w:pPr>
            <w:r w:rsidRPr="00B73D79">
              <w:rPr>
                <w:rFonts w:ascii="Calibri" w:hAnsi="Calibri" w:cs="Calibri"/>
                <w:b/>
              </w:rPr>
              <w:t xml:space="preserve">Beleidskeuzes uitgelegd </w:t>
            </w:r>
          </w:p>
          <w:p w:rsidRPr="00B73D79" w:rsidR="00202B73" w:rsidP="00202B73" w:rsidRDefault="00202B73" w14:paraId="1DC3B89A" w14:textId="77777777">
            <w:pPr>
              <w:spacing w:after="0"/>
              <w:rPr>
                <w:rFonts w:ascii="Calibri" w:hAnsi="Calibri" w:cs="Calibri"/>
                <w:b/>
              </w:rPr>
            </w:pPr>
          </w:p>
        </w:tc>
      </w:tr>
      <w:tr w:rsidRPr="00B73D79" w:rsidR="00202B73" w:rsidTr="00E838A2" w14:paraId="04508B4E" w14:textId="77777777">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6E88489E" w14:textId="77777777">
            <w:pPr>
              <w:spacing w:after="0"/>
              <w:rPr>
                <w:rFonts w:ascii="Calibri" w:hAnsi="Calibri" w:cs="Calibri"/>
                <w:b/>
              </w:rPr>
            </w:pPr>
          </w:p>
          <w:p w:rsidRPr="00B73D79" w:rsidR="00202B73" w:rsidP="00202B73" w:rsidRDefault="00202B73" w14:paraId="7D56BBAC" w14:textId="77777777">
            <w:pPr>
              <w:numPr>
                <w:ilvl w:val="0"/>
                <w:numId w:val="6"/>
              </w:numPr>
              <w:autoSpaceDN w:val="0"/>
              <w:spacing w:after="0" w:line="240" w:lineRule="atLeast"/>
              <w:textAlignment w:val="baseline"/>
              <w:rPr>
                <w:rFonts w:ascii="Calibri" w:hAnsi="Calibri" w:cs="Calibri"/>
                <w:b/>
              </w:rPr>
            </w:pPr>
            <w:r w:rsidRPr="00B73D79">
              <w:rPr>
                <w:rFonts w:ascii="Calibri" w:hAnsi="Calibri" w:cs="Calibri"/>
                <w:b/>
              </w:rPr>
              <w:t xml:space="preserve">Doel(en) </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036AB371" w14:textId="77777777">
            <w:pPr>
              <w:spacing w:after="0"/>
              <w:rPr>
                <w:rFonts w:ascii="Calibri" w:hAnsi="Calibri" w:cs="Calibri"/>
                <w:bCs/>
              </w:rPr>
            </w:pPr>
            <w:r w:rsidRPr="00B73D79">
              <w:rPr>
                <w:rFonts w:ascii="Calibri" w:hAnsi="Calibri" w:cs="Calibri"/>
                <w:bCs/>
              </w:rPr>
              <w:t xml:space="preserve">In de kabinetsreactie op de parlementaire enquête gaswinning Groningen is een dertigjarige aanpak ten behoeve van welzijn en sociaal herstel voor Groningen en Noord-Drenthe aangekondigd (maatregel 34, sociale agenda). Doel is dat bewoners concreet perspectief krijgen op een meer welvarende toekomst in een regio die zijn eigen identiteit behoudt en waar het fijn wonen, werken en recreëren is. </w:t>
            </w:r>
            <w:r w:rsidRPr="00B73D79">
              <w:rPr>
                <w:rStyle w:val="Voetnootmarkering"/>
                <w:rFonts w:ascii="Calibri" w:hAnsi="Calibri" w:cs="Calibri"/>
                <w:bCs/>
              </w:rPr>
              <w:footnoteReference w:id="4"/>
            </w:r>
          </w:p>
          <w:p w:rsidRPr="00B73D79" w:rsidR="00202B73" w:rsidP="00202B73" w:rsidRDefault="00202B73" w14:paraId="2F72B691" w14:textId="77777777">
            <w:pPr>
              <w:spacing w:after="0"/>
              <w:rPr>
                <w:rFonts w:ascii="Calibri" w:hAnsi="Calibri" w:cs="Calibri"/>
                <w:b/>
              </w:rPr>
            </w:pPr>
          </w:p>
          <w:p w:rsidRPr="00B73D79" w:rsidR="00202B73" w:rsidP="00202B73" w:rsidRDefault="00202B73" w14:paraId="5ED29B36" w14:textId="77777777">
            <w:pPr>
              <w:spacing w:after="0"/>
              <w:rPr>
                <w:rFonts w:ascii="Calibri" w:hAnsi="Calibri" w:eastAsia="Calibri" w:cs="Calibri"/>
                <w:bCs/>
              </w:rPr>
            </w:pPr>
            <w:r w:rsidRPr="00B73D79">
              <w:rPr>
                <w:rFonts w:ascii="Calibri" w:hAnsi="Calibri" w:eastAsia="Calibri" w:cs="Calibri"/>
                <w:bCs/>
              </w:rPr>
              <w:t xml:space="preserve">De sociale agenda bevat 16 maatregelen die per 1 januari 2025 gefaseerd tot uitvoering worden gebracht. </w:t>
            </w:r>
          </w:p>
          <w:p w:rsidRPr="00B73D79" w:rsidR="00202B73" w:rsidP="00202B73" w:rsidRDefault="00202B73" w14:paraId="50994BD8" w14:textId="77777777">
            <w:pPr>
              <w:spacing w:after="0"/>
              <w:rPr>
                <w:rFonts w:ascii="Calibri" w:hAnsi="Calibri" w:eastAsia="Calibri" w:cs="Calibri"/>
                <w:bCs/>
              </w:rPr>
            </w:pPr>
            <w:r w:rsidRPr="00B73D79">
              <w:rPr>
                <w:rFonts w:ascii="Calibri" w:hAnsi="Calibri" w:eastAsia="Calibri" w:cs="Calibri"/>
                <w:bCs/>
              </w:rPr>
              <w:t>Eerder zijn de tien doelen van de sociale agenda geformuleerd en door de ministerraad en in de regio vastgesteld. Deze tien doelen zijn gebruikt om tot de zestien verschillende maatregelen te komen. De tien doelen zijn:</w:t>
            </w:r>
          </w:p>
          <w:p w:rsidRPr="00B73D79" w:rsidR="00202B73" w:rsidP="00202B73" w:rsidRDefault="00202B73" w14:paraId="23FF8685" w14:textId="77777777">
            <w:pPr>
              <w:spacing w:after="0"/>
              <w:rPr>
                <w:rFonts w:ascii="Calibri" w:hAnsi="Calibri" w:eastAsia="Calibri" w:cs="Calibri"/>
                <w:bCs/>
              </w:rPr>
            </w:pPr>
            <w:r w:rsidRPr="00B73D79">
              <w:rPr>
                <w:rFonts w:ascii="Calibri" w:hAnsi="Calibri" w:eastAsia="Calibri" w:cs="Calibri"/>
                <w:bCs/>
              </w:rPr>
              <w:t>1. Vergroten van gelijke kansen voor kinderen en jongeren;</w:t>
            </w:r>
          </w:p>
          <w:p w:rsidRPr="00B73D79" w:rsidR="00202B73" w:rsidP="00202B73" w:rsidRDefault="00202B73" w14:paraId="1CD8691F" w14:textId="77777777">
            <w:pPr>
              <w:spacing w:after="0"/>
              <w:rPr>
                <w:rFonts w:ascii="Calibri" w:hAnsi="Calibri" w:eastAsia="Calibri" w:cs="Calibri"/>
                <w:bCs/>
              </w:rPr>
            </w:pPr>
            <w:r w:rsidRPr="00B73D79">
              <w:rPr>
                <w:rFonts w:ascii="Calibri" w:hAnsi="Calibri" w:eastAsia="Calibri" w:cs="Calibri"/>
                <w:bCs/>
              </w:rPr>
              <w:t>2. Stimuleren van meer taalbevordering, in het bijzonder voor kinderen en jongeren;</w:t>
            </w:r>
          </w:p>
          <w:p w:rsidRPr="00B73D79" w:rsidR="00202B73" w:rsidP="00202B73" w:rsidRDefault="00202B73" w14:paraId="354584B5" w14:textId="77777777">
            <w:pPr>
              <w:spacing w:after="0"/>
              <w:rPr>
                <w:rFonts w:ascii="Calibri" w:hAnsi="Calibri" w:eastAsia="Calibri" w:cs="Calibri"/>
                <w:bCs/>
              </w:rPr>
            </w:pPr>
            <w:r w:rsidRPr="00B73D79">
              <w:rPr>
                <w:rFonts w:ascii="Calibri" w:hAnsi="Calibri" w:eastAsia="Calibri" w:cs="Calibri"/>
                <w:bCs/>
              </w:rPr>
              <w:t>3. Meer gezonde levensjaren;</w:t>
            </w:r>
          </w:p>
          <w:p w:rsidRPr="00B73D79" w:rsidR="00202B73" w:rsidP="00202B73" w:rsidRDefault="00202B73" w14:paraId="4700E14E" w14:textId="77777777">
            <w:pPr>
              <w:spacing w:after="0"/>
              <w:rPr>
                <w:rFonts w:ascii="Calibri" w:hAnsi="Calibri" w:eastAsia="Calibri" w:cs="Calibri"/>
                <w:bCs/>
              </w:rPr>
            </w:pPr>
            <w:r w:rsidRPr="00B73D79">
              <w:rPr>
                <w:rFonts w:ascii="Calibri" w:hAnsi="Calibri" w:eastAsia="Calibri" w:cs="Calibri"/>
                <w:bCs/>
              </w:rPr>
              <w:t>4. Verbeteren van mentale gezondheid;</w:t>
            </w:r>
          </w:p>
          <w:p w:rsidRPr="00B73D79" w:rsidR="00202B73" w:rsidP="00202B73" w:rsidRDefault="00202B73" w14:paraId="07D0471B" w14:textId="77777777">
            <w:pPr>
              <w:spacing w:after="0"/>
              <w:rPr>
                <w:rFonts w:ascii="Calibri" w:hAnsi="Calibri" w:eastAsia="Calibri" w:cs="Calibri"/>
                <w:bCs/>
              </w:rPr>
            </w:pPr>
            <w:r w:rsidRPr="00B73D79">
              <w:rPr>
                <w:rFonts w:ascii="Calibri" w:hAnsi="Calibri" w:eastAsia="Calibri" w:cs="Calibri"/>
                <w:bCs/>
              </w:rPr>
              <w:t>5. Meer bewegen en gezonder leven;</w:t>
            </w:r>
          </w:p>
          <w:p w:rsidRPr="00B73D79" w:rsidR="00202B73" w:rsidP="00202B73" w:rsidRDefault="00202B73" w14:paraId="5C447B26" w14:textId="77777777">
            <w:pPr>
              <w:spacing w:after="0"/>
              <w:rPr>
                <w:rFonts w:ascii="Calibri" w:hAnsi="Calibri" w:eastAsia="Calibri" w:cs="Calibri"/>
                <w:bCs/>
              </w:rPr>
            </w:pPr>
            <w:r w:rsidRPr="00B73D79">
              <w:rPr>
                <w:rFonts w:ascii="Calibri" w:hAnsi="Calibri" w:eastAsia="Calibri" w:cs="Calibri"/>
                <w:bCs/>
              </w:rPr>
              <w:t>6. Verlaging van (intergenerationele) armoede;</w:t>
            </w:r>
          </w:p>
          <w:p w:rsidRPr="00B73D79" w:rsidR="00202B73" w:rsidP="00202B73" w:rsidRDefault="00202B73" w14:paraId="4A353E51" w14:textId="77777777">
            <w:pPr>
              <w:spacing w:after="0"/>
              <w:rPr>
                <w:rFonts w:ascii="Calibri" w:hAnsi="Calibri" w:eastAsia="Calibri" w:cs="Calibri"/>
                <w:bCs/>
              </w:rPr>
            </w:pPr>
            <w:r w:rsidRPr="00B73D79">
              <w:rPr>
                <w:rFonts w:ascii="Calibri" w:hAnsi="Calibri" w:eastAsia="Calibri" w:cs="Calibri"/>
                <w:bCs/>
              </w:rPr>
              <w:t>7. Minder problematische schulden;</w:t>
            </w:r>
          </w:p>
          <w:p w:rsidRPr="00B73D79" w:rsidR="00202B73" w:rsidP="00202B73" w:rsidRDefault="00202B73" w14:paraId="77A47746" w14:textId="77777777">
            <w:pPr>
              <w:spacing w:after="0"/>
              <w:rPr>
                <w:rFonts w:ascii="Calibri" w:hAnsi="Calibri" w:eastAsia="Calibri" w:cs="Calibri"/>
                <w:bCs/>
              </w:rPr>
            </w:pPr>
            <w:r w:rsidRPr="00B73D79">
              <w:rPr>
                <w:rFonts w:ascii="Calibri" w:hAnsi="Calibri" w:eastAsia="Calibri" w:cs="Calibri"/>
                <w:bCs/>
              </w:rPr>
              <w:t>8. Vergroten van (arbeids-)participatie van jongeren en inwoners die langdurig langs de kant staan;</w:t>
            </w:r>
          </w:p>
          <w:p w:rsidRPr="00B73D79" w:rsidR="00202B73" w:rsidP="00202B73" w:rsidRDefault="00202B73" w14:paraId="7B80AE10" w14:textId="77777777">
            <w:pPr>
              <w:spacing w:after="0"/>
              <w:rPr>
                <w:rFonts w:ascii="Calibri" w:hAnsi="Calibri" w:eastAsia="Calibri" w:cs="Calibri"/>
                <w:bCs/>
              </w:rPr>
            </w:pPr>
            <w:r w:rsidRPr="00B73D79">
              <w:rPr>
                <w:rFonts w:ascii="Calibri" w:hAnsi="Calibri" w:eastAsia="Calibri" w:cs="Calibri"/>
                <w:bCs/>
              </w:rPr>
              <w:lastRenderedPageBreak/>
              <w:t>9. Versterken van de sociale leefbaarheid;</w:t>
            </w:r>
          </w:p>
          <w:p w:rsidRPr="00B73D79" w:rsidR="00202B73" w:rsidP="00202B73" w:rsidRDefault="00202B73" w14:paraId="12A2A2E9" w14:textId="77777777">
            <w:pPr>
              <w:spacing w:after="0"/>
              <w:rPr>
                <w:rFonts w:ascii="Calibri" w:hAnsi="Calibri" w:cs="Calibri"/>
                <w:b/>
              </w:rPr>
            </w:pPr>
            <w:r w:rsidRPr="00B73D79">
              <w:rPr>
                <w:rFonts w:ascii="Calibri" w:hAnsi="Calibri" w:eastAsia="Calibri" w:cs="Calibri"/>
                <w:bCs/>
              </w:rPr>
              <w:t>10. Vergroten van zelfbewustzijn, trots en regionale identiteit.</w:t>
            </w:r>
          </w:p>
        </w:tc>
      </w:tr>
      <w:tr w:rsidRPr="00B73D79" w:rsidR="00202B73" w:rsidTr="00E838A2" w14:paraId="5E66D5C0" w14:textId="77777777">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20FCEDD4" w14:textId="77777777">
            <w:pPr>
              <w:spacing w:after="0"/>
              <w:rPr>
                <w:rFonts w:ascii="Calibri" w:hAnsi="Calibri" w:cs="Calibri"/>
                <w:b/>
              </w:rPr>
            </w:pPr>
          </w:p>
          <w:p w:rsidRPr="00B73D79" w:rsidR="00202B73" w:rsidP="00202B73" w:rsidRDefault="00202B73" w14:paraId="223CA43A" w14:textId="77777777">
            <w:pPr>
              <w:numPr>
                <w:ilvl w:val="0"/>
                <w:numId w:val="6"/>
              </w:numPr>
              <w:autoSpaceDN w:val="0"/>
              <w:spacing w:after="0" w:line="240" w:lineRule="atLeast"/>
              <w:textAlignment w:val="baseline"/>
              <w:rPr>
                <w:rFonts w:ascii="Calibri" w:hAnsi="Calibri" w:cs="Calibri"/>
                <w:b/>
              </w:rPr>
            </w:pPr>
            <w:r w:rsidRPr="00B73D79">
              <w:rPr>
                <w:rFonts w:ascii="Calibri" w:hAnsi="Calibri" w:cs="Calibri"/>
                <w:b/>
              </w:rPr>
              <w:t>Beleidsinstrument(en)</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0B75001E" w14:textId="77777777">
            <w:pPr>
              <w:spacing w:after="0"/>
              <w:rPr>
                <w:rFonts w:ascii="Calibri" w:hAnsi="Calibri" w:cs="Calibri"/>
                <w:b/>
              </w:rPr>
            </w:pPr>
          </w:p>
          <w:p w:rsidRPr="00B73D79" w:rsidR="00202B73" w:rsidP="00202B73" w:rsidRDefault="00202B73" w14:paraId="22923779" w14:textId="77777777">
            <w:pPr>
              <w:spacing w:after="0"/>
              <w:rPr>
                <w:rFonts w:ascii="Calibri" w:hAnsi="Calibri" w:cs="Calibri"/>
                <w:bCs/>
              </w:rPr>
            </w:pPr>
            <w:r w:rsidRPr="00B73D79">
              <w:rPr>
                <w:rFonts w:ascii="Calibri" w:hAnsi="Calibri" w:cs="Calibri"/>
                <w:bCs/>
              </w:rPr>
              <w:t xml:space="preserve">Voor 2025 en 2026 worden de middelen voor de uitvoering van de sociale agenda overgeheveld aan de gemeente Groningen. De 16 maatregelen worden door de regio door afzonderlijke partijen uitgevoerd. De gemeente Groningen is, zoals afgesproken in een door de regio opgesteld convenant, als budgethouder verantwoordelijk voor de verdeling van de middelen in 2025 en 2026. Later wordt de gezamenlijke governance structuur van Rijk-Regio voor de Sociale- en Economische Agenda bepaald. </w:t>
            </w:r>
          </w:p>
        </w:tc>
      </w:tr>
      <w:tr w:rsidRPr="00B73D79" w:rsidR="00202B73" w:rsidTr="00E838A2" w14:paraId="450A6D83" w14:textId="77777777">
        <w:trPr>
          <w:gridAfter w:val="1"/>
          <w:wAfter w:w="4" w:type="pct"/>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2A231AD1" w14:textId="77777777">
            <w:pPr>
              <w:spacing w:after="0"/>
              <w:rPr>
                <w:rFonts w:ascii="Calibri" w:hAnsi="Calibri" w:cs="Calibri"/>
                <w:bCs/>
              </w:rPr>
            </w:pPr>
          </w:p>
          <w:p w:rsidRPr="00B73D79" w:rsidR="00202B73" w:rsidP="00202B73" w:rsidRDefault="00202B73" w14:paraId="1FC88544" w14:textId="77777777">
            <w:pPr>
              <w:numPr>
                <w:ilvl w:val="0"/>
                <w:numId w:val="6"/>
              </w:numPr>
              <w:autoSpaceDN w:val="0"/>
              <w:spacing w:after="0" w:line="240" w:lineRule="atLeast"/>
              <w:textAlignment w:val="baseline"/>
              <w:rPr>
                <w:rFonts w:ascii="Calibri" w:hAnsi="Calibri" w:cs="Calibri"/>
                <w:b/>
              </w:rPr>
            </w:pPr>
            <w:r w:rsidRPr="00B73D79">
              <w:rPr>
                <w:rFonts w:ascii="Calibri" w:hAnsi="Calibri" w:cs="Calibri"/>
                <w:b/>
              </w:rPr>
              <w:t>Financiële gevolgen</w:t>
            </w:r>
          </w:p>
          <w:p w:rsidRPr="00B73D79" w:rsidR="00202B73" w:rsidP="00202B73" w:rsidRDefault="00202B73" w14:paraId="6AAD442A" w14:textId="77777777">
            <w:pPr>
              <w:spacing w:after="0"/>
              <w:rPr>
                <w:rFonts w:ascii="Calibri" w:hAnsi="Calibri" w:cs="Calibri"/>
                <w:b/>
              </w:rPr>
            </w:pPr>
          </w:p>
          <w:p w:rsidRPr="00B73D79" w:rsidR="00202B73" w:rsidP="00202B73" w:rsidRDefault="00202B73" w14:paraId="141CDD85" w14:textId="77777777">
            <w:pPr>
              <w:spacing w:after="0"/>
              <w:rPr>
                <w:rFonts w:ascii="Calibri" w:hAnsi="Calibri" w:cs="Calibri"/>
                <w:b/>
              </w:rPr>
            </w:pPr>
            <w:r w:rsidRPr="00B73D79">
              <w:rPr>
                <w:rFonts w:ascii="Calibri" w:hAnsi="Calibri" w:cs="Calibri"/>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326AFE20" w14:textId="77777777">
            <w:pPr>
              <w:spacing w:after="0"/>
              <w:rPr>
                <w:rFonts w:ascii="Calibri" w:hAnsi="Calibri" w:cs="Calibri"/>
              </w:rPr>
            </w:pPr>
          </w:p>
          <w:p w:rsidRPr="00B73D79" w:rsidR="00202B73" w:rsidP="00202B73" w:rsidRDefault="00202B73" w14:paraId="4DA3DE0D" w14:textId="77777777">
            <w:pPr>
              <w:spacing w:after="0"/>
              <w:rPr>
                <w:rFonts w:ascii="Calibri" w:hAnsi="Calibri" w:cs="Calibri"/>
              </w:rPr>
            </w:pPr>
            <w:r w:rsidRPr="00B73D79">
              <w:rPr>
                <w:rFonts w:ascii="Calibri" w:hAnsi="Calibri" w:cs="Calibri"/>
              </w:rPr>
              <w:t xml:space="preserve">Voor maatregel 34 is in dertig jaar €3,5 miljard beschikbaar. De programma’s van de sociale agenda gaan in 2025 van start. In de eerste jaren is een opbouw opgesteld. Niet alle programma’s opereren vanaf het begin op 100%. Voor 2025 en 2026 is reeds budget gereserveerd op de begroting van BZK. Voor de jaren 2027 t/m 2030 zijn nu ook middelen toegevoegd aan de BZK-begroting voor de sociale agenda. </w:t>
            </w:r>
          </w:p>
          <w:p w:rsidRPr="00B73D79" w:rsidR="00202B73" w:rsidP="00202B73" w:rsidRDefault="00202B73" w14:paraId="228A7D0E" w14:textId="77777777">
            <w:pPr>
              <w:spacing w:after="0"/>
              <w:rPr>
                <w:rFonts w:ascii="Calibri" w:hAnsi="Calibri" w:cs="Calibri"/>
              </w:rPr>
            </w:pPr>
          </w:p>
          <w:tbl>
            <w:tblPr>
              <w:tblStyle w:val="Tabelraster"/>
              <w:tblW w:w="0" w:type="auto"/>
              <w:tblInd w:w="0" w:type="dxa"/>
              <w:tblLook w:val="04A0" w:firstRow="1" w:lastRow="0" w:firstColumn="1" w:lastColumn="0" w:noHBand="0" w:noVBand="1"/>
            </w:tblPr>
            <w:tblGrid>
              <w:gridCol w:w="880"/>
              <w:gridCol w:w="635"/>
              <w:gridCol w:w="384"/>
              <w:gridCol w:w="384"/>
              <w:gridCol w:w="384"/>
              <w:gridCol w:w="443"/>
              <w:gridCol w:w="614"/>
              <w:gridCol w:w="614"/>
            </w:tblGrid>
            <w:tr w:rsidRPr="00B73D79" w:rsidR="00202B73" w:rsidTr="00E838A2" w14:paraId="4421978C" w14:textId="77777777">
              <w:tc>
                <w:tcPr>
                  <w:tcW w:w="1139" w:type="dxa"/>
                  <w:tcBorders>
                    <w:top w:val="single" w:color="000000" w:sz="4" w:space="0"/>
                    <w:left w:val="single" w:color="000000" w:sz="4" w:space="0"/>
                    <w:bottom w:val="single" w:color="000000" w:sz="4" w:space="0"/>
                    <w:right w:val="single" w:color="000000" w:sz="4" w:space="0"/>
                  </w:tcBorders>
                </w:tcPr>
                <w:p w:rsidRPr="00B73D79" w:rsidR="00202B73" w:rsidP="00202B73" w:rsidRDefault="00202B73" w14:paraId="35EC3DE1" w14:textId="77777777">
                  <w:pPr>
                    <w:spacing w:line="259" w:lineRule="auto"/>
                    <w:rPr>
                      <w:rFonts w:ascii="Calibri" w:hAnsi="Calibri" w:cs="Calibri"/>
                      <w:b/>
                      <w:bCs/>
                      <w:sz w:val="22"/>
                      <w:szCs w:val="22"/>
                    </w:rPr>
                  </w:pPr>
                </w:p>
              </w:tc>
              <w:tc>
                <w:tcPr>
                  <w:tcW w:w="72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430EB8A1" w14:textId="77777777">
                  <w:pPr>
                    <w:spacing w:line="259" w:lineRule="auto"/>
                    <w:rPr>
                      <w:rFonts w:ascii="Calibri" w:hAnsi="Calibri" w:cs="Calibri"/>
                      <w:b/>
                      <w:bCs/>
                      <w:sz w:val="22"/>
                      <w:szCs w:val="22"/>
                    </w:rPr>
                  </w:pPr>
                  <w:r w:rsidRPr="00B73D79">
                    <w:rPr>
                      <w:rFonts w:ascii="Calibri" w:hAnsi="Calibri" w:cs="Calibri"/>
                      <w:b/>
                      <w:bCs/>
                      <w:sz w:val="22"/>
                      <w:szCs w:val="22"/>
                    </w:rPr>
                    <w:t>totaal</w:t>
                  </w:r>
                </w:p>
              </w:tc>
              <w:tc>
                <w:tcPr>
                  <w:tcW w:w="48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26CDD4CD" w14:textId="77777777">
                  <w:pPr>
                    <w:spacing w:line="259" w:lineRule="auto"/>
                    <w:rPr>
                      <w:rFonts w:ascii="Calibri" w:hAnsi="Calibri" w:cs="Calibri"/>
                      <w:b/>
                      <w:bCs/>
                      <w:sz w:val="22"/>
                      <w:szCs w:val="22"/>
                    </w:rPr>
                  </w:pPr>
                  <w:r w:rsidRPr="00B73D79">
                    <w:rPr>
                      <w:rFonts w:ascii="Calibri" w:hAnsi="Calibri" w:cs="Calibri"/>
                      <w:b/>
                      <w:bCs/>
                      <w:sz w:val="22"/>
                      <w:szCs w:val="22"/>
                    </w:rPr>
                    <w:t>‘25</w:t>
                  </w:r>
                </w:p>
              </w:tc>
              <w:tc>
                <w:tcPr>
                  <w:tcW w:w="48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41698DEC" w14:textId="77777777">
                  <w:pPr>
                    <w:spacing w:line="259" w:lineRule="auto"/>
                    <w:rPr>
                      <w:rFonts w:ascii="Calibri" w:hAnsi="Calibri" w:cs="Calibri"/>
                      <w:b/>
                      <w:bCs/>
                      <w:sz w:val="22"/>
                      <w:szCs w:val="22"/>
                    </w:rPr>
                  </w:pPr>
                  <w:r w:rsidRPr="00B73D79">
                    <w:rPr>
                      <w:rFonts w:ascii="Calibri" w:hAnsi="Calibri" w:cs="Calibri"/>
                      <w:b/>
                      <w:bCs/>
                      <w:sz w:val="22"/>
                      <w:szCs w:val="22"/>
                    </w:rPr>
                    <w:t>‘26</w:t>
                  </w:r>
                </w:p>
              </w:tc>
              <w:tc>
                <w:tcPr>
                  <w:tcW w:w="48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09765B39" w14:textId="77777777">
                  <w:pPr>
                    <w:spacing w:line="259" w:lineRule="auto"/>
                    <w:rPr>
                      <w:rFonts w:ascii="Calibri" w:hAnsi="Calibri" w:cs="Calibri"/>
                      <w:b/>
                      <w:bCs/>
                      <w:sz w:val="22"/>
                      <w:szCs w:val="22"/>
                    </w:rPr>
                  </w:pPr>
                  <w:r w:rsidRPr="00B73D79">
                    <w:rPr>
                      <w:rFonts w:ascii="Calibri" w:hAnsi="Calibri" w:cs="Calibri"/>
                      <w:b/>
                      <w:bCs/>
                      <w:sz w:val="22"/>
                      <w:szCs w:val="22"/>
                    </w:rPr>
                    <w:t>‘27</w:t>
                  </w:r>
                </w:p>
              </w:tc>
              <w:tc>
                <w:tcPr>
                  <w:tcW w:w="552"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1C964DEF" w14:textId="77777777">
                  <w:pPr>
                    <w:spacing w:line="259" w:lineRule="auto"/>
                    <w:rPr>
                      <w:rFonts w:ascii="Calibri" w:hAnsi="Calibri" w:cs="Calibri"/>
                      <w:b/>
                      <w:bCs/>
                      <w:sz w:val="22"/>
                      <w:szCs w:val="22"/>
                    </w:rPr>
                  </w:pPr>
                  <w:r w:rsidRPr="00B73D79">
                    <w:rPr>
                      <w:rFonts w:ascii="Calibri" w:hAnsi="Calibri" w:cs="Calibri"/>
                      <w:b/>
                      <w:bCs/>
                      <w:sz w:val="22"/>
                      <w:szCs w:val="22"/>
                    </w:rPr>
                    <w:t>‘28</w:t>
                  </w:r>
                </w:p>
              </w:tc>
              <w:tc>
                <w:tcPr>
                  <w:tcW w:w="72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4D389474" w14:textId="77777777">
                  <w:pPr>
                    <w:spacing w:line="259" w:lineRule="auto"/>
                    <w:rPr>
                      <w:rFonts w:ascii="Calibri" w:hAnsi="Calibri" w:cs="Calibri"/>
                      <w:b/>
                      <w:bCs/>
                      <w:sz w:val="22"/>
                      <w:szCs w:val="22"/>
                    </w:rPr>
                  </w:pPr>
                  <w:r w:rsidRPr="00B73D79">
                    <w:rPr>
                      <w:rFonts w:ascii="Calibri" w:hAnsi="Calibri" w:cs="Calibri"/>
                      <w:b/>
                      <w:bCs/>
                      <w:sz w:val="22"/>
                      <w:szCs w:val="22"/>
                    </w:rPr>
                    <w:t>‘29</w:t>
                  </w:r>
                </w:p>
              </w:tc>
              <w:tc>
                <w:tcPr>
                  <w:tcW w:w="72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0EA3FCB0" w14:textId="77777777">
                  <w:pPr>
                    <w:spacing w:line="259" w:lineRule="auto"/>
                    <w:rPr>
                      <w:rFonts w:ascii="Calibri" w:hAnsi="Calibri" w:cs="Calibri"/>
                      <w:b/>
                      <w:bCs/>
                      <w:sz w:val="22"/>
                      <w:szCs w:val="22"/>
                    </w:rPr>
                  </w:pPr>
                  <w:r w:rsidRPr="00B73D79">
                    <w:rPr>
                      <w:rFonts w:ascii="Calibri" w:hAnsi="Calibri" w:cs="Calibri"/>
                      <w:b/>
                      <w:bCs/>
                      <w:sz w:val="22"/>
                      <w:szCs w:val="22"/>
                    </w:rPr>
                    <w:t>‘30</w:t>
                  </w:r>
                </w:p>
              </w:tc>
            </w:tr>
            <w:tr w:rsidRPr="00B73D79" w:rsidR="00202B73" w:rsidTr="00E838A2" w14:paraId="551ACCCE" w14:textId="77777777">
              <w:trPr>
                <w:trHeight w:val="528"/>
              </w:trPr>
              <w:tc>
                <w:tcPr>
                  <w:tcW w:w="1139"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57BFA4C2" w14:textId="77777777">
                  <w:pPr>
                    <w:spacing w:line="259" w:lineRule="auto"/>
                    <w:rPr>
                      <w:rFonts w:ascii="Calibri" w:hAnsi="Calibri" w:cs="Calibri"/>
                      <w:sz w:val="22"/>
                      <w:szCs w:val="22"/>
                    </w:rPr>
                  </w:pPr>
                  <w:r w:rsidRPr="00B73D79">
                    <w:rPr>
                      <w:rFonts w:ascii="Calibri" w:hAnsi="Calibri" w:cs="Calibri"/>
                      <w:sz w:val="22"/>
                      <w:szCs w:val="22"/>
                    </w:rPr>
                    <w:t xml:space="preserve">Budget </w:t>
                  </w:r>
                </w:p>
                <w:p w:rsidRPr="00B73D79" w:rsidR="00202B73" w:rsidP="00202B73" w:rsidRDefault="00202B73" w14:paraId="6E208A94" w14:textId="77777777">
                  <w:pPr>
                    <w:spacing w:line="259" w:lineRule="auto"/>
                    <w:rPr>
                      <w:rFonts w:ascii="Calibri" w:hAnsi="Calibri" w:cs="Calibri"/>
                      <w:sz w:val="22"/>
                      <w:szCs w:val="22"/>
                    </w:rPr>
                  </w:pPr>
                </w:p>
              </w:tc>
              <w:tc>
                <w:tcPr>
                  <w:tcW w:w="72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71714361" w14:textId="77777777">
                  <w:pPr>
                    <w:spacing w:line="259" w:lineRule="auto"/>
                    <w:rPr>
                      <w:rFonts w:ascii="Calibri" w:hAnsi="Calibri" w:cs="Calibri"/>
                      <w:sz w:val="22"/>
                      <w:szCs w:val="22"/>
                    </w:rPr>
                  </w:pPr>
                  <w:r w:rsidRPr="00B73D79">
                    <w:rPr>
                      <w:rFonts w:ascii="Calibri" w:hAnsi="Calibri" w:cs="Calibri"/>
                      <w:sz w:val="22"/>
                      <w:szCs w:val="22"/>
                    </w:rPr>
                    <w:t>479,2</w:t>
                  </w:r>
                </w:p>
              </w:tc>
              <w:tc>
                <w:tcPr>
                  <w:tcW w:w="48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2132C492" w14:textId="77777777">
                  <w:pPr>
                    <w:spacing w:line="259" w:lineRule="auto"/>
                    <w:rPr>
                      <w:rFonts w:ascii="Calibri" w:hAnsi="Calibri" w:cs="Calibri"/>
                      <w:sz w:val="22"/>
                      <w:szCs w:val="22"/>
                    </w:rPr>
                  </w:pPr>
                  <w:r w:rsidRPr="00B73D79">
                    <w:rPr>
                      <w:rFonts w:ascii="Calibri" w:hAnsi="Calibri" w:cs="Calibri"/>
                      <w:sz w:val="22"/>
                      <w:szCs w:val="22"/>
                    </w:rPr>
                    <w:t>-</w:t>
                  </w:r>
                </w:p>
              </w:tc>
              <w:tc>
                <w:tcPr>
                  <w:tcW w:w="48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33ABD0E8" w14:textId="77777777">
                  <w:pPr>
                    <w:spacing w:line="259" w:lineRule="auto"/>
                    <w:rPr>
                      <w:rFonts w:ascii="Calibri" w:hAnsi="Calibri" w:cs="Calibri"/>
                      <w:sz w:val="22"/>
                      <w:szCs w:val="22"/>
                    </w:rPr>
                  </w:pPr>
                  <w:r w:rsidRPr="00B73D79">
                    <w:rPr>
                      <w:rFonts w:ascii="Calibri" w:hAnsi="Calibri" w:cs="Calibri"/>
                      <w:sz w:val="22"/>
                      <w:szCs w:val="22"/>
                    </w:rPr>
                    <w:t>-</w:t>
                  </w:r>
                </w:p>
              </w:tc>
              <w:tc>
                <w:tcPr>
                  <w:tcW w:w="48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617A3324" w14:textId="77777777">
                  <w:pPr>
                    <w:spacing w:line="259" w:lineRule="auto"/>
                    <w:rPr>
                      <w:rFonts w:ascii="Calibri" w:hAnsi="Calibri" w:cs="Calibri"/>
                      <w:sz w:val="22"/>
                      <w:szCs w:val="22"/>
                    </w:rPr>
                  </w:pPr>
                  <w:r w:rsidRPr="00B73D79">
                    <w:rPr>
                      <w:rFonts w:ascii="Calibri" w:hAnsi="Calibri" w:cs="Calibri"/>
                      <w:sz w:val="22"/>
                      <w:szCs w:val="22"/>
                    </w:rPr>
                    <w:t>79</w:t>
                  </w:r>
                </w:p>
              </w:tc>
              <w:tc>
                <w:tcPr>
                  <w:tcW w:w="552"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2808C445" w14:textId="77777777">
                  <w:pPr>
                    <w:spacing w:line="259" w:lineRule="auto"/>
                    <w:rPr>
                      <w:rFonts w:ascii="Calibri" w:hAnsi="Calibri" w:cs="Calibri"/>
                      <w:sz w:val="22"/>
                      <w:szCs w:val="22"/>
                    </w:rPr>
                  </w:pPr>
                  <w:r w:rsidRPr="00B73D79">
                    <w:rPr>
                      <w:rFonts w:ascii="Calibri" w:hAnsi="Calibri" w:cs="Calibri"/>
                      <w:sz w:val="22"/>
                      <w:szCs w:val="22"/>
                    </w:rPr>
                    <w:t>117</w:t>
                  </w:r>
                </w:p>
              </w:tc>
              <w:tc>
                <w:tcPr>
                  <w:tcW w:w="72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735E5CE3" w14:textId="77777777">
                  <w:pPr>
                    <w:spacing w:line="259" w:lineRule="auto"/>
                    <w:rPr>
                      <w:rFonts w:ascii="Calibri" w:hAnsi="Calibri" w:cs="Calibri"/>
                      <w:sz w:val="22"/>
                      <w:szCs w:val="22"/>
                    </w:rPr>
                  </w:pPr>
                  <w:r w:rsidRPr="00B73D79">
                    <w:rPr>
                      <w:rFonts w:ascii="Calibri" w:hAnsi="Calibri" w:cs="Calibri"/>
                      <w:sz w:val="22"/>
                      <w:szCs w:val="22"/>
                    </w:rPr>
                    <w:t>137,6</w:t>
                  </w:r>
                </w:p>
              </w:tc>
              <w:tc>
                <w:tcPr>
                  <w:tcW w:w="727" w:type="dxa"/>
                  <w:tcBorders>
                    <w:top w:val="single" w:color="000000" w:sz="4" w:space="0"/>
                    <w:left w:val="single" w:color="000000" w:sz="4" w:space="0"/>
                    <w:bottom w:val="single" w:color="000000" w:sz="4" w:space="0"/>
                    <w:right w:val="single" w:color="000000" w:sz="4" w:space="0"/>
                  </w:tcBorders>
                  <w:hideMark/>
                </w:tcPr>
                <w:p w:rsidRPr="00B73D79" w:rsidR="00202B73" w:rsidP="00202B73" w:rsidRDefault="00202B73" w14:paraId="061E57CB" w14:textId="77777777">
                  <w:pPr>
                    <w:spacing w:line="259" w:lineRule="auto"/>
                    <w:rPr>
                      <w:rFonts w:ascii="Calibri" w:hAnsi="Calibri" w:cs="Calibri"/>
                      <w:sz w:val="22"/>
                      <w:szCs w:val="22"/>
                    </w:rPr>
                  </w:pPr>
                  <w:r w:rsidRPr="00B73D79">
                    <w:rPr>
                      <w:rFonts w:ascii="Calibri" w:hAnsi="Calibri" w:cs="Calibri"/>
                      <w:sz w:val="22"/>
                      <w:szCs w:val="22"/>
                    </w:rPr>
                    <w:t>145,6</w:t>
                  </w:r>
                </w:p>
              </w:tc>
            </w:tr>
          </w:tbl>
          <w:p w:rsidRPr="00B73D79" w:rsidR="00202B73" w:rsidP="00202B73" w:rsidRDefault="00202B73" w14:paraId="002FCE4F" w14:textId="77777777">
            <w:pPr>
              <w:spacing w:after="0"/>
              <w:rPr>
                <w:rFonts w:ascii="Calibri" w:hAnsi="Calibri" w:cs="Calibri"/>
                <w:b/>
              </w:rPr>
            </w:pPr>
          </w:p>
        </w:tc>
      </w:tr>
      <w:tr w:rsidRPr="00B73D79" w:rsidR="00202B73" w:rsidTr="00E838A2" w14:paraId="4F441920" w14:textId="77777777">
        <w:trPr>
          <w:gridAfter w:val="1"/>
          <w:wAfter w:w="4" w:type="pct"/>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3C181900" w14:textId="77777777">
            <w:pPr>
              <w:spacing w:after="0"/>
              <w:rPr>
                <w:rFonts w:ascii="Calibri" w:hAnsi="Calibri" w:cs="Calibri"/>
                <w:bCs/>
              </w:rPr>
            </w:pPr>
          </w:p>
          <w:p w:rsidRPr="00B73D79" w:rsidR="00202B73" w:rsidP="00202B73" w:rsidRDefault="00202B73" w14:paraId="0383F822" w14:textId="77777777">
            <w:pPr>
              <w:spacing w:after="0"/>
              <w:rPr>
                <w:rFonts w:ascii="Calibri" w:hAnsi="Calibri" w:cs="Calibri"/>
                <w:b/>
              </w:rPr>
            </w:pPr>
            <w:r w:rsidRPr="00B73D79">
              <w:rPr>
                <w:rFonts w:ascii="Calibri" w:hAnsi="Calibri" w:cs="Calibri"/>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78D2EFBD" w14:textId="77777777">
            <w:pPr>
              <w:spacing w:after="0"/>
              <w:rPr>
                <w:rFonts w:ascii="Calibri" w:hAnsi="Calibri" w:cs="Calibri"/>
                <w:bCs/>
              </w:rPr>
            </w:pPr>
            <w:r w:rsidRPr="00B73D79">
              <w:rPr>
                <w:rFonts w:ascii="Calibri" w:hAnsi="Calibri" w:cs="Calibri"/>
                <w:bCs/>
              </w:rPr>
              <w:t>N.v.t.</w:t>
            </w:r>
          </w:p>
        </w:tc>
      </w:tr>
      <w:tr w:rsidRPr="00B73D79" w:rsidR="00202B73" w:rsidTr="00E838A2" w14:paraId="40D0859A" w14:textId="77777777">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0284B705" w14:textId="77777777">
            <w:pPr>
              <w:spacing w:after="0"/>
              <w:rPr>
                <w:rFonts w:ascii="Calibri" w:hAnsi="Calibri" w:cs="Calibri"/>
                <w:b/>
              </w:rPr>
            </w:pPr>
          </w:p>
          <w:p w:rsidRPr="00B73D79" w:rsidR="00202B73" w:rsidP="00202B73" w:rsidRDefault="00202B73" w14:paraId="386DFEDA" w14:textId="77777777">
            <w:pPr>
              <w:numPr>
                <w:ilvl w:val="0"/>
                <w:numId w:val="6"/>
              </w:numPr>
              <w:autoSpaceDN w:val="0"/>
              <w:spacing w:after="0" w:line="240" w:lineRule="atLeast"/>
              <w:textAlignment w:val="baseline"/>
              <w:rPr>
                <w:rFonts w:ascii="Calibri" w:hAnsi="Calibri" w:cs="Calibri"/>
                <w:b/>
              </w:rPr>
            </w:pPr>
            <w:r w:rsidRPr="00B73D79">
              <w:rPr>
                <w:rFonts w:ascii="Calibri" w:hAnsi="Calibri" w:cs="Calibri"/>
                <w:b/>
              </w:rPr>
              <w:t>Nagestreefde doeltreffendheid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6ED6C856" w14:textId="77777777">
            <w:pPr>
              <w:spacing w:after="0"/>
              <w:rPr>
                <w:rFonts w:ascii="Calibri" w:hAnsi="Calibri" w:cs="Calibri"/>
                <w:bCs/>
              </w:rPr>
            </w:pPr>
            <w:r w:rsidRPr="00B73D79">
              <w:rPr>
                <w:rFonts w:ascii="Calibri" w:hAnsi="Calibri" w:cs="Calibri"/>
                <w:bCs/>
              </w:rPr>
              <w:t xml:space="preserve">Alle 16 maatregelen ondersteunen en versterken elkaar. Zo leidt het verminderen van schuldenproblemen in gezinnen tot betere onderwijsprestaties, minder stress en een betere gezondheid. Betere geletterdheid leidt tot grotere baankansen, een kleinere kans op financiële problemen en een betere ervaren gezondheid. Maatschappelijke organisaties als sport- en cultuurclubs dragen bij aan meer bewegen, meer sociale cohesie, minder eenzaamheid, een betere gezondheid en nog </w:t>
            </w:r>
            <w:r w:rsidRPr="00B73D79">
              <w:rPr>
                <w:rFonts w:ascii="Calibri" w:hAnsi="Calibri" w:cs="Calibri"/>
                <w:bCs/>
              </w:rPr>
              <w:lastRenderedPageBreak/>
              <w:t xml:space="preserve">veel meer. Kortom, de doelen worden via verschillende wegen bereikt. Op basis van de analyses en gesprekken komen we tot een sociale agenda met 16 maatregelen. Op deze manier wordt structureel impact gemaakt. Met de agenda wordt beoogd de kwaliteit van leven van Groningers en Noord-Drenten te verhogen. In het bijzonder voor de jeugd.  </w:t>
            </w:r>
          </w:p>
        </w:tc>
      </w:tr>
      <w:tr w:rsidRPr="00B73D79" w:rsidR="00202B73" w:rsidTr="00E838A2" w14:paraId="483BB630"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1AA23040" w14:textId="77777777">
            <w:pPr>
              <w:spacing w:after="0"/>
              <w:rPr>
                <w:rFonts w:ascii="Calibri" w:hAnsi="Calibri" w:cs="Calibri"/>
                <w:b/>
              </w:rPr>
            </w:pPr>
          </w:p>
          <w:p w:rsidRPr="00B73D79" w:rsidR="00202B73" w:rsidP="00202B73" w:rsidRDefault="00202B73" w14:paraId="5B21CFC7" w14:textId="77777777">
            <w:pPr>
              <w:numPr>
                <w:ilvl w:val="0"/>
                <w:numId w:val="6"/>
              </w:numPr>
              <w:autoSpaceDN w:val="0"/>
              <w:spacing w:after="0" w:line="240" w:lineRule="atLeast"/>
              <w:textAlignment w:val="baseline"/>
              <w:rPr>
                <w:rFonts w:ascii="Calibri" w:hAnsi="Calibri" w:cs="Calibri"/>
                <w:b/>
              </w:rPr>
            </w:pPr>
            <w:r w:rsidRPr="00B73D79">
              <w:rPr>
                <w:rFonts w:ascii="Calibri" w:hAnsi="Calibri" w:cs="Calibri"/>
                <w:b/>
              </w:rPr>
              <w:t>Nagestreefde doelmatigheid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3B2CFEE7" w14:textId="77777777">
            <w:pPr>
              <w:spacing w:after="0"/>
              <w:rPr>
                <w:rFonts w:ascii="Calibri" w:hAnsi="Calibri" w:cs="Calibri"/>
                <w:bCs/>
              </w:rPr>
            </w:pPr>
            <w:r w:rsidRPr="00B73D79">
              <w:rPr>
                <w:rFonts w:ascii="Calibri" w:hAnsi="Calibri" w:cs="Calibri"/>
                <w:bCs/>
              </w:rPr>
              <w:t xml:space="preserve">Het maatregelenpakket moet ervoor zorgen dat de doelen, zoals vertaald in de 16 maatregelen, behaald worden. Deze specifieke maatregelen dienen bij te dragen aan de leefbaarheid, sociale cohesie, verbeteren van de (mentale) gezondheid, deelname aan werk, verminderen van armoede en kansen voor kinderen en jongeren en de volgende generatie. </w:t>
            </w:r>
          </w:p>
        </w:tc>
      </w:tr>
      <w:tr w:rsidRPr="00B73D79" w:rsidR="00202B73" w:rsidTr="00E838A2" w14:paraId="71138062"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35C93A36" w14:textId="77777777">
            <w:pPr>
              <w:spacing w:after="0"/>
              <w:rPr>
                <w:rFonts w:ascii="Calibri" w:hAnsi="Calibri" w:cs="Calibri"/>
                <w:b/>
              </w:rPr>
            </w:pPr>
          </w:p>
          <w:p w:rsidRPr="00B73D79" w:rsidR="00202B73" w:rsidP="00202B73" w:rsidRDefault="00202B73" w14:paraId="03CAFD3E" w14:textId="77777777">
            <w:pPr>
              <w:numPr>
                <w:ilvl w:val="0"/>
                <w:numId w:val="6"/>
              </w:numPr>
              <w:autoSpaceDN w:val="0"/>
              <w:spacing w:after="0" w:line="240" w:lineRule="atLeast"/>
              <w:textAlignment w:val="baseline"/>
              <w:rPr>
                <w:rFonts w:ascii="Calibri" w:hAnsi="Calibri" w:cs="Calibri"/>
                <w:b/>
              </w:rPr>
            </w:pPr>
            <w:r w:rsidRPr="00B73D79">
              <w:rPr>
                <w:rFonts w:ascii="Calibri" w:hAnsi="Calibri" w:cs="Calibri"/>
                <w:b/>
              </w:rPr>
              <w:t>Evaluatieparagraaf</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1D61DBEA" w14:textId="77777777">
            <w:pPr>
              <w:spacing w:after="0"/>
              <w:rPr>
                <w:rFonts w:ascii="Calibri" w:hAnsi="Calibri" w:cs="Calibri"/>
                <w:bCs/>
              </w:rPr>
            </w:pPr>
          </w:p>
          <w:p w:rsidRPr="00B73D79" w:rsidR="00202B73" w:rsidP="00202B73" w:rsidRDefault="00202B73" w14:paraId="4E3E4FD0" w14:textId="77777777">
            <w:pPr>
              <w:spacing w:after="0"/>
              <w:rPr>
                <w:rFonts w:ascii="Calibri" w:hAnsi="Calibri" w:cs="Calibri"/>
                <w:bCs/>
              </w:rPr>
            </w:pPr>
            <w:r w:rsidRPr="00B73D79">
              <w:rPr>
                <w:rFonts w:ascii="Calibri" w:hAnsi="Calibri" w:cs="Calibri"/>
                <w:bCs/>
              </w:rPr>
              <w:t xml:space="preserve">Voor de 16 maatregelen uit de sociale agenda zijn output en outcome indicatoren geformuleerd. De voortgang van deze indicatoren wordt jaarlijks gemonitord, en de resultaten worden opgenomen in de Staat van Groningen &amp; Noord-Drenthe, die door een onafhankelijke partij wordt samengesteld. Deze partij geeft ook een appreciatie van de bereikte resultaten, in het licht van de langetermijndoelstelling om met de sociale agenda een bijdrage te leveren aan het vergroten van de brede welvaart in Groningen en Noord-Drenthe naar het landelijk gemiddelde, uiterlijk in 2055. </w:t>
            </w:r>
          </w:p>
          <w:p w:rsidRPr="00B73D79" w:rsidR="00202B73" w:rsidP="00202B73" w:rsidRDefault="00202B73" w14:paraId="4788B40E" w14:textId="77777777">
            <w:pPr>
              <w:spacing w:after="0"/>
              <w:rPr>
                <w:rFonts w:ascii="Calibri" w:hAnsi="Calibri" w:cs="Calibri"/>
                <w:bCs/>
              </w:rPr>
            </w:pPr>
          </w:p>
          <w:p w:rsidRPr="00B73D79" w:rsidR="00202B73" w:rsidP="00202B73" w:rsidRDefault="00202B73" w14:paraId="62706097" w14:textId="77777777">
            <w:pPr>
              <w:spacing w:after="0"/>
              <w:rPr>
                <w:rFonts w:ascii="Calibri" w:hAnsi="Calibri" w:cs="Calibri"/>
                <w:bCs/>
              </w:rPr>
            </w:pPr>
            <w:r w:rsidRPr="00B73D79">
              <w:rPr>
                <w:rFonts w:ascii="Calibri" w:hAnsi="Calibri" w:cs="Calibri"/>
                <w:bCs/>
              </w:rPr>
              <w:t xml:space="preserve">Daarnaast wordt er gekeken hoe de sociale agenda periodiek geëvalueerd kan worden. </w:t>
            </w:r>
          </w:p>
          <w:p w:rsidRPr="00B73D79" w:rsidR="00202B73" w:rsidP="00202B73" w:rsidRDefault="00202B73" w14:paraId="0C366317" w14:textId="77777777">
            <w:pPr>
              <w:spacing w:after="0"/>
              <w:rPr>
                <w:rFonts w:ascii="Calibri" w:hAnsi="Calibri" w:cs="Calibri"/>
                <w:bCs/>
              </w:rPr>
            </w:pPr>
          </w:p>
          <w:p w:rsidRPr="00B73D79" w:rsidR="00202B73" w:rsidP="00202B73" w:rsidRDefault="00202B73" w14:paraId="1D8421DB" w14:textId="77777777">
            <w:pPr>
              <w:spacing w:after="0"/>
              <w:rPr>
                <w:rFonts w:ascii="Calibri" w:hAnsi="Calibri" w:cs="Calibri"/>
                <w:bCs/>
              </w:rPr>
            </w:pPr>
          </w:p>
        </w:tc>
      </w:tr>
    </w:tbl>
    <w:p w:rsidRPr="00B73D79" w:rsidR="00202B73" w:rsidP="00202B73" w:rsidRDefault="00202B73" w14:paraId="143127CA" w14:textId="77777777">
      <w:pPr>
        <w:spacing w:after="0"/>
        <w:rPr>
          <w:rFonts w:ascii="Calibri" w:hAnsi="Calibri" w:cs="Calibri"/>
        </w:rPr>
      </w:pPr>
    </w:p>
    <w:p w:rsidRPr="00B73D79" w:rsidR="00202B73" w:rsidP="00202B73" w:rsidRDefault="00202B73" w14:paraId="3CD03159" w14:textId="77777777">
      <w:pPr>
        <w:spacing w:after="0" w:line="240" w:lineRule="auto"/>
        <w:rPr>
          <w:rFonts w:ascii="Calibri" w:hAnsi="Calibri" w:cs="Calibri"/>
        </w:rPr>
      </w:pPr>
      <w:r w:rsidRPr="00B73D79">
        <w:rPr>
          <w:rFonts w:ascii="Calibri" w:hAnsi="Calibri" w:cs="Calibri"/>
        </w:rPr>
        <w:br w:type="page"/>
      </w:r>
    </w:p>
    <w:p w:rsidRPr="00B73D79" w:rsidR="00202B73" w:rsidP="00202B73" w:rsidRDefault="00202B73" w14:paraId="1A01E951" w14:textId="77777777">
      <w:pPr>
        <w:pStyle w:val="Lijstalinea"/>
        <w:numPr>
          <w:ilvl w:val="0"/>
          <w:numId w:val="4"/>
        </w:numPr>
        <w:autoSpaceDN w:val="0"/>
        <w:spacing w:after="0" w:line="240" w:lineRule="atLeast"/>
        <w:textAlignment w:val="baseline"/>
        <w:rPr>
          <w:rFonts w:ascii="Calibri" w:hAnsi="Calibri" w:cs="Calibri"/>
          <w:b/>
          <w:bCs/>
        </w:rPr>
      </w:pPr>
      <w:bookmarkStart w:name="_Hlk206502434" w:id="5"/>
      <w:r w:rsidRPr="00B73D79">
        <w:rPr>
          <w:rFonts w:ascii="Calibri" w:hAnsi="Calibri" w:cs="Calibri"/>
          <w:b/>
          <w:bCs/>
        </w:rPr>
        <w:lastRenderedPageBreak/>
        <w:t>Maatwerk onuitlegbare verschillen (Maatregel 12)</w:t>
      </w:r>
    </w:p>
    <w:p w:rsidRPr="00B73D79" w:rsidR="00202B73" w:rsidP="00202B73" w:rsidRDefault="00202B73" w14:paraId="566094ED" w14:textId="77777777">
      <w:pPr>
        <w:spacing w:after="0"/>
        <w:rPr>
          <w:rFonts w:ascii="Calibri" w:hAnsi="Calibri" w:cs="Calibri"/>
        </w:rPr>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972"/>
        <w:gridCol w:w="4564"/>
        <w:gridCol w:w="6"/>
      </w:tblGrid>
      <w:tr w:rsidRPr="00B73D79" w:rsidR="00202B73" w:rsidTr="00E838A2" w14:paraId="27D1C2D6" w14:textId="77777777">
        <w:trPr>
          <w:trHeight w:val="549"/>
        </w:trPr>
        <w:tc>
          <w:tcPr>
            <w:tcW w:w="5000" w:type="pct"/>
            <w:gridSpan w:val="3"/>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73D79" w:rsidR="00202B73" w:rsidP="00202B73" w:rsidRDefault="00202B73" w14:paraId="523E3365" w14:textId="77777777">
            <w:pPr>
              <w:spacing w:after="0"/>
              <w:rPr>
                <w:rFonts w:ascii="Calibri" w:hAnsi="Calibri" w:cs="Calibri"/>
                <w:b/>
              </w:rPr>
            </w:pPr>
            <w:r w:rsidRPr="00B73D79">
              <w:rPr>
                <w:rFonts w:ascii="Calibri" w:hAnsi="Calibri" w:cs="Calibri"/>
                <w:b/>
              </w:rPr>
              <w:t xml:space="preserve">Beleidskeuzes uitgelegd </w:t>
            </w:r>
          </w:p>
          <w:p w:rsidRPr="00B73D79" w:rsidR="00202B73" w:rsidP="00202B73" w:rsidRDefault="00202B73" w14:paraId="374687BA" w14:textId="77777777">
            <w:pPr>
              <w:spacing w:after="0"/>
              <w:rPr>
                <w:rFonts w:ascii="Calibri" w:hAnsi="Calibri" w:cs="Calibri"/>
                <w:b/>
              </w:rPr>
            </w:pPr>
          </w:p>
        </w:tc>
      </w:tr>
      <w:tr w:rsidRPr="00B73D79" w:rsidR="00202B73" w:rsidTr="00E838A2" w14:paraId="7EC6802B" w14:textId="77777777">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352C6488" w14:textId="77777777">
            <w:pPr>
              <w:spacing w:after="0"/>
              <w:rPr>
                <w:rFonts w:ascii="Calibri" w:hAnsi="Calibri" w:cs="Calibri"/>
                <w:b/>
              </w:rPr>
            </w:pPr>
          </w:p>
          <w:p w:rsidRPr="00B73D79" w:rsidR="00202B73" w:rsidP="00202B73" w:rsidRDefault="00202B73" w14:paraId="0319989E" w14:textId="77777777">
            <w:pPr>
              <w:numPr>
                <w:ilvl w:val="0"/>
                <w:numId w:val="7"/>
              </w:numPr>
              <w:autoSpaceDN w:val="0"/>
              <w:spacing w:after="0" w:line="240" w:lineRule="atLeast"/>
              <w:textAlignment w:val="baseline"/>
              <w:rPr>
                <w:rFonts w:ascii="Calibri" w:hAnsi="Calibri" w:cs="Calibri"/>
                <w:b/>
              </w:rPr>
            </w:pPr>
            <w:r w:rsidRPr="00B73D79">
              <w:rPr>
                <w:rFonts w:ascii="Calibri" w:hAnsi="Calibri" w:cs="Calibri"/>
                <w:b/>
              </w:rPr>
              <w:t xml:space="preserve">Doel(en) </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08008566" w14:textId="77777777">
            <w:pPr>
              <w:pStyle w:val="paragraph"/>
              <w:spacing w:before="0" w:beforeAutospacing="0" w:after="0" w:afterAutospacing="0"/>
              <w:textAlignment w:val="baseline"/>
              <w:rPr>
                <w:rFonts w:ascii="Calibri" w:hAnsi="Calibri" w:cs="Calibri" w:eastAsiaTheme="minorHAnsi"/>
                <w:sz w:val="22"/>
                <w:szCs w:val="22"/>
                <w:lang w:eastAsia="en-US"/>
              </w:rPr>
            </w:pPr>
            <w:r w:rsidRPr="00B73D79">
              <w:rPr>
                <w:rFonts w:ascii="Calibri" w:hAnsi="Calibri" w:cs="Calibri" w:eastAsiaTheme="minorHAnsi"/>
                <w:sz w:val="22"/>
                <w:szCs w:val="22"/>
                <w:lang w:eastAsia="en-US"/>
              </w:rPr>
              <w:t>Maatwerk bieden en dempen van onaanvaardbare verschillen in de versterking, op basis van sloop-nieuwbouw of overig maatwerk. </w:t>
            </w:r>
          </w:p>
          <w:p w:rsidRPr="00B73D79" w:rsidR="00202B73" w:rsidP="00202B73" w:rsidRDefault="00202B73" w14:paraId="170A3CAD" w14:textId="77777777">
            <w:pPr>
              <w:spacing w:after="0"/>
              <w:rPr>
                <w:rFonts w:ascii="Calibri" w:hAnsi="Calibri" w:cs="Calibri"/>
                <w:b/>
              </w:rPr>
            </w:pPr>
          </w:p>
        </w:tc>
      </w:tr>
      <w:tr w:rsidRPr="00B73D79" w:rsidR="00202B73" w:rsidTr="00E838A2" w14:paraId="75CB9175" w14:textId="77777777">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202FDF95" w14:textId="77777777">
            <w:pPr>
              <w:spacing w:after="0"/>
              <w:rPr>
                <w:rFonts w:ascii="Calibri" w:hAnsi="Calibri" w:cs="Calibri"/>
                <w:b/>
              </w:rPr>
            </w:pPr>
          </w:p>
          <w:p w:rsidRPr="00B73D79" w:rsidR="00202B73" w:rsidP="00202B73" w:rsidRDefault="00202B73" w14:paraId="67A10CDA" w14:textId="77777777">
            <w:pPr>
              <w:numPr>
                <w:ilvl w:val="0"/>
                <w:numId w:val="7"/>
              </w:numPr>
              <w:autoSpaceDN w:val="0"/>
              <w:spacing w:after="0" w:line="240" w:lineRule="atLeast"/>
              <w:textAlignment w:val="baseline"/>
              <w:rPr>
                <w:rFonts w:ascii="Calibri" w:hAnsi="Calibri" w:cs="Calibri"/>
                <w:b/>
              </w:rPr>
            </w:pPr>
            <w:r w:rsidRPr="00B73D79">
              <w:rPr>
                <w:rFonts w:ascii="Calibri" w:hAnsi="Calibri" w:cs="Calibri"/>
                <w:b/>
              </w:rPr>
              <w:t>Beleidsinstrument(en)</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2876EA1A" w14:textId="77777777">
            <w:pPr>
              <w:spacing w:after="0"/>
              <w:rPr>
                <w:rFonts w:ascii="Calibri" w:hAnsi="Calibri" w:cs="Calibri"/>
                <w:bCs/>
              </w:rPr>
            </w:pPr>
            <w:r w:rsidRPr="00B73D79">
              <w:rPr>
                <w:rFonts w:ascii="Calibri" w:hAnsi="Calibri" w:cs="Calibri"/>
                <w:bCs/>
              </w:rPr>
              <w:t>Maatwerk bieden om onaanvaardbare verschillen in de versterking te dempen. Voorbeeld: huizen met oneven nummers aan de ene kant van een straat zouden volgens hun versterkingsadvies (licht) bouwkundig versterkt moeten worden, terwijl de woningen met even nummers aan de andere kant eerder onveilig werden verklaard en inmiddels zijn gesloopt. Dit zijn verschillen die leiden tot sociale onrust en spanningen.</w:t>
            </w:r>
          </w:p>
          <w:p w:rsidRPr="00B73D79" w:rsidR="00202B73" w:rsidP="00202B73" w:rsidRDefault="00202B73" w14:paraId="74FFB84A" w14:textId="77777777">
            <w:pPr>
              <w:spacing w:after="0"/>
              <w:rPr>
                <w:rFonts w:ascii="Calibri" w:hAnsi="Calibri" w:cs="Calibri"/>
                <w:bCs/>
              </w:rPr>
            </w:pPr>
          </w:p>
          <w:p w:rsidRPr="00B73D79" w:rsidR="00202B73" w:rsidP="00202B73" w:rsidRDefault="00202B73" w14:paraId="114DEEB7" w14:textId="77777777">
            <w:pPr>
              <w:spacing w:after="0"/>
              <w:rPr>
                <w:rFonts w:ascii="Calibri" w:hAnsi="Calibri" w:cs="Calibri"/>
                <w:bCs/>
              </w:rPr>
            </w:pPr>
            <w:r w:rsidRPr="00B73D79">
              <w:rPr>
                <w:rFonts w:ascii="Calibri" w:hAnsi="Calibri" w:cs="Calibri"/>
                <w:bCs/>
              </w:rPr>
              <w:t>De Nationaal Coördinator Groningen (NCG) houdt gegevens bij waar bovenstaande voorbeelden gelden. Zodra de NCG de versterking van de woningen van deze gevallen uitvoert, wordt de sloop/nieuwbouw of overig maatwerk toegepast en bekostigd via deze middelen.</w:t>
            </w:r>
          </w:p>
        </w:tc>
      </w:tr>
      <w:tr w:rsidRPr="00B73D79" w:rsidR="00202B73" w:rsidTr="00E838A2" w14:paraId="1D9FE393" w14:textId="77777777">
        <w:trPr>
          <w:gridAfter w:val="1"/>
          <w:wAfter w:w="4" w:type="pct"/>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1D983170" w14:textId="77777777">
            <w:pPr>
              <w:spacing w:after="0"/>
              <w:rPr>
                <w:rFonts w:ascii="Calibri" w:hAnsi="Calibri" w:cs="Calibri"/>
                <w:bCs/>
              </w:rPr>
            </w:pPr>
          </w:p>
          <w:p w:rsidRPr="00B73D79" w:rsidR="00202B73" w:rsidP="00202B73" w:rsidRDefault="00202B73" w14:paraId="72AD59F2" w14:textId="77777777">
            <w:pPr>
              <w:numPr>
                <w:ilvl w:val="0"/>
                <w:numId w:val="7"/>
              </w:numPr>
              <w:autoSpaceDN w:val="0"/>
              <w:spacing w:after="0" w:line="240" w:lineRule="atLeast"/>
              <w:textAlignment w:val="baseline"/>
              <w:rPr>
                <w:rFonts w:ascii="Calibri" w:hAnsi="Calibri" w:cs="Calibri"/>
                <w:b/>
              </w:rPr>
            </w:pPr>
            <w:r w:rsidRPr="00B73D79">
              <w:rPr>
                <w:rFonts w:ascii="Calibri" w:hAnsi="Calibri" w:cs="Calibri"/>
                <w:b/>
              </w:rPr>
              <w:t>Financiële gevolgen</w:t>
            </w:r>
          </w:p>
          <w:p w:rsidRPr="00B73D79" w:rsidR="00202B73" w:rsidP="00202B73" w:rsidRDefault="00202B73" w14:paraId="7F6084F5" w14:textId="77777777">
            <w:pPr>
              <w:spacing w:after="0"/>
              <w:rPr>
                <w:rFonts w:ascii="Calibri" w:hAnsi="Calibri" w:cs="Calibri"/>
                <w:b/>
              </w:rPr>
            </w:pPr>
          </w:p>
          <w:p w:rsidRPr="00B73D79" w:rsidR="00202B73" w:rsidP="00202B73" w:rsidRDefault="00202B73" w14:paraId="34D9A883" w14:textId="77777777">
            <w:pPr>
              <w:spacing w:after="0"/>
              <w:rPr>
                <w:rFonts w:ascii="Calibri" w:hAnsi="Calibri" w:cs="Calibri"/>
                <w:b/>
              </w:rPr>
            </w:pPr>
            <w:r w:rsidRPr="00B73D79">
              <w:rPr>
                <w:rFonts w:ascii="Calibri" w:hAnsi="Calibri" w:cs="Calibri"/>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1D2266A9" w14:textId="77777777">
            <w:pPr>
              <w:pStyle w:val="paragraph"/>
              <w:spacing w:before="0" w:beforeAutospacing="0" w:after="0" w:afterAutospacing="0"/>
              <w:textAlignment w:val="baseline"/>
              <w:rPr>
                <w:rFonts w:ascii="Calibri" w:hAnsi="Calibri" w:cs="Calibri" w:eastAsiaTheme="minorHAnsi"/>
                <w:sz w:val="22"/>
                <w:szCs w:val="22"/>
                <w:lang w:eastAsia="en-US"/>
              </w:rPr>
            </w:pPr>
            <w:r w:rsidRPr="00B73D79">
              <w:rPr>
                <w:rFonts w:ascii="Calibri" w:hAnsi="Calibri" w:cs="Calibri" w:eastAsiaTheme="minorHAnsi"/>
                <w:sz w:val="22"/>
                <w:szCs w:val="22"/>
                <w:lang w:eastAsia="en-US"/>
              </w:rPr>
              <w:t xml:space="preserve">Het reeds beschikbare budget voor maatwerk op de BZK begroting wordt opgehoogd met € 148 mln. </w:t>
            </w:r>
          </w:p>
          <w:p w:rsidRPr="00B73D79" w:rsidR="00202B73" w:rsidP="00202B73" w:rsidRDefault="00202B73" w14:paraId="4BC9164B"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Pr="00B73D79" w:rsidR="00202B73" w:rsidP="00202B73" w:rsidRDefault="00202B73" w14:paraId="7C691E39" w14:textId="77777777">
            <w:pPr>
              <w:pStyle w:val="paragraph"/>
              <w:spacing w:before="0" w:beforeAutospacing="0" w:after="0" w:afterAutospacing="0"/>
              <w:textAlignment w:val="baseline"/>
              <w:rPr>
                <w:rFonts w:ascii="Calibri" w:hAnsi="Calibri" w:cs="Calibri" w:eastAsiaTheme="minorHAnsi"/>
                <w:sz w:val="22"/>
                <w:szCs w:val="22"/>
                <w:lang w:eastAsia="en-US"/>
              </w:rPr>
            </w:pPr>
            <w:r w:rsidRPr="00B73D79">
              <w:rPr>
                <w:rFonts w:ascii="Calibri" w:hAnsi="Calibri" w:cs="Calibri" w:eastAsiaTheme="minorHAnsi"/>
                <w:sz w:val="22"/>
                <w:szCs w:val="22"/>
                <w:lang w:eastAsia="en-US"/>
              </w:rPr>
              <w:t xml:space="preserve">Daarmee bedraagt het totaal beschikbare budget dat met Nij Begun beschikbaar is gesteld voor maatwerk € 240 mln. t/m 2031. </w:t>
            </w:r>
          </w:p>
          <w:p w:rsidRPr="00B73D79" w:rsidR="00202B73" w:rsidP="00202B73" w:rsidRDefault="00202B73" w14:paraId="67B96EE2" w14:textId="77777777">
            <w:pPr>
              <w:pStyle w:val="paragraph"/>
              <w:spacing w:before="0" w:beforeAutospacing="0" w:after="0" w:afterAutospacing="0"/>
              <w:textAlignment w:val="baseline"/>
              <w:rPr>
                <w:rFonts w:ascii="Calibri" w:hAnsi="Calibri" w:cs="Calibri" w:eastAsiaTheme="minorHAnsi"/>
                <w:sz w:val="22"/>
                <w:szCs w:val="22"/>
                <w:lang w:eastAsia="en-US"/>
              </w:rPr>
            </w:pPr>
          </w:p>
          <w:tbl>
            <w:tblPr>
              <w:tblStyle w:val="Tabelraster"/>
              <w:tblW w:w="0" w:type="auto"/>
              <w:tblInd w:w="35" w:type="dxa"/>
              <w:tblLook w:val="04A0" w:firstRow="1" w:lastRow="0" w:firstColumn="1" w:lastColumn="0" w:noHBand="0" w:noVBand="1"/>
            </w:tblPr>
            <w:tblGrid>
              <w:gridCol w:w="956"/>
              <w:gridCol w:w="649"/>
              <w:gridCol w:w="539"/>
              <w:gridCol w:w="540"/>
              <w:gridCol w:w="539"/>
              <w:gridCol w:w="540"/>
              <w:gridCol w:w="540"/>
            </w:tblGrid>
            <w:tr w:rsidRPr="00B73D79" w:rsidR="00202B73" w:rsidTr="00E838A2" w14:paraId="64CD623C" w14:textId="77777777">
              <w:trPr>
                <w:trHeight w:val="537"/>
              </w:trPr>
              <w:tc>
                <w:tcPr>
                  <w:tcW w:w="1132" w:type="dxa"/>
                </w:tcPr>
                <w:p w:rsidRPr="00B73D79" w:rsidR="00202B73" w:rsidP="00202B73" w:rsidRDefault="00202B73" w14:paraId="4FDFCFCF"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 xml:space="preserve">Budget </w:t>
                  </w:r>
                </w:p>
                <w:p w:rsidRPr="00B73D79" w:rsidR="00202B73" w:rsidP="00202B73" w:rsidRDefault="00202B73" w14:paraId="58340DC4"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 mln.)</w:t>
                  </w:r>
                </w:p>
              </w:tc>
              <w:tc>
                <w:tcPr>
                  <w:tcW w:w="1018" w:type="dxa"/>
                </w:tcPr>
                <w:p w:rsidRPr="00B73D79" w:rsidR="00202B73" w:rsidP="00202B73" w:rsidRDefault="00202B73" w14:paraId="600102AD"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Totaal</w:t>
                  </w:r>
                </w:p>
              </w:tc>
              <w:tc>
                <w:tcPr>
                  <w:tcW w:w="1017" w:type="dxa"/>
                </w:tcPr>
                <w:p w:rsidRPr="00B73D79" w:rsidR="00202B73" w:rsidP="00202B73" w:rsidRDefault="00202B73" w14:paraId="21D084F6"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2025</w:t>
                  </w:r>
                </w:p>
                <w:p w:rsidRPr="00B73D79" w:rsidR="00202B73" w:rsidP="00202B73" w:rsidRDefault="00202B73" w14:paraId="57898A3D" w14:textId="77777777">
                  <w:pPr>
                    <w:pStyle w:val="paragraph"/>
                    <w:spacing w:before="0" w:beforeAutospacing="0" w:after="0" w:afterAutospacing="0"/>
                    <w:rPr>
                      <w:rFonts w:ascii="Calibri" w:hAnsi="Calibri" w:cs="Calibri" w:eastAsiaTheme="minorHAnsi"/>
                      <w:b/>
                      <w:bCs/>
                      <w:sz w:val="22"/>
                      <w:szCs w:val="22"/>
                      <w:lang w:eastAsia="en-US"/>
                    </w:rPr>
                  </w:pPr>
                </w:p>
              </w:tc>
              <w:tc>
                <w:tcPr>
                  <w:tcW w:w="1018" w:type="dxa"/>
                </w:tcPr>
                <w:p w:rsidRPr="00B73D79" w:rsidR="00202B73" w:rsidP="00202B73" w:rsidRDefault="00202B73" w14:paraId="52891AD4"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2026</w:t>
                  </w:r>
                </w:p>
              </w:tc>
              <w:tc>
                <w:tcPr>
                  <w:tcW w:w="1017" w:type="dxa"/>
                </w:tcPr>
                <w:p w:rsidRPr="00B73D79" w:rsidR="00202B73" w:rsidP="00202B73" w:rsidRDefault="00202B73" w14:paraId="70D71A98"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2027</w:t>
                  </w:r>
                </w:p>
              </w:tc>
              <w:tc>
                <w:tcPr>
                  <w:tcW w:w="1018" w:type="dxa"/>
                </w:tcPr>
                <w:p w:rsidRPr="00B73D79" w:rsidR="00202B73" w:rsidP="00202B73" w:rsidRDefault="00202B73" w14:paraId="0724226C"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2028</w:t>
                  </w:r>
                </w:p>
              </w:tc>
              <w:tc>
                <w:tcPr>
                  <w:tcW w:w="1018" w:type="dxa"/>
                </w:tcPr>
                <w:p w:rsidRPr="00B73D79" w:rsidR="00202B73" w:rsidP="00202B73" w:rsidRDefault="00202B73" w14:paraId="10493D9D" w14:textId="77777777">
                  <w:pPr>
                    <w:pStyle w:val="paragraph"/>
                    <w:spacing w:before="0" w:beforeAutospacing="0" w:after="0" w:afterAutospacing="0"/>
                    <w:rPr>
                      <w:rFonts w:ascii="Calibri" w:hAnsi="Calibri" w:cs="Calibri" w:eastAsiaTheme="minorHAnsi"/>
                      <w:b/>
                      <w:bCs/>
                      <w:sz w:val="22"/>
                      <w:szCs w:val="22"/>
                      <w:lang w:eastAsia="en-US"/>
                    </w:rPr>
                  </w:pPr>
                  <w:r w:rsidRPr="00B73D79">
                    <w:rPr>
                      <w:rFonts w:ascii="Calibri" w:hAnsi="Calibri" w:cs="Calibri" w:eastAsiaTheme="minorHAnsi"/>
                      <w:b/>
                      <w:bCs/>
                      <w:sz w:val="22"/>
                      <w:szCs w:val="22"/>
                      <w:lang w:eastAsia="en-US"/>
                    </w:rPr>
                    <w:t>2029</w:t>
                  </w:r>
                </w:p>
              </w:tc>
            </w:tr>
            <w:tr w:rsidRPr="00B73D79" w:rsidR="00202B73" w:rsidTr="00E838A2" w14:paraId="4AB58B8A" w14:textId="77777777">
              <w:trPr>
                <w:trHeight w:val="528"/>
              </w:trPr>
              <w:tc>
                <w:tcPr>
                  <w:tcW w:w="1132" w:type="dxa"/>
                </w:tcPr>
                <w:p w:rsidRPr="00B73D79" w:rsidR="00202B73" w:rsidP="00202B73" w:rsidRDefault="00202B73" w14:paraId="363E8C76" w14:textId="77777777">
                  <w:pPr>
                    <w:rPr>
                      <w:rFonts w:ascii="Calibri" w:hAnsi="Calibri" w:cs="Calibri"/>
                      <w:sz w:val="22"/>
                      <w:szCs w:val="22"/>
                    </w:rPr>
                  </w:pPr>
                  <w:r w:rsidRPr="00B73D79">
                    <w:rPr>
                      <w:rFonts w:ascii="Calibri" w:hAnsi="Calibri" w:cs="Calibri"/>
                      <w:sz w:val="22"/>
                      <w:szCs w:val="22"/>
                    </w:rPr>
                    <w:t>Maatwerk</w:t>
                  </w:r>
                </w:p>
              </w:tc>
              <w:tc>
                <w:tcPr>
                  <w:tcW w:w="1018" w:type="dxa"/>
                </w:tcPr>
                <w:p w:rsidRPr="00B73D79" w:rsidR="00202B73" w:rsidP="00202B73" w:rsidRDefault="00202B73" w14:paraId="189F5D97" w14:textId="77777777">
                  <w:pPr>
                    <w:rPr>
                      <w:rFonts w:ascii="Calibri" w:hAnsi="Calibri" w:cs="Calibri"/>
                      <w:sz w:val="22"/>
                      <w:szCs w:val="22"/>
                    </w:rPr>
                  </w:pPr>
                  <w:r w:rsidRPr="00B73D79">
                    <w:rPr>
                      <w:rFonts w:ascii="Calibri" w:hAnsi="Calibri" w:cs="Calibri"/>
                      <w:sz w:val="22"/>
                      <w:szCs w:val="22"/>
                    </w:rPr>
                    <w:t xml:space="preserve"> 148</w:t>
                  </w:r>
                </w:p>
              </w:tc>
              <w:tc>
                <w:tcPr>
                  <w:tcW w:w="1017" w:type="dxa"/>
                </w:tcPr>
                <w:p w:rsidRPr="00B73D79" w:rsidR="00202B73" w:rsidP="00202B73" w:rsidRDefault="00202B73" w14:paraId="34D631B6" w14:textId="77777777">
                  <w:pPr>
                    <w:rPr>
                      <w:rFonts w:ascii="Calibri" w:hAnsi="Calibri" w:cs="Calibri"/>
                      <w:sz w:val="22"/>
                      <w:szCs w:val="22"/>
                    </w:rPr>
                  </w:pPr>
                </w:p>
              </w:tc>
              <w:tc>
                <w:tcPr>
                  <w:tcW w:w="1018" w:type="dxa"/>
                </w:tcPr>
                <w:p w:rsidRPr="00B73D79" w:rsidR="00202B73" w:rsidP="00202B73" w:rsidRDefault="00202B73" w14:paraId="183DF460" w14:textId="77777777">
                  <w:pPr>
                    <w:rPr>
                      <w:rFonts w:ascii="Calibri" w:hAnsi="Calibri" w:cs="Calibri"/>
                      <w:sz w:val="22"/>
                      <w:szCs w:val="22"/>
                    </w:rPr>
                  </w:pPr>
                  <w:r w:rsidRPr="00B73D79">
                    <w:rPr>
                      <w:rFonts w:ascii="Calibri" w:hAnsi="Calibri" w:cs="Calibri"/>
                      <w:sz w:val="22"/>
                      <w:szCs w:val="22"/>
                    </w:rPr>
                    <w:t xml:space="preserve"> 26</w:t>
                  </w:r>
                </w:p>
                <w:p w:rsidRPr="00B73D79" w:rsidR="00202B73" w:rsidP="00202B73" w:rsidRDefault="00202B73" w14:paraId="1BD4D7E0" w14:textId="77777777">
                  <w:pPr>
                    <w:rPr>
                      <w:rFonts w:ascii="Calibri" w:hAnsi="Calibri" w:cs="Calibri"/>
                      <w:sz w:val="22"/>
                      <w:szCs w:val="22"/>
                    </w:rPr>
                  </w:pPr>
                </w:p>
              </w:tc>
              <w:tc>
                <w:tcPr>
                  <w:tcW w:w="1017" w:type="dxa"/>
                </w:tcPr>
                <w:p w:rsidRPr="00B73D79" w:rsidR="00202B73" w:rsidP="00202B73" w:rsidRDefault="00202B73" w14:paraId="4F6A6D6A" w14:textId="77777777">
                  <w:pPr>
                    <w:rPr>
                      <w:rFonts w:ascii="Calibri" w:hAnsi="Calibri" w:cs="Calibri"/>
                      <w:sz w:val="22"/>
                      <w:szCs w:val="22"/>
                    </w:rPr>
                  </w:pPr>
                  <w:r w:rsidRPr="00B73D79">
                    <w:rPr>
                      <w:rFonts w:ascii="Calibri" w:hAnsi="Calibri" w:cs="Calibri"/>
                      <w:sz w:val="22"/>
                      <w:szCs w:val="22"/>
                    </w:rPr>
                    <w:t xml:space="preserve"> 43</w:t>
                  </w:r>
                </w:p>
              </w:tc>
              <w:tc>
                <w:tcPr>
                  <w:tcW w:w="1018" w:type="dxa"/>
                </w:tcPr>
                <w:p w:rsidRPr="00B73D79" w:rsidR="00202B73" w:rsidP="00202B73" w:rsidRDefault="00202B73" w14:paraId="40F44876" w14:textId="77777777">
                  <w:pPr>
                    <w:rPr>
                      <w:rFonts w:ascii="Calibri" w:hAnsi="Calibri" w:cs="Calibri"/>
                      <w:sz w:val="22"/>
                      <w:szCs w:val="22"/>
                    </w:rPr>
                  </w:pPr>
                  <w:r w:rsidRPr="00B73D79">
                    <w:rPr>
                      <w:rFonts w:ascii="Calibri" w:hAnsi="Calibri" w:cs="Calibri"/>
                      <w:sz w:val="22"/>
                      <w:szCs w:val="22"/>
                    </w:rPr>
                    <w:t xml:space="preserve"> 49</w:t>
                  </w:r>
                </w:p>
              </w:tc>
              <w:tc>
                <w:tcPr>
                  <w:tcW w:w="1018" w:type="dxa"/>
                </w:tcPr>
                <w:p w:rsidRPr="00B73D79" w:rsidR="00202B73" w:rsidP="00202B73" w:rsidRDefault="00202B73" w14:paraId="768C9F3F" w14:textId="77777777">
                  <w:pPr>
                    <w:rPr>
                      <w:rFonts w:ascii="Calibri" w:hAnsi="Calibri" w:cs="Calibri"/>
                      <w:sz w:val="22"/>
                      <w:szCs w:val="22"/>
                    </w:rPr>
                  </w:pPr>
                  <w:r w:rsidRPr="00B73D79">
                    <w:rPr>
                      <w:rFonts w:ascii="Calibri" w:hAnsi="Calibri" w:cs="Calibri"/>
                      <w:sz w:val="22"/>
                      <w:szCs w:val="22"/>
                    </w:rPr>
                    <w:t xml:space="preserve"> 30</w:t>
                  </w:r>
                </w:p>
                <w:p w:rsidRPr="00B73D79" w:rsidR="00202B73" w:rsidP="00202B73" w:rsidRDefault="00202B73" w14:paraId="0BC61F90" w14:textId="77777777">
                  <w:pPr>
                    <w:rPr>
                      <w:rFonts w:ascii="Calibri" w:hAnsi="Calibri" w:cs="Calibri"/>
                      <w:sz w:val="22"/>
                      <w:szCs w:val="22"/>
                    </w:rPr>
                  </w:pPr>
                </w:p>
              </w:tc>
            </w:tr>
          </w:tbl>
          <w:p w:rsidRPr="00B73D79" w:rsidR="00202B73" w:rsidP="00202B73" w:rsidRDefault="00202B73" w14:paraId="31B6F7C3" w14:textId="77777777">
            <w:pPr>
              <w:pStyle w:val="Geenafstand"/>
              <w:rPr>
                <w:rFonts w:ascii="Calibri" w:hAnsi="Calibri" w:cs="Calibri"/>
              </w:rPr>
            </w:pPr>
            <w:r w:rsidRPr="00B73D79">
              <w:rPr>
                <w:rFonts w:ascii="Calibri" w:hAnsi="Calibri" w:cs="Calibri"/>
              </w:rPr>
              <w:t xml:space="preserve"> </w:t>
            </w:r>
          </w:p>
          <w:p w:rsidRPr="00B73D79" w:rsidR="00202B73" w:rsidP="00202B73" w:rsidRDefault="00202B73" w14:paraId="534BCA62" w14:textId="77777777">
            <w:pPr>
              <w:spacing w:after="0"/>
              <w:rPr>
                <w:rFonts w:ascii="Calibri" w:hAnsi="Calibri" w:cs="Calibri"/>
                <w:b/>
              </w:rPr>
            </w:pPr>
          </w:p>
        </w:tc>
      </w:tr>
      <w:tr w:rsidRPr="00B73D79" w:rsidR="00202B73" w:rsidTr="00E838A2" w14:paraId="2E45A735" w14:textId="77777777">
        <w:trPr>
          <w:gridAfter w:val="1"/>
          <w:wAfter w:w="4" w:type="pct"/>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19EA4D4E" w14:textId="77777777">
            <w:pPr>
              <w:spacing w:after="0"/>
              <w:rPr>
                <w:rFonts w:ascii="Calibri" w:hAnsi="Calibri" w:cs="Calibri"/>
                <w:bCs/>
              </w:rPr>
            </w:pPr>
          </w:p>
          <w:p w:rsidRPr="00B73D79" w:rsidR="00202B73" w:rsidP="00202B73" w:rsidRDefault="00202B73" w14:paraId="4CA46714" w14:textId="77777777">
            <w:pPr>
              <w:spacing w:after="0"/>
              <w:rPr>
                <w:rFonts w:ascii="Calibri" w:hAnsi="Calibri" w:cs="Calibri"/>
                <w:b/>
              </w:rPr>
            </w:pPr>
            <w:r w:rsidRPr="00B73D79">
              <w:rPr>
                <w:rFonts w:ascii="Calibri" w:hAnsi="Calibri" w:cs="Calibri"/>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5A133784" w14:textId="77777777">
            <w:pPr>
              <w:spacing w:after="0"/>
              <w:rPr>
                <w:rFonts w:ascii="Calibri" w:hAnsi="Calibri" w:cs="Calibri"/>
                <w:bCs/>
              </w:rPr>
            </w:pPr>
            <w:r w:rsidRPr="00B73D79">
              <w:rPr>
                <w:rFonts w:ascii="Calibri" w:hAnsi="Calibri" w:cs="Calibri"/>
              </w:rPr>
              <w:t>n.v.t.</w:t>
            </w:r>
          </w:p>
        </w:tc>
      </w:tr>
      <w:tr w:rsidRPr="00B73D79" w:rsidR="00202B73" w:rsidTr="00E838A2" w14:paraId="3F7384EF" w14:textId="77777777">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412C7771" w14:textId="77777777">
            <w:pPr>
              <w:spacing w:after="0"/>
              <w:rPr>
                <w:rFonts w:ascii="Calibri" w:hAnsi="Calibri" w:cs="Calibri"/>
                <w:b/>
              </w:rPr>
            </w:pPr>
          </w:p>
          <w:p w:rsidRPr="00B73D79" w:rsidR="00202B73" w:rsidP="00202B73" w:rsidRDefault="00202B73" w14:paraId="61EF0610" w14:textId="77777777">
            <w:pPr>
              <w:numPr>
                <w:ilvl w:val="0"/>
                <w:numId w:val="7"/>
              </w:numPr>
              <w:autoSpaceDN w:val="0"/>
              <w:spacing w:after="0" w:line="240" w:lineRule="atLeast"/>
              <w:textAlignment w:val="baseline"/>
              <w:rPr>
                <w:rFonts w:ascii="Calibri" w:hAnsi="Calibri" w:cs="Calibri"/>
                <w:b/>
              </w:rPr>
            </w:pPr>
            <w:r w:rsidRPr="00B73D79">
              <w:rPr>
                <w:rFonts w:ascii="Calibri" w:hAnsi="Calibri" w:cs="Calibri"/>
                <w:b/>
              </w:rPr>
              <w:t>Nagestreefde doeltreffendheid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29C86FC0" w14:textId="77777777">
            <w:pPr>
              <w:spacing w:after="0"/>
              <w:rPr>
                <w:rFonts w:ascii="Calibri" w:hAnsi="Calibri" w:cs="Calibri"/>
                <w:bCs/>
              </w:rPr>
            </w:pPr>
            <w:r w:rsidRPr="00B73D79">
              <w:rPr>
                <w:rFonts w:ascii="Calibri" w:hAnsi="Calibri" w:cs="Calibri"/>
                <w:bCs/>
              </w:rPr>
              <w:t>De maatregel is gericht op het onveiligheidsgevoel, specifiek in gebieden waar op grond van een oudere veiligheidsnorm (NPR 2018) sloop/nieuwbouw is toegepast, terwijl dat op grond van een nieuwere veiligheidsnorm (en dus bij huizen die later beoordeeld zijn) niet noodzakelijk is. Het gevoel van ongelijkheid en mogelijk ook onveiligheid bij bewoners wegnemen, zoals ook aangekondigd in de beleidsbrief Versterken</w:t>
            </w:r>
            <w:r w:rsidRPr="00B73D79">
              <w:rPr>
                <w:rStyle w:val="Voetnootmarkering"/>
                <w:rFonts w:ascii="Calibri" w:hAnsi="Calibri" w:cs="Calibri"/>
                <w:bCs/>
              </w:rPr>
              <w:footnoteReference w:id="5"/>
            </w:r>
            <w:r w:rsidRPr="00B73D79">
              <w:rPr>
                <w:rFonts w:ascii="Calibri" w:hAnsi="Calibri" w:cs="Calibri"/>
                <w:bCs/>
              </w:rPr>
              <w:t xml:space="preserve">.  </w:t>
            </w:r>
          </w:p>
          <w:p w:rsidRPr="00B73D79" w:rsidR="00202B73" w:rsidP="00202B73" w:rsidRDefault="00202B73" w14:paraId="0973EDB9" w14:textId="77777777">
            <w:pPr>
              <w:spacing w:after="0"/>
              <w:rPr>
                <w:rFonts w:ascii="Calibri" w:hAnsi="Calibri" w:cs="Calibri"/>
                <w:bCs/>
              </w:rPr>
            </w:pPr>
            <w:r w:rsidRPr="00B73D79">
              <w:rPr>
                <w:rFonts w:ascii="Calibri" w:hAnsi="Calibri" w:cs="Calibri"/>
                <w:bCs/>
              </w:rPr>
              <w:t>Voor een beperkt aantal woningen is het nodig om aanvullende (versterkings-) maatregelen in te zetten om specifieke problematiek op te lossen. Zo worden bewoners die zich onveilig voelen tegemoetgekomen; pakketten worden mogelijk gemaakt die qua woningverbetering gelijkwaardig zijn aan maatregelen die ook voortvloeiden uit NPR 2018.</w:t>
            </w:r>
          </w:p>
        </w:tc>
      </w:tr>
      <w:tr w:rsidRPr="00B73D79" w:rsidR="00202B73" w:rsidTr="00E838A2" w14:paraId="1B8571E2"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4DBF9D8A" w14:textId="77777777">
            <w:pPr>
              <w:spacing w:after="0"/>
              <w:rPr>
                <w:rFonts w:ascii="Calibri" w:hAnsi="Calibri" w:cs="Calibri"/>
                <w:b/>
              </w:rPr>
            </w:pPr>
          </w:p>
          <w:p w:rsidRPr="00B73D79" w:rsidR="00202B73" w:rsidP="00202B73" w:rsidRDefault="00202B73" w14:paraId="4B0B935F" w14:textId="77777777">
            <w:pPr>
              <w:numPr>
                <w:ilvl w:val="0"/>
                <w:numId w:val="7"/>
              </w:numPr>
              <w:autoSpaceDN w:val="0"/>
              <w:spacing w:after="0" w:line="240" w:lineRule="atLeast"/>
              <w:textAlignment w:val="baseline"/>
              <w:rPr>
                <w:rFonts w:ascii="Calibri" w:hAnsi="Calibri" w:cs="Calibri"/>
                <w:b/>
              </w:rPr>
            </w:pPr>
            <w:r w:rsidRPr="00B73D79">
              <w:rPr>
                <w:rFonts w:ascii="Calibri" w:hAnsi="Calibri" w:cs="Calibri"/>
                <w:b/>
              </w:rPr>
              <w:t>Nagestreefde doelmatigheid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16216DFE" w14:textId="77777777">
            <w:pPr>
              <w:spacing w:after="0"/>
              <w:rPr>
                <w:rFonts w:ascii="Calibri" w:hAnsi="Calibri" w:cs="Calibri"/>
                <w:bCs/>
              </w:rPr>
            </w:pPr>
            <w:r w:rsidRPr="00B73D79">
              <w:rPr>
                <w:rFonts w:ascii="Calibri" w:hAnsi="Calibri" w:cs="Calibri"/>
              </w:rPr>
              <w:t>In het kader van wegnemen van verschillen kan alleen bij onaanvaardbare verschillen sloop/nieuwbouw of overig maatwerk geboden worden. Daarom kijkt NCG gericht naar waar maatwerk in de vorm van sloop/nieuwbouw noodzakelijk is.</w:t>
            </w:r>
          </w:p>
        </w:tc>
      </w:tr>
      <w:tr w:rsidRPr="00B73D79" w:rsidR="00202B73" w:rsidTr="00E838A2" w14:paraId="05B38582"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696E9EF3" w14:textId="77777777">
            <w:pPr>
              <w:spacing w:after="0"/>
              <w:rPr>
                <w:rFonts w:ascii="Calibri" w:hAnsi="Calibri" w:cs="Calibri"/>
                <w:b/>
              </w:rPr>
            </w:pPr>
          </w:p>
          <w:p w:rsidRPr="00B73D79" w:rsidR="00202B73" w:rsidP="00202B73" w:rsidRDefault="00202B73" w14:paraId="53D4C4CA" w14:textId="77777777">
            <w:pPr>
              <w:numPr>
                <w:ilvl w:val="0"/>
                <w:numId w:val="7"/>
              </w:numPr>
              <w:autoSpaceDN w:val="0"/>
              <w:spacing w:after="0" w:line="240" w:lineRule="atLeast"/>
              <w:textAlignment w:val="baseline"/>
              <w:rPr>
                <w:rFonts w:ascii="Calibri" w:hAnsi="Calibri" w:cs="Calibri"/>
                <w:b/>
              </w:rPr>
            </w:pPr>
            <w:r w:rsidRPr="00B73D79">
              <w:rPr>
                <w:rFonts w:ascii="Calibri" w:hAnsi="Calibri" w:cs="Calibri"/>
                <w:b/>
              </w:rPr>
              <w:t>Evaluatieparagraaf</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248E6488" w14:textId="77777777">
            <w:pPr>
              <w:spacing w:after="0"/>
              <w:rPr>
                <w:rFonts w:ascii="Calibri" w:hAnsi="Calibri" w:cs="Calibri"/>
                <w:bCs/>
              </w:rPr>
            </w:pPr>
            <w:r w:rsidRPr="00B73D79">
              <w:rPr>
                <w:rFonts w:ascii="Calibri" w:hAnsi="Calibri" w:cs="Calibri"/>
              </w:rPr>
              <w:t>De voortgang van de versterkingsoperatie, schadeafhandeling en de bewonerstevredenheid zijn onderdeel van de Staat van Groningen &amp; Noord-Drenthe. Hieruit zal niet alleen het tempomatige verloop van de versterkingsoperatie blijken, maar ook de ervaring van bewoners, de impact op de verduurzaming van de woningvoorraad en de impact op de leefbaarheid. De maatwerkaanpak zal met name impact hebben op de tevredenheid van bewoners.</w:t>
            </w:r>
          </w:p>
        </w:tc>
      </w:tr>
    </w:tbl>
    <w:p w:rsidRPr="00B73D79" w:rsidR="00202B73" w:rsidP="00202B73" w:rsidRDefault="00202B73" w14:paraId="5315865F" w14:textId="77777777">
      <w:pPr>
        <w:spacing w:after="0"/>
        <w:rPr>
          <w:rFonts w:ascii="Calibri" w:hAnsi="Calibri" w:cs="Calibri"/>
        </w:rPr>
      </w:pPr>
    </w:p>
    <w:bookmarkEnd w:id="5"/>
    <w:p w:rsidRPr="00B73D79" w:rsidR="00202B73" w:rsidP="00202B73" w:rsidRDefault="00202B73" w14:paraId="7BD0C28D" w14:textId="77777777">
      <w:pPr>
        <w:spacing w:after="0"/>
        <w:rPr>
          <w:rFonts w:ascii="Calibri" w:hAnsi="Calibri" w:cs="Calibri"/>
        </w:rPr>
      </w:pPr>
    </w:p>
    <w:p w:rsidRPr="00B73D79" w:rsidR="00202B73" w:rsidP="00202B73" w:rsidRDefault="00202B73" w14:paraId="12C48579" w14:textId="77777777">
      <w:pPr>
        <w:spacing w:after="0" w:line="240" w:lineRule="auto"/>
        <w:rPr>
          <w:rFonts w:ascii="Calibri" w:hAnsi="Calibri" w:cs="Calibri"/>
        </w:rPr>
      </w:pPr>
      <w:r w:rsidRPr="00B73D79">
        <w:rPr>
          <w:rFonts w:ascii="Calibri" w:hAnsi="Calibri" w:cs="Calibri"/>
        </w:rPr>
        <w:br w:type="page"/>
      </w:r>
    </w:p>
    <w:p w:rsidRPr="00B73D79" w:rsidR="00202B73" w:rsidP="00202B73" w:rsidRDefault="00202B73" w14:paraId="18413C51" w14:textId="77777777">
      <w:pPr>
        <w:pStyle w:val="Lijstalinea"/>
        <w:numPr>
          <w:ilvl w:val="0"/>
          <w:numId w:val="4"/>
        </w:numPr>
        <w:autoSpaceDN w:val="0"/>
        <w:spacing w:after="0" w:line="240" w:lineRule="atLeast"/>
        <w:textAlignment w:val="baseline"/>
        <w:rPr>
          <w:rFonts w:ascii="Calibri" w:hAnsi="Calibri" w:cs="Calibri"/>
          <w:b/>
          <w:bCs/>
        </w:rPr>
      </w:pPr>
      <w:r w:rsidRPr="00B73D79">
        <w:rPr>
          <w:rFonts w:ascii="Calibri" w:hAnsi="Calibri" w:cs="Calibri"/>
          <w:b/>
          <w:bCs/>
        </w:rPr>
        <w:lastRenderedPageBreak/>
        <w:t>Verduurzaming bij (middel) zware versterking (Maatregel 28)</w:t>
      </w:r>
    </w:p>
    <w:p w:rsidRPr="00B73D79" w:rsidR="00202B73" w:rsidP="00202B73" w:rsidRDefault="00202B73" w14:paraId="19B39C3C" w14:textId="77777777">
      <w:pPr>
        <w:spacing w:after="0"/>
        <w:rPr>
          <w:rFonts w:ascii="Calibri" w:hAnsi="Calibri" w:cs="Calibri"/>
        </w:rPr>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716"/>
        <w:gridCol w:w="5242"/>
      </w:tblGrid>
      <w:tr w:rsidRPr="00B73D79" w:rsidR="00202B73" w:rsidTr="00E838A2" w14:paraId="20D10011" w14:textId="77777777">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73D79" w:rsidR="00202B73" w:rsidP="00202B73" w:rsidRDefault="00202B73" w14:paraId="1A7D751A" w14:textId="77777777">
            <w:pPr>
              <w:spacing w:after="0"/>
              <w:rPr>
                <w:rFonts w:ascii="Calibri" w:hAnsi="Calibri" w:cs="Calibri"/>
                <w:b/>
              </w:rPr>
            </w:pPr>
            <w:r w:rsidRPr="00B73D79">
              <w:rPr>
                <w:rFonts w:ascii="Calibri" w:hAnsi="Calibri" w:cs="Calibri"/>
                <w:b/>
              </w:rPr>
              <w:t xml:space="preserve">Beleidskeuzes uitgelegd </w:t>
            </w:r>
          </w:p>
          <w:p w:rsidRPr="00B73D79" w:rsidR="00202B73" w:rsidP="00202B73" w:rsidRDefault="00202B73" w14:paraId="5A022EFA" w14:textId="77777777">
            <w:pPr>
              <w:spacing w:after="0"/>
              <w:rPr>
                <w:rFonts w:ascii="Calibri" w:hAnsi="Calibri" w:cs="Calibri"/>
                <w:b/>
              </w:rPr>
            </w:pPr>
          </w:p>
        </w:tc>
      </w:tr>
      <w:tr w:rsidRPr="00B73D79" w:rsidR="00202B73" w:rsidTr="00E838A2" w14:paraId="3EFEB533" w14:textId="77777777">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0CFC5E73" w14:textId="77777777">
            <w:pPr>
              <w:spacing w:after="0"/>
              <w:rPr>
                <w:rFonts w:ascii="Calibri" w:hAnsi="Calibri" w:cs="Calibri"/>
                <w:b/>
              </w:rPr>
            </w:pPr>
          </w:p>
          <w:p w:rsidRPr="00B73D79" w:rsidR="00202B73" w:rsidP="00202B73" w:rsidRDefault="00202B73" w14:paraId="48C02630" w14:textId="77777777">
            <w:pPr>
              <w:numPr>
                <w:ilvl w:val="0"/>
                <w:numId w:val="8"/>
              </w:numPr>
              <w:autoSpaceDN w:val="0"/>
              <w:spacing w:after="0" w:line="240" w:lineRule="atLeast"/>
              <w:textAlignment w:val="baseline"/>
              <w:rPr>
                <w:rFonts w:ascii="Calibri" w:hAnsi="Calibri" w:cs="Calibri"/>
                <w:b/>
              </w:rPr>
            </w:pPr>
            <w:r w:rsidRPr="00B73D79">
              <w:rPr>
                <w:rFonts w:ascii="Calibri" w:hAnsi="Calibri" w:cs="Calibri"/>
                <w:b/>
              </w:rPr>
              <w:t xml:space="preserve">Doel(en) </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0E85D310" w14:textId="77777777">
            <w:pPr>
              <w:spacing w:after="0"/>
              <w:rPr>
                <w:rFonts w:ascii="Calibri" w:hAnsi="Calibri" w:cs="Calibri"/>
                <w:b/>
              </w:rPr>
            </w:pPr>
            <w:r w:rsidRPr="00B73D79">
              <w:rPr>
                <w:rFonts w:ascii="Calibri" w:hAnsi="Calibri" w:cs="Calibri"/>
              </w:rPr>
              <w:t>Voor woningen die nog ingrijpend (middelzwaar of zwaar) versterkt moeten worden, worden isolatiemaatregelen gelijktijdig met de versterking van de woning toegepast. Uitgangspunt bij deze aanpak is dat de versterking niet vertraagd wordt. Het doel is om de meeste woningen in 2028 en uiterlijk 2030 te versterken en te isoleren naar het niveau van aardgasvrij-gereed.</w:t>
            </w:r>
          </w:p>
        </w:tc>
      </w:tr>
      <w:tr w:rsidRPr="00B73D79" w:rsidR="00202B73" w:rsidTr="00E838A2" w14:paraId="56F08E80" w14:textId="77777777">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4C7A3BB2" w14:textId="77777777">
            <w:pPr>
              <w:spacing w:after="0"/>
              <w:rPr>
                <w:rFonts w:ascii="Calibri" w:hAnsi="Calibri" w:cs="Calibri"/>
                <w:b/>
              </w:rPr>
            </w:pPr>
          </w:p>
          <w:p w:rsidRPr="00B73D79" w:rsidR="00202B73" w:rsidP="00202B73" w:rsidRDefault="00202B73" w14:paraId="0850F129" w14:textId="77777777">
            <w:pPr>
              <w:numPr>
                <w:ilvl w:val="0"/>
                <w:numId w:val="8"/>
              </w:numPr>
              <w:autoSpaceDN w:val="0"/>
              <w:spacing w:after="0" w:line="240" w:lineRule="atLeast"/>
              <w:textAlignment w:val="baseline"/>
              <w:rPr>
                <w:rFonts w:ascii="Calibri" w:hAnsi="Calibri" w:cs="Calibri"/>
                <w:b/>
              </w:rPr>
            </w:pPr>
            <w:r w:rsidRPr="00B73D79">
              <w:rPr>
                <w:rFonts w:ascii="Calibri" w:hAnsi="Calibri" w:cs="Calibri"/>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24406F0A" w14:textId="77777777">
            <w:pPr>
              <w:spacing w:after="0"/>
              <w:rPr>
                <w:rFonts w:ascii="Calibri" w:hAnsi="Calibri" w:cs="Calibri"/>
                <w:bCs/>
              </w:rPr>
            </w:pPr>
            <w:r w:rsidRPr="00B73D79">
              <w:rPr>
                <w:rFonts w:ascii="Calibri" w:hAnsi="Calibri" w:cs="Calibri"/>
              </w:rPr>
              <w:t xml:space="preserve">De uitvoering van deze maatregel wordt door de NCG gedaan, gelijktijdig met de versterking van een woning. Het budget wordt toegevoegd aan de versterkingsbudgetten voor de desbetreffende woningen, zodat verduurzaming nog kan worden meegenomen in de versterking.  </w:t>
            </w:r>
          </w:p>
        </w:tc>
      </w:tr>
      <w:tr w:rsidRPr="00B73D79" w:rsidR="00202B73" w:rsidTr="00E838A2" w14:paraId="28191237" w14:textId="77777777">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6597A35B" w14:textId="77777777">
            <w:pPr>
              <w:spacing w:after="0"/>
              <w:rPr>
                <w:rFonts w:ascii="Calibri" w:hAnsi="Calibri" w:cs="Calibri"/>
                <w:bCs/>
              </w:rPr>
            </w:pPr>
          </w:p>
          <w:p w:rsidRPr="00B73D79" w:rsidR="00202B73" w:rsidP="00202B73" w:rsidRDefault="00202B73" w14:paraId="0562D89E" w14:textId="77777777">
            <w:pPr>
              <w:numPr>
                <w:ilvl w:val="0"/>
                <w:numId w:val="8"/>
              </w:numPr>
              <w:autoSpaceDN w:val="0"/>
              <w:spacing w:after="0" w:line="240" w:lineRule="atLeast"/>
              <w:textAlignment w:val="baseline"/>
              <w:rPr>
                <w:rFonts w:ascii="Calibri" w:hAnsi="Calibri" w:cs="Calibri"/>
                <w:b/>
              </w:rPr>
            </w:pPr>
            <w:r w:rsidRPr="00B73D79">
              <w:rPr>
                <w:rFonts w:ascii="Calibri" w:hAnsi="Calibri" w:cs="Calibri"/>
                <w:b/>
              </w:rPr>
              <w:t>Financiële gevolgen</w:t>
            </w:r>
          </w:p>
          <w:p w:rsidRPr="00B73D79" w:rsidR="00202B73" w:rsidP="00202B73" w:rsidRDefault="00202B73" w14:paraId="3C1CD0DB" w14:textId="77777777">
            <w:pPr>
              <w:spacing w:after="0"/>
              <w:rPr>
                <w:rFonts w:ascii="Calibri" w:hAnsi="Calibri" w:cs="Calibri"/>
                <w:b/>
              </w:rPr>
            </w:pPr>
          </w:p>
          <w:p w:rsidRPr="00B73D79" w:rsidR="00202B73" w:rsidP="00202B73" w:rsidRDefault="00202B73" w14:paraId="388548E3" w14:textId="77777777">
            <w:pPr>
              <w:spacing w:after="0"/>
              <w:rPr>
                <w:rFonts w:ascii="Calibri" w:hAnsi="Calibri" w:cs="Calibri"/>
                <w:b/>
              </w:rPr>
            </w:pPr>
            <w:r w:rsidRPr="00B73D79">
              <w:rPr>
                <w:rFonts w:ascii="Calibri" w:hAnsi="Calibri" w:cs="Calibri"/>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6C49F272" w14:textId="77777777">
            <w:pPr>
              <w:pStyle w:val="paragraph"/>
              <w:spacing w:before="0" w:beforeAutospacing="0" w:after="0" w:afterAutospacing="0"/>
              <w:textAlignment w:val="baseline"/>
              <w:rPr>
                <w:rStyle w:val="eop"/>
                <w:rFonts w:ascii="Calibri" w:hAnsi="Calibri" w:cs="Calibri"/>
                <w:sz w:val="22"/>
                <w:szCs w:val="22"/>
              </w:rPr>
            </w:pPr>
            <w:r w:rsidRPr="00B73D79">
              <w:rPr>
                <w:rStyle w:val="eop"/>
                <w:rFonts w:ascii="Calibri" w:hAnsi="Calibri" w:cs="Calibri"/>
                <w:sz w:val="22"/>
                <w:szCs w:val="22"/>
              </w:rPr>
              <w:t>Met de opvraag wordt in totaal € 192 mln. voor de jaren 2026 t/m 2031 toegevoegd aan de begroting van BZK.</w:t>
            </w:r>
          </w:p>
          <w:p w:rsidRPr="00B73D79" w:rsidR="00202B73" w:rsidP="00202B73" w:rsidRDefault="00202B73" w14:paraId="6BE6F247" w14:textId="77777777">
            <w:pPr>
              <w:spacing w:after="0"/>
              <w:rPr>
                <w:rFonts w:ascii="Calibri" w:hAnsi="Calibri" w:cs="Calibri"/>
                <w:b/>
              </w:rPr>
            </w:pPr>
          </w:p>
          <w:tbl>
            <w:tblPr>
              <w:tblStyle w:val="Tabelraster"/>
              <w:tblW w:w="5016" w:type="dxa"/>
              <w:tblInd w:w="0" w:type="dxa"/>
              <w:tblLook w:val="04A0" w:firstRow="1" w:lastRow="0" w:firstColumn="1" w:lastColumn="0" w:noHBand="0" w:noVBand="1"/>
            </w:tblPr>
            <w:tblGrid>
              <w:gridCol w:w="984"/>
              <w:gridCol w:w="698"/>
              <w:gridCol w:w="570"/>
              <w:gridCol w:w="484"/>
              <w:gridCol w:w="570"/>
              <w:gridCol w:w="570"/>
              <w:gridCol w:w="570"/>
              <w:gridCol w:w="570"/>
            </w:tblGrid>
            <w:tr w:rsidRPr="00B73D79" w:rsidR="00202B73" w:rsidTr="00E838A2" w14:paraId="18A63C07" w14:textId="77777777">
              <w:trPr>
                <w:trHeight w:val="626"/>
              </w:trPr>
              <w:tc>
                <w:tcPr>
                  <w:tcW w:w="984" w:type="dxa"/>
                </w:tcPr>
                <w:p w:rsidRPr="00B73D79" w:rsidR="00202B73" w:rsidP="00202B73" w:rsidRDefault="00202B73" w14:paraId="15E9792B" w14:textId="77777777">
                  <w:pPr>
                    <w:pStyle w:val="paragraph"/>
                    <w:spacing w:before="0" w:beforeAutospacing="0" w:after="0" w:afterAutospacing="0"/>
                    <w:rPr>
                      <w:rFonts w:ascii="Calibri" w:hAnsi="Calibri" w:cs="Calibri"/>
                      <w:b/>
                      <w:bCs/>
                      <w:sz w:val="22"/>
                      <w:szCs w:val="22"/>
                    </w:rPr>
                  </w:pPr>
                  <w:r w:rsidRPr="00B73D79">
                    <w:rPr>
                      <w:rFonts w:ascii="Calibri" w:hAnsi="Calibri" w:cs="Calibri"/>
                      <w:b/>
                      <w:bCs/>
                      <w:sz w:val="22"/>
                      <w:szCs w:val="22"/>
                    </w:rPr>
                    <w:t xml:space="preserve">Budget </w:t>
                  </w:r>
                </w:p>
                <w:p w:rsidRPr="00B73D79" w:rsidR="00202B73" w:rsidP="00202B73" w:rsidRDefault="00202B73" w14:paraId="38DA2556" w14:textId="77777777">
                  <w:pPr>
                    <w:rPr>
                      <w:rFonts w:ascii="Calibri" w:hAnsi="Calibri" w:eastAsia="Times New Roman" w:cs="Calibri"/>
                      <w:b/>
                      <w:bCs/>
                      <w:sz w:val="22"/>
                      <w:szCs w:val="22"/>
                    </w:rPr>
                  </w:pPr>
                  <w:r w:rsidRPr="00B73D79">
                    <w:rPr>
                      <w:rFonts w:ascii="Calibri" w:hAnsi="Calibri" w:cs="Calibri"/>
                      <w:b/>
                      <w:bCs/>
                      <w:sz w:val="22"/>
                      <w:szCs w:val="22"/>
                    </w:rPr>
                    <w:t>(€ mln.)</w:t>
                  </w:r>
                </w:p>
              </w:tc>
              <w:tc>
                <w:tcPr>
                  <w:tcW w:w="698" w:type="dxa"/>
                </w:tcPr>
                <w:p w:rsidRPr="00B73D79" w:rsidR="00202B73" w:rsidP="00202B73" w:rsidRDefault="00202B73" w14:paraId="23D72F5B" w14:textId="77777777">
                  <w:pPr>
                    <w:rPr>
                      <w:rFonts w:ascii="Calibri" w:hAnsi="Calibri" w:eastAsia="Times New Roman" w:cs="Calibri"/>
                      <w:b/>
                      <w:bCs/>
                      <w:sz w:val="22"/>
                      <w:szCs w:val="22"/>
                    </w:rPr>
                  </w:pPr>
                  <w:r w:rsidRPr="00B73D79">
                    <w:rPr>
                      <w:rFonts w:ascii="Calibri" w:hAnsi="Calibri" w:eastAsia="Times New Roman" w:cs="Calibri"/>
                      <w:b/>
                      <w:bCs/>
                      <w:sz w:val="22"/>
                      <w:szCs w:val="22"/>
                    </w:rPr>
                    <w:t>Totaal</w:t>
                  </w:r>
                </w:p>
              </w:tc>
              <w:tc>
                <w:tcPr>
                  <w:tcW w:w="570" w:type="dxa"/>
                </w:tcPr>
                <w:p w:rsidRPr="00B73D79" w:rsidR="00202B73" w:rsidP="00202B73" w:rsidRDefault="00202B73" w14:paraId="11408B1B" w14:textId="77777777">
                  <w:pPr>
                    <w:rPr>
                      <w:rFonts w:ascii="Calibri" w:hAnsi="Calibri" w:eastAsia="Times New Roman" w:cs="Calibri"/>
                      <w:b/>
                      <w:bCs/>
                      <w:sz w:val="22"/>
                      <w:szCs w:val="22"/>
                    </w:rPr>
                  </w:pPr>
                  <w:r w:rsidRPr="00B73D79">
                    <w:rPr>
                      <w:rFonts w:ascii="Calibri" w:hAnsi="Calibri" w:eastAsia="Times New Roman" w:cs="Calibri"/>
                      <w:b/>
                      <w:bCs/>
                      <w:sz w:val="22"/>
                      <w:szCs w:val="22"/>
                    </w:rPr>
                    <w:t>2026</w:t>
                  </w:r>
                </w:p>
              </w:tc>
              <w:tc>
                <w:tcPr>
                  <w:tcW w:w="484" w:type="dxa"/>
                </w:tcPr>
                <w:p w:rsidRPr="00B73D79" w:rsidR="00202B73" w:rsidP="00202B73" w:rsidRDefault="00202B73" w14:paraId="74254480" w14:textId="77777777">
                  <w:pPr>
                    <w:ind w:left="-78"/>
                    <w:rPr>
                      <w:rFonts w:ascii="Calibri" w:hAnsi="Calibri" w:eastAsia="Times New Roman" w:cs="Calibri"/>
                      <w:b/>
                      <w:bCs/>
                      <w:sz w:val="22"/>
                      <w:szCs w:val="22"/>
                    </w:rPr>
                  </w:pPr>
                  <w:r w:rsidRPr="00B73D79">
                    <w:rPr>
                      <w:rFonts w:ascii="Calibri" w:hAnsi="Calibri" w:eastAsia="Times New Roman" w:cs="Calibri"/>
                      <w:b/>
                      <w:bCs/>
                      <w:sz w:val="22"/>
                      <w:szCs w:val="22"/>
                    </w:rPr>
                    <w:t>2027</w:t>
                  </w:r>
                </w:p>
              </w:tc>
              <w:tc>
                <w:tcPr>
                  <w:tcW w:w="570" w:type="dxa"/>
                </w:tcPr>
                <w:p w:rsidRPr="00B73D79" w:rsidR="00202B73" w:rsidP="00202B73" w:rsidRDefault="00202B73" w14:paraId="54C1DD75" w14:textId="77777777">
                  <w:pPr>
                    <w:rPr>
                      <w:rFonts w:ascii="Calibri" w:hAnsi="Calibri" w:eastAsia="Times New Roman" w:cs="Calibri"/>
                      <w:b/>
                      <w:bCs/>
                      <w:sz w:val="22"/>
                      <w:szCs w:val="22"/>
                    </w:rPr>
                  </w:pPr>
                  <w:r w:rsidRPr="00B73D79">
                    <w:rPr>
                      <w:rFonts w:ascii="Calibri" w:hAnsi="Calibri" w:eastAsia="Times New Roman" w:cs="Calibri"/>
                      <w:b/>
                      <w:bCs/>
                      <w:sz w:val="22"/>
                      <w:szCs w:val="22"/>
                    </w:rPr>
                    <w:t>2028</w:t>
                  </w:r>
                </w:p>
              </w:tc>
              <w:tc>
                <w:tcPr>
                  <w:tcW w:w="570" w:type="dxa"/>
                </w:tcPr>
                <w:p w:rsidRPr="00B73D79" w:rsidR="00202B73" w:rsidP="00202B73" w:rsidRDefault="00202B73" w14:paraId="2C59AE31" w14:textId="77777777">
                  <w:pPr>
                    <w:rPr>
                      <w:rFonts w:ascii="Calibri" w:hAnsi="Calibri" w:eastAsia="Times New Roman" w:cs="Calibri"/>
                      <w:b/>
                      <w:bCs/>
                      <w:sz w:val="22"/>
                      <w:szCs w:val="22"/>
                    </w:rPr>
                  </w:pPr>
                  <w:r w:rsidRPr="00B73D79">
                    <w:rPr>
                      <w:rFonts w:ascii="Calibri" w:hAnsi="Calibri" w:eastAsia="Times New Roman" w:cs="Calibri"/>
                      <w:b/>
                      <w:bCs/>
                      <w:sz w:val="22"/>
                      <w:szCs w:val="22"/>
                    </w:rPr>
                    <w:t>2029</w:t>
                  </w:r>
                </w:p>
              </w:tc>
              <w:tc>
                <w:tcPr>
                  <w:tcW w:w="570" w:type="dxa"/>
                </w:tcPr>
                <w:p w:rsidRPr="00B73D79" w:rsidR="00202B73" w:rsidP="00202B73" w:rsidRDefault="00202B73" w14:paraId="077C5BBB" w14:textId="77777777">
                  <w:pPr>
                    <w:rPr>
                      <w:rFonts w:ascii="Calibri" w:hAnsi="Calibri" w:eastAsia="Times New Roman" w:cs="Calibri"/>
                      <w:b/>
                      <w:bCs/>
                      <w:sz w:val="22"/>
                      <w:szCs w:val="22"/>
                    </w:rPr>
                  </w:pPr>
                  <w:r w:rsidRPr="00B73D79">
                    <w:rPr>
                      <w:rFonts w:ascii="Calibri" w:hAnsi="Calibri" w:eastAsia="Times New Roman" w:cs="Calibri"/>
                      <w:b/>
                      <w:bCs/>
                      <w:sz w:val="22"/>
                      <w:szCs w:val="22"/>
                    </w:rPr>
                    <w:t>2030</w:t>
                  </w:r>
                </w:p>
              </w:tc>
              <w:tc>
                <w:tcPr>
                  <w:tcW w:w="570" w:type="dxa"/>
                </w:tcPr>
                <w:p w:rsidRPr="00B73D79" w:rsidR="00202B73" w:rsidP="00202B73" w:rsidRDefault="00202B73" w14:paraId="48D7C4D0" w14:textId="77777777">
                  <w:pPr>
                    <w:rPr>
                      <w:rFonts w:ascii="Calibri" w:hAnsi="Calibri" w:eastAsia="Times New Roman" w:cs="Calibri"/>
                      <w:b/>
                      <w:bCs/>
                      <w:sz w:val="22"/>
                      <w:szCs w:val="22"/>
                    </w:rPr>
                  </w:pPr>
                  <w:r w:rsidRPr="00B73D79">
                    <w:rPr>
                      <w:rFonts w:ascii="Calibri" w:hAnsi="Calibri" w:eastAsia="Times New Roman" w:cs="Calibri"/>
                      <w:b/>
                      <w:bCs/>
                      <w:sz w:val="22"/>
                      <w:szCs w:val="22"/>
                    </w:rPr>
                    <w:t>2031</w:t>
                  </w:r>
                </w:p>
              </w:tc>
            </w:tr>
            <w:tr w:rsidRPr="00B73D79" w:rsidR="00202B73" w:rsidTr="00E838A2" w14:paraId="4417789C" w14:textId="77777777">
              <w:trPr>
                <w:trHeight w:val="615"/>
              </w:trPr>
              <w:tc>
                <w:tcPr>
                  <w:tcW w:w="984" w:type="dxa"/>
                </w:tcPr>
                <w:p w:rsidRPr="00B73D79" w:rsidR="00202B73" w:rsidP="00202B73" w:rsidRDefault="00202B73" w14:paraId="3C599190" w14:textId="77777777">
                  <w:pPr>
                    <w:rPr>
                      <w:rFonts w:ascii="Calibri" w:hAnsi="Calibri" w:eastAsia="Times New Roman" w:cs="Calibri"/>
                      <w:sz w:val="22"/>
                      <w:szCs w:val="22"/>
                    </w:rPr>
                  </w:pPr>
                  <w:r w:rsidRPr="00B73D79">
                    <w:rPr>
                      <w:rFonts w:ascii="Calibri" w:hAnsi="Calibri" w:eastAsia="Times New Roman" w:cs="Calibri"/>
                      <w:sz w:val="22"/>
                      <w:szCs w:val="22"/>
                    </w:rPr>
                    <w:t>Maatregel 28</w:t>
                  </w:r>
                </w:p>
              </w:tc>
              <w:tc>
                <w:tcPr>
                  <w:tcW w:w="698" w:type="dxa"/>
                </w:tcPr>
                <w:p w:rsidRPr="00B73D79" w:rsidR="00202B73" w:rsidP="00202B73" w:rsidRDefault="00202B73" w14:paraId="533223EB" w14:textId="77777777">
                  <w:pPr>
                    <w:rPr>
                      <w:rFonts w:ascii="Calibri" w:hAnsi="Calibri" w:eastAsia="Times New Roman" w:cs="Calibri"/>
                      <w:sz w:val="22"/>
                      <w:szCs w:val="22"/>
                    </w:rPr>
                  </w:pPr>
                  <w:r w:rsidRPr="00B73D79">
                    <w:rPr>
                      <w:rFonts w:ascii="Calibri" w:hAnsi="Calibri" w:eastAsia="Times New Roman" w:cs="Calibri"/>
                      <w:sz w:val="22"/>
                      <w:szCs w:val="22"/>
                    </w:rPr>
                    <w:t>192</w:t>
                  </w:r>
                </w:p>
              </w:tc>
              <w:tc>
                <w:tcPr>
                  <w:tcW w:w="570" w:type="dxa"/>
                </w:tcPr>
                <w:p w:rsidRPr="00B73D79" w:rsidR="00202B73" w:rsidP="00202B73" w:rsidRDefault="00202B73" w14:paraId="4598C9B5" w14:textId="77777777">
                  <w:pPr>
                    <w:rPr>
                      <w:rFonts w:ascii="Calibri" w:hAnsi="Calibri" w:eastAsia="Times New Roman" w:cs="Calibri"/>
                      <w:sz w:val="22"/>
                      <w:szCs w:val="22"/>
                    </w:rPr>
                  </w:pPr>
                  <w:r w:rsidRPr="00B73D79">
                    <w:rPr>
                      <w:rFonts w:ascii="Calibri" w:hAnsi="Calibri" w:cs="Calibri"/>
                      <w:sz w:val="22"/>
                      <w:szCs w:val="22"/>
                    </w:rPr>
                    <w:t>41,0</w:t>
                  </w:r>
                </w:p>
              </w:tc>
              <w:tc>
                <w:tcPr>
                  <w:tcW w:w="484" w:type="dxa"/>
                </w:tcPr>
                <w:p w:rsidRPr="00B73D79" w:rsidR="00202B73" w:rsidP="00202B73" w:rsidRDefault="00202B73" w14:paraId="117F0EB5" w14:textId="77777777">
                  <w:pPr>
                    <w:rPr>
                      <w:rFonts w:ascii="Calibri" w:hAnsi="Calibri" w:eastAsia="Times New Roman" w:cs="Calibri"/>
                      <w:sz w:val="22"/>
                      <w:szCs w:val="22"/>
                    </w:rPr>
                  </w:pPr>
                  <w:r w:rsidRPr="00B73D79">
                    <w:rPr>
                      <w:rFonts w:ascii="Calibri" w:hAnsi="Calibri" w:cs="Calibri"/>
                      <w:sz w:val="22"/>
                      <w:szCs w:val="22"/>
                    </w:rPr>
                    <w:t>39,1</w:t>
                  </w:r>
                </w:p>
              </w:tc>
              <w:tc>
                <w:tcPr>
                  <w:tcW w:w="570" w:type="dxa"/>
                </w:tcPr>
                <w:p w:rsidRPr="00B73D79" w:rsidR="00202B73" w:rsidP="00202B73" w:rsidRDefault="00202B73" w14:paraId="5263E316" w14:textId="77777777">
                  <w:pPr>
                    <w:rPr>
                      <w:rFonts w:ascii="Calibri" w:hAnsi="Calibri" w:eastAsia="Times New Roman" w:cs="Calibri"/>
                      <w:sz w:val="22"/>
                      <w:szCs w:val="22"/>
                    </w:rPr>
                  </w:pPr>
                  <w:r w:rsidRPr="00B73D79">
                    <w:rPr>
                      <w:rFonts w:ascii="Calibri" w:hAnsi="Calibri" w:cs="Calibri"/>
                      <w:sz w:val="22"/>
                      <w:szCs w:val="22"/>
                    </w:rPr>
                    <w:t>38,2</w:t>
                  </w:r>
                </w:p>
              </w:tc>
              <w:tc>
                <w:tcPr>
                  <w:tcW w:w="570" w:type="dxa"/>
                </w:tcPr>
                <w:p w:rsidRPr="00B73D79" w:rsidR="00202B73" w:rsidP="00202B73" w:rsidRDefault="00202B73" w14:paraId="5D0B98B5" w14:textId="77777777">
                  <w:pPr>
                    <w:rPr>
                      <w:rFonts w:ascii="Calibri" w:hAnsi="Calibri" w:eastAsia="Times New Roman" w:cs="Calibri"/>
                      <w:sz w:val="22"/>
                      <w:szCs w:val="22"/>
                    </w:rPr>
                  </w:pPr>
                  <w:r w:rsidRPr="00B73D79">
                    <w:rPr>
                      <w:rFonts w:ascii="Calibri" w:hAnsi="Calibri" w:cs="Calibri"/>
                      <w:sz w:val="22"/>
                      <w:szCs w:val="22"/>
                    </w:rPr>
                    <w:t>28,9</w:t>
                  </w:r>
                </w:p>
              </w:tc>
              <w:tc>
                <w:tcPr>
                  <w:tcW w:w="570" w:type="dxa"/>
                </w:tcPr>
                <w:p w:rsidRPr="00B73D79" w:rsidR="00202B73" w:rsidP="00202B73" w:rsidRDefault="00202B73" w14:paraId="20EE502A" w14:textId="77777777">
                  <w:pPr>
                    <w:rPr>
                      <w:rFonts w:ascii="Calibri" w:hAnsi="Calibri" w:eastAsia="Times New Roman" w:cs="Calibri"/>
                      <w:sz w:val="22"/>
                      <w:szCs w:val="22"/>
                    </w:rPr>
                  </w:pPr>
                  <w:r w:rsidRPr="00B73D79">
                    <w:rPr>
                      <w:rFonts w:ascii="Calibri" w:hAnsi="Calibri" w:cs="Calibri"/>
                      <w:sz w:val="22"/>
                      <w:szCs w:val="22"/>
                    </w:rPr>
                    <w:t>22,4</w:t>
                  </w:r>
                </w:p>
              </w:tc>
              <w:tc>
                <w:tcPr>
                  <w:tcW w:w="570" w:type="dxa"/>
                </w:tcPr>
                <w:p w:rsidRPr="00B73D79" w:rsidR="00202B73" w:rsidP="00202B73" w:rsidRDefault="00202B73" w14:paraId="7186311F" w14:textId="77777777">
                  <w:pPr>
                    <w:rPr>
                      <w:rFonts w:ascii="Calibri" w:hAnsi="Calibri" w:eastAsia="Times New Roman" w:cs="Calibri"/>
                      <w:sz w:val="22"/>
                      <w:szCs w:val="22"/>
                    </w:rPr>
                  </w:pPr>
                  <w:r w:rsidRPr="00B73D79">
                    <w:rPr>
                      <w:rFonts w:ascii="Calibri" w:hAnsi="Calibri" w:cs="Calibri"/>
                      <w:sz w:val="22"/>
                      <w:szCs w:val="22"/>
                    </w:rPr>
                    <w:t>22,4</w:t>
                  </w:r>
                </w:p>
              </w:tc>
            </w:tr>
          </w:tbl>
          <w:p w:rsidRPr="00B73D79" w:rsidR="00202B73" w:rsidP="00202B73" w:rsidRDefault="00202B73" w14:paraId="537AC65F" w14:textId="77777777">
            <w:pPr>
              <w:spacing w:after="0"/>
              <w:rPr>
                <w:rFonts w:ascii="Calibri" w:hAnsi="Calibri" w:cs="Calibri"/>
                <w:b/>
              </w:rPr>
            </w:pPr>
          </w:p>
        </w:tc>
      </w:tr>
      <w:tr w:rsidRPr="00B73D79" w:rsidR="00202B73" w:rsidTr="00E838A2" w14:paraId="5FFCB583" w14:textId="77777777">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64DC8A71" w14:textId="77777777">
            <w:pPr>
              <w:spacing w:after="0"/>
              <w:rPr>
                <w:rFonts w:ascii="Calibri" w:hAnsi="Calibri" w:cs="Calibri"/>
                <w:bCs/>
              </w:rPr>
            </w:pPr>
          </w:p>
          <w:p w:rsidRPr="00B73D79" w:rsidR="00202B73" w:rsidP="00202B73" w:rsidRDefault="00202B73" w14:paraId="7BB7EF4F" w14:textId="77777777">
            <w:pPr>
              <w:spacing w:after="0"/>
              <w:rPr>
                <w:rFonts w:ascii="Calibri" w:hAnsi="Calibri" w:cs="Calibri"/>
                <w:b/>
              </w:rPr>
            </w:pPr>
            <w:r w:rsidRPr="00B73D79">
              <w:rPr>
                <w:rFonts w:ascii="Calibri" w:hAnsi="Calibri" w:cs="Calibri"/>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5A6496DE" w14:textId="77777777">
            <w:pPr>
              <w:spacing w:after="0"/>
              <w:rPr>
                <w:rFonts w:ascii="Calibri" w:hAnsi="Calibri" w:cs="Calibri"/>
                <w:bCs/>
              </w:rPr>
            </w:pPr>
            <w:r w:rsidRPr="00B73D79">
              <w:rPr>
                <w:rFonts w:ascii="Calibri" w:hAnsi="Calibri" w:cs="Calibri"/>
              </w:rPr>
              <w:t>n.v.t.</w:t>
            </w:r>
          </w:p>
        </w:tc>
      </w:tr>
      <w:tr w:rsidRPr="00B73D79" w:rsidR="00202B73" w:rsidTr="00E838A2" w14:paraId="4C8238DD" w14:textId="77777777">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7CCC4DE2" w14:textId="77777777">
            <w:pPr>
              <w:spacing w:after="0"/>
              <w:rPr>
                <w:rFonts w:ascii="Calibri" w:hAnsi="Calibri" w:cs="Calibri"/>
                <w:b/>
              </w:rPr>
            </w:pPr>
          </w:p>
          <w:p w:rsidRPr="00B73D79" w:rsidR="00202B73" w:rsidP="00202B73" w:rsidRDefault="00202B73" w14:paraId="44D4DB80" w14:textId="77777777">
            <w:pPr>
              <w:numPr>
                <w:ilvl w:val="0"/>
                <w:numId w:val="8"/>
              </w:numPr>
              <w:autoSpaceDN w:val="0"/>
              <w:spacing w:after="0" w:line="240" w:lineRule="atLeast"/>
              <w:textAlignment w:val="baseline"/>
              <w:rPr>
                <w:rFonts w:ascii="Calibri" w:hAnsi="Calibri" w:cs="Calibri"/>
                <w:b/>
              </w:rPr>
            </w:pPr>
            <w:r w:rsidRPr="00B73D79">
              <w:rPr>
                <w:rFonts w:ascii="Calibri" w:hAnsi="Calibri" w:cs="Calibri"/>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34F595D7" w14:textId="77777777">
            <w:pPr>
              <w:spacing w:after="0"/>
              <w:rPr>
                <w:rFonts w:ascii="Calibri" w:hAnsi="Calibri" w:cs="Calibri"/>
                <w:bCs/>
              </w:rPr>
            </w:pPr>
            <w:r w:rsidRPr="00B73D79">
              <w:rPr>
                <w:rFonts w:ascii="Calibri" w:hAnsi="Calibri" w:cs="Calibri"/>
              </w:rPr>
              <w:t>Het versterken van middelzware of zware woningen en het verduurzamen ervan kan met extra budget voor de NCG gelijktijdig worden uitgevoerd. Hierdoor is de bewoner minder tijd kwijt en hoeft deze niet twee keer te ervaren dat er wijzigingen plaatsvinden aan de woning door versterken én verduurzamen. Verder dragen de isolatiemaatregelen bij aan het verlagen van de energierekening voor bewoner én daarmee het tegengaan van energiearmoede in de regio.</w:t>
            </w:r>
          </w:p>
        </w:tc>
      </w:tr>
      <w:tr w:rsidRPr="00B73D79" w:rsidR="00202B73" w:rsidTr="00E838A2" w14:paraId="0C01BA6C"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3ACC555F" w14:textId="77777777">
            <w:pPr>
              <w:spacing w:after="0"/>
              <w:rPr>
                <w:rFonts w:ascii="Calibri" w:hAnsi="Calibri" w:cs="Calibri"/>
                <w:b/>
              </w:rPr>
            </w:pPr>
          </w:p>
          <w:p w:rsidRPr="00B73D79" w:rsidR="00202B73" w:rsidP="00202B73" w:rsidRDefault="00202B73" w14:paraId="4BF3E43E" w14:textId="77777777">
            <w:pPr>
              <w:numPr>
                <w:ilvl w:val="0"/>
                <w:numId w:val="8"/>
              </w:numPr>
              <w:autoSpaceDN w:val="0"/>
              <w:spacing w:after="0" w:line="240" w:lineRule="atLeast"/>
              <w:textAlignment w:val="baseline"/>
              <w:rPr>
                <w:rFonts w:ascii="Calibri" w:hAnsi="Calibri" w:cs="Calibri"/>
                <w:b/>
              </w:rPr>
            </w:pPr>
            <w:r w:rsidRPr="00B73D79">
              <w:rPr>
                <w:rFonts w:ascii="Calibri" w:hAnsi="Calibri" w:cs="Calibri"/>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66880A58" w14:textId="77777777">
            <w:pPr>
              <w:spacing w:after="0"/>
              <w:rPr>
                <w:rFonts w:ascii="Calibri" w:hAnsi="Calibri" w:cs="Calibri"/>
                <w:bCs/>
              </w:rPr>
            </w:pPr>
            <w:r w:rsidRPr="00B73D79">
              <w:rPr>
                <w:rFonts w:ascii="Calibri" w:hAnsi="Calibri" w:cs="Calibri"/>
              </w:rPr>
              <w:t xml:space="preserve">Door gelijktijdig met de versterking te verduurzamen, hoeft een woning maar eenmalig bouwwerkzaamheden te ondergaan en wordt er hierdoor bespaard op voorbereidings- en uitvoeringskosten. </w:t>
            </w:r>
          </w:p>
        </w:tc>
      </w:tr>
      <w:tr w:rsidRPr="00B73D79" w:rsidR="00202B73" w:rsidTr="00E838A2" w14:paraId="2AEE5DA8" w14:textId="77777777">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73D79" w:rsidR="00202B73" w:rsidP="00202B73" w:rsidRDefault="00202B73" w14:paraId="39597CA7" w14:textId="77777777">
            <w:pPr>
              <w:spacing w:after="0"/>
              <w:rPr>
                <w:rFonts w:ascii="Calibri" w:hAnsi="Calibri" w:cs="Calibri"/>
                <w:b/>
              </w:rPr>
            </w:pPr>
          </w:p>
          <w:p w:rsidRPr="00B73D79" w:rsidR="00202B73" w:rsidP="00202B73" w:rsidRDefault="00202B73" w14:paraId="390FEE15" w14:textId="77777777">
            <w:pPr>
              <w:numPr>
                <w:ilvl w:val="0"/>
                <w:numId w:val="8"/>
              </w:numPr>
              <w:autoSpaceDN w:val="0"/>
              <w:spacing w:after="0" w:line="240" w:lineRule="atLeast"/>
              <w:textAlignment w:val="baseline"/>
              <w:rPr>
                <w:rFonts w:ascii="Calibri" w:hAnsi="Calibri" w:cs="Calibri"/>
                <w:b/>
              </w:rPr>
            </w:pPr>
            <w:r w:rsidRPr="00B73D79">
              <w:rPr>
                <w:rFonts w:ascii="Calibri" w:hAnsi="Calibri" w:cs="Calibri"/>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73D79" w:rsidR="00202B73" w:rsidP="00202B73" w:rsidRDefault="00202B73" w14:paraId="332D662F" w14:textId="77777777">
            <w:pPr>
              <w:spacing w:after="0"/>
              <w:rPr>
                <w:rFonts w:ascii="Calibri" w:hAnsi="Calibri" w:cs="Calibri"/>
              </w:rPr>
            </w:pPr>
            <w:r w:rsidRPr="00B73D79">
              <w:rPr>
                <w:rFonts w:ascii="Calibri" w:hAnsi="Calibri" w:cs="Calibri"/>
              </w:rPr>
              <w:t xml:space="preserve">In de Staat van Groningen &amp; Noord-Drenthe zal jaarlijks worden gerapporteerd over de voortgang van de uitvoering, en over de tevredenheid van bewoners die met de uitvoering van deze maatregel te maken hebben gehad. </w:t>
            </w:r>
          </w:p>
          <w:p w:rsidRPr="00B73D79" w:rsidR="00202B73" w:rsidP="00202B73" w:rsidRDefault="00202B73" w14:paraId="6FB5E8A5" w14:textId="77777777">
            <w:pPr>
              <w:spacing w:after="0"/>
              <w:rPr>
                <w:rFonts w:ascii="Calibri" w:hAnsi="Calibri" w:cs="Calibri"/>
              </w:rPr>
            </w:pPr>
          </w:p>
          <w:p w:rsidRPr="00B73D79" w:rsidR="00202B73" w:rsidP="00202B73" w:rsidRDefault="00202B73" w14:paraId="30AAFE66" w14:textId="77777777">
            <w:pPr>
              <w:spacing w:after="0"/>
              <w:rPr>
                <w:rFonts w:ascii="Calibri" w:hAnsi="Calibri" w:cs="Calibri"/>
              </w:rPr>
            </w:pPr>
            <w:r w:rsidRPr="00B73D79">
              <w:rPr>
                <w:rFonts w:ascii="Calibri" w:hAnsi="Calibri" w:cs="Calibri"/>
              </w:rPr>
              <w:t xml:space="preserve">Daarnaast heeft het kabinet voor maatregel 29 uit Nij Begun toegezegd dat er meerdere keren per jaar door Rijk, regio en uitvoeringsorganisaties gekeken wordt hoe implementatie van het isolatiepakket uitpakt in de praktijk. Er wordt gekeken of ook de voortgang van isolatie onder maatregel 28 hierin kan worden meegenomen. Deze informatie wordt gebruikt door de onafhankelijke partij die de Staat van Groningen &amp; Noord-Drenthe samenstelt bij een appreciatie van de mate waarin de maatregel bijdraagt aan een milde, makkelijke en menselijke uitvoering van de versterking én aan de langetermijndoelstellingen op het gebied van verduurzaming en isolatie.    </w:t>
            </w:r>
          </w:p>
        </w:tc>
      </w:tr>
    </w:tbl>
    <w:p w:rsidRPr="00B73D79" w:rsidR="00202B73" w:rsidP="00202B73" w:rsidRDefault="00202B73" w14:paraId="158BBE44" w14:textId="77777777">
      <w:pPr>
        <w:spacing w:after="0"/>
        <w:rPr>
          <w:rFonts w:ascii="Calibri" w:hAnsi="Calibri" w:cs="Calibri"/>
        </w:rPr>
      </w:pPr>
    </w:p>
    <w:p w:rsidRPr="00B73D79" w:rsidR="00202B73" w:rsidP="00202B73" w:rsidRDefault="00202B73" w14:paraId="2D0EEE14" w14:textId="77777777">
      <w:pPr>
        <w:spacing w:after="0"/>
        <w:rPr>
          <w:rFonts w:ascii="Calibri" w:hAnsi="Calibri" w:cs="Calibri"/>
        </w:rPr>
      </w:pPr>
    </w:p>
    <w:p w:rsidRPr="00B73D79" w:rsidR="00202B73" w:rsidP="00202B73" w:rsidRDefault="00202B73" w14:paraId="30D031A9" w14:textId="77777777">
      <w:pPr>
        <w:spacing w:after="0"/>
        <w:rPr>
          <w:rFonts w:ascii="Calibri" w:hAnsi="Calibri" w:cs="Calibri"/>
        </w:rPr>
      </w:pPr>
    </w:p>
    <w:p w:rsidRPr="00B73D79" w:rsidR="00202B73" w:rsidP="00202B73" w:rsidRDefault="00202B73" w14:paraId="3E0DE34E" w14:textId="77777777">
      <w:pPr>
        <w:spacing w:after="0"/>
        <w:rPr>
          <w:rFonts w:ascii="Calibri" w:hAnsi="Calibri" w:cs="Calibri"/>
        </w:rPr>
      </w:pPr>
    </w:p>
    <w:p w:rsidRPr="00B73D79" w:rsidR="00202B73" w:rsidP="00202B73" w:rsidRDefault="00202B73" w14:paraId="35D6090B" w14:textId="77777777">
      <w:pPr>
        <w:spacing w:after="0"/>
        <w:rPr>
          <w:rFonts w:ascii="Calibri" w:hAnsi="Calibri" w:cs="Calibri"/>
        </w:rPr>
      </w:pPr>
    </w:p>
    <w:p w:rsidRPr="00B73D79" w:rsidR="00202B73" w:rsidP="00202B73" w:rsidRDefault="00202B73" w14:paraId="02AA4EEC" w14:textId="6CC7D520">
      <w:pPr>
        <w:spacing w:after="0"/>
        <w:rPr>
          <w:rFonts w:ascii="Calibri" w:hAnsi="Calibri" w:cs="Calibri"/>
        </w:rPr>
      </w:pPr>
      <w:r w:rsidRPr="00B73D79">
        <w:rPr>
          <w:rFonts w:ascii="Calibri" w:hAnsi="Calibri" w:cs="Calibri"/>
        </w:rPr>
        <w:t>De minister van Binnenlandse Zaken en Koninkrijksrelaties,</w:t>
      </w:r>
      <w:r w:rsidRPr="00B73D79">
        <w:rPr>
          <w:rFonts w:ascii="Calibri" w:hAnsi="Calibri" w:cs="Calibri"/>
        </w:rPr>
        <w:br/>
        <w:t>F. Rijkaart</w:t>
      </w:r>
    </w:p>
    <w:p w:rsidRPr="00B73D79" w:rsidR="00202B73" w:rsidP="00202B73" w:rsidRDefault="00202B73" w14:paraId="5AA274EC" w14:textId="77777777">
      <w:pPr>
        <w:spacing w:after="0"/>
        <w:rPr>
          <w:rFonts w:ascii="Calibri" w:hAnsi="Calibri" w:cs="Calibri"/>
        </w:rPr>
      </w:pPr>
    </w:p>
    <w:p w:rsidRPr="00B73D79" w:rsidR="00202B73" w:rsidP="00202B73" w:rsidRDefault="00202B73" w14:paraId="256C5CA0" w14:textId="77777777">
      <w:pPr>
        <w:pStyle w:val="WitregelW1bodytekst"/>
        <w:rPr>
          <w:rFonts w:ascii="Calibri" w:hAnsi="Calibri" w:cs="Calibri"/>
          <w:sz w:val="22"/>
          <w:szCs w:val="22"/>
        </w:rPr>
      </w:pPr>
    </w:p>
    <w:p w:rsidRPr="00B73D79" w:rsidR="00202B73" w:rsidP="00202B73" w:rsidRDefault="00202B73" w14:paraId="492A3D44" w14:textId="77777777">
      <w:pPr>
        <w:spacing w:after="0"/>
        <w:rPr>
          <w:rFonts w:ascii="Calibri" w:hAnsi="Calibri" w:cs="Calibri"/>
        </w:rPr>
      </w:pPr>
    </w:p>
    <w:p w:rsidRPr="00B73D79" w:rsidR="00202B73" w:rsidP="00202B73" w:rsidRDefault="00202B73" w14:paraId="747D3D0E" w14:textId="77777777">
      <w:pPr>
        <w:spacing w:after="0"/>
        <w:rPr>
          <w:rFonts w:ascii="Calibri" w:hAnsi="Calibri" w:cs="Calibri"/>
        </w:rPr>
      </w:pPr>
    </w:p>
    <w:p w:rsidRPr="00B73D79" w:rsidR="00202B73" w:rsidP="00202B73" w:rsidRDefault="00202B73" w14:paraId="039C3CBF" w14:textId="77777777">
      <w:pPr>
        <w:spacing w:after="0"/>
        <w:rPr>
          <w:rFonts w:ascii="Calibri" w:hAnsi="Calibri" w:cs="Calibri"/>
        </w:rPr>
      </w:pPr>
    </w:p>
    <w:p w:rsidRPr="00B73D79" w:rsidR="00202B73" w:rsidP="00202B73" w:rsidRDefault="00202B73" w14:paraId="1BD32C34" w14:textId="77777777">
      <w:pPr>
        <w:spacing w:after="0"/>
        <w:rPr>
          <w:rFonts w:ascii="Calibri" w:hAnsi="Calibri" w:cs="Calibri"/>
        </w:rPr>
      </w:pPr>
    </w:p>
    <w:p w:rsidRPr="00B73D79" w:rsidR="00202B73" w:rsidP="00202B73" w:rsidRDefault="00202B73" w14:paraId="0F537EF1" w14:textId="77777777">
      <w:pPr>
        <w:spacing w:after="0"/>
        <w:rPr>
          <w:rFonts w:ascii="Calibri" w:hAnsi="Calibri" w:cs="Calibri"/>
        </w:rPr>
      </w:pPr>
    </w:p>
    <w:p w:rsidRPr="00B73D79" w:rsidR="00202B73" w:rsidP="00202B73" w:rsidRDefault="00202B73" w14:paraId="113991EF" w14:textId="77777777">
      <w:pPr>
        <w:spacing w:after="0"/>
        <w:rPr>
          <w:rFonts w:ascii="Calibri" w:hAnsi="Calibri" w:cs="Calibri"/>
        </w:rPr>
      </w:pPr>
    </w:p>
    <w:p w:rsidRPr="00B73D79" w:rsidR="00202B73" w:rsidP="00202B73" w:rsidRDefault="00202B73" w14:paraId="68A04202" w14:textId="77777777">
      <w:pPr>
        <w:spacing w:after="0"/>
        <w:rPr>
          <w:rFonts w:ascii="Calibri" w:hAnsi="Calibri" w:cs="Calibri"/>
        </w:rPr>
      </w:pPr>
    </w:p>
    <w:p w:rsidRPr="00B73D79" w:rsidR="00202B73" w:rsidP="00202B73" w:rsidRDefault="00202B73" w14:paraId="67112BCE" w14:textId="77777777">
      <w:pPr>
        <w:spacing w:after="0"/>
        <w:rPr>
          <w:rFonts w:ascii="Calibri" w:hAnsi="Calibri" w:cs="Calibri"/>
        </w:rPr>
      </w:pPr>
    </w:p>
    <w:p w:rsidRPr="00B73D79" w:rsidR="00F80165" w:rsidP="00202B73" w:rsidRDefault="00F80165" w14:paraId="18CA58F4" w14:textId="77777777">
      <w:pPr>
        <w:spacing w:after="0"/>
        <w:rPr>
          <w:rFonts w:ascii="Calibri" w:hAnsi="Calibri" w:cs="Calibri"/>
        </w:rPr>
      </w:pPr>
    </w:p>
    <w:sectPr w:rsidRPr="00B73D79" w:rsidR="00F80165" w:rsidSect="00202B7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7C6C" w14:textId="77777777" w:rsidR="00202B73" w:rsidRDefault="00202B73" w:rsidP="00202B73">
      <w:pPr>
        <w:spacing w:after="0" w:line="240" w:lineRule="auto"/>
      </w:pPr>
      <w:r>
        <w:separator/>
      </w:r>
    </w:p>
  </w:endnote>
  <w:endnote w:type="continuationSeparator" w:id="0">
    <w:p w14:paraId="237382A7" w14:textId="77777777" w:rsidR="00202B73" w:rsidRDefault="00202B73" w:rsidP="0020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11B1" w14:textId="77777777" w:rsidR="00202B73" w:rsidRPr="00202B73" w:rsidRDefault="00202B73" w:rsidP="00202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F775" w14:textId="77777777" w:rsidR="00202B73" w:rsidRPr="00202B73" w:rsidRDefault="00202B73" w:rsidP="00202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2343" w14:textId="77777777" w:rsidR="00202B73" w:rsidRPr="00202B73" w:rsidRDefault="00202B73" w:rsidP="00202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032B" w14:textId="77777777" w:rsidR="00202B73" w:rsidRDefault="00202B73" w:rsidP="00202B73">
      <w:pPr>
        <w:spacing w:after="0" w:line="240" w:lineRule="auto"/>
      </w:pPr>
      <w:r>
        <w:separator/>
      </w:r>
    </w:p>
  </w:footnote>
  <w:footnote w:type="continuationSeparator" w:id="0">
    <w:p w14:paraId="413A990B" w14:textId="77777777" w:rsidR="00202B73" w:rsidRDefault="00202B73" w:rsidP="00202B73">
      <w:pPr>
        <w:spacing w:after="0" w:line="240" w:lineRule="auto"/>
      </w:pPr>
      <w:r>
        <w:continuationSeparator/>
      </w:r>
    </w:p>
  </w:footnote>
  <w:footnote w:id="1">
    <w:p w14:paraId="485D1449" w14:textId="11126569" w:rsidR="00202B73" w:rsidRPr="00A44465" w:rsidRDefault="00202B73" w:rsidP="00202B73">
      <w:pPr>
        <w:pStyle w:val="Voetnoottekst"/>
        <w:rPr>
          <w:sz w:val="18"/>
          <w:szCs w:val="18"/>
        </w:rPr>
      </w:pPr>
      <w:r w:rsidRPr="00A44465">
        <w:rPr>
          <w:rStyle w:val="Voetnootmarkering"/>
          <w:sz w:val="18"/>
          <w:szCs w:val="18"/>
        </w:rPr>
        <w:footnoteRef/>
      </w:r>
      <w:r w:rsidRPr="00A44465">
        <w:rPr>
          <w:sz w:val="18"/>
          <w:szCs w:val="18"/>
        </w:rPr>
        <w:t xml:space="preserve"> Kamerstuknummer 35</w:t>
      </w:r>
      <w:r>
        <w:rPr>
          <w:sz w:val="18"/>
          <w:szCs w:val="18"/>
        </w:rPr>
        <w:t xml:space="preserve"> </w:t>
      </w:r>
      <w:r w:rsidRPr="00A44465">
        <w:rPr>
          <w:sz w:val="18"/>
          <w:szCs w:val="18"/>
        </w:rPr>
        <w:t>165</w:t>
      </w:r>
      <w:r>
        <w:rPr>
          <w:sz w:val="18"/>
          <w:szCs w:val="18"/>
        </w:rPr>
        <w:t xml:space="preserve">, nr. </w:t>
      </w:r>
      <w:r w:rsidRPr="00A44465">
        <w:rPr>
          <w:sz w:val="18"/>
          <w:szCs w:val="18"/>
        </w:rPr>
        <w:t>90</w:t>
      </w:r>
    </w:p>
  </w:footnote>
  <w:footnote w:id="2">
    <w:p w14:paraId="35E0163A" w14:textId="77777777" w:rsidR="00202B73" w:rsidRPr="00A44465" w:rsidRDefault="00202B73" w:rsidP="00202B73">
      <w:pPr>
        <w:pStyle w:val="Voetnoottekst"/>
        <w:rPr>
          <w:rFonts w:ascii="Verdana" w:hAnsi="Verdana" w:cs="Lohit Hindi"/>
          <w:color w:val="000000"/>
          <w:sz w:val="18"/>
          <w:szCs w:val="18"/>
        </w:rPr>
      </w:pPr>
      <w:r w:rsidRPr="00A44465">
        <w:rPr>
          <w:rStyle w:val="Voetnootmarkering"/>
          <w:sz w:val="18"/>
          <w:szCs w:val="18"/>
        </w:rPr>
        <w:footnoteRef/>
      </w:r>
      <w:r w:rsidRPr="00A44465">
        <w:rPr>
          <w:sz w:val="18"/>
          <w:szCs w:val="18"/>
        </w:rPr>
        <w:t xml:space="preserve"> Via het onderdeel ‘d’ uit de meerjarige SPUK regeling voor Groningen: </w:t>
      </w:r>
      <w:hyperlink r:id="rId1" w:history="1">
        <w:r w:rsidRPr="00A44465">
          <w:rPr>
            <w:rStyle w:val="Hyperlink"/>
            <w:sz w:val="18"/>
            <w:szCs w:val="18"/>
          </w:rPr>
          <w:t>wetten.nl - Regeling - Meerjarige regeling verstrekking specifieke uitkeringen aardbevingsgebied Groningen 2024–2030 - BWBR0049907</w:t>
        </w:r>
      </w:hyperlink>
    </w:p>
  </w:footnote>
  <w:footnote w:id="3">
    <w:p w14:paraId="70C18383" w14:textId="77777777" w:rsidR="00202B73" w:rsidRDefault="00202B73" w:rsidP="00202B73">
      <w:pPr>
        <w:pStyle w:val="Voetnoottekst"/>
      </w:pPr>
      <w:r>
        <w:rPr>
          <w:rStyle w:val="Voetnootmarkering"/>
        </w:rPr>
        <w:footnoteRef/>
      </w:r>
      <w:r>
        <w:t xml:space="preserve"> </w:t>
      </w:r>
      <w:r w:rsidRPr="009C66D0">
        <w:rPr>
          <w:sz w:val="18"/>
          <w:szCs w:val="18"/>
        </w:rPr>
        <w:t>via het onderdeel ‘d’ uit de meerjarige SPUK regeling voor Groningen: wetten.nl - Regeling - Meerjarige regeling verstrekking specifieke uitkeringen aardbevingsgebied Groningen 2024–2030 - BWBR0049907</w:t>
      </w:r>
    </w:p>
  </w:footnote>
  <w:footnote w:id="4">
    <w:p w14:paraId="4ADF2DA1" w14:textId="77777777" w:rsidR="00202B73" w:rsidRPr="00A44465" w:rsidRDefault="00202B73" w:rsidP="00202B73">
      <w:pPr>
        <w:pStyle w:val="Voetnoottekst"/>
        <w:rPr>
          <w:sz w:val="18"/>
          <w:szCs w:val="18"/>
        </w:rPr>
      </w:pPr>
      <w:r w:rsidRPr="00A44465">
        <w:rPr>
          <w:rStyle w:val="Voetnootmarkering"/>
          <w:sz w:val="18"/>
          <w:szCs w:val="18"/>
        </w:rPr>
        <w:footnoteRef/>
      </w:r>
      <w:r w:rsidRPr="00A44465">
        <w:rPr>
          <w:sz w:val="18"/>
          <w:szCs w:val="18"/>
        </w:rPr>
        <w:t xml:space="preserve"> </w:t>
      </w:r>
      <w:hyperlink r:id="rId2" w:history="1">
        <w:r w:rsidRPr="00A44465">
          <w:rPr>
            <w:rStyle w:val="Hyperlink"/>
            <w:sz w:val="18"/>
            <w:szCs w:val="18"/>
          </w:rPr>
          <w:t>Sociale agenda voor Groningen en Noord-Drenthe gepresenteerd | Nieuwsbericht | Rijksoverheid.nl</w:t>
        </w:r>
      </w:hyperlink>
    </w:p>
  </w:footnote>
  <w:footnote w:id="5">
    <w:p w14:paraId="6EE648D6" w14:textId="77777777" w:rsidR="00202B73" w:rsidRDefault="00202B73" w:rsidP="00202B73">
      <w:pPr>
        <w:pStyle w:val="Voetnoottekst"/>
      </w:pPr>
      <w:r>
        <w:rPr>
          <w:rStyle w:val="Voetnootmarkering"/>
        </w:rPr>
        <w:footnoteRef/>
      </w:r>
      <w:r>
        <w:t xml:space="preserve"> </w:t>
      </w:r>
      <w:r w:rsidRPr="00F912BC">
        <w:t>Kamerstuk 35 561, nr</w:t>
      </w:r>
      <w:r>
        <w:t>.</w:t>
      </w:r>
      <w:r w:rsidRPr="00F912BC">
        <w:t xml:space="preserve">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E645" w14:textId="77777777" w:rsidR="00202B73" w:rsidRPr="00202B73" w:rsidRDefault="00202B73" w:rsidP="00202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7496" w14:textId="77777777" w:rsidR="00202B73" w:rsidRPr="00202B73" w:rsidRDefault="00202B73" w:rsidP="00202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CEED" w14:textId="77777777" w:rsidR="00202B73" w:rsidRPr="00202B73" w:rsidRDefault="00202B73" w:rsidP="00202B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ABE"/>
    <w:multiLevelType w:val="hybridMultilevel"/>
    <w:tmpl w:val="17187592"/>
    <w:lvl w:ilvl="0" w:tplc="A3F804F0">
      <w:start w:val="1"/>
      <w:numFmt w:val="decimal"/>
      <w:lvlText w:val="%1."/>
      <w:lvlJc w:val="left"/>
      <w:pPr>
        <w:ind w:left="463" w:hanging="360"/>
      </w:pPr>
      <w:rPr>
        <w:color w:val="auto"/>
      </w:rPr>
    </w:lvl>
    <w:lvl w:ilvl="1" w:tplc="D6F27930">
      <w:start w:val="1"/>
      <w:numFmt w:val="lowerLetter"/>
      <w:lvlText w:val="%2."/>
      <w:lvlJc w:val="left"/>
      <w:pPr>
        <w:ind w:left="1183" w:hanging="360"/>
      </w:pPr>
    </w:lvl>
    <w:lvl w:ilvl="2" w:tplc="B3AE890A">
      <w:start w:val="1"/>
      <w:numFmt w:val="lowerRoman"/>
      <w:lvlText w:val="%3."/>
      <w:lvlJc w:val="right"/>
      <w:pPr>
        <w:ind w:left="1903" w:hanging="180"/>
      </w:pPr>
    </w:lvl>
    <w:lvl w:ilvl="3" w:tplc="CDF6F8E8">
      <w:start w:val="1"/>
      <w:numFmt w:val="decimal"/>
      <w:lvlText w:val="%4."/>
      <w:lvlJc w:val="left"/>
      <w:pPr>
        <w:ind w:left="2623" w:hanging="360"/>
      </w:pPr>
    </w:lvl>
    <w:lvl w:ilvl="4" w:tplc="7D6C2F60">
      <w:start w:val="1"/>
      <w:numFmt w:val="lowerLetter"/>
      <w:lvlText w:val="%5."/>
      <w:lvlJc w:val="left"/>
      <w:pPr>
        <w:ind w:left="3343" w:hanging="360"/>
      </w:pPr>
    </w:lvl>
    <w:lvl w:ilvl="5" w:tplc="D792A89C">
      <w:start w:val="1"/>
      <w:numFmt w:val="lowerRoman"/>
      <w:lvlText w:val="%6."/>
      <w:lvlJc w:val="right"/>
      <w:pPr>
        <w:ind w:left="4063" w:hanging="180"/>
      </w:pPr>
    </w:lvl>
    <w:lvl w:ilvl="6" w:tplc="ECF03E94">
      <w:start w:val="1"/>
      <w:numFmt w:val="decimal"/>
      <w:lvlText w:val="%7."/>
      <w:lvlJc w:val="left"/>
      <w:pPr>
        <w:ind w:left="4783" w:hanging="360"/>
      </w:pPr>
    </w:lvl>
    <w:lvl w:ilvl="7" w:tplc="2BEC710C">
      <w:start w:val="1"/>
      <w:numFmt w:val="lowerLetter"/>
      <w:lvlText w:val="%8."/>
      <w:lvlJc w:val="left"/>
      <w:pPr>
        <w:ind w:left="5503" w:hanging="360"/>
      </w:pPr>
    </w:lvl>
    <w:lvl w:ilvl="8" w:tplc="7C9E4A24">
      <w:start w:val="1"/>
      <w:numFmt w:val="lowerRoman"/>
      <w:lvlText w:val="%9."/>
      <w:lvlJc w:val="right"/>
      <w:pPr>
        <w:ind w:left="6223" w:hanging="180"/>
      </w:pPr>
    </w:lvl>
  </w:abstractNum>
  <w:abstractNum w:abstractNumId="1" w15:restartNumberingAfterBreak="0">
    <w:nsid w:val="05222311"/>
    <w:multiLevelType w:val="hybridMultilevel"/>
    <w:tmpl w:val="17187592"/>
    <w:lvl w:ilvl="0" w:tplc="3542899C">
      <w:start w:val="1"/>
      <w:numFmt w:val="decimal"/>
      <w:lvlText w:val="%1."/>
      <w:lvlJc w:val="left"/>
      <w:pPr>
        <w:ind w:left="463" w:hanging="360"/>
      </w:pPr>
      <w:rPr>
        <w:color w:val="auto"/>
      </w:rPr>
    </w:lvl>
    <w:lvl w:ilvl="1" w:tplc="C3FC42FC">
      <w:start w:val="1"/>
      <w:numFmt w:val="lowerLetter"/>
      <w:lvlText w:val="%2."/>
      <w:lvlJc w:val="left"/>
      <w:pPr>
        <w:ind w:left="1183" w:hanging="360"/>
      </w:pPr>
    </w:lvl>
    <w:lvl w:ilvl="2" w:tplc="35F2158A">
      <w:start w:val="1"/>
      <w:numFmt w:val="lowerRoman"/>
      <w:lvlText w:val="%3."/>
      <w:lvlJc w:val="right"/>
      <w:pPr>
        <w:ind w:left="1903" w:hanging="180"/>
      </w:pPr>
    </w:lvl>
    <w:lvl w:ilvl="3" w:tplc="A4503E88">
      <w:start w:val="1"/>
      <w:numFmt w:val="decimal"/>
      <w:lvlText w:val="%4."/>
      <w:lvlJc w:val="left"/>
      <w:pPr>
        <w:ind w:left="2623" w:hanging="360"/>
      </w:pPr>
    </w:lvl>
    <w:lvl w:ilvl="4" w:tplc="3400705C">
      <w:start w:val="1"/>
      <w:numFmt w:val="lowerLetter"/>
      <w:lvlText w:val="%5."/>
      <w:lvlJc w:val="left"/>
      <w:pPr>
        <w:ind w:left="3343" w:hanging="360"/>
      </w:pPr>
    </w:lvl>
    <w:lvl w:ilvl="5" w:tplc="E1EA51F8">
      <w:start w:val="1"/>
      <w:numFmt w:val="lowerRoman"/>
      <w:lvlText w:val="%6."/>
      <w:lvlJc w:val="right"/>
      <w:pPr>
        <w:ind w:left="4063" w:hanging="180"/>
      </w:pPr>
    </w:lvl>
    <w:lvl w:ilvl="6" w:tplc="1F043928">
      <w:start w:val="1"/>
      <w:numFmt w:val="decimal"/>
      <w:lvlText w:val="%7."/>
      <w:lvlJc w:val="left"/>
      <w:pPr>
        <w:ind w:left="4783" w:hanging="360"/>
      </w:pPr>
    </w:lvl>
    <w:lvl w:ilvl="7" w:tplc="2E54D322">
      <w:start w:val="1"/>
      <w:numFmt w:val="lowerLetter"/>
      <w:lvlText w:val="%8."/>
      <w:lvlJc w:val="left"/>
      <w:pPr>
        <w:ind w:left="5503" w:hanging="360"/>
      </w:pPr>
    </w:lvl>
    <w:lvl w:ilvl="8" w:tplc="5EEABA68">
      <w:start w:val="1"/>
      <w:numFmt w:val="lowerRoman"/>
      <w:lvlText w:val="%9."/>
      <w:lvlJc w:val="right"/>
      <w:pPr>
        <w:ind w:left="6223" w:hanging="180"/>
      </w:pPr>
    </w:lvl>
  </w:abstractNum>
  <w:abstractNum w:abstractNumId="2" w15:restartNumberingAfterBreak="0">
    <w:nsid w:val="3A657B97"/>
    <w:multiLevelType w:val="hybridMultilevel"/>
    <w:tmpl w:val="3070AA60"/>
    <w:lvl w:ilvl="0" w:tplc="9E24576A">
      <w:start w:val="1"/>
      <w:numFmt w:val="bullet"/>
      <w:lvlText w:val=""/>
      <w:lvlJc w:val="left"/>
      <w:pPr>
        <w:ind w:left="720" w:hanging="360"/>
      </w:pPr>
      <w:rPr>
        <w:rFonts w:ascii="Wingdings" w:hAnsi="Wingdings" w:hint="default"/>
      </w:rPr>
    </w:lvl>
    <w:lvl w:ilvl="1" w:tplc="0456D146" w:tentative="1">
      <w:start w:val="1"/>
      <w:numFmt w:val="bullet"/>
      <w:lvlText w:val="o"/>
      <w:lvlJc w:val="left"/>
      <w:pPr>
        <w:ind w:left="1440" w:hanging="360"/>
      </w:pPr>
      <w:rPr>
        <w:rFonts w:ascii="Courier New" w:hAnsi="Courier New" w:cs="Courier New" w:hint="default"/>
      </w:rPr>
    </w:lvl>
    <w:lvl w:ilvl="2" w:tplc="F6D61A3A" w:tentative="1">
      <w:start w:val="1"/>
      <w:numFmt w:val="bullet"/>
      <w:lvlText w:val=""/>
      <w:lvlJc w:val="left"/>
      <w:pPr>
        <w:ind w:left="2160" w:hanging="360"/>
      </w:pPr>
      <w:rPr>
        <w:rFonts w:ascii="Wingdings" w:hAnsi="Wingdings" w:hint="default"/>
      </w:rPr>
    </w:lvl>
    <w:lvl w:ilvl="3" w:tplc="80A015C0" w:tentative="1">
      <w:start w:val="1"/>
      <w:numFmt w:val="bullet"/>
      <w:lvlText w:val=""/>
      <w:lvlJc w:val="left"/>
      <w:pPr>
        <w:ind w:left="2880" w:hanging="360"/>
      </w:pPr>
      <w:rPr>
        <w:rFonts w:ascii="Symbol" w:hAnsi="Symbol" w:hint="default"/>
      </w:rPr>
    </w:lvl>
    <w:lvl w:ilvl="4" w:tplc="B4107EFE" w:tentative="1">
      <w:start w:val="1"/>
      <w:numFmt w:val="bullet"/>
      <w:lvlText w:val="o"/>
      <w:lvlJc w:val="left"/>
      <w:pPr>
        <w:ind w:left="3600" w:hanging="360"/>
      </w:pPr>
      <w:rPr>
        <w:rFonts w:ascii="Courier New" w:hAnsi="Courier New" w:cs="Courier New" w:hint="default"/>
      </w:rPr>
    </w:lvl>
    <w:lvl w:ilvl="5" w:tplc="4B707994" w:tentative="1">
      <w:start w:val="1"/>
      <w:numFmt w:val="bullet"/>
      <w:lvlText w:val=""/>
      <w:lvlJc w:val="left"/>
      <w:pPr>
        <w:ind w:left="4320" w:hanging="360"/>
      </w:pPr>
      <w:rPr>
        <w:rFonts w:ascii="Wingdings" w:hAnsi="Wingdings" w:hint="default"/>
      </w:rPr>
    </w:lvl>
    <w:lvl w:ilvl="6" w:tplc="94FCEB28" w:tentative="1">
      <w:start w:val="1"/>
      <w:numFmt w:val="bullet"/>
      <w:lvlText w:val=""/>
      <w:lvlJc w:val="left"/>
      <w:pPr>
        <w:ind w:left="5040" w:hanging="360"/>
      </w:pPr>
      <w:rPr>
        <w:rFonts w:ascii="Symbol" w:hAnsi="Symbol" w:hint="default"/>
      </w:rPr>
    </w:lvl>
    <w:lvl w:ilvl="7" w:tplc="0AF0D95C" w:tentative="1">
      <w:start w:val="1"/>
      <w:numFmt w:val="bullet"/>
      <w:lvlText w:val="o"/>
      <w:lvlJc w:val="left"/>
      <w:pPr>
        <w:ind w:left="5760" w:hanging="360"/>
      </w:pPr>
      <w:rPr>
        <w:rFonts w:ascii="Courier New" w:hAnsi="Courier New" w:cs="Courier New" w:hint="default"/>
      </w:rPr>
    </w:lvl>
    <w:lvl w:ilvl="8" w:tplc="1E54F73E" w:tentative="1">
      <w:start w:val="1"/>
      <w:numFmt w:val="bullet"/>
      <w:lvlText w:val=""/>
      <w:lvlJc w:val="left"/>
      <w:pPr>
        <w:ind w:left="6480" w:hanging="360"/>
      </w:pPr>
      <w:rPr>
        <w:rFonts w:ascii="Wingdings" w:hAnsi="Wingdings" w:hint="default"/>
      </w:rPr>
    </w:lvl>
  </w:abstractNum>
  <w:abstractNum w:abstractNumId="3" w15:restartNumberingAfterBreak="0">
    <w:nsid w:val="4431415D"/>
    <w:multiLevelType w:val="hybridMultilevel"/>
    <w:tmpl w:val="AD284B5C"/>
    <w:lvl w:ilvl="0" w:tplc="B3DA5EA4">
      <w:start w:val="1"/>
      <w:numFmt w:val="bullet"/>
      <w:lvlText w:val=""/>
      <w:lvlJc w:val="left"/>
      <w:pPr>
        <w:ind w:left="720" w:hanging="360"/>
      </w:pPr>
      <w:rPr>
        <w:rFonts w:ascii="Wingdings" w:hAnsi="Wingdings" w:hint="default"/>
      </w:rPr>
    </w:lvl>
    <w:lvl w:ilvl="1" w:tplc="26143DD4" w:tentative="1">
      <w:start w:val="1"/>
      <w:numFmt w:val="bullet"/>
      <w:lvlText w:val="o"/>
      <w:lvlJc w:val="left"/>
      <w:pPr>
        <w:ind w:left="1440" w:hanging="360"/>
      </w:pPr>
      <w:rPr>
        <w:rFonts w:ascii="Courier New" w:hAnsi="Courier New" w:cs="Courier New" w:hint="default"/>
      </w:rPr>
    </w:lvl>
    <w:lvl w:ilvl="2" w:tplc="4FA4A3DC" w:tentative="1">
      <w:start w:val="1"/>
      <w:numFmt w:val="bullet"/>
      <w:lvlText w:val=""/>
      <w:lvlJc w:val="left"/>
      <w:pPr>
        <w:ind w:left="2160" w:hanging="360"/>
      </w:pPr>
      <w:rPr>
        <w:rFonts w:ascii="Wingdings" w:hAnsi="Wingdings" w:hint="default"/>
      </w:rPr>
    </w:lvl>
    <w:lvl w:ilvl="3" w:tplc="CB8C719A" w:tentative="1">
      <w:start w:val="1"/>
      <w:numFmt w:val="bullet"/>
      <w:lvlText w:val=""/>
      <w:lvlJc w:val="left"/>
      <w:pPr>
        <w:ind w:left="2880" w:hanging="360"/>
      </w:pPr>
      <w:rPr>
        <w:rFonts w:ascii="Symbol" w:hAnsi="Symbol" w:hint="default"/>
      </w:rPr>
    </w:lvl>
    <w:lvl w:ilvl="4" w:tplc="BD7498EA" w:tentative="1">
      <w:start w:val="1"/>
      <w:numFmt w:val="bullet"/>
      <w:lvlText w:val="o"/>
      <w:lvlJc w:val="left"/>
      <w:pPr>
        <w:ind w:left="3600" w:hanging="360"/>
      </w:pPr>
      <w:rPr>
        <w:rFonts w:ascii="Courier New" w:hAnsi="Courier New" w:cs="Courier New" w:hint="default"/>
      </w:rPr>
    </w:lvl>
    <w:lvl w:ilvl="5" w:tplc="C59A5A36" w:tentative="1">
      <w:start w:val="1"/>
      <w:numFmt w:val="bullet"/>
      <w:lvlText w:val=""/>
      <w:lvlJc w:val="left"/>
      <w:pPr>
        <w:ind w:left="4320" w:hanging="360"/>
      </w:pPr>
      <w:rPr>
        <w:rFonts w:ascii="Wingdings" w:hAnsi="Wingdings" w:hint="default"/>
      </w:rPr>
    </w:lvl>
    <w:lvl w:ilvl="6" w:tplc="23E42CE6" w:tentative="1">
      <w:start w:val="1"/>
      <w:numFmt w:val="bullet"/>
      <w:lvlText w:val=""/>
      <w:lvlJc w:val="left"/>
      <w:pPr>
        <w:ind w:left="5040" w:hanging="360"/>
      </w:pPr>
      <w:rPr>
        <w:rFonts w:ascii="Symbol" w:hAnsi="Symbol" w:hint="default"/>
      </w:rPr>
    </w:lvl>
    <w:lvl w:ilvl="7" w:tplc="EF4AA450" w:tentative="1">
      <w:start w:val="1"/>
      <w:numFmt w:val="bullet"/>
      <w:lvlText w:val="o"/>
      <w:lvlJc w:val="left"/>
      <w:pPr>
        <w:ind w:left="5760" w:hanging="360"/>
      </w:pPr>
      <w:rPr>
        <w:rFonts w:ascii="Courier New" w:hAnsi="Courier New" w:cs="Courier New" w:hint="default"/>
      </w:rPr>
    </w:lvl>
    <w:lvl w:ilvl="8" w:tplc="FDFEA038" w:tentative="1">
      <w:start w:val="1"/>
      <w:numFmt w:val="bullet"/>
      <w:lvlText w:val=""/>
      <w:lvlJc w:val="left"/>
      <w:pPr>
        <w:ind w:left="6480" w:hanging="360"/>
      </w:pPr>
      <w:rPr>
        <w:rFonts w:ascii="Wingdings" w:hAnsi="Wingdings" w:hint="default"/>
      </w:rPr>
    </w:lvl>
  </w:abstractNum>
  <w:abstractNum w:abstractNumId="4" w15:restartNumberingAfterBreak="0">
    <w:nsid w:val="4D587A73"/>
    <w:multiLevelType w:val="hybridMultilevel"/>
    <w:tmpl w:val="17187592"/>
    <w:lvl w:ilvl="0" w:tplc="3516FF8C">
      <w:start w:val="1"/>
      <w:numFmt w:val="decimal"/>
      <w:lvlText w:val="%1."/>
      <w:lvlJc w:val="left"/>
      <w:pPr>
        <w:ind w:left="463" w:hanging="360"/>
      </w:pPr>
      <w:rPr>
        <w:color w:val="auto"/>
      </w:rPr>
    </w:lvl>
    <w:lvl w:ilvl="1" w:tplc="4796DC40">
      <w:start w:val="1"/>
      <w:numFmt w:val="lowerLetter"/>
      <w:lvlText w:val="%2."/>
      <w:lvlJc w:val="left"/>
      <w:pPr>
        <w:ind w:left="1183" w:hanging="360"/>
      </w:pPr>
    </w:lvl>
    <w:lvl w:ilvl="2" w:tplc="1FA449E0">
      <w:start w:val="1"/>
      <w:numFmt w:val="lowerRoman"/>
      <w:lvlText w:val="%3."/>
      <w:lvlJc w:val="right"/>
      <w:pPr>
        <w:ind w:left="1903" w:hanging="180"/>
      </w:pPr>
    </w:lvl>
    <w:lvl w:ilvl="3" w:tplc="91E80D62">
      <w:start w:val="1"/>
      <w:numFmt w:val="decimal"/>
      <w:lvlText w:val="%4."/>
      <w:lvlJc w:val="left"/>
      <w:pPr>
        <w:ind w:left="2623" w:hanging="360"/>
      </w:pPr>
    </w:lvl>
    <w:lvl w:ilvl="4" w:tplc="ED2C3404">
      <w:start w:val="1"/>
      <w:numFmt w:val="lowerLetter"/>
      <w:lvlText w:val="%5."/>
      <w:lvlJc w:val="left"/>
      <w:pPr>
        <w:ind w:left="3343" w:hanging="360"/>
      </w:pPr>
    </w:lvl>
    <w:lvl w:ilvl="5" w:tplc="CF30167A">
      <w:start w:val="1"/>
      <w:numFmt w:val="lowerRoman"/>
      <w:lvlText w:val="%6."/>
      <w:lvlJc w:val="right"/>
      <w:pPr>
        <w:ind w:left="4063" w:hanging="180"/>
      </w:pPr>
    </w:lvl>
    <w:lvl w:ilvl="6" w:tplc="C78CE424">
      <w:start w:val="1"/>
      <w:numFmt w:val="decimal"/>
      <w:lvlText w:val="%7."/>
      <w:lvlJc w:val="left"/>
      <w:pPr>
        <w:ind w:left="4783" w:hanging="360"/>
      </w:pPr>
    </w:lvl>
    <w:lvl w:ilvl="7" w:tplc="FCF61E1C">
      <w:start w:val="1"/>
      <w:numFmt w:val="lowerLetter"/>
      <w:lvlText w:val="%8."/>
      <w:lvlJc w:val="left"/>
      <w:pPr>
        <w:ind w:left="5503" w:hanging="360"/>
      </w:pPr>
    </w:lvl>
    <w:lvl w:ilvl="8" w:tplc="936AB34A">
      <w:start w:val="1"/>
      <w:numFmt w:val="lowerRoman"/>
      <w:lvlText w:val="%9."/>
      <w:lvlJc w:val="right"/>
      <w:pPr>
        <w:ind w:left="6223" w:hanging="180"/>
      </w:pPr>
    </w:lvl>
  </w:abstractNum>
  <w:abstractNum w:abstractNumId="5" w15:restartNumberingAfterBreak="0">
    <w:nsid w:val="4F75147D"/>
    <w:multiLevelType w:val="hybridMultilevel"/>
    <w:tmpl w:val="17187592"/>
    <w:lvl w:ilvl="0" w:tplc="F522A196">
      <w:start w:val="1"/>
      <w:numFmt w:val="decimal"/>
      <w:lvlText w:val="%1."/>
      <w:lvlJc w:val="left"/>
      <w:pPr>
        <w:ind w:left="463" w:hanging="360"/>
      </w:pPr>
      <w:rPr>
        <w:color w:val="auto"/>
      </w:rPr>
    </w:lvl>
    <w:lvl w:ilvl="1" w:tplc="A3FC7870">
      <w:start w:val="1"/>
      <w:numFmt w:val="lowerLetter"/>
      <w:lvlText w:val="%2."/>
      <w:lvlJc w:val="left"/>
      <w:pPr>
        <w:ind w:left="1183" w:hanging="360"/>
      </w:pPr>
    </w:lvl>
    <w:lvl w:ilvl="2" w:tplc="D17631A2">
      <w:start w:val="1"/>
      <w:numFmt w:val="lowerRoman"/>
      <w:lvlText w:val="%3."/>
      <w:lvlJc w:val="right"/>
      <w:pPr>
        <w:ind w:left="1903" w:hanging="180"/>
      </w:pPr>
    </w:lvl>
    <w:lvl w:ilvl="3" w:tplc="6F3CC710">
      <w:start w:val="1"/>
      <w:numFmt w:val="decimal"/>
      <w:lvlText w:val="%4."/>
      <w:lvlJc w:val="left"/>
      <w:pPr>
        <w:ind w:left="2623" w:hanging="360"/>
      </w:pPr>
    </w:lvl>
    <w:lvl w:ilvl="4" w:tplc="6AD84A02">
      <w:start w:val="1"/>
      <w:numFmt w:val="lowerLetter"/>
      <w:lvlText w:val="%5."/>
      <w:lvlJc w:val="left"/>
      <w:pPr>
        <w:ind w:left="3343" w:hanging="360"/>
      </w:pPr>
    </w:lvl>
    <w:lvl w:ilvl="5" w:tplc="7D968AF4">
      <w:start w:val="1"/>
      <w:numFmt w:val="lowerRoman"/>
      <w:lvlText w:val="%6."/>
      <w:lvlJc w:val="right"/>
      <w:pPr>
        <w:ind w:left="4063" w:hanging="180"/>
      </w:pPr>
    </w:lvl>
    <w:lvl w:ilvl="6" w:tplc="2C86951A">
      <w:start w:val="1"/>
      <w:numFmt w:val="decimal"/>
      <w:lvlText w:val="%7."/>
      <w:lvlJc w:val="left"/>
      <w:pPr>
        <w:ind w:left="4783" w:hanging="360"/>
      </w:pPr>
    </w:lvl>
    <w:lvl w:ilvl="7" w:tplc="A54E2650">
      <w:start w:val="1"/>
      <w:numFmt w:val="lowerLetter"/>
      <w:lvlText w:val="%8."/>
      <w:lvlJc w:val="left"/>
      <w:pPr>
        <w:ind w:left="5503" w:hanging="360"/>
      </w:pPr>
    </w:lvl>
    <w:lvl w:ilvl="8" w:tplc="4B5ED1D0">
      <w:start w:val="1"/>
      <w:numFmt w:val="lowerRoman"/>
      <w:lvlText w:val="%9."/>
      <w:lvlJc w:val="right"/>
      <w:pPr>
        <w:ind w:left="6223" w:hanging="180"/>
      </w:pPr>
    </w:lvl>
  </w:abstractNum>
  <w:abstractNum w:abstractNumId="6" w15:restartNumberingAfterBreak="0">
    <w:nsid w:val="614D12E4"/>
    <w:multiLevelType w:val="hybridMultilevel"/>
    <w:tmpl w:val="BC48BA3C"/>
    <w:lvl w:ilvl="0" w:tplc="E56610C0">
      <w:start w:val="1"/>
      <w:numFmt w:val="decimal"/>
      <w:lvlText w:val="%1."/>
      <w:lvlJc w:val="left"/>
      <w:pPr>
        <w:ind w:left="720" w:hanging="360"/>
      </w:pPr>
      <w:rPr>
        <w:rFonts w:hint="default"/>
      </w:rPr>
    </w:lvl>
    <w:lvl w:ilvl="1" w:tplc="D7461D26" w:tentative="1">
      <w:start w:val="1"/>
      <w:numFmt w:val="lowerLetter"/>
      <w:lvlText w:val="%2."/>
      <w:lvlJc w:val="left"/>
      <w:pPr>
        <w:ind w:left="1440" w:hanging="360"/>
      </w:pPr>
    </w:lvl>
    <w:lvl w:ilvl="2" w:tplc="929843E6" w:tentative="1">
      <w:start w:val="1"/>
      <w:numFmt w:val="lowerRoman"/>
      <w:lvlText w:val="%3."/>
      <w:lvlJc w:val="right"/>
      <w:pPr>
        <w:ind w:left="2160" w:hanging="180"/>
      </w:pPr>
    </w:lvl>
    <w:lvl w:ilvl="3" w:tplc="652E27C6" w:tentative="1">
      <w:start w:val="1"/>
      <w:numFmt w:val="decimal"/>
      <w:lvlText w:val="%4."/>
      <w:lvlJc w:val="left"/>
      <w:pPr>
        <w:ind w:left="2880" w:hanging="360"/>
      </w:pPr>
    </w:lvl>
    <w:lvl w:ilvl="4" w:tplc="631A5494" w:tentative="1">
      <w:start w:val="1"/>
      <w:numFmt w:val="lowerLetter"/>
      <w:lvlText w:val="%5."/>
      <w:lvlJc w:val="left"/>
      <w:pPr>
        <w:ind w:left="3600" w:hanging="360"/>
      </w:pPr>
    </w:lvl>
    <w:lvl w:ilvl="5" w:tplc="2814F19A" w:tentative="1">
      <w:start w:val="1"/>
      <w:numFmt w:val="lowerRoman"/>
      <w:lvlText w:val="%6."/>
      <w:lvlJc w:val="right"/>
      <w:pPr>
        <w:ind w:left="4320" w:hanging="180"/>
      </w:pPr>
    </w:lvl>
    <w:lvl w:ilvl="6" w:tplc="3594E694" w:tentative="1">
      <w:start w:val="1"/>
      <w:numFmt w:val="decimal"/>
      <w:lvlText w:val="%7."/>
      <w:lvlJc w:val="left"/>
      <w:pPr>
        <w:ind w:left="5040" w:hanging="360"/>
      </w:pPr>
    </w:lvl>
    <w:lvl w:ilvl="7" w:tplc="459CC51A" w:tentative="1">
      <w:start w:val="1"/>
      <w:numFmt w:val="lowerLetter"/>
      <w:lvlText w:val="%8."/>
      <w:lvlJc w:val="left"/>
      <w:pPr>
        <w:ind w:left="5760" w:hanging="360"/>
      </w:pPr>
    </w:lvl>
    <w:lvl w:ilvl="8" w:tplc="29F63DE8" w:tentative="1">
      <w:start w:val="1"/>
      <w:numFmt w:val="lowerRoman"/>
      <w:lvlText w:val="%9."/>
      <w:lvlJc w:val="right"/>
      <w:pPr>
        <w:ind w:left="6480" w:hanging="180"/>
      </w:pPr>
    </w:lvl>
  </w:abstractNum>
  <w:abstractNum w:abstractNumId="7" w15:restartNumberingAfterBreak="0">
    <w:nsid w:val="6F1A08C6"/>
    <w:multiLevelType w:val="hybridMultilevel"/>
    <w:tmpl w:val="17187592"/>
    <w:lvl w:ilvl="0" w:tplc="C2F6DE68">
      <w:start w:val="1"/>
      <w:numFmt w:val="decimal"/>
      <w:lvlText w:val="%1."/>
      <w:lvlJc w:val="left"/>
      <w:pPr>
        <w:ind w:left="463" w:hanging="360"/>
      </w:pPr>
      <w:rPr>
        <w:color w:val="auto"/>
      </w:rPr>
    </w:lvl>
    <w:lvl w:ilvl="1" w:tplc="C6ECC5FA">
      <w:start w:val="1"/>
      <w:numFmt w:val="lowerLetter"/>
      <w:lvlText w:val="%2."/>
      <w:lvlJc w:val="left"/>
      <w:pPr>
        <w:ind w:left="1183" w:hanging="360"/>
      </w:pPr>
    </w:lvl>
    <w:lvl w:ilvl="2" w:tplc="C3E6F540">
      <w:start w:val="1"/>
      <w:numFmt w:val="lowerRoman"/>
      <w:lvlText w:val="%3."/>
      <w:lvlJc w:val="right"/>
      <w:pPr>
        <w:ind w:left="1903" w:hanging="180"/>
      </w:pPr>
    </w:lvl>
    <w:lvl w:ilvl="3" w:tplc="49F6C1B6">
      <w:start w:val="1"/>
      <w:numFmt w:val="decimal"/>
      <w:lvlText w:val="%4."/>
      <w:lvlJc w:val="left"/>
      <w:pPr>
        <w:ind w:left="2623" w:hanging="360"/>
      </w:pPr>
    </w:lvl>
    <w:lvl w:ilvl="4" w:tplc="01B837CE">
      <w:start w:val="1"/>
      <w:numFmt w:val="lowerLetter"/>
      <w:lvlText w:val="%5."/>
      <w:lvlJc w:val="left"/>
      <w:pPr>
        <w:ind w:left="3343" w:hanging="360"/>
      </w:pPr>
    </w:lvl>
    <w:lvl w:ilvl="5" w:tplc="305EE338">
      <w:start w:val="1"/>
      <w:numFmt w:val="lowerRoman"/>
      <w:lvlText w:val="%6."/>
      <w:lvlJc w:val="right"/>
      <w:pPr>
        <w:ind w:left="4063" w:hanging="180"/>
      </w:pPr>
    </w:lvl>
    <w:lvl w:ilvl="6" w:tplc="61F691A2">
      <w:start w:val="1"/>
      <w:numFmt w:val="decimal"/>
      <w:lvlText w:val="%7."/>
      <w:lvlJc w:val="left"/>
      <w:pPr>
        <w:ind w:left="4783" w:hanging="360"/>
      </w:pPr>
    </w:lvl>
    <w:lvl w:ilvl="7" w:tplc="61B6F902">
      <w:start w:val="1"/>
      <w:numFmt w:val="lowerLetter"/>
      <w:lvlText w:val="%8."/>
      <w:lvlJc w:val="left"/>
      <w:pPr>
        <w:ind w:left="5503" w:hanging="360"/>
      </w:pPr>
    </w:lvl>
    <w:lvl w:ilvl="8" w:tplc="61406970">
      <w:start w:val="1"/>
      <w:numFmt w:val="lowerRoman"/>
      <w:lvlText w:val="%9."/>
      <w:lvlJc w:val="right"/>
      <w:pPr>
        <w:ind w:left="6223" w:hanging="180"/>
      </w:pPr>
    </w:lvl>
  </w:abstractNum>
  <w:num w:numId="1" w16cid:durableId="1893302020">
    <w:abstractNumId w:val="4"/>
  </w:num>
  <w:num w:numId="2" w16cid:durableId="1931889607">
    <w:abstractNumId w:val="3"/>
  </w:num>
  <w:num w:numId="3" w16cid:durableId="1007096457">
    <w:abstractNumId w:val="2"/>
  </w:num>
  <w:num w:numId="4" w16cid:durableId="1573855629">
    <w:abstractNumId w:val="6"/>
  </w:num>
  <w:num w:numId="5" w16cid:durableId="2006863002">
    <w:abstractNumId w:val="1"/>
  </w:num>
  <w:num w:numId="6" w16cid:durableId="993416647">
    <w:abstractNumId w:val="5"/>
  </w:num>
  <w:num w:numId="7" w16cid:durableId="1100761746">
    <w:abstractNumId w:val="7"/>
  </w:num>
  <w:num w:numId="8" w16cid:durableId="149560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73"/>
    <w:rsid w:val="00202B73"/>
    <w:rsid w:val="006B02F1"/>
    <w:rsid w:val="009C29A3"/>
    <w:rsid w:val="00AD6F69"/>
    <w:rsid w:val="00B73D7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05B4"/>
  <w15:chartTrackingRefBased/>
  <w15:docId w15:val="{40529F68-9C60-42E1-AB65-9AA79AF8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B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B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B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2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B73"/>
    <w:rPr>
      <w:rFonts w:eastAsiaTheme="majorEastAsia" w:cstheme="majorBidi"/>
      <w:color w:val="272727" w:themeColor="text1" w:themeTint="D8"/>
    </w:rPr>
  </w:style>
  <w:style w:type="paragraph" w:styleId="Titel">
    <w:name w:val="Title"/>
    <w:basedOn w:val="Standaard"/>
    <w:next w:val="Standaard"/>
    <w:link w:val="TitelChar"/>
    <w:uiPriority w:val="10"/>
    <w:qFormat/>
    <w:rsid w:val="0020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2B73"/>
    <w:rPr>
      <w:i/>
      <w:iCs/>
      <w:color w:val="404040" w:themeColor="text1" w:themeTint="BF"/>
    </w:rPr>
  </w:style>
  <w:style w:type="paragraph" w:styleId="Lijstalinea">
    <w:name w:val="List Paragraph"/>
    <w:basedOn w:val="Standaard"/>
    <w:uiPriority w:val="34"/>
    <w:qFormat/>
    <w:rsid w:val="00202B73"/>
    <w:pPr>
      <w:ind w:left="720"/>
      <w:contextualSpacing/>
    </w:pPr>
  </w:style>
  <w:style w:type="character" w:styleId="Intensievebenadrukking">
    <w:name w:val="Intense Emphasis"/>
    <w:basedOn w:val="Standaardalinea-lettertype"/>
    <w:uiPriority w:val="21"/>
    <w:qFormat/>
    <w:rsid w:val="00202B73"/>
    <w:rPr>
      <w:i/>
      <w:iCs/>
      <w:color w:val="0F4761" w:themeColor="accent1" w:themeShade="BF"/>
    </w:rPr>
  </w:style>
  <w:style w:type="paragraph" w:styleId="Duidelijkcitaat">
    <w:name w:val="Intense Quote"/>
    <w:basedOn w:val="Standaard"/>
    <w:next w:val="Standaard"/>
    <w:link w:val="DuidelijkcitaatChar"/>
    <w:uiPriority w:val="30"/>
    <w:qFormat/>
    <w:rsid w:val="0020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B73"/>
    <w:rPr>
      <w:i/>
      <w:iCs/>
      <w:color w:val="0F4761" w:themeColor="accent1" w:themeShade="BF"/>
    </w:rPr>
  </w:style>
  <w:style w:type="character" w:styleId="Intensieveverwijzing">
    <w:name w:val="Intense Reference"/>
    <w:basedOn w:val="Standaardalinea-lettertype"/>
    <w:uiPriority w:val="32"/>
    <w:qFormat/>
    <w:rsid w:val="00202B73"/>
    <w:rPr>
      <w:b/>
      <w:bCs/>
      <w:smallCaps/>
      <w:color w:val="0F4761" w:themeColor="accent1" w:themeShade="BF"/>
      <w:spacing w:val="5"/>
    </w:rPr>
  </w:style>
  <w:style w:type="character" w:styleId="Hyperlink">
    <w:name w:val="Hyperlink"/>
    <w:basedOn w:val="Standaardalinea-lettertype"/>
    <w:uiPriority w:val="99"/>
    <w:unhideWhenUsed/>
    <w:rsid w:val="00202B73"/>
    <w:rPr>
      <w:color w:val="467886" w:themeColor="hyperlink"/>
      <w:u w:val="single"/>
    </w:rPr>
  </w:style>
  <w:style w:type="table" w:styleId="Tabelraster">
    <w:name w:val="Table Grid"/>
    <w:uiPriority w:val="39"/>
    <w:rsid w:val="00202B7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202B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02B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02B7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2B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02B7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02B7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02B73"/>
    <w:rPr>
      <w:kern w:val="0"/>
      <w:sz w:val="20"/>
      <w:szCs w:val="20"/>
      <w14:ligatures w14:val="none"/>
    </w:rPr>
  </w:style>
  <w:style w:type="character" w:styleId="Voetnootmarkering">
    <w:name w:val="footnote reference"/>
    <w:basedOn w:val="Standaardalinea-lettertype"/>
    <w:uiPriority w:val="99"/>
    <w:semiHidden/>
    <w:unhideWhenUsed/>
    <w:rsid w:val="00202B73"/>
    <w:rPr>
      <w:vertAlign w:val="superscript"/>
    </w:rPr>
  </w:style>
  <w:style w:type="paragraph" w:customStyle="1" w:styleId="paragraph">
    <w:name w:val="paragraph"/>
    <w:basedOn w:val="Standaard"/>
    <w:rsid w:val="00202B7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202B73"/>
  </w:style>
  <w:style w:type="paragraph" w:styleId="Geenafstand">
    <w:name w:val="No Spacing"/>
    <w:uiPriority w:val="1"/>
    <w:qFormat/>
    <w:rsid w:val="00202B7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actueel/nieuws/2025/01/23/sociale-agenda-voor-groningen-en-noord-drenthe-gepresenteerd" TargetMode="External"/><Relationship Id="rId1" Type="http://schemas.openxmlformats.org/officeDocument/2006/relationships/hyperlink" Target="https://wetten.overheid.nl/BWBR0049907/2024-07-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2566</ap:Words>
  <ap:Characters>14114</ap:Characters>
  <ap:DocSecurity>0</ap:DocSecurity>
  <ap:Lines>117</ap:Lines>
  <ap:Paragraphs>33</ap:Paragraphs>
  <ap:ScaleCrop>false</ap:ScaleCrop>
  <ap:LinksUpToDate>false</ap:LinksUpToDate>
  <ap:CharactersWithSpaces>16647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2025-09-23T12:22:00.0000000Z</dcterms:created>
  <dcterms:modified xsi:type="dcterms:W3CDTF">2025-09-23T12:22:00.0000000Z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